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134227">
      <w:pPr>
        <w:rPr>
          <w:rFonts w:hint="default" w:ascii="Times New Roman" w:hAnsi="Times New Roman" w:eastAsia="宋体" w:cs="Times New Roman"/>
          <w:color w:val="auto"/>
          <w:lang w:val="en-US" w:eastAsia="zh-CN"/>
        </w:rPr>
      </w:pPr>
      <w:bookmarkStart w:id="0" w:name="_Toc533674808"/>
      <w:bookmarkStart w:id="1" w:name="_Toc27625"/>
    </w:p>
    <w:p w14:paraId="20226A39">
      <w:pPr>
        <w:rPr>
          <w:rFonts w:hint="default" w:ascii="Times New Roman" w:hAnsi="Times New Roman" w:eastAsia="宋体" w:cs="Times New Roman"/>
          <w:color w:val="auto"/>
          <w:lang w:val="en-US" w:eastAsia="zh-CN"/>
        </w:rPr>
      </w:pPr>
    </w:p>
    <w:p w14:paraId="12693527">
      <w:pPr>
        <w:adjustRightInd w:val="0"/>
        <w:snapToGrid w:val="0"/>
        <w:jc w:val="center"/>
        <w:outlineLvl w:val="3"/>
        <w:rPr>
          <w:rFonts w:hint="eastAsia" w:ascii="Times New Roman" w:hAnsi="Times New Roman" w:eastAsia="宋体" w:cs="Times New Roman"/>
          <w:b/>
          <w:snapToGrid w:val="0"/>
          <w:color w:val="auto"/>
          <w:kern w:val="0"/>
          <w:sz w:val="44"/>
          <w:szCs w:val="44"/>
          <w:lang w:val="en-US" w:eastAsia="zh-CN"/>
        </w:rPr>
      </w:pPr>
      <w:r>
        <w:rPr>
          <w:rFonts w:hint="default" w:ascii="Times New Roman" w:hAnsi="Times New Roman" w:cs="Times New Roman"/>
          <w:b/>
          <w:snapToGrid w:val="0"/>
          <w:color w:val="auto"/>
          <w:kern w:val="0"/>
          <w:sz w:val="44"/>
          <w:szCs w:val="44"/>
          <w:lang w:val="en-US" w:eastAsia="zh-CN"/>
        </w:rPr>
        <w:t>云南业勤服饰有限公司</w:t>
      </w:r>
      <w:r>
        <w:rPr>
          <w:rFonts w:hint="default" w:ascii="Times New Roman" w:hAnsi="Times New Roman" w:eastAsia="宋体" w:cs="Times New Roman"/>
          <w:b/>
          <w:snapToGrid w:val="0"/>
          <w:color w:val="auto"/>
          <w:kern w:val="0"/>
          <w:sz w:val="44"/>
          <w:szCs w:val="44"/>
          <w:lang w:eastAsia="zh-CN"/>
        </w:rPr>
        <w:t>建设项目</w:t>
      </w:r>
      <w:r>
        <w:rPr>
          <w:rFonts w:hint="default" w:ascii="Times New Roman" w:hAnsi="Times New Roman" w:eastAsia="宋体" w:cs="Times New Roman"/>
          <w:b/>
          <w:snapToGrid w:val="0"/>
          <w:color w:val="auto"/>
          <w:kern w:val="0"/>
          <w:sz w:val="44"/>
          <w:szCs w:val="44"/>
        </w:rPr>
        <w:t>环境影响报告书</w:t>
      </w:r>
      <w:r>
        <w:rPr>
          <w:rFonts w:hint="eastAsia" w:ascii="Times New Roman" w:hAnsi="Times New Roman" w:cs="Times New Roman"/>
          <w:b/>
          <w:snapToGrid w:val="0"/>
          <w:color w:val="auto"/>
          <w:kern w:val="0"/>
          <w:sz w:val="44"/>
          <w:szCs w:val="44"/>
          <w:lang w:val="en-US" w:eastAsia="zh-CN"/>
        </w:rPr>
        <w:t xml:space="preserve"> </w:t>
      </w:r>
    </w:p>
    <w:p w14:paraId="481E9D26">
      <w:pPr>
        <w:spacing w:line="276" w:lineRule="auto"/>
        <w:ind w:firstLine="422"/>
        <w:jc w:val="center"/>
        <w:outlineLvl w:val="3"/>
        <w:rPr>
          <w:rFonts w:hint="default" w:ascii="Times New Roman" w:hAnsi="Times New Roman" w:eastAsia="宋体" w:cs="Times New Roman"/>
          <w:b/>
          <w:color w:val="auto"/>
          <w:sz w:val="44"/>
          <w:szCs w:val="44"/>
        </w:rPr>
      </w:pPr>
      <w:r>
        <w:rPr>
          <w:rFonts w:hint="default" w:ascii="Times New Roman" w:hAnsi="Times New Roman" w:eastAsia="宋体" w:cs="Times New Roman"/>
          <w:b/>
          <w:color w:val="auto"/>
          <w:sz w:val="44"/>
          <w:szCs w:val="44"/>
        </w:rPr>
        <w:t>（</w:t>
      </w:r>
      <w:r>
        <w:rPr>
          <w:rFonts w:hint="eastAsia" w:ascii="Times New Roman" w:hAnsi="Times New Roman" w:cs="Times New Roman"/>
          <w:b/>
          <w:color w:val="auto"/>
          <w:sz w:val="44"/>
          <w:szCs w:val="44"/>
          <w:lang w:eastAsia="zh-CN"/>
        </w:rPr>
        <w:t>报批</w:t>
      </w:r>
      <w:r>
        <w:rPr>
          <w:rFonts w:hint="default" w:ascii="Times New Roman" w:hAnsi="Times New Roman" w:eastAsia="宋体" w:cs="Times New Roman"/>
          <w:b/>
          <w:color w:val="auto"/>
          <w:sz w:val="44"/>
          <w:szCs w:val="44"/>
        </w:rPr>
        <w:t>稿）</w:t>
      </w:r>
    </w:p>
    <w:p w14:paraId="7F75ABC1">
      <w:pPr>
        <w:ind w:firstLine="422"/>
        <w:jc w:val="center"/>
        <w:rPr>
          <w:rFonts w:hint="default" w:ascii="Times New Roman" w:hAnsi="Times New Roman" w:eastAsia="宋体" w:cs="Times New Roman"/>
          <w:b/>
          <w:color w:val="auto"/>
          <w:sz w:val="44"/>
          <w:szCs w:val="44"/>
        </w:rPr>
      </w:pPr>
    </w:p>
    <w:p w14:paraId="331DB2C6">
      <w:pPr>
        <w:ind w:firstLine="422"/>
        <w:jc w:val="center"/>
        <w:rPr>
          <w:rFonts w:hint="default" w:ascii="Times New Roman" w:hAnsi="Times New Roman" w:eastAsia="宋体" w:cs="Times New Roman"/>
          <w:b/>
          <w:color w:val="auto"/>
          <w:sz w:val="44"/>
          <w:szCs w:val="44"/>
        </w:rPr>
      </w:pPr>
    </w:p>
    <w:p w14:paraId="09983E21">
      <w:pPr>
        <w:ind w:firstLine="422"/>
        <w:jc w:val="center"/>
        <w:rPr>
          <w:rFonts w:hint="default" w:ascii="Times New Roman" w:hAnsi="Times New Roman" w:eastAsia="宋体" w:cs="Times New Roman"/>
          <w:b/>
          <w:color w:val="auto"/>
          <w:sz w:val="44"/>
          <w:szCs w:val="44"/>
        </w:rPr>
      </w:pPr>
    </w:p>
    <w:p w14:paraId="69925EFC">
      <w:pPr>
        <w:ind w:firstLine="422"/>
        <w:jc w:val="center"/>
        <w:rPr>
          <w:rFonts w:hint="default" w:ascii="Times New Roman" w:hAnsi="Times New Roman" w:eastAsia="宋体" w:cs="Times New Roman"/>
          <w:b/>
          <w:color w:val="auto"/>
          <w:sz w:val="44"/>
          <w:szCs w:val="44"/>
        </w:rPr>
      </w:pPr>
    </w:p>
    <w:p w14:paraId="6692EA49">
      <w:pPr>
        <w:ind w:firstLine="422"/>
        <w:jc w:val="center"/>
        <w:rPr>
          <w:rFonts w:hint="default" w:ascii="Times New Roman" w:hAnsi="Times New Roman" w:eastAsia="宋体" w:cs="Times New Roman"/>
          <w:b/>
          <w:color w:val="auto"/>
          <w:sz w:val="44"/>
          <w:szCs w:val="44"/>
        </w:rPr>
      </w:pPr>
    </w:p>
    <w:p w14:paraId="4F31F6AA">
      <w:pPr>
        <w:ind w:firstLine="422"/>
        <w:jc w:val="center"/>
        <w:rPr>
          <w:rFonts w:hint="default" w:ascii="Times New Roman" w:hAnsi="Times New Roman" w:eastAsia="宋体" w:cs="Times New Roman"/>
          <w:b/>
          <w:color w:val="auto"/>
          <w:sz w:val="44"/>
          <w:szCs w:val="44"/>
        </w:rPr>
      </w:pPr>
    </w:p>
    <w:p w14:paraId="03531231">
      <w:pPr>
        <w:ind w:firstLine="422"/>
        <w:jc w:val="center"/>
        <w:rPr>
          <w:rFonts w:hint="default" w:ascii="Times New Roman" w:hAnsi="Times New Roman" w:eastAsia="宋体" w:cs="Times New Roman"/>
          <w:b/>
          <w:color w:val="auto"/>
          <w:sz w:val="44"/>
          <w:szCs w:val="44"/>
        </w:rPr>
      </w:pPr>
    </w:p>
    <w:p w14:paraId="3A15E920">
      <w:pPr>
        <w:ind w:firstLine="422"/>
        <w:jc w:val="center"/>
        <w:rPr>
          <w:rFonts w:hint="default" w:ascii="Times New Roman" w:hAnsi="Times New Roman" w:eastAsia="宋体" w:cs="Times New Roman"/>
          <w:b/>
          <w:color w:val="auto"/>
          <w:sz w:val="44"/>
          <w:szCs w:val="44"/>
        </w:rPr>
      </w:pPr>
    </w:p>
    <w:p w14:paraId="6179A81D">
      <w:pPr>
        <w:rPr>
          <w:rFonts w:hint="default" w:ascii="Times New Roman" w:hAnsi="Times New Roman" w:eastAsia="宋体" w:cs="Times New Roman"/>
          <w:b/>
          <w:color w:val="auto"/>
          <w:sz w:val="44"/>
          <w:szCs w:val="44"/>
        </w:rPr>
      </w:pPr>
    </w:p>
    <w:p w14:paraId="54626DAD">
      <w:pPr>
        <w:ind w:firstLine="422"/>
        <w:jc w:val="center"/>
        <w:rPr>
          <w:rFonts w:hint="default" w:ascii="Times New Roman" w:hAnsi="Times New Roman" w:eastAsia="宋体" w:cs="Times New Roman"/>
          <w:b/>
          <w:color w:val="auto"/>
          <w:sz w:val="44"/>
          <w:szCs w:val="44"/>
        </w:rPr>
      </w:pPr>
    </w:p>
    <w:p w14:paraId="24FD4D92">
      <w:pPr>
        <w:adjustRightInd w:val="0"/>
        <w:snapToGrid w:val="0"/>
        <w:ind w:firstLine="1687" w:firstLineChars="600"/>
        <w:jc w:val="both"/>
        <w:rPr>
          <w:rFonts w:hint="default" w:ascii="Times New Roman" w:hAnsi="Times New Roman" w:eastAsia="宋体" w:cs="Times New Roman"/>
          <w:b/>
          <w:snapToGrid w:val="0"/>
          <w:color w:val="auto"/>
          <w:kern w:val="0"/>
          <w:sz w:val="28"/>
          <w:szCs w:val="28"/>
        </w:rPr>
      </w:pPr>
      <w:r>
        <w:rPr>
          <w:rFonts w:hint="default" w:ascii="Times New Roman" w:hAnsi="Times New Roman" w:eastAsia="宋体" w:cs="Times New Roman"/>
          <w:b/>
          <w:snapToGrid w:val="0"/>
          <w:color w:val="auto"/>
          <w:kern w:val="0"/>
          <w:sz w:val="28"/>
          <w:szCs w:val="28"/>
        </w:rPr>
        <w:t>建设单位：</w:t>
      </w:r>
      <w:r>
        <w:rPr>
          <w:rFonts w:hint="default" w:ascii="Times New Roman" w:hAnsi="Times New Roman" w:eastAsia="宋体" w:cs="Times New Roman"/>
          <w:b/>
          <w:snapToGrid w:val="0"/>
          <w:color w:val="auto"/>
          <w:kern w:val="0"/>
          <w:sz w:val="28"/>
          <w:szCs w:val="28"/>
          <w:lang w:eastAsia="zh-CN"/>
        </w:rPr>
        <w:t>云南业勤服饰有限公司</w:t>
      </w:r>
    </w:p>
    <w:p w14:paraId="4CCE7AE0">
      <w:pPr>
        <w:adjustRightInd w:val="0"/>
        <w:snapToGrid w:val="0"/>
        <w:jc w:val="center"/>
        <w:rPr>
          <w:rFonts w:hint="default" w:ascii="Times New Roman" w:hAnsi="Times New Roman" w:eastAsia="宋体" w:cs="Times New Roman"/>
          <w:b/>
          <w:color w:val="auto"/>
          <w:sz w:val="44"/>
          <w:szCs w:val="44"/>
          <w:lang w:eastAsia="zh-CN"/>
        </w:rPr>
      </w:pPr>
      <w:r>
        <w:rPr>
          <w:rFonts w:hint="default" w:ascii="Times New Roman" w:hAnsi="Times New Roman" w:eastAsia="宋体" w:cs="Times New Roman"/>
          <w:b/>
          <w:snapToGrid w:val="0"/>
          <w:color w:val="auto"/>
          <w:kern w:val="0"/>
          <w:sz w:val="28"/>
          <w:szCs w:val="28"/>
        </w:rPr>
        <w:t>评价单位：</w:t>
      </w:r>
      <w:r>
        <w:rPr>
          <w:rFonts w:hint="default" w:ascii="Times New Roman" w:hAnsi="Times New Roman" w:eastAsia="宋体" w:cs="Times New Roman"/>
          <w:b/>
          <w:snapToGrid w:val="0"/>
          <w:color w:val="auto"/>
          <w:kern w:val="0"/>
          <w:sz w:val="28"/>
          <w:szCs w:val="28"/>
          <w:lang w:eastAsia="zh-CN"/>
        </w:rPr>
        <w:t>云南禹含环保科技有限公司</w:t>
      </w:r>
    </w:p>
    <w:p w14:paraId="08093D11">
      <w:pPr>
        <w:adjustRightInd w:val="0"/>
        <w:snapToGrid w:val="0"/>
        <w:jc w:val="center"/>
        <w:rPr>
          <w:rFonts w:hint="default" w:ascii="Times New Roman" w:hAnsi="Times New Roman" w:eastAsia="宋体" w:cs="Times New Roman"/>
          <w:b/>
          <w:color w:val="auto"/>
          <w:spacing w:val="30"/>
          <w:sz w:val="28"/>
          <w:szCs w:val="28"/>
        </w:rPr>
      </w:pPr>
      <w:r>
        <w:rPr>
          <w:rFonts w:hint="default" w:ascii="Times New Roman" w:hAnsi="Times New Roman" w:eastAsia="宋体" w:cs="Times New Roman"/>
          <w:b/>
          <w:color w:val="auto"/>
          <w:spacing w:val="30"/>
          <w:sz w:val="28"/>
          <w:szCs w:val="28"/>
        </w:rPr>
        <w:t>二O二O年</w:t>
      </w:r>
      <w:r>
        <w:rPr>
          <w:rFonts w:hint="eastAsia" w:ascii="Times New Roman" w:hAnsi="Times New Roman" w:cs="Times New Roman"/>
          <w:b/>
          <w:color w:val="auto"/>
          <w:spacing w:val="30"/>
          <w:sz w:val="28"/>
          <w:szCs w:val="28"/>
          <w:lang w:eastAsia="zh-CN"/>
        </w:rPr>
        <w:t>一</w:t>
      </w:r>
      <w:r>
        <w:rPr>
          <w:rFonts w:hint="default" w:ascii="Times New Roman" w:hAnsi="Times New Roman" w:eastAsia="宋体" w:cs="Times New Roman"/>
          <w:b/>
          <w:color w:val="auto"/>
          <w:spacing w:val="30"/>
          <w:sz w:val="28"/>
          <w:szCs w:val="28"/>
        </w:rPr>
        <w:t>月</w:t>
      </w:r>
    </w:p>
    <w:p w14:paraId="0E4F648D">
      <w:pPr>
        <w:spacing w:line="600" w:lineRule="auto"/>
        <w:jc w:val="center"/>
        <w:rPr>
          <w:rFonts w:hint="default" w:ascii="Times New Roman" w:hAnsi="Times New Roman" w:eastAsia="宋体" w:cs="Times New Roman"/>
          <w:b/>
          <w:color w:val="auto"/>
          <w:sz w:val="30"/>
          <w:szCs w:val="30"/>
        </w:rPr>
        <w:sectPr>
          <w:headerReference r:id="rId5" w:type="default"/>
          <w:pgSz w:w="11906" w:h="16838"/>
          <w:pgMar w:top="1440" w:right="1800" w:bottom="1440" w:left="1800" w:header="851" w:footer="992" w:gutter="0"/>
          <w:pgNumType w:start="1"/>
          <w:cols w:space="425" w:num="1"/>
          <w:docGrid w:type="lines" w:linePitch="312" w:charSpace="0"/>
        </w:sectPr>
      </w:pPr>
    </w:p>
    <w:p w14:paraId="30E03D14">
      <w:pPr>
        <w:pStyle w:val="49"/>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目录</w:t>
      </w:r>
    </w:p>
    <w:p w14:paraId="1685DF51">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TOC \o "1-2" \h \z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_Toc14695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概  述</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_Toc14695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D665331">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_Toc7540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一、项目特点及由来</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_Toc7540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E8F4224">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_Toc7088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二、关注的主要环境问题及环境影响</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_Toc7088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FDECDBF">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_Toc17410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三、环评工作过程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_Toc17410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5F8ECC39">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_Toc15205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四、分析判定相关情况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_Toc15205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9B89699">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_Toc14305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rPr>
        <w:t>五、环境影响报告书的主要结论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_Toc14305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6A8D65D">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_Toc16241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1.总 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_Toc16241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EEDF59A">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1.1编制依据</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E082F92">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_Toc30329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1.2评价目的及评价原则</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_Toc30329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C8731C1">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_Toc15506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1.3环境影响识别、评价因子及评价重点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_Toc15506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15A8CFB">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_Toc14295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1.4环境功能区划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_Toc14295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AECC4CB">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_Toc3470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_Toc3470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51C6885">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_Toc25928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1.6评价等级及评价范围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_Toc25928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5F308B8">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_Toc1320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1.7评价内容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_Toc1320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97BC59B">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_Toc23375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环境保护目标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_Toc23375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D0E5023">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_Toc30392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2.建设项目概况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_Toc30392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5BDC56B9">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_Toc19794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1现有</w:t>
      </w:r>
      <w:r>
        <w:rPr>
          <w:rFonts w:hint="default" w:ascii="Times New Roman" w:hAnsi="Times New Roman" w:eastAsia="宋体" w:cs="Times New Roman"/>
          <w:color w:val="auto"/>
          <w:sz w:val="24"/>
          <w:szCs w:val="24"/>
        </w:rPr>
        <w:t>项目建设内容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_Toc19794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C05E5D4">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_Toc1969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现有</w:t>
      </w:r>
      <w:r>
        <w:rPr>
          <w:rFonts w:hint="default" w:ascii="Times New Roman" w:hAnsi="Times New Roman" w:eastAsia="宋体" w:cs="Times New Roman"/>
          <w:color w:val="auto"/>
          <w:sz w:val="24"/>
          <w:szCs w:val="24"/>
        </w:rPr>
        <w:t>项目产品方案、主要原辅材料及能源消耗</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_Toc1969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4F147A4">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_Toc13309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3现有</w:t>
      </w:r>
      <w:r>
        <w:rPr>
          <w:rFonts w:hint="default" w:ascii="Times New Roman" w:hAnsi="Times New Roman" w:eastAsia="宋体" w:cs="Times New Roman"/>
          <w:color w:val="auto"/>
          <w:sz w:val="24"/>
          <w:szCs w:val="24"/>
        </w:rPr>
        <w:t>项目主要生产设备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_Toc13309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73754F38">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_Toc6924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4现有项目</w:t>
      </w:r>
      <w:r>
        <w:rPr>
          <w:rFonts w:hint="default" w:ascii="Times New Roman" w:hAnsi="Times New Roman" w:eastAsia="宋体" w:cs="Times New Roman"/>
          <w:color w:val="auto"/>
          <w:sz w:val="24"/>
          <w:szCs w:val="24"/>
        </w:rPr>
        <w:t>公用工程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_Toc6924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6D3037C">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_Toc26487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5 现有项目</w:t>
      </w:r>
      <w:r>
        <w:rPr>
          <w:rFonts w:hint="default" w:ascii="Times New Roman" w:hAnsi="Times New Roman" w:eastAsia="宋体" w:cs="Times New Roman"/>
          <w:color w:val="auto"/>
          <w:sz w:val="24"/>
          <w:szCs w:val="24"/>
        </w:rPr>
        <w:t>土地利用及平面布局情况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_Toc26487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DFC813D">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_Toc27935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2.6现有</w:t>
      </w:r>
      <w:r>
        <w:rPr>
          <w:rFonts w:hint="default" w:ascii="Times New Roman" w:hAnsi="Times New Roman" w:eastAsia="宋体" w:cs="Times New Roman"/>
          <w:color w:val="auto"/>
          <w:sz w:val="24"/>
          <w:szCs w:val="24"/>
        </w:rPr>
        <w:t>项目工作制度、劳动定员</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_Toc27935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0FE6D30">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_Toc3167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2.7现有项目运营期产污环节及污染物产排分析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D16B2A8">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_Toc2852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2.8现有项目</w:t>
      </w:r>
      <w:r>
        <w:rPr>
          <w:rFonts w:hint="default" w:ascii="Times New Roman" w:hAnsi="Times New Roman" w:eastAsia="宋体" w:cs="Times New Roman"/>
          <w:color w:val="auto"/>
          <w:sz w:val="24"/>
          <w:szCs w:val="24"/>
        </w:rPr>
        <w:t>污染物产生及排放情况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_Toc2852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3A8DBF5">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_Toc29113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2.9现有</w:t>
      </w:r>
      <w:r>
        <w:rPr>
          <w:rFonts w:hint="default" w:ascii="Times New Roman" w:hAnsi="Times New Roman" w:eastAsia="宋体" w:cs="Times New Roman"/>
          <w:color w:val="auto"/>
          <w:sz w:val="24"/>
          <w:szCs w:val="24"/>
        </w:rPr>
        <w:t>项目污染物排放汇总</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_Toc29113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C8CB710">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_Toc12077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2.10现有项目存在的问题</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_Toc12077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E2C6AED">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_Toc23522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11扩建</w:t>
      </w:r>
      <w:r>
        <w:rPr>
          <w:rFonts w:hint="default" w:ascii="Times New Roman" w:hAnsi="Times New Roman" w:eastAsia="宋体" w:cs="Times New Roman"/>
          <w:color w:val="auto"/>
          <w:sz w:val="24"/>
          <w:szCs w:val="24"/>
        </w:rPr>
        <w:t>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_Toc23522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52C81C2">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_Toc3651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lang w:eastAsia="zh-CN"/>
        </w:rPr>
        <w:t>扩建</w:t>
      </w:r>
      <w:r>
        <w:rPr>
          <w:rFonts w:hint="default" w:ascii="Times New Roman" w:hAnsi="Times New Roman" w:eastAsia="宋体" w:cs="Times New Roman"/>
          <w:color w:val="auto"/>
          <w:sz w:val="24"/>
          <w:szCs w:val="24"/>
        </w:rPr>
        <w:t>项目建设内容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_Toc3651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2121F0A">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_Toc15185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项目产品方案、主要原辅材料及能源消耗</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_Toc15185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CC4CD4B">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_Toc24196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14扩建</w:t>
      </w:r>
      <w:r>
        <w:rPr>
          <w:rFonts w:hint="default" w:ascii="Times New Roman" w:hAnsi="Times New Roman" w:eastAsia="宋体" w:cs="Times New Roman"/>
          <w:color w:val="auto"/>
          <w:sz w:val="24"/>
          <w:szCs w:val="24"/>
        </w:rPr>
        <w:t>项目主要生产设备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_Toc24196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492780A">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_Toc20740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15扩建项目</w:t>
      </w:r>
      <w:r>
        <w:rPr>
          <w:rFonts w:hint="default" w:ascii="Times New Roman" w:hAnsi="Times New Roman" w:eastAsia="宋体" w:cs="Times New Roman"/>
          <w:color w:val="auto"/>
          <w:sz w:val="24"/>
          <w:szCs w:val="24"/>
        </w:rPr>
        <w:t>公用工程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_Toc20740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B6D72D0">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_Toc5035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 xml:space="preserve">2.16 </w:t>
      </w:r>
      <w:r>
        <w:rPr>
          <w:rFonts w:hint="default" w:ascii="Times New Roman" w:hAnsi="Times New Roman" w:eastAsia="宋体" w:cs="Times New Roman"/>
          <w:color w:val="auto"/>
          <w:sz w:val="24"/>
          <w:szCs w:val="24"/>
        </w:rPr>
        <w:t>土地利用及平面布局情况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_Toc5035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B0AF961">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_Toc12790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2.17扩建</w:t>
      </w:r>
      <w:r>
        <w:rPr>
          <w:rFonts w:hint="default" w:ascii="Times New Roman" w:hAnsi="Times New Roman" w:eastAsia="宋体" w:cs="Times New Roman"/>
          <w:color w:val="auto"/>
          <w:sz w:val="24"/>
          <w:szCs w:val="24"/>
        </w:rPr>
        <w:t>项目工作制度、劳动定员</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_Toc12790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3800F6E">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_Toc17988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_Toc17988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F89D6A4">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_Toc5624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3.1产业符合性分析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_Toc5624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040F9F0">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_Toc12916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3.2项目施工期产污环节及污染物产排分析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_Toc12916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55B0F6FA">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_Toc26091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3.3运营期产污环节及污染物产排分析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_Toc26091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ECEC7BC">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_Toc28087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3.4污染物产生及排放情况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_Toc28087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8569076">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_Toc30961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非正常排放情况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_Toc30961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3CED4D3">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_Toc5079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项目污染物排放汇总</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_Toc5079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FA02F68">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_Toc24599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3.7扩建前后污染物排放“三本账”核算</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_Toc24599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5849ED3">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_Toc27763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4.环境现状调查与评价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_Toc27763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75C8BAB">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_Toc23610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4.1自然环境概况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_Toc23610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799E5323">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_Toc21954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4.2开发开放试验区建设总体规划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_Toc21954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03F1149">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_Toc14397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lang w:eastAsia="zh-CN"/>
        </w:rPr>
        <w:t>4</w:t>
      </w:r>
      <w:r>
        <w:rPr>
          <w:rFonts w:hint="default" w:ascii="Times New Roman" w:hAnsi="Times New Roman" w:eastAsia="宋体" w:cs="Times New Roman"/>
          <w:bCs/>
          <w:color w:val="auto"/>
          <w:sz w:val="24"/>
          <w:szCs w:val="24"/>
        </w:rPr>
        <w:t>.3环境质量现状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_Toc14397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007AA9E">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_Toc26241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5.环境影响预测与评价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_Toc26241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5D5AD996">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_Toc20939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5.1施工期环境影响分析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_Toc20939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E773E51">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_Toc2082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5.2运营期环境影响分析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_Toc2082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5E51DC87">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_Toc11567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5.3生态环境影响分析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_Toc11567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3A445F6">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_Toc5054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6.环境风险评价</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_Toc5054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542FDD8">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_Toc5402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6.1环境风险评级的目的和重点</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_Toc5402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C392760">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_Toc3934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6.2风险调查及评价等级判定</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_Toc3934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AE387B9">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_Toc3391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6.3环境风险识别</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_Toc3391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3AD2FD8">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_Toc22146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6.4</w:t>
      </w:r>
      <w:r>
        <w:rPr>
          <w:rFonts w:hint="default" w:ascii="Times New Roman" w:hAnsi="Times New Roman" w:eastAsia="宋体" w:cs="Times New Roman"/>
          <w:color w:val="auto"/>
          <w:sz w:val="24"/>
          <w:szCs w:val="24"/>
        </w:rPr>
        <w:t>风险防范措施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_Toc22146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7074D38A">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_Toc22323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w:t>
      </w:r>
      <w:r>
        <w:rPr>
          <w:rFonts w:hint="default" w:ascii="Times New Roman" w:hAnsi="Times New Roman" w:eastAsia="宋体" w:cs="Times New Roman"/>
          <w:color w:val="auto"/>
          <w:sz w:val="24"/>
          <w:szCs w:val="24"/>
          <w:lang w:val="en-US" w:eastAsia="zh-CN"/>
        </w:rPr>
        <w:t xml:space="preserve">5 </w:t>
      </w:r>
      <w:r>
        <w:rPr>
          <w:rFonts w:hint="default" w:ascii="Times New Roman" w:hAnsi="Times New Roman" w:eastAsia="宋体" w:cs="Times New Roman"/>
          <w:color w:val="auto"/>
          <w:sz w:val="24"/>
          <w:szCs w:val="24"/>
          <w:lang w:eastAsia="zh-CN"/>
        </w:rPr>
        <w:t>环境风险评价</w:t>
      </w:r>
      <w:r>
        <w:rPr>
          <w:rFonts w:hint="default" w:ascii="Times New Roman" w:hAnsi="Times New Roman" w:eastAsia="宋体" w:cs="Times New Roman"/>
          <w:color w:val="auto"/>
          <w:sz w:val="24"/>
          <w:szCs w:val="24"/>
        </w:rPr>
        <w:t>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_Toc22323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2422772">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_Toc4131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7.项目选址与平面布置合理性分析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_Toc4131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70A5102">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_Toc759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lang w:eastAsia="zh-CN"/>
        </w:rPr>
        <w:t>7</w:t>
      </w:r>
      <w:r>
        <w:rPr>
          <w:rFonts w:hint="default" w:ascii="Times New Roman" w:hAnsi="Times New Roman" w:eastAsia="宋体" w:cs="Times New Roman"/>
          <w:bCs w:val="0"/>
          <w:color w:val="auto"/>
          <w:sz w:val="24"/>
          <w:szCs w:val="24"/>
        </w:rPr>
        <w:t>.1产业政策符合性分析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_Toc759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2CAC2E1">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_Toc9600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lang w:eastAsia="zh-CN"/>
        </w:rPr>
        <w:t>7.2选址环境合理性分析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_Toc9600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344CF9E">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_Toc4363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val="0"/>
          <w:color w:val="auto"/>
          <w:sz w:val="24"/>
          <w:szCs w:val="24"/>
          <w:lang w:eastAsia="zh-CN"/>
        </w:rPr>
        <w:t>7.3平面布局合理性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_Toc4363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85F3CA2">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_Toc18535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与</w:t>
      </w:r>
      <w:r>
        <w:rPr>
          <w:rFonts w:hint="default" w:ascii="Times New Roman" w:hAnsi="Times New Roman" w:eastAsia="宋体" w:cs="Times New Roman"/>
          <w:bCs/>
          <w:color w:val="auto"/>
          <w:sz w:val="24"/>
          <w:szCs w:val="24"/>
        </w:rPr>
        <w:t>“三线一单”符合性分析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_Toc18535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DBA2378">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_Toc6666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8.污染物防治措施及其可行性论证</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_Toc6666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CAF691F">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_Toc19693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8.1施工期污染防治措施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_Toc19693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BAA0582">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_Toc20497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8.2运营期污染防治措施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_Toc20497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59FDE95">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_Toc31144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8.3环境保护措施一览表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_Toc31144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51B7CB98">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_Toc4233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9.环境影响经济损益分析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_Toc4233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C2F5BFF">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_Toc19173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9.1环保投资估算</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_Toc19173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59B09E4">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_Toc12551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9.2项目经济效益分析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_Toc12551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76342259">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_Toc18549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9.3社会效益分析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_Toc18549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07B5332D">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_Toc18522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9.4环境经济损益分析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_Toc18522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44C37E3">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_Toc19210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9.5小结</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_Toc19210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4993A3E">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_Toc32016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kern w:val="44"/>
          <w:sz w:val="24"/>
          <w:szCs w:val="24"/>
        </w:rPr>
        <w:t>10、环境管理、环境监理及监测计划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_Toc32016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8AE3A56">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_Toc13616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bCs/>
          <w:color w:val="auto"/>
          <w:sz w:val="24"/>
          <w:szCs w:val="24"/>
        </w:rPr>
        <w:t>10.1环境管理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_Toc13616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4B0DC1A">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_Toc27879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10.2环境监理计划</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_Toc27879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148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73F7648F">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_Toc1390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10.3环境监测</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_Toc1390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51CCC36">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_Toc7434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10.4总量控制指标</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_Toc7434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531DEBE">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_Toc4626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10.5项目竣工环境保护验收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_Toc4626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72091390">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_Toc8467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10.6排污口规范化</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_Toc8467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D233BC0">
      <w:pPr>
        <w:pStyle w:val="49"/>
        <w:tabs>
          <w:tab w:val="right" w:leader="dot" w:pos="8306"/>
          <w:tab w:val="clear" w:pos="829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_Toc1203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11.环境影响评价结论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_Toc1203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F84B5C1">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_Toc22301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11.1项目概况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_Toc22301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28F15E2">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_Toc6767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11.2评价区域的环境质量现状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_Toc6767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14548BA9">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_Toc18802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11.3建设项目环境影响预测结果</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_Toc18802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444BFFBA">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_Toc6000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环境风险评价结论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_Toc6000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501386E8">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_Toc2708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公众参与调查结果及环评对调查意见采纳说明</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_Toc2708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3625194B">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_Toc3900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环境管理与环境影响经济损益分析结论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_Toc3900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6746039A">
      <w:pPr>
        <w:pStyle w:val="56"/>
        <w:tabs>
          <w:tab w:val="right" w:leader="dot" w:pos="8306"/>
        </w:tabs>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_Toc18105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总结论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_Toc18105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14:paraId="2D467223">
      <w:pPr>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fldChar w:fldCharType="end"/>
      </w:r>
    </w:p>
    <w:p w14:paraId="6CB1D370">
      <w:pPr>
        <w:adjustRightInd w:val="0"/>
        <w:snapToGrid w:val="0"/>
        <w:rPr>
          <w:rFonts w:hint="default" w:ascii="Times New Roman" w:hAnsi="Times New Roman" w:eastAsia="宋体" w:cs="Times New Roman"/>
          <w:b/>
          <w:color w:val="auto"/>
        </w:rPr>
      </w:pPr>
    </w:p>
    <w:p w14:paraId="05C1F4B2">
      <w:pPr>
        <w:adjustRightInd w:val="0"/>
        <w:snapToGrid w:val="0"/>
        <w:rPr>
          <w:rFonts w:hint="default" w:ascii="Times New Roman" w:hAnsi="Times New Roman" w:eastAsia="宋体" w:cs="Times New Roman"/>
          <w:b/>
          <w:color w:val="auto"/>
        </w:rPr>
        <w:sectPr>
          <w:headerReference r:id="rId6" w:type="default"/>
          <w:footerReference r:id="rId7" w:type="default"/>
          <w:pgSz w:w="11906" w:h="16838"/>
          <w:pgMar w:top="1440" w:right="1800" w:bottom="1440" w:left="1800" w:header="851" w:footer="992" w:gutter="0"/>
          <w:pgNumType w:fmt="upperRoman" w:start="1"/>
          <w:cols w:space="425" w:num="1"/>
          <w:docGrid w:type="lines" w:linePitch="312" w:charSpace="0"/>
        </w:sectPr>
      </w:pPr>
    </w:p>
    <w:p w14:paraId="2E746E64">
      <w:pPr>
        <w:adjustRightInd w:val="0"/>
        <w:snapToGrid w:val="0"/>
        <w:rPr>
          <w:rFonts w:hint="default" w:ascii="Times New Roman" w:hAnsi="Times New Roman" w:eastAsia="宋体" w:cs="Times New Roman"/>
          <w:b/>
          <w:color w:val="auto"/>
        </w:rPr>
      </w:pPr>
      <w:r>
        <w:rPr>
          <w:rFonts w:hint="default" w:ascii="Times New Roman" w:hAnsi="Times New Roman" w:eastAsia="宋体" w:cs="Times New Roman"/>
          <w:b/>
          <w:color w:val="auto"/>
        </w:rPr>
        <w:t>附件：</w:t>
      </w:r>
    </w:p>
    <w:p w14:paraId="0F6899E9">
      <w:pPr>
        <w:numPr>
          <w:ilvl w:val="0"/>
          <w:numId w:val="2"/>
        </w:num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授权</w:t>
      </w:r>
      <w:r>
        <w:rPr>
          <w:rFonts w:hint="default" w:ascii="Times New Roman" w:hAnsi="Times New Roman" w:eastAsia="宋体" w:cs="Times New Roman"/>
          <w:color w:val="auto"/>
        </w:rPr>
        <w:t>委托书；</w:t>
      </w:r>
    </w:p>
    <w:p w14:paraId="41E0F3FC">
      <w:pPr>
        <w:numPr>
          <w:ilvl w:val="0"/>
          <w:numId w:val="2"/>
        </w:num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rPr>
        <w:t>投资项目备案证；</w:t>
      </w:r>
    </w:p>
    <w:p w14:paraId="4AC1F89D">
      <w:pPr>
        <w:numPr>
          <w:ilvl w:val="0"/>
          <w:numId w:val="2"/>
        </w:numPr>
        <w:adjustRightInd w:val="0"/>
        <w:snapToGrid w:val="0"/>
        <w:rPr>
          <w:rFonts w:hint="eastAsia" w:ascii="Times New Roman" w:hAnsi="Times New Roman" w:cs="Times New Roman"/>
          <w:color w:val="auto"/>
          <w:lang w:eastAsia="zh-CN"/>
        </w:rPr>
      </w:pPr>
      <w:r>
        <w:rPr>
          <w:rFonts w:hint="eastAsia" w:ascii="Times New Roman" w:hAnsi="Times New Roman" w:cs="Times New Roman"/>
          <w:color w:val="auto"/>
          <w:lang w:eastAsia="zh-CN"/>
        </w:rPr>
        <w:t>德宏州生态环境局关于云南业勤服饰有限公司建设项目环境影响评价执行标准确认的函，德环芒环（</w:t>
      </w:r>
      <w:r>
        <w:rPr>
          <w:rFonts w:hint="eastAsia" w:ascii="Times New Roman" w:hAnsi="Times New Roman" w:cs="Times New Roman"/>
          <w:color w:val="auto"/>
          <w:lang w:val="en-US" w:eastAsia="zh-CN"/>
        </w:rPr>
        <w:t>2019</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37号；</w:t>
      </w:r>
    </w:p>
    <w:p w14:paraId="5DA5C8C2">
      <w:pPr>
        <w:numPr>
          <w:ilvl w:val="0"/>
          <w:numId w:val="2"/>
        </w:num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云南业勤服饰有限公司</w:t>
      </w:r>
      <w:r>
        <w:rPr>
          <w:rFonts w:hint="eastAsia" w:ascii="Times New Roman" w:hAnsi="Times New Roman" w:cs="Times New Roman"/>
          <w:color w:val="auto"/>
          <w:lang w:eastAsia="zh-CN"/>
        </w:rPr>
        <w:t>用地证明</w:t>
      </w:r>
      <w:r>
        <w:rPr>
          <w:rFonts w:hint="default" w:ascii="Times New Roman" w:hAnsi="Times New Roman" w:eastAsia="宋体" w:cs="Times New Roman"/>
          <w:color w:val="auto"/>
        </w:rPr>
        <w:t>；</w:t>
      </w:r>
    </w:p>
    <w:p w14:paraId="294777AE">
      <w:pPr>
        <w:numPr>
          <w:ilvl w:val="0"/>
          <w:numId w:val="2"/>
        </w:num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云南业勤服饰有限公司</w:t>
      </w:r>
      <w:r>
        <w:rPr>
          <w:rFonts w:hint="eastAsia" w:ascii="Times New Roman" w:hAnsi="Times New Roman" w:cs="Times New Roman"/>
          <w:color w:val="auto"/>
          <w:lang w:eastAsia="zh-CN"/>
        </w:rPr>
        <w:t>符合规划证明</w:t>
      </w:r>
      <w:r>
        <w:rPr>
          <w:rFonts w:hint="default" w:ascii="Times New Roman" w:hAnsi="Times New Roman" w:eastAsia="宋体" w:cs="Times New Roman"/>
          <w:color w:val="auto"/>
        </w:rPr>
        <w:t>；</w:t>
      </w:r>
    </w:p>
    <w:p w14:paraId="0F31CA03">
      <w:pPr>
        <w:numPr>
          <w:ilvl w:val="0"/>
          <w:numId w:val="2"/>
        </w:numPr>
        <w:adjustRightInd w:val="0"/>
        <w:snapToGrid w:val="0"/>
        <w:rPr>
          <w:rFonts w:hint="default" w:ascii="Times New Roman" w:hAnsi="Times New Roman" w:eastAsia="宋体" w:cs="Times New Roman"/>
          <w:color w:val="auto"/>
        </w:rPr>
      </w:pPr>
      <w:r>
        <w:rPr>
          <w:rFonts w:hint="eastAsia" w:ascii="Times New Roman" w:hAnsi="Times New Roman" w:cs="Times New Roman"/>
          <w:color w:val="auto"/>
          <w:lang w:eastAsia="zh-CN"/>
        </w:rPr>
        <w:t>芒市工业园区总体规划（</w:t>
      </w:r>
      <w:r>
        <w:rPr>
          <w:rFonts w:hint="eastAsia" w:ascii="Times New Roman" w:hAnsi="Times New Roman" w:cs="Times New Roman"/>
          <w:color w:val="auto"/>
          <w:lang w:val="en-US" w:eastAsia="zh-CN"/>
        </w:rPr>
        <w:t>2018-2035</w:t>
      </w:r>
      <w:r>
        <w:rPr>
          <w:rFonts w:hint="eastAsia" w:ascii="Times New Roman" w:hAnsi="Times New Roman" w:cs="Times New Roman"/>
          <w:color w:val="auto"/>
          <w:lang w:eastAsia="zh-CN"/>
        </w:rPr>
        <w:t>）专家评审意见；</w:t>
      </w:r>
    </w:p>
    <w:p w14:paraId="7E91363A">
      <w:pPr>
        <w:numPr>
          <w:ilvl w:val="0"/>
          <w:numId w:val="2"/>
        </w:num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关于《德宏州生态分局芒市分局关于再次征求芒市帕底工业园区完成调规时限的函》的回函</w:t>
      </w:r>
      <w:r>
        <w:rPr>
          <w:rFonts w:hint="default" w:ascii="Times New Roman" w:hAnsi="Times New Roman" w:eastAsia="宋体" w:cs="Times New Roman"/>
          <w:color w:val="auto"/>
        </w:rPr>
        <w:t>；</w:t>
      </w:r>
    </w:p>
    <w:p w14:paraId="4DB0710E">
      <w:pPr>
        <w:numPr>
          <w:ilvl w:val="0"/>
          <w:numId w:val="0"/>
        </w:numPr>
        <w:adjustRightInd w:val="0"/>
        <w:snapToGrid w:val="0"/>
        <w:ind w:leftChars="0"/>
        <w:rPr>
          <w:rFonts w:hint="default" w:ascii="Times New Roman" w:hAnsi="Times New Roman" w:eastAsia="宋体" w:cs="Times New Roman"/>
          <w:color w:val="auto"/>
        </w:rPr>
      </w:pPr>
      <w:r>
        <w:rPr>
          <w:rFonts w:hint="eastAsia" w:ascii="Times New Roman" w:hAnsi="Times New Roman" w:cs="Times New Roman"/>
          <w:color w:val="auto"/>
          <w:lang w:val="en-US" w:eastAsia="zh-CN"/>
        </w:rPr>
        <w:t>8、</w:t>
      </w:r>
      <w:r>
        <w:rPr>
          <w:rFonts w:hint="default" w:ascii="Times New Roman" w:hAnsi="Times New Roman" w:eastAsia="宋体" w:cs="Times New Roman"/>
          <w:color w:val="auto"/>
          <w:lang w:eastAsia="zh-CN"/>
        </w:rPr>
        <w:t>建设单位营业执照</w:t>
      </w:r>
      <w:r>
        <w:rPr>
          <w:rFonts w:hint="default" w:ascii="Times New Roman" w:hAnsi="Times New Roman" w:eastAsia="宋体" w:cs="Times New Roman"/>
          <w:color w:val="auto"/>
        </w:rPr>
        <w:t>；</w:t>
      </w:r>
    </w:p>
    <w:p w14:paraId="29034997">
      <w:pPr>
        <w:numPr>
          <w:ilvl w:val="0"/>
          <w:numId w:val="0"/>
        </w:numPr>
        <w:adjustRightInd w:val="0"/>
        <w:snapToGrid w:val="0"/>
        <w:ind w:leftChars="0"/>
        <w:rPr>
          <w:rFonts w:hint="default" w:ascii="Times New Roman" w:hAnsi="Times New Roman" w:eastAsia="宋体" w:cs="Times New Roman"/>
          <w:color w:val="auto"/>
        </w:rPr>
      </w:pPr>
      <w:r>
        <w:rPr>
          <w:rFonts w:hint="eastAsia" w:ascii="Times New Roman" w:hAnsi="Times New Roman" w:cs="Times New Roman"/>
          <w:color w:val="auto"/>
          <w:lang w:val="en-US" w:eastAsia="zh-CN"/>
        </w:rPr>
        <w:t>9、</w:t>
      </w:r>
      <w:r>
        <w:rPr>
          <w:rFonts w:hint="default" w:ascii="Times New Roman" w:hAnsi="Times New Roman" w:eastAsia="宋体" w:cs="Times New Roman"/>
          <w:color w:val="auto"/>
        </w:rPr>
        <w:t>环境质量现状监测报告；</w:t>
      </w:r>
    </w:p>
    <w:p w14:paraId="6E968227">
      <w:pPr>
        <w:numPr>
          <w:ilvl w:val="0"/>
          <w:numId w:val="0"/>
        </w:numPr>
        <w:adjustRightInd w:val="0"/>
        <w:snapToGrid w:val="0"/>
        <w:ind w:leftChars="0"/>
        <w:rPr>
          <w:rFonts w:hint="default" w:ascii="Times New Roman" w:hAnsi="Times New Roman" w:eastAsia="宋体" w:cs="Times New Roman"/>
          <w:color w:val="auto"/>
        </w:rPr>
      </w:pPr>
      <w:r>
        <w:rPr>
          <w:rFonts w:hint="eastAsia" w:ascii="Times New Roman" w:hAnsi="Times New Roman" w:cs="Times New Roman"/>
          <w:color w:val="auto"/>
          <w:lang w:val="en-US" w:eastAsia="zh-CN"/>
        </w:rPr>
        <w:t>10</w:t>
      </w:r>
      <w:r>
        <w:rPr>
          <w:rFonts w:hint="default" w:ascii="Times New Roman" w:hAnsi="Times New Roman" w:eastAsia="宋体" w:cs="Times New Roman"/>
          <w:color w:val="auto"/>
          <w:lang w:val="en-US" w:eastAsia="zh-CN"/>
        </w:rPr>
        <w:t>、内部审核表</w:t>
      </w:r>
      <w:r>
        <w:rPr>
          <w:rFonts w:hint="default" w:ascii="Times New Roman" w:hAnsi="Times New Roman" w:eastAsia="宋体" w:cs="Times New Roman"/>
          <w:color w:val="auto"/>
          <w:lang w:eastAsia="zh-CN"/>
        </w:rPr>
        <w:t>；</w:t>
      </w:r>
    </w:p>
    <w:p w14:paraId="04DBAAB7">
      <w:pPr>
        <w:numPr>
          <w:ilvl w:val="0"/>
          <w:numId w:val="0"/>
        </w:numPr>
        <w:adjustRightInd w:val="0"/>
        <w:snapToGrid w:val="0"/>
        <w:spacing w:line="360" w:lineRule="auto"/>
        <w:ind w:leftChars="0"/>
        <w:rPr>
          <w:rFonts w:hint="default" w:ascii="Times New Roman" w:hAnsi="Times New Roman" w:eastAsia="宋体" w:cs="Times New Roman"/>
          <w:color w:val="auto"/>
        </w:rPr>
      </w:pPr>
      <w:r>
        <w:rPr>
          <w:rFonts w:hint="eastAsia" w:ascii="Times New Roman" w:hAnsi="Times New Roman" w:cs="Times New Roman"/>
          <w:color w:val="auto"/>
          <w:lang w:val="en-US" w:eastAsia="zh-CN"/>
        </w:rPr>
        <w:t>11</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eastAsia="zh-CN"/>
        </w:rPr>
        <w:t>建设项目环境影响评价技术咨询合同；</w:t>
      </w:r>
    </w:p>
    <w:p w14:paraId="28506F3E">
      <w:pPr>
        <w:adjustRightInd w:val="0"/>
        <w:snapToGrid w:val="0"/>
        <w:spacing w:line="360" w:lineRule="auto"/>
        <w:rPr>
          <w:rFonts w:hint="default" w:ascii="Times New Roman" w:hAnsi="Times New Roman" w:eastAsia="宋体" w:cs="Times New Roman"/>
          <w:b/>
          <w:color w:val="auto"/>
        </w:rPr>
      </w:pPr>
      <w:r>
        <w:rPr>
          <w:rFonts w:hint="eastAsia" w:ascii="Times New Roman" w:hAnsi="Times New Roman" w:cs="Times New Roman"/>
          <w:b w:val="0"/>
          <w:bCs/>
          <w:color w:val="auto"/>
          <w:lang w:val="en-US" w:eastAsia="zh-CN"/>
        </w:rPr>
        <w:t>12</w:t>
      </w:r>
      <w:r>
        <w:rPr>
          <w:rFonts w:hint="default" w:ascii="Times New Roman" w:hAnsi="Times New Roman" w:eastAsia="宋体" w:cs="Times New Roman"/>
          <w:b w:val="0"/>
          <w:bCs/>
          <w:color w:val="auto"/>
          <w:lang w:val="en-US" w:eastAsia="zh-CN"/>
        </w:rPr>
        <w:t>、环评单位营业执照；</w:t>
      </w:r>
    </w:p>
    <w:p w14:paraId="1D5A3AE2">
      <w:pPr>
        <w:adjustRightInd w:val="0"/>
        <w:snapToGrid w:val="0"/>
        <w:spacing w:line="400" w:lineRule="atLeast"/>
        <w:rPr>
          <w:rFonts w:hint="default" w:ascii="Times New Roman" w:hAnsi="Times New Roman" w:eastAsia="宋体" w:cs="Times New Roman"/>
          <w:b/>
          <w:color w:val="auto"/>
        </w:rPr>
      </w:pPr>
      <w:r>
        <w:rPr>
          <w:rFonts w:hint="default" w:ascii="Times New Roman" w:hAnsi="Times New Roman" w:eastAsia="宋体" w:cs="Times New Roman"/>
          <w:b/>
          <w:color w:val="auto"/>
        </w:rPr>
        <w:t>附图：</w:t>
      </w:r>
    </w:p>
    <w:p w14:paraId="43D8E8D4">
      <w:pPr>
        <w:adjustRightInd w:val="0"/>
        <w:snapToGrid w:val="0"/>
        <w:spacing w:line="40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附图1  项目地理位置图；</w:t>
      </w:r>
    </w:p>
    <w:p w14:paraId="037B940C">
      <w:pPr>
        <w:adjustRightInd w:val="0"/>
        <w:snapToGrid w:val="0"/>
        <w:spacing w:line="40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附图2  </w:t>
      </w:r>
      <w:r>
        <w:rPr>
          <w:rFonts w:hint="eastAsia" w:ascii="Times New Roman" w:hAnsi="Times New Roman" w:cs="Times New Roman"/>
          <w:color w:val="auto"/>
          <w:lang w:eastAsia="zh-CN"/>
        </w:rPr>
        <w:t>项目周边关系及评价范围图</w:t>
      </w:r>
      <w:r>
        <w:rPr>
          <w:rFonts w:hint="default" w:ascii="Times New Roman" w:hAnsi="Times New Roman" w:eastAsia="宋体" w:cs="Times New Roman"/>
          <w:color w:val="auto"/>
        </w:rPr>
        <w:t>；</w:t>
      </w:r>
    </w:p>
    <w:p w14:paraId="77A9B556">
      <w:pPr>
        <w:adjustRightInd w:val="0"/>
        <w:snapToGrid w:val="0"/>
        <w:spacing w:line="40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附图3  </w:t>
      </w:r>
      <w:r>
        <w:rPr>
          <w:rFonts w:hint="eastAsia" w:ascii="Times New Roman" w:hAnsi="Times New Roman" w:cs="Times New Roman"/>
          <w:color w:val="auto"/>
          <w:lang w:eastAsia="zh-CN"/>
        </w:rPr>
        <w:t>项目区水系图</w:t>
      </w:r>
      <w:r>
        <w:rPr>
          <w:rFonts w:hint="default" w:ascii="Times New Roman" w:hAnsi="Times New Roman" w:eastAsia="宋体" w:cs="Times New Roman"/>
          <w:color w:val="auto"/>
        </w:rPr>
        <w:t>；</w:t>
      </w:r>
    </w:p>
    <w:p w14:paraId="167EA2DE">
      <w:pPr>
        <w:adjustRightInd w:val="0"/>
        <w:snapToGrid w:val="0"/>
        <w:spacing w:line="40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附图4  试验区规划布局图；</w:t>
      </w:r>
    </w:p>
    <w:p w14:paraId="4A239D2E">
      <w:pPr>
        <w:adjustRightInd w:val="0"/>
        <w:snapToGrid w:val="0"/>
        <w:spacing w:line="40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附图5  试验区土地利用规划布局；</w:t>
      </w:r>
    </w:p>
    <w:p w14:paraId="4741C1BE">
      <w:pPr>
        <w:adjustRightInd w:val="0"/>
        <w:snapToGrid w:val="0"/>
        <w:spacing w:line="400" w:lineRule="atLeast"/>
        <w:rPr>
          <w:rFonts w:hint="default" w:ascii="Times New Roman" w:hAnsi="Times New Roman" w:eastAsia="宋体" w:cs="Times New Roman"/>
          <w:color w:val="auto"/>
        </w:rPr>
      </w:pPr>
      <w:r>
        <w:rPr>
          <w:rFonts w:hint="default" w:ascii="Times New Roman" w:hAnsi="Times New Roman" w:eastAsia="宋体" w:cs="Times New Roman"/>
          <w:color w:val="auto"/>
        </w:rPr>
        <w:t>附图6  项目区平面布置及环保设施图；</w:t>
      </w:r>
    </w:p>
    <w:p w14:paraId="0375B1CE">
      <w:pPr>
        <w:rPr>
          <w:rFonts w:hint="default" w:ascii="Times New Roman" w:hAnsi="Times New Roman" w:eastAsia="宋体" w:cs="Times New Roman"/>
          <w:color w:val="auto"/>
        </w:rPr>
        <w:sectPr>
          <w:pgSz w:w="11906" w:h="16838"/>
          <w:pgMar w:top="1440" w:right="1800" w:bottom="1440" w:left="1800" w:header="851" w:footer="992" w:gutter="0"/>
          <w:pgNumType w:fmt="upperRoman" w:start="1"/>
          <w:cols w:space="425" w:num="1"/>
          <w:docGrid w:type="lines" w:linePitch="312" w:charSpace="0"/>
        </w:sectPr>
      </w:pPr>
    </w:p>
    <w:p w14:paraId="7207B17B">
      <w:pPr>
        <w:pStyle w:val="9"/>
        <w:pageBreakBefore/>
        <w:spacing w:beforeLines="50" w:line="360" w:lineRule="auto"/>
        <w:jc w:val="center"/>
        <w:rPr>
          <w:rFonts w:hint="default" w:ascii="Times New Roman" w:hAnsi="Times New Roman" w:eastAsia="宋体" w:cs="Times New Roman"/>
          <w:b/>
          <w:color w:val="auto"/>
          <w:sz w:val="32"/>
          <w:szCs w:val="32"/>
        </w:rPr>
      </w:pPr>
      <w:bookmarkStart w:id="2" w:name="_Toc14695"/>
      <w:r>
        <w:rPr>
          <w:rFonts w:hint="default" w:ascii="Times New Roman" w:hAnsi="Times New Roman" w:eastAsia="宋体" w:cs="Times New Roman"/>
          <w:b/>
          <w:color w:val="auto"/>
          <w:sz w:val="32"/>
          <w:szCs w:val="32"/>
        </w:rPr>
        <w:t>概  述</w:t>
      </w:r>
      <w:bookmarkEnd w:id="0"/>
      <w:bookmarkEnd w:id="2"/>
    </w:p>
    <w:p w14:paraId="1B29A7F5">
      <w:pPr>
        <w:pStyle w:val="10"/>
        <w:spacing w:before="0" w:after="0" w:line="360" w:lineRule="auto"/>
        <w:rPr>
          <w:rFonts w:hint="default" w:ascii="Times New Roman" w:hAnsi="Times New Roman" w:eastAsia="宋体" w:cs="Times New Roman"/>
          <w:color w:val="auto"/>
          <w:sz w:val="30"/>
          <w:szCs w:val="30"/>
        </w:rPr>
      </w:pPr>
      <w:bookmarkStart w:id="3" w:name="_Toc7540"/>
      <w:bookmarkStart w:id="4" w:name="_Toc533674809"/>
      <w:r>
        <w:rPr>
          <w:rFonts w:hint="default" w:ascii="Times New Roman" w:hAnsi="Times New Roman" w:eastAsia="宋体" w:cs="Times New Roman"/>
          <w:bCs w:val="0"/>
          <w:color w:val="auto"/>
          <w:sz w:val="30"/>
          <w:szCs w:val="30"/>
        </w:rPr>
        <w:t>一、项目特点及由来</w:t>
      </w:r>
      <w:bookmarkEnd w:id="3"/>
      <w:bookmarkEnd w:id="4"/>
    </w:p>
    <w:p w14:paraId="0F637B4B">
      <w:pPr>
        <w:ind w:firstLine="480"/>
        <w:rPr>
          <w:rFonts w:hint="default" w:ascii="Times New Roman" w:hAnsi="Times New Roman" w:eastAsia="宋体" w:cs="Times New Roman"/>
          <w:color w:val="auto"/>
          <w:lang w:val="en-US" w:eastAsia="zh-CN"/>
        </w:rPr>
      </w:pPr>
      <w:bookmarkStart w:id="5" w:name="OLE_LINK18"/>
      <w:bookmarkStart w:id="6" w:name="OLE_LINK17"/>
      <w:bookmarkStart w:id="7" w:name="OLE_LINK21"/>
      <w:r>
        <w:rPr>
          <w:rFonts w:hint="default" w:ascii="Times New Roman" w:hAnsi="Times New Roman" w:eastAsia="宋体" w:cs="Times New Roman"/>
          <w:color w:val="auto"/>
          <w:lang w:eastAsia="zh-CN"/>
        </w:rPr>
        <w:t>云南业勤服饰有限公司</w:t>
      </w:r>
      <w:r>
        <w:rPr>
          <w:rFonts w:hint="default" w:ascii="Times New Roman" w:hAnsi="Times New Roman" w:eastAsia="宋体" w:cs="Times New Roman"/>
          <w:color w:val="auto"/>
        </w:rPr>
        <w:t>成立于</w:t>
      </w:r>
      <w:r>
        <w:rPr>
          <w:rFonts w:hint="default" w:ascii="Times New Roman" w:hAnsi="Times New Roman" w:eastAsia="宋体" w:cs="Times New Roman"/>
          <w:color w:val="auto"/>
          <w:lang w:val="en-US" w:eastAsia="zh-CN"/>
        </w:rPr>
        <w:t>2018</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月，主要从事服装加工，</w:t>
      </w:r>
      <w:r>
        <w:rPr>
          <w:rFonts w:hint="default" w:ascii="Times New Roman" w:hAnsi="Times New Roman" w:eastAsia="宋体" w:cs="Times New Roman"/>
          <w:color w:val="auto"/>
          <w:lang w:eastAsia="zh-CN"/>
        </w:rPr>
        <w:t>云南业勤服饰有限公司</w:t>
      </w:r>
      <w:r>
        <w:rPr>
          <w:rFonts w:hint="default" w:ascii="Times New Roman" w:hAnsi="Times New Roman" w:eastAsia="宋体" w:cs="Times New Roman"/>
          <w:color w:val="auto"/>
        </w:rPr>
        <w:t>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现有厂房建设服装生产</w:t>
      </w:r>
      <w:r>
        <w:rPr>
          <w:rFonts w:hint="default" w:ascii="Times New Roman" w:hAnsi="Times New Roman" w:eastAsia="宋体" w:cs="Times New Roman"/>
          <w:color w:val="auto"/>
          <w:lang w:eastAsia="zh-CN"/>
        </w:rPr>
        <w:t>线</w:t>
      </w:r>
      <w:r>
        <w:rPr>
          <w:rFonts w:hint="default" w:ascii="Times New Roman" w:hAnsi="Times New Roman" w:eastAsia="宋体" w:cs="Times New Roman"/>
          <w:color w:val="auto"/>
        </w:rPr>
        <w:t>项目</w:t>
      </w:r>
      <w:r>
        <w:rPr>
          <w:rFonts w:hint="eastAsia" w:ascii="Times New Roman" w:hAnsi="Times New Roman" w:cs="Times New Roman"/>
          <w:color w:val="auto"/>
          <w:lang w:eastAsia="zh-CN"/>
        </w:rPr>
        <w:t>，年加工服装</w:t>
      </w:r>
      <w:r>
        <w:rPr>
          <w:rFonts w:hint="eastAsia" w:ascii="Times New Roman" w:hAnsi="Times New Roman" w:cs="Times New Roman"/>
          <w:color w:val="auto"/>
          <w:lang w:val="en-US" w:eastAsia="zh-CN"/>
        </w:rPr>
        <w:t>45万件（套）</w:t>
      </w:r>
      <w:r>
        <w:rPr>
          <w:rFonts w:hint="default" w:ascii="Times New Roman" w:hAnsi="Times New Roman" w:eastAsia="宋体" w:cs="Times New Roman"/>
          <w:color w:val="auto"/>
        </w:rPr>
        <w:t>，项目已于</w:t>
      </w:r>
      <w:r>
        <w:rPr>
          <w:rFonts w:hint="default" w:ascii="Times New Roman" w:hAnsi="Times New Roman" w:eastAsia="宋体" w:cs="Times New Roman"/>
          <w:color w:val="auto"/>
          <w:lang w:val="en-US" w:eastAsia="zh-CN"/>
        </w:rPr>
        <w:t>2019</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14</w:t>
      </w:r>
      <w:r>
        <w:rPr>
          <w:rFonts w:hint="default" w:ascii="Times New Roman" w:hAnsi="Times New Roman" w:eastAsia="宋体" w:cs="Times New Roman"/>
          <w:color w:val="auto"/>
        </w:rPr>
        <w:t>日</w:t>
      </w:r>
      <w:r>
        <w:rPr>
          <w:rFonts w:hint="default" w:ascii="Times New Roman" w:hAnsi="Times New Roman" w:eastAsia="宋体" w:cs="Times New Roman"/>
          <w:color w:val="auto"/>
          <w:lang w:eastAsia="zh-CN"/>
        </w:rPr>
        <w:t>完成建设项目环境影响登记表备案，备案号为：</w:t>
      </w:r>
      <w:r>
        <w:rPr>
          <w:rFonts w:hint="default" w:ascii="Times New Roman" w:hAnsi="Times New Roman" w:eastAsia="宋体" w:cs="Times New Roman"/>
          <w:color w:val="auto"/>
          <w:lang w:val="en-US" w:eastAsia="zh-CN"/>
        </w:rPr>
        <w:t>201953310300000070。</w:t>
      </w:r>
      <w:r>
        <w:rPr>
          <w:rFonts w:hint="default" w:ascii="Times New Roman" w:hAnsi="Times New Roman" w:eastAsia="宋体" w:cs="Times New Roman"/>
          <w:color w:val="auto"/>
        </w:rPr>
        <w:t>基于旺盛的市场需求，在服装的后整理工艺中，水洗工艺处理因为可以得到一些特殊的效果，如增加服装的设计感、舒适性和美观性，现被广泛应用到服装领域中。一般来说水洗工艺最常用于牛仔服装中，尤其是牛仔裤的水洗效果，受到消费者青睐，除牛仔面料外，其他纯棉、棉混纺、麻、真丝等面料的服装也可以进行水洗处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基于此，</w:t>
      </w:r>
      <w:r>
        <w:rPr>
          <w:rFonts w:hint="default" w:ascii="Times New Roman" w:hAnsi="Times New Roman" w:eastAsia="宋体" w:cs="Times New Roman"/>
          <w:color w:val="auto"/>
          <w:lang w:eastAsia="zh-CN"/>
        </w:rPr>
        <w:t>云南业勤服饰有限公司计划扩建一条水洗生产线</w:t>
      </w:r>
      <w:r>
        <w:rPr>
          <w:rFonts w:hint="eastAsia" w:ascii="Times New Roman" w:hAnsi="Times New Roman" w:cs="Times New Roman"/>
          <w:color w:val="auto"/>
          <w:lang w:eastAsia="zh-CN"/>
        </w:rPr>
        <w:t>，生产规模不变，为年洗加工服装</w:t>
      </w:r>
      <w:r>
        <w:rPr>
          <w:rFonts w:hint="eastAsia" w:ascii="Times New Roman" w:hAnsi="Times New Roman" w:cs="Times New Roman"/>
          <w:color w:val="auto"/>
          <w:lang w:val="en-US" w:eastAsia="zh-CN"/>
        </w:rPr>
        <w:t>45万件（套）</w:t>
      </w:r>
      <w:r>
        <w:rPr>
          <w:rFonts w:hint="default" w:ascii="Times New Roman" w:hAnsi="Times New Roman" w:eastAsia="宋体" w:cs="Times New Roman"/>
          <w:color w:val="auto"/>
          <w:lang w:eastAsia="zh-CN"/>
        </w:rPr>
        <w:t>，改扩建项目于</w:t>
      </w:r>
      <w:r>
        <w:rPr>
          <w:rFonts w:hint="default" w:ascii="Times New Roman" w:hAnsi="Times New Roman" w:eastAsia="宋体" w:cs="Times New Roman"/>
          <w:color w:val="auto"/>
          <w:lang w:val="en-US" w:eastAsia="zh-CN"/>
        </w:rPr>
        <w:t>2019年9月26日</w:t>
      </w:r>
      <w:r>
        <w:rPr>
          <w:rFonts w:hint="default" w:ascii="Times New Roman" w:hAnsi="Times New Roman" w:eastAsia="宋体" w:cs="Times New Roman"/>
          <w:color w:val="auto"/>
        </w:rPr>
        <w:t>获得</w:t>
      </w:r>
      <w:r>
        <w:rPr>
          <w:rFonts w:hint="default" w:ascii="Times New Roman" w:hAnsi="Times New Roman" w:eastAsia="宋体" w:cs="Times New Roman"/>
          <w:color w:val="auto"/>
          <w:lang w:eastAsia="zh-CN"/>
        </w:rPr>
        <w:t>芒市发展和改革局</w:t>
      </w:r>
      <w:r>
        <w:rPr>
          <w:rFonts w:hint="default" w:ascii="Times New Roman" w:hAnsi="Times New Roman" w:eastAsia="宋体" w:cs="Times New Roman"/>
          <w:color w:val="auto"/>
        </w:rPr>
        <w:t>关于本项目备案的通知（项目</w:t>
      </w:r>
      <w:r>
        <w:rPr>
          <w:rFonts w:hint="default" w:ascii="Times New Roman" w:hAnsi="Times New Roman" w:eastAsia="宋体" w:cs="Times New Roman"/>
          <w:color w:val="auto"/>
          <w:lang w:eastAsia="zh-CN"/>
        </w:rPr>
        <w:t>代码</w:t>
      </w:r>
      <w:r>
        <w:rPr>
          <w:rFonts w:hint="default" w:ascii="Times New Roman" w:hAnsi="Times New Roman" w:eastAsia="宋体" w:cs="Times New Roman"/>
          <w:color w:val="auto"/>
          <w:lang w:val="en-US" w:eastAsia="zh-CN"/>
        </w:rPr>
        <w:t>2019-533103-18-03-005323</w:t>
      </w:r>
      <w:r>
        <w:rPr>
          <w:rFonts w:hint="default" w:ascii="Times New Roman" w:hAnsi="Times New Roman" w:eastAsia="宋体" w:cs="Times New Roman"/>
          <w:color w:val="auto"/>
        </w:rPr>
        <w:t>），并同意开展前期工作</w:t>
      </w:r>
      <w:r>
        <w:rPr>
          <w:rFonts w:hint="default" w:ascii="Times New Roman" w:hAnsi="Times New Roman" w:eastAsia="宋体" w:cs="Times New Roman"/>
          <w:color w:val="auto"/>
          <w:lang w:eastAsia="zh-CN"/>
        </w:rPr>
        <w:t>，并于2019年</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lang w:eastAsia="zh-CN"/>
        </w:rPr>
        <w:t>月</w:t>
      </w:r>
      <w:r>
        <w:rPr>
          <w:rFonts w:hint="default" w:ascii="Times New Roman" w:hAnsi="Times New Roman" w:eastAsia="宋体" w:cs="Times New Roman"/>
          <w:color w:val="auto"/>
          <w:lang w:val="en-US" w:eastAsia="zh-CN"/>
        </w:rPr>
        <w:t>27</w:t>
      </w:r>
      <w:r>
        <w:rPr>
          <w:rFonts w:hint="default" w:ascii="Times New Roman" w:hAnsi="Times New Roman" w:eastAsia="宋体" w:cs="Times New Roman"/>
          <w:color w:val="auto"/>
          <w:lang w:eastAsia="zh-CN"/>
        </w:rPr>
        <w:t>日取得了芒市工业园管理委员会关于云南业勤服饰有限公司建设项目生产厂房使用的证明</w:t>
      </w:r>
      <w:r>
        <w:rPr>
          <w:rFonts w:hint="eastAsia" w:ascii="Times New Roman" w:hAnsi="Times New Roman" w:cs="Times New Roman"/>
          <w:color w:val="auto"/>
          <w:lang w:eastAsia="zh-CN"/>
        </w:rPr>
        <w:t>，于</w:t>
      </w:r>
      <w:r>
        <w:rPr>
          <w:rFonts w:hint="eastAsia" w:ascii="Times New Roman" w:hAnsi="Times New Roman" w:cs="Times New Roman"/>
          <w:color w:val="auto"/>
          <w:lang w:val="en-US" w:eastAsia="zh-CN"/>
        </w:rPr>
        <w:t>2019年11月8日取得芒市工业园区管委会关于</w:t>
      </w:r>
      <w:r>
        <w:rPr>
          <w:rFonts w:hint="default" w:ascii="Times New Roman" w:hAnsi="Times New Roman" w:eastAsia="宋体" w:cs="Times New Roman"/>
          <w:color w:val="auto"/>
          <w:lang w:eastAsia="zh-CN"/>
        </w:rPr>
        <w:t>云南业勤服饰有限公司</w:t>
      </w:r>
      <w:r>
        <w:rPr>
          <w:rFonts w:hint="eastAsia" w:ascii="Times New Roman" w:hAnsi="Times New Roman" w:cs="Times New Roman"/>
          <w:color w:val="auto"/>
          <w:lang w:eastAsia="zh-CN"/>
        </w:rPr>
        <w:t>符合园区规划的证明</w:t>
      </w:r>
      <w:r>
        <w:rPr>
          <w:rFonts w:hint="default" w:ascii="Times New Roman" w:hAnsi="Times New Roman" w:eastAsia="宋体" w:cs="Times New Roman"/>
          <w:color w:val="auto"/>
          <w:kern w:val="0"/>
        </w:rPr>
        <w:t>。</w:t>
      </w:r>
    </w:p>
    <w:bookmarkEnd w:id="5"/>
    <w:bookmarkEnd w:id="6"/>
    <w:bookmarkEnd w:id="7"/>
    <w:p w14:paraId="023098EA">
      <w:pPr>
        <w:wordWrap w:val="0"/>
        <w:ind w:firstLine="480" w:firstLineChars="200"/>
        <w:rPr>
          <w:rFonts w:hint="default" w:ascii="Times New Roman" w:hAnsi="Times New Roman" w:eastAsia="宋体" w:cs="Times New Roman"/>
          <w:color w:val="auto"/>
          <w:lang w:val="en-US"/>
        </w:rPr>
      </w:pPr>
      <w:r>
        <w:rPr>
          <w:rFonts w:hint="default" w:ascii="Times New Roman" w:hAnsi="Times New Roman" w:eastAsia="宋体" w:cs="Times New Roman"/>
          <w:color w:val="auto"/>
        </w:rPr>
        <w:t>根据《中华人民共和国环境影响评价法》和《建设项目环境保护管理条例》</w:t>
      </w:r>
      <w:r>
        <w:rPr>
          <w:rFonts w:hint="default" w:ascii="Times New Roman" w:hAnsi="Times New Roman" w:eastAsia="宋体" w:cs="Times New Roman"/>
          <w:color w:val="auto"/>
          <w:lang w:eastAsia="zh-CN"/>
        </w:rPr>
        <w:t>的</w:t>
      </w:r>
      <w:r>
        <w:rPr>
          <w:rFonts w:hint="default" w:ascii="Times New Roman" w:hAnsi="Times New Roman" w:eastAsia="宋体" w:cs="Times New Roman"/>
          <w:color w:val="auto"/>
        </w:rPr>
        <w:t>规定，本项目应开展环境影响评价工作。根据</w:t>
      </w:r>
      <w:r>
        <w:rPr>
          <w:rFonts w:hint="default" w:ascii="Times New Roman" w:hAnsi="Times New Roman" w:eastAsia="宋体" w:cs="Times New Roman"/>
          <w:color w:val="auto"/>
          <w:lang w:eastAsia="zh-CN"/>
        </w:rPr>
        <w:t>《国民经济行业分类》（</w:t>
      </w:r>
      <w:r>
        <w:rPr>
          <w:rFonts w:hint="default" w:ascii="Times New Roman" w:hAnsi="Times New Roman" w:eastAsia="宋体" w:cs="Times New Roman"/>
          <w:color w:val="auto"/>
          <w:lang w:val="en-US" w:eastAsia="zh-CN"/>
        </w:rPr>
        <w:t>GB/T4754-2017</w:t>
      </w:r>
      <w:r>
        <w:rPr>
          <w:rFonts w:hint="default" w:ascii="Times New Roman" w:hAnsi="Times New Roman" w:eastAsia="宋体" w:cs="Times New Roman"/>
          <w:color w:val="auto"/>
          <w:lang w:eastAsia="zh-CN"/>
        </w:rPr>
        <w:t>），项目属于纺织服装、服饰业中的“ 机织服装制造（</w:t>
      </w:r>
      <w:r>
        <w:rPr>
          <w:rFonts w:hint="default" w:ascii="Times New Roman" w:hAnsi="Times New Roman" w:eastAsia="宋体" w:cs="Times New Roman"/>
          <w:color w:val="auto"/>
          <w:lang w:val="en-US" w:eastAsia="zh-CN"/>
        </w:rPr>
        <w:t>C18181</w:t>
      </w:r>
      <w:r>
        <w:rPr>
          <w:rFonts w:hint="default" w:ascii="Times New Roman" w:hAnsi="Times New Roman" w:eastAsia="宋体" w:cs="Times New Roman"/>
          <w:color w:val="auto"/>
          <w:lang w:eastAsia="zh-CN"/>
        </w:rPr>
        <w:t>）”。根据</w:t>
      </w:r>
      <w:r>
        <w:rPr>
          <w:rFonts w:hint="default" w:ascii="Times New Roman" w:hAnsi="Times New Roman" w:eastAsia="宋体" w:cs="Times New Roman"/>
          <w:color w:val="auto"/>
        </w:rPr>
        <w:t>《建设项目环境影响评价分类管理名录》（2018年4月28日实施）的规定：项目类别为第</w:t>
      </w:r>
      <w:r>
        <w:rPr>
          <w:rFonts w:hint="default" w:ascii="Times New Roman" w:hAnsi="Times New Roman" w:eastAsia="宋体" w:cs="Times New Roman"/>
          <w:color w:val="auto"/>
          <w:lang w:eastAsia="zh-CN"/>
        </w:rPr>
        <w:t>七</w:t>
      </w:r>
      <w:r>
        <w:rPr>
          <w:rFonts w:hint="default" w:ascii="Times New Roman" w:hAnsi="Times New Roman" w:eastAsia="宋体" w:cs="Times New Roman"/>
          <w:color w:val="auto"/>
        </w:rPr>
        <w:t>项的纺织服装、服饰业；第</w:t>
      </w:r>
      <w:r>
        <w:rPr>
          <w:rFonts w:hint="default" w:ascii="Times New Roman" w:hAnsi="Times New Roman" w:eastAsia="宋体" w:cs="Times New Roman"/>
          <w:color w:val="auto"/>
          <w:lang w:val="en-US" w:eastAsia="zh-CN"/>
        </w:rPr>
        <w:t>21</w:t>
      </w:r>
      <w:r>
        <w:rPr>
          <w:rFonts w:hint="default" w:ascii="Times New Roman" w:hAnsi="Times New Roman" w:eastAsia="宋体" w:cs="Times New Roman"/>
          <w:color w:val="auto"/>
        </w:rPr>
        <w:t>小项的</w:t>
      </w:r>
      <w:r>
        <w:rPr>
          <w:rFonts w:hint="default" w:ascii="Times New Roman" w:hAnsi="Times New Roman" w:eastAsia="宋体" w:cs="Times New Roman"/>
          <w:color w:val="auto"/>
          <w:lang w:eastAsia="zh-CN"/>
        </w:rPr>
        <w:t>服装制造中有湿法印花、染色、水洗工艺的</w:t>
      </w:r>
      <w:r>
        <w:rPr>
          <w:rFonts w:hint="default" w:ascii="Times New Roman" w:hAnsi="Times New Roman" w:eastAsia="宋体" w:cs="Times New Roman"/>
          <w:color w:val="auto"/>
        </w:rPr>
        <w:t>，应编制环境影响报告书，其他的编制环境影响报告表。本项目</w:t>
      </w:r>
      <w:r>
        <w:rPr>
          <w:rFonts w:hint="default" w:ascii="Times New Roman" w:hAnsi="Times New Roman" w:eastAsia="宋体" w:cs="Times New Roman"/>
          <w:color w:val="auto"/>
          <w:lang w:eastAsia="zh-CN"/>
        </w:rPr>
        <w:t>有水洗工艺</w:t>
      </w:r>
      <w:r>
        <w:rPr>
          <w:rFonts w:hint="default" w:ascii="Times New Roman" w:hAnsi="Times New Roman" w:eastAsia="宋体" w:cs="Times New Roman"/>
          <w:color w:val="auto"/>
        </w:rPr>
        <w:t>，应编制环境影响报告书，因此</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kern w:val="0"/>
          <w:lang w:eastAsia="zh-CN"/>
        </w:rPr>
        <w:t>云南业勤服饰有限公司</w:t>
      </w:r>
      <w:r>
        <w:rPr>
          <w:rFonts w:hint="default" w:ascii="Times New Roman" w:hAnsi="Times New Roman" w:eastAsia="宋体" w:cs="Times New Roman"/>
          <w:color w:val="auto"/>
        </w:rPr>
        <w:t>委托</w:t>
      </w:r>
      <w:r>
        <w:rPr>
          <w:rFonts w:hint="default" w:ascii="Times New Roman" w:hAnsi="Times New Roman" w:eastAsia="宋体" w:cs="Times New Roman"/>
          <w:color w:val="auto"/>
          <w:kern w:val="10"/>
          <w:lang w:val="zh-CN"/>
        </w:rPr>
        <w:t>云南禹含环保科技有限公司</w:t>
      </w:r>
      <w:r>
        <w:rPr>
          <w:rFonts w:hint="default" w:ascii="Times New Roman" w:hAnsi="Times New Roman" w:eastAsia="宋体" w:cs="Times New Roman"/>
          <w:color w:val="auto"/>
        </w:rPr>
        <w:t>为本项目编制环境影响报告书。评价单位接受委托后，通过现场踏勘、资料收集，在工程分析的基础上，对本项目可能造成的环境影响进行分析评价，按照环境影响评价技术导则的要求，</w:t>
      </w:r>
      <w:r>
        <w:rPr>
          <w:rFonts w:hint="default" w:ascii="Times New Roman" w:hAnsi="Times New Roman" w:eastAsia="宋体" w:cs="Times New Roman"/>
          <w:color w:val="auto"/>
          <w:kern w:val="0"/>
          <w:lang w:eastAsia="zh-CN"/>
        </w:rPr>
        <w:t>于</w:t>
      </w:r>
      <w:r>
        <w:rPr>
          <w:rFonts w:hint="default" w:ascii="Times New Roman" w:hAnsi="Times New Roman" w:eastAsia="宋体" w:cs="Times New Roman"/>
          <w:color w:val="auto"/>
          <w:kern w:val="0"/>
          <w:lang w:val="en-US" w:eastAsia="zh-CN"/>
        </w:rPr>
        <w:t>2019年10月31日</w:t>
      </w:r>
      <w:r>
        <w:rPr>
          <w:rFonts w:hint="default" w:ascii="Times New Roman" w:hAnsi="Times New Roman" w:eastAsia="宋体" w:cs="Times New Roman"/>
          <w:color w:val="auto"/>
        </w:rPr>
        <w:t>编制完成了《</w:t>
      </w:r>
      <w:r>
        <w:rPr>
          <w:rFonts w:hint="default" w:ascii="Times New Roman" w:hAnsi="Times New Roman" w:eastAsia="宋体" w:cs="Times New Roman"/>
          <w:color w:val="auto"/>
          <w:kern w:val="0"/>
          <w:lang w:eastAsia="zh-CN"/>
        </w:rPr>
        <w:t>云南业勤服饰有限公司建设项目环境影响报告书</w:t>
      </w:r>
      <w:r>
        <w:rPr>
          <w:rFonts w:hint="default" w:ascii="Times New Roman" w:hAnsi="Times New Roman" w:eastAsia="宋体" w:cs="Times New Roman"/>
          <w:color w:val="auto"/>
        </w:rPr>
        <w:t>》。</w:t>
      </w:r>
    </w:p>
    <w:p w14:paraId="47E7ECAD">
      <w:pPr>
        <w:pStyle w:val="10"/>
        <w:spacing w:before="0" w:after="0" w:line="360" w:lineRule="auto"/>
        <w:rPr>
          <w:rFonts w:hint="default" w:ascii="Times New Roman" w:hAnsi="Times New Roman" w:eastAsia="宋体" w:cs="Times New Roman"/>
          <w:color w:val="auto"/>
          <w:sz w:val="30"/>
          <w:szCs w:val="30"/>
        </w:rPr>
      </w:pPr>
      <w:bookmarkStart w:id="8" w:name="_Toc7088"/>
      <w:r>
        <w:rPr>
          <w:rFonts w:hint="default" w:ascii="Times New Roman" w:hAnsi="Times New Roman" w:eastAsia="宋体" w:cs="Times New Roman"/>
          <w:bCs w:val="0"/>
          <w:color w:val="auto"/>
          <w:sz w:val="30"/>
          <w:szCs w:val="30"/>
        </w:rPr>
        <w:t>二、关注的主要环境问题及环境影响</w:t>
      </w:r>
      <w:bookmarkEnd w:id="8"/>
    </w:p>
    <w:p w14:paraId="3356F278">
      <w:pPr>
        <w:ind w:firstLine="480"/>
        <w:rPr>
          <w:rFonts w:hint="default" w:ascii="Times New Roman" w:hAnsi="Times New Roman" w:eastAsia="宋体" w:cs="Times New Roman"/>
          <w:color w:val="auto"/>
        </w:rPr>
      </w:pPr>
      <w:bookmarkStart w:id="9" w:name="_Toc533674810"/>
      <w:r>
        <w:rPr>
          <w:rFonts w:hint="default" w:ascii="Times New Roman" w:hAnsi="Times New Roman" w:eastAsia="宋体" w:cs="Times New Roman"/>
          <w:color w:val="auto"/>
        </w:rPr>
        <w:t>本项目主要关注以下环境问题：项目运行过程中废气污染物主要为粉尘（纤维毛）</w:t>
      </w:r>
      <w:r>
        <w:rPr>
          <w:rFonts w:hint="eastAsia" w:ascii="Times New Roman" w:hAnsi="Times New Roman" w:cs="Times New Roman"/>
          <w:color w:val="auto"/>
          <w:lang w:eastAsia="zh-CN"/>
        </w:rPr>
        <w:t>、污水处理站废气硫化氢、氨气</w:t>
      </w:r>
      <w:r>
        <w:rPr>
          <w:rFonts w:hint="default" w:ascii="Times New Roman" w:hAnsi="Times New Roman" w:eastAsia="宋体" w:cs="Times New Roman"/>
          <w:color w:val="auto"/>
        </w:rPr>
        <w:t>，建设单位拟对废气进行收集处理，废气排放能满足相应排放标准，可实现达标排放；废水主要为水洗废水、生活污水，</w:t>
      </w:r>
      <w:r>
        <w:rPr>
          <w:rFonts w:hint="eastAsia" w:ascii="Times New Roman" w:hAnsi="Times New Roman" w:cs="Times New Roman"/>
          <w:color w:val="auto"/>
          <w:lang w:eastAsia="zh-CN"/>
        </w:rPr>
        <w:t>生产废水经三级沉淀池处理后，排入</w:t>
      </w:r>
      <w:r>
        <w:rPr>
          <w:rFonts w:hint="default" w:ascii="Times New Roman" w:hAnsi="Times New Roman" w:eastAsia="宋体" w:cs="Times New Roman"/>
          <w:color w:val="auto"/>
        </w:rPr>
        <w:t>自建污水处理设施，废水经厂区预处理后再接管至</w:t>
      </w:r>
      <w:r>
        <w:rPr>
          <w:rFonts w:hint="default" w:ascii="Times New Roman" w:hAnsi="Times New Roman" w:eastAsia="宋体" w:cs="Times New Roman"/>
          <w:bCs/>
          <w:color w:val="auto"/>
          <w:sz w:val="24"/>
        </w:rPr>
        <w:t>工业园区</w:t>
      </w:r>
      <w:r>
        <w:rPr>
          <w:rFonts w:hint="default" w:ascii="Times New Roman" w:hAnsi="Times New Roman" w:eastAsia="宋体" w:cs="Times New Roman"/>
          <w:color w:val="auto"/>
          <w:kern w:val="10"/>
          <w:sz w:val="24"/>
        </w:rPr>
        <w:t>污水管道</w:t>
      </w:r>
      <w:r>
        <w:rPr>
          <w:rFonts w:hint="eastAsia" w:ascii="Times New Roman" w:hAnsi="Times New Roman" w:cs="Times New Roman"/>
          <w:color w:val="auto"/>
          <w:kern w:val="10"/>
          <w:sz w:val="24"/>
          <w:lang w:eastAsia="zh-CN"/>
        </w:rPr>
        <w:t>，生活污水经隔油池、化粪池处理后</w:t>
      </w:r>
      <w:r>
        <w:rPr>
          <w:rFonts w:hint="default" w:ascii="Times New Roman" w:hAnsi="Times New Roman" w:eastAsia="宋体" w:cs="Times New Roman"/>
          <w:color w:val="auto"/>
        </w:rPr>
        <w:t>再接管至</w:t>
      </w:r>
      <w:r>
        <w:rPr>
          <w:rFonts w:hint="default" w:ascii="Times New Roman" w:hAnsi="Times New Roman" w:eastAsia="宋体" w:cs="Times New Roman"/>
          <w:bCs/>
          <w:color w:val="auto"/>
          <w:sz w:val="24"/>
        </w:rPr>
        <w:t>工业园区</w:t>
      </w:r>
      <w:r>
        <w:rPr>
          <w:rFonts w:hint="default" w:ascii="Times New Roman" w:hAnsi="Times New Roman" w:eastAsia="宋体" w:cs="Times New Roman"/>
          <w:color w:val="auto"/>
          <w:kern w:val="10"/>
          <w:sz w:val="24"/>
        </w:rPr>
        <w:t>污水管道</w:t>
      </w:r>
      <w:r>
        <w:rPr>
          <w:rFonts w:hint="default" w:ascii="Times New Roman" w:hAnsi="Times New Roman" w:eastAsia="宋体" w:cs="Times New Roman"/>
          <w:color w:val="auto"/>
        </w:rPr>
        <w:t>。固体废物主要为废包装材料、</w:t>
      </w:r>
      <w:r>
        <w:rPr>
          <w:rFonts w:hint="eastAsia" w:ascii="Times New Roman" w:hAnsi="Times New Roman" w:cs="Times New Roman"/>
          <w:color w:val="auto"/>
          <w:lang w:eastAsia="zh-CN"/>
        </w:rPr>
        <w:t>污泥、</w:t>
      </w:r>
      <w:r>
        <w:rPr>
          <w:rFonts w:hint="default" w:ascii="Times New Roman" w:hAnsi="Times New Roman" w:eastAsia="宋体" w:cs="Times New Roman"/>
          <w:color w:val="auto"/>
        </w:rPr>
        <w:t>生活垃圾</w:t>
      </w:r>
      <w:r>
        <w:rPr>
          <w:rFonts w:hint="eastAsia" w:ascii="Times New Roman" w:hAnsi="Times New Roman" w:cs="Times New Roman"/>
          <w:color w:val="auto"/>
          <w:lang w:eastAsia="zh-CN"/>
        </w:rPr>
        <w:t>、废机油</w:t>
      </w:r>
      <w:r>
        <w:rPr>
          <w:rFonts w:hint="default" w:ascii="Times New Roman" w:hAnsi="Times New Roman" w:eastAsia="宋体" w:cs="Times New Roman"/>
          <w:color w:val="auto"/>
        </w:rPr>
        <w:t>等，全部得到妥善处置，不会对外环境产生影响；运营期主要产噪设备有洗衣机、脱水机、烘干机、空压机等，噪声源强约70～85dB（A），通过采用隔音、消声、减振及绿化等综合防治措施，使之符合国家控制标准。</w:t>
      </w:r>
    </w:p>
    <w:p w14:paraId="026CF26D">
      <w:pPr>
        <w:pStyle w:val="10"/>
        <w:spacing w:before="0" w:after="0" w:line="360" w:lineRule="auto"/>
        <w:rPr>
          <w:rFonts w:hint="default" w:ascii="Times New Roman" w:hAnsi="Times New Roman" w:eastAsia="宋体" w:cs="Times New Roman"/>
          <w:color w:val="auto"/>
          <w:sz w:val="30"/>
          <w:szCs w:val="30"/>
        </w:rPr>
      </w:pPr>
      <w:bookmarkStart w:id="10" w:name="_Toc17410"/>
      <w:r>
        <w:rPr>
          <w:rFonts w:hint="default" w:ascii="Times New Roman" w:hAnsi="Times New Roman" w:eastAsia="宋体" w:cs="Times New Roman"/>
          <w:bCs w:val="0"/>
          <w:color w:val="auto"/>
          <w:sz w:val="30"/>
          <w:szCs w:val="30"/>
        </w:rPr>
        <w:t>三、环评工作过程</w:t>
      </w:r>
      <w:bookmarkEnd w:id="9"/>
      <w:bookmarkEnd w:id="10"/>
    </w:p>
    <w:p w14:paraId="327DAC4C">
      <w:pPr>
        <w:ind w:firstLine="480" w:firstLineChars="200"/>
        <w:outlineLvl w:val="9"/>
        <w:rPr>
          <w:rFonts w:hint="default" w:ascii="Times New Roman" w:hAnsi="Times New Roman" w:eastAsia="宋体" w:cs="Times New Roman"/>
          <w:color w:val="auto"/>
          <w:szCs w:val="28"/>
        </w:rPr>
      </w:pPr>
      <w:r>
        <w:rPr>
          <w:rFonts w:hint="default" w:ascii="Times New Roman" w:hAnsi="Times New Roman" w:eastAsia="宋体" w:cs="Times New Roman"/>
          <w:color w:val="auto"/>
        </w:rPr>
        <w:t>项目环评工作主要过程见图1</w:t>
      </w:r>
      <w:r>
        <w:rPr>
          <w:rFonts w:hint="default" w:ascii="Times New Roman" w:hAnsi="Times New Roman" w:eastAsia="宋体" w:cs="Times New Roman"/>
          <w:color w:val="auto"/>
          <w:szCs w:val="28"/>
        </w:rPr>
        <w:t>。</w:t>
      </w:r>
    </w:p>
    <w:p w14:paraId="40D2ED50">
      <w:pPr>
        <w:spacing w:before="0" w:after="0" w:line="360" w:lineRule="auto"/>
        <w:jc w:val="center"/>
        <w:outlineLvl w:val="9"/>
        <w:rPr>
          <w:rFonts w:hint="default" w:ascii="Times New Roman" w:hAnsi="Times New Roman" w:eastAsia="宋体" w:cs="Times New Roman"/>
          <w:color w:val="auto"/>
          <w:sz w:val="21"/>
          <w:szCs w:val="24"/>
        </w:rPr>
      </w:pPr>
      <w:bookmarkStart w:id="11" w:name="_Toc13052"/>
      <w:bookmarkStart w:id="12" w:name="_Toc533674811"/>
      <w:r>
        <w:rPr>
          <w:rFonts w:hint="default" w:ascii="Times New Roman" w:hAnsi="Times New Roman" w:eastAsia="宋体" w:cs="Times New Roman"/>
          <w:color w:val="auto"/>
          <w:sz w:val="21"/>
          <w:szCs w:val="24"/>
        </w:rPr>
        <w:object>
          <v:shape id="_x0000_i1025" o:spt="75" type="#_x0000_t75" style="height:415.2pt;width:399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r>
        <w:rPr>
          <w:rFonts w:hint="default" w:ascii="Times New Roman" w:hAnsi="Times New Roman" w:eastAsia="宋体" w:cs="Times New Roman"/>
          <w:b/>
          <w:bCs/>
          <w:color w:val="auto"/>
          <w:sz w:val="24"/>
          <w:szCs w:val="24"/>
        </w:rPr>
        <w:t>图1  建设项目环境影响评价工作程序图</w:t>
      </w:r>
      <w:bookmarkEnd w:id="11"/>
    </w:p>
    <w:p w14:paraId="3B5CE52D">
      <w:pPr>
        <w:pStyle w:val="10"/>
        <w:spacing w:before="0" w:after="0" w:line="360" w:lineRule="auto"/>
        <w:rPr>
          <w:rFonts w:hint="default" w:ascii="Times New Roman" w:hAnsi="Times New Roman" w:eastAsia="宋体" w:cs="Times New Roman"/>
          <w:color w:val="auto"/>
          <w:sz w:val="30"/>
          <w:szCs w:val="30"/>
        </w:rPr>
      </w:pPr>
      <w:bookmarkStart w:id="13" w:name="_Toc15205"/>
      <w:r>
        <w:rPr>
          <w:rFonts w:hint="default" w:ascii="Times New Roman" w:hAnsi="Times New Roman" w:eastAsia="宋体" w:cs="Times New Roman"/>
          <w:bCs w:val="0"/>
          <w:color w:val="auto"/>
          <w:sz w:val="30"/>
          <w:szCs w:val="30"/>
        </w:rPr>
        <w:t>四、分析判定相关情况</w:t>
      </w:r>
      <w:bookmarkEnd w:id="12"/>
      <w:bookmarkEnd w:id="13"/>
    </w:p>
    <w:p w14:paraId="4BB08388">
      <w:pPr>
        <w:adjustRightIn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rPr>
        <w:t>1、“三线一单”符合性分析</w:t>
      </w:r>
    </w:p>
    <w:p w14:paraId="0C9031F5">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根据《关于以改善环境质量为核心加强环境影响评价管理的通知》（环环评[2016]150号）：“为适应以改善环境质量为核心的环境管理要求，切实加强环境影响评价（以下简称环评）管理，落实“生态保护红线、环境质量底线、资源利用上线和环境准入负面清单”（以下简称“三线一单”）约束”。</w:t>
      </w:r>
    </w:p>
    <w:p w14:paraId="5AA0BB96">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fldChar w:fldCharType="begin"/>
      </w:r>
      <w:r>
        <w:rPr>
          <w:rFonts w:hint="default" w:ascii="Times New Roman" w:hAnsi="Times New Roman" w:eastAsia="宋体" w:cs="Times New Roman"/>
          <w:color w:val="auto"/>
          <w:kern w:val="0"/>
          <w:szCs w:val="24"/>
          <w:lang w:eastAsia="zh-CN"/>
        </w:rPr>
        <w:instrText xml:space="preserve"> = 1 \* GB3 </w:instrText>
      </w:r>
      <w:r>
        <w:rPr>
          <w:rFonts w:hint="default" w:ascii="Times New Roman" w:hAnsi="Times New Roman" w:eastAsia="宋体" w:cs="Times New Roman"/>
          <w:color w:val="auto"/>
          <w:kern w:val="0"/>
          <w:szCs w:val="24"/>
          <w:lang w:eastAsia="zh-CN"/>
        </w:rPr>
        <w:fldChar w:fldCharType="separate"/>
      </w:r>
      <w:r>
        <w:rPr>
          <w:rFonts w:hint="default" w:ascii="Times New Roman" w:hAnsi="Times New Roman" w:eastAsia="宋体" w:cs="Times New Roman"/>
          <w:color w:val="auto"/>
          <w:kern w:val="0"/>
          <w:szCs w:val="24"/>
          <w:lang w:eastAsia="zh-CN"/>
        </w:rPr>
        <w:t>①</w:t>
      </w:r>
      <w:r>
        <w:rPr>
          <w:rFonts w:hint="default" w:ascii="Times New Roman" w:hAnsi="Times New Roman" w:eastAsia="宋体" w:cs="Times New Roman"/>
          <w:color w:val="auto"/>
          <w:kern w:val="0"/>
          <w:szCs w:val="24"/>
          <w:lang w:eastAsia="zh-CN"/>
        </w:rPr>
        <w:fldChar w:fldCharType="end"/>
      </w:r>
      <w:r>
        <w:rPr>
          <w:rFonts w:hint="default" w:ascii="Times New Roman" w:hAnsi="Times New Roman" w:eastAsia="宋体" w:cs="Times New Roman"/>
          <w:color w:val="auto"/>
          <w:kern w:val="0"/>
          <w:szCs w:val="24"/>
          <w:lang w:eastAsia="zh-CN"/>
        </w:rPr>
        <w:t xml:space="preserve"> 与生态红线区域保护规划的相符性</w:t>
      </w:r>
    </w:p>
    <w:p w14:paraId="03677ECA">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本项目位于芒市帕底工业园区内，项目不涉及生态红线保护区域，不会导致辖区内生态红线区域生态服务功能下降。</w:t>
      </w:r>
    </w:p>
    <w:p w14:paraId="075D5103">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fldChar w:fldCharType="begin"/>
      </w:r>
      <w:r>
        <w:rPr>
          <w:rFonts w:hint="default" w:ascii="Times New Roman" w:hAnsi="Times New Roman" w:eastAsia="宋体" w:cs="Times New Roman"/>
          <w:color w:val="auto"/>
          <w:kern w:val="0"/>
          <w:szCs w:val="24"/>
          <w:lang w:eastAsia="zh-CN"/>
        </w:rPr>
        <w:instrText xml:space="preserve"> = 2 \* GB3 </w:instrText>
      </w:r>
      <w:r>
        <w:rPr>
          <w:rFonts w:hint="default" w:ascii="Times New Roman" w:hAnsi="Times New Roman" w:eastAsia="宋体" w:cs="Times New Roman"/>
          <w:color w:val="auto"/>
          <w:kern w:val="0"/>
          <w:szCs w:val="24"/>
          <w:lang w:eastAsia="zh-CN"/>
        </w:rPr>
        <w:fldChar w:fldCharType="separate"/>
      </w:r>
      <w:r>
        <w:rPr>
          <w:rFonts w:hint="default" w:ascii="Times New Roman" w:hAnsi="Times New Roman" w:eastAsia="宋体" w:cs="Times New Roman"/>
          <w:color w:val="auto"/>
          <w:kern w:val="0"/>
          <w:szCs w:val="24"/>
          <w:lang w:eastAsia="zh-CN"/>
        </w:rPr>
        <w:t>②</w:t>
      </w:r>
      <w:r>
        <w:rPr>
          <w:rFonts w:hint="default" w:ascii="Times New Roman" w:hAnsi="Times New Roman" w:eastAsia="宋体" w:cs="Times New Roman"/>
          <w:color w:val="auto"/>
          <w:kern w:val="0"/>
          <w:szCs w:val="24"/>
          <w:lang w:eastAsia="zh-CN"/>
        </w:rPr>
        <w:fldChar w:fldCharType="end"/>
      </w:r>
      <w:r>
        <w:rPr>
          <w:rFonts w:hint="default" w:ascii="Times New Roman" w:hAnsi="Times New Roman" w:eastAsia="宋体" w:cs="Times New Roman"/>
          <w:color w:val="auto"/>
          <w:kern w:val="0"/>
          <w:szCs w:val="24"/>
          <w:lang w:eastAsia="zh-CN"/>
        </w:rPr>
        <w:t xml:space="preserve"> 环境质量底线相符性</w:t>
      </w:r>
    </w:p>
    <w:p w14:paraId="44C83557">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监测数据表明：本项目周边环境质量现状良好，满足各类环境功能区划，不存在对本项目建设的制约因素；拟建项目产生的废气、废水均进行分类收集、分质处理，在达标的基础上选用处理效率和可靠性高的处理工艺，尽可能减少污染物的排放。拟建项目主要废气污染物的产生工序均在密闭的操作环境中进行，密闭收集，经处理后排放；废水中污染物产生量较小，经厂内自建污水站预处理达标后排入工业园区污水管道；固体废物均按照要求委托相关单位进行妥善处置。上述措施能够确保拟建项目污染物排放对环境的影响降到最低。</w:t>
      </w:r>
    </w:p>
    <w:p w14:paraId="00B480B4">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fldChar w:fldCharType="begin"/>
      </w:r>
      <w:r>
        <w:rPr>
          <w:rFonts w:hint="default" w:ascii="Times New Roman" w:hAnsi="Times New Roman" w:eastAsia="宋体" w:cs="Times New Roman"/>
          <w:color w:val="auto"/>
          <w:kern w:val="0"/>
          <w:szCs w:val="24"/>
          <w:lang w:eastAsia="zh-CN"/>
        </w:rPr>
        <w:instrText xml:space="preserve"> = 3 \* GB3 </w:instrText>
      </w:r>
      <w:r>
        <w:rPr>
          <w:rFonts w:hint="default" w:ascii="Times New Roman" w:hAnsi="Times New Roman" w:eastAsia="宋体" w:cs="Times New Roman"/>
          <w:color w:val="auto"/>
          <w:kern w:val="0"/>
          <w:szCs w:val="24"/>
          <w:lang w:eastAsia="zh-CN"/>
        </w:rPr>
        <w:fldChar w:fldCharType="separate"/>
      </w:r>
      <w:r>
        <w:rPr>
          <w:rFonts w:hint="default" w:ascii="Times New Roman" w:hAnsi="Times New Roman" w:eastAsia="宋体" w:cs="Times New Roman"/>
          <w:color w:val="auto"/>
          <w:kern w:val="0"/>
          <w:szCs w:val="24"/>
          <w:lang w:eastAsia="zh-CN"/>
        </w:rPr>
        <w:t>③</w:t>
      </w:r>
      <w:r>
        <w:rPr>
          <w:rFonts w:hint="default" w:ascii="Times New Roman" w:hAnsi="Times New Roman" w:eastAsia="宋体" w:cs="Times New Roman"/>
          <w:color w:val="auto"/>
          <w:kern w:val="0"/>
          <w:szCs w:val="24"/>
          <w:lang w:eastAsia="zh-CN"/>
        </w:rPr>
        <w:fldChar w:fldCharType="end"/>
      </w:r>
      <w:r>
        <w:rPr>
          <w:rFonts w:hint="default" w:ascii="Times New Roman" w:hAnsi="Times New Roman" w:eastAsia="宋体" w:cs="Times New Roman"/>
          <w:color w:val="auto"/>
          <w:kern w:val="0"/>
          <w:szCs w:val="24"/>
          <w:lang w:eastAsia="zh-CN"/>
        </w:rPr>
        <w:t xml:space="preserve"> 资源利用上线相符性</w:t>
      </w:r>
    </w:p>
    <w:p w14:paraId="563365AE">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项目位于芒市帕底工业园区内，项目用水来源为市政自来水，使用量较小，当地自来水厂能够满足本项目的新鲜水使用要求。</w:t>
      </w:r>
    </w:p>
    <w:p w14:paraId="24D583AC">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项目主要采用了如下节能和节水措施：1）优先选用低能耗设备；2）通过减小退水次数降低新鲜水的消耗。上述措施尽可能降低建设项目的能耗与水耗，总体而言拟建项目建设与资源利用上线相符。</w:t>
      </w:r>
    </w:p>
    <w:p w14:paraId="617EDFEB">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fldChar w:fldCharType="begin"/>
      </w:r>
      <w:r>
        <w:rPr>
          <w:rFonts w:hint="default" w:ascii="Times New Roman" w:hAnsi="Times New Roman" w:eastAsia="宋体" w:cs="Times New Roman"/>
          <w:color w:val="auto"/>
          <w:kern w:val="0"/>
          <w:szCs w:val="24"/>
          <w:lang w:eastAsia="zh-CN"/>
        </w:rPr>
        <w:instrText xml:space="preserve"> = 4 \* GB3 </w:instrText>
      </w:r>
      <w:r>
        <w:rPr>
          <w:rFonts w:hint="default" w:ascii="Times New Roman" w:hAnsi="Times New Roman" w:eastAsia="宋体" w:cs="Times New Roman"/>
          <w:color w:val="auto"/>
          <w:kern w:val="0"/>
          <w:szCs w:val="24"/>
          <w:lang w:eastAsia="zh-CN"/>
        </w:rPr>
        <w:fldChar w:fldCharType="separate"/>
      </w:r>
      <w:r>
        <w:rPr>
          <w:rFonts w:hint="default" w:ascii="Times New Roman" w:hAnsi="Times New Roman" w:eastAsia="宋体" w:cs="Times New Roman"/>
          <w:color w:val="auto"/>
          <w:kern w:val="0"/>
          <w:szCs w:val="24"/>
          <w:lang w:eastAsia="zh-CN"/>
        </w:rPr>
        <w:t>④</w:t>
      </w:r>
      <w:r>
        <w:rPr>
          <w:rFonts w:hint="default" w:ascii="Times New Roman" w:hAnsi="Times New Roman" w:eastAsia="宋体" w:cs="Times New Roman"/>
          <w:color w:val="auto"/>
          <w:kern w:val="0"/>
          <w:szCs w:val="24"/>
          <w:lang w:eastAsia="zh-CN"/>
        </w:rPr>
        <w:fldChar w:fldCharType="end"/>
      </w:r>
      <w:r>
        <w:rPr>
          <w:rFonts w:hint="default" w:ascii="Times New Roman" w:hAnsi="Times New Roman" w:eastAsia="宋体" w:cs="Times New Roman"/>
          <w:color w:val="auto"/>
          <w:kern w:val="0"/>
          <w:szCs w:val="24"/>
          <w:lang w:eastAsia="zh-CN"/>
        </w:rPr>
        <w:t xml:space="preserve"> 环境准入负面清单</w:t>
      </w:r>
    </w:p>
    <w:p w14:paraId="048DDB63">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项目不属于采用落后的生产工艺或生产设备，符合国家相关产业政策，项目已取得芒市工业园区管理委员会关于云南业勤服饰有限公司建设项目生产厂房使用的证明</w:t>
      </w:r>
      <w:r>
        <w:rPr>
          <w:rFonts w:hint="eastAsia" w:ascii="Times New Roman" w:hAnsi="Times New Roman" w:cs="Times New Roman"/>
          <w:color w:val="auto"/>
          <w:kern w:val="0"/>
          <w:szCs w:val="24"/>
          <w:lang w:eastAsia="zh-CN"/>
        </w:rPr>
        <w:t>，</w:t>
      </w:r>
      <w:r>
        <w:rPr>
          <w:rFonts w:hint="eastAsia" w:ascii="Times New Roman" w:hAnsi="Times New Roman" w:cs="Times New Roman"/>
          <w:color w:val="auto"/>
          <w:lang w:eastAsia="zh-CN"/>
        </w:rPr>
        <w:t>于</w:t>
      </w:r>
      <w:r>
        <w:rPr>
          <w:rFonts w:hint="eastAsia" w:ascii="Times New Roman" w:hAnsi="Times New Roman" w:cs="Times New Roman"/>
          <w:color w:val="auto"/>
          <w:lang w:val="en-US" w:eastAsia="zh-CN"/>
        </w:rPr>
        <w:t>2019年11月8日取得芒市工业园区管委会关于</w:t>
      </w:r>
      <w:r>
        <w:rPr>
          <w:rFonts w:hint="default" w:ascii="Times New Roman" w:hAnsi="Times New Roman" w:eastAsia="宋体" w:cs="Times New Roman"/>
          <w:color w:val="auto"/>
          <w:lang w:eastAsia="zh-CN"/>
        </w:rPr>
        <w:t>云南业勤服饰有限公司</w:t>
      </w:r>
      <w:r>
        <w:rPr>
          <w:rFonts w:hint="eastAsia" w:ascii="Times New Roman" w:hAnsi="Times New Roman" w:cs="Times New Roman"/>
          <w:color w:val="auto"/>
          <w:lang w:eastAsia="zh-CN"/>
        </w:rPr>
        <w:t>符合园区规划的证明</w:t>
      </w:r>
      <w:r>
        <w:rPr>
          <w:rFonts w:hint="default" w:ascii="Times New Roman" w:hAnsi="Times New Roman" w:eastAsia="宋体" w:cs="Times New Roman"/>
          <w:color w:val="auto"/>
          <w:kern w:val="0"/>
          <w:szCs w:val="24"/>
          <w:lang w:eastAsia="zh-CN"/>
        </w:rPr>
        <w:t>，不属于工业园区准入负面清单规定的范围内，符合环境准入负面清单要求。</w:t>
      </w:r>
    </w:p>
    <w:p w14:paraId="4F24F6B8">
      <w:pPr>
        <w:ind w:firstLine="480"/>
        <w:rPr>
          <w:rFonts w:hint="default" w:ascii="Times New Roman" w:hAnsi="Times New Roman" w:eastAsia="宋体" w:cs="Times New Roman"/>
          <w:b/>
          <w:bCs/>
          <w:color w:val="auto"/>
        </w:rPr>
      </w:pPr>
      <w:r>
        <w:rPr>
          <w:rFonts w:hint="default" w:ascii="Times New Roman" w:hAnsi="Times New Roman" w:eastAsia="宋体" w:cs="Times New Roman"/>
          <w:color w:val="auto"/>
        </w:rPr>
        <w:t>综上所述，项目符合《关于以改善环境质量为核心加强环境影响评价管理的通知》（环环评[2016]150号）中“三线一单”要求</w:t>
      </w:r>
      <w:r>
        <w:rPr>
          <w:rFonts w:hint="default" w:ascii="Times New Roman" w:hAnsi="Times New Roman" w:eastAsia="宋体" w:cs="Times New Roman"/>
          <w:color w:val="auto"/>
          <w:lang w:eastAsia="zh-CN"/>
        </w:rPr>
        <w:t>。</w:t>
      </w:r>
    </w:p>
    <w:p w14:paraId="24655660">
      <w:pPr>
        <w:adjustRightInd w:val="0"/>
        <w:ind w:firstLine="480"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rPr>
        <w:t>2、</w:t>
      </w:r>
      <w:r>
        <w:rPr>
          <w:rFonts w:hint="default" w:ascii="Times New Roman" w:hAnsi="Times New Roman" w:eastAsia="宋体" w:cs="Times New Roman"/>
          <w:b/>
          <w:bCs/>
          <w:color w:val="auto"/>
          <w:lang w:eastAsia="zh-CN"/>
        </w:rPr>
        <w:t>产业政策符合性分析</w:t>
      </w:r>
    </w:p>
    <w:p w14:paraId="06518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lang w:eastAsia="zh-CN"/>
        </w:rPr>
        <w:t>本项目为服装制造建设项目</w:t>
      </w:r>
      <w:r>
        <w:rPr>
          <w:rFonts w:hint="default" w:ascii="Times New Roman" w:hAnsi="Times New Roman" w:eastAsia="宋体" w:cs="Times New Roman"/>
          <w:bCs/>
          <w:color w:val="auto"/>
        </w:rPr>
        <w:t>。经查阅国务院批准</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rPr>
        <w:t>颁布的中华人民共和国</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rPr>
        <w:t>[2011]第9号令《产业结构调整指导目录(2011年本）》以及</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rPr>
        <w:t>[2013]第21号令“关于修改《产业结构调整指导目录(2011年本）》有关条款的决定”和《云南省产业结构调整指导目录》（2006年本），本项目不属于国家产业政策鼓励类、限制类及淘汰类项目</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同时根据国务院《促进产业结构调整暂行规定》(国发[2005]40号)，第十三条“不属于鼓励类、限制类及淘汰类，且符合国家有关法律、法规和政策规定的，为允许类”。且项目已取得投资项目备案证（</w:t>
      </w:r>
      <w:r>
        <w:rPr>
          <w:rFonts w:hint="default" w:ascii="Times New Roman" w:hAnsi="Times New Roman" w:eastAsia="宋体" w:cs="Times New Roman"/>
          <w:bCs/>
          <w:color w:val="auto"/>
          <w:lang w:eastAsia="zh-CN"/>
        </w:rPr>
        <w:t>项目代码</w:t>
      </w:r>
      <w:r>
        <w:rPr>
          <w:rFonts w:hint="default" w:ascii="Times New Roman" w:hAnsi="Times New Roman" w:eastAsia="宋体" w:cs="Times New Roman"/>
          <w:bCs/>
          <w:color w:val="auto"/>
        </w:rPr>
        <w:t>：</w:t>
      </w:r>
      <w:r>
        <w:rPr>
          <w:rFonts w:hint="default" w:ascii="Times New Roman" w:hAnsi="Times New Roman" w:eastAsia="宋体" w:cs="Times New Roman"/>
          <w:color w:val="auto"/>
          <w:lang w:val="en-US" w:eastAsia="zh-CN"/>
        </w:rPr>
        <w:t>2019-533103-18-03-005323</w:t>
      </w:r>
      <w:r>
        <w:rPr>
          <w:rFonts w:hint="default" w:ascii="Times New Roman" w:hAnsi="Times New Roman" w:eastAsia="宋体" w:cs="Times New Roman"/>
          <w:bCs/>
          <w:color w:val="auto"/>
        </w:rPr>
        <w:t>），因此，本项目符合国家产业政策。</w:t>
      </w:r>
    </w:p>
    <w:p w14:paraId="51E4D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3、厂址合理性分析</w:t>
      </w:r>
    </w:p>
    <w:p w14:paraId="5C35A9AA">
      <w:pPr>
        <w:ind w:firstLine="480" w:firstLineChars="20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位于</w:t>
      </w:r>
      <w:r>
        <w:rPr>
          <w:rFonts w:hint="default" w:ascii="Times New Roman" w:hAnsi="Times New Roman" w:eastAsia="宋体" w:cs="Times New Roman"/>
          <w:color w:val="auto"/>
          <w:kern w:val="0"/>
          <w:szCs w:val="24"/>
          <w:lang w:eastAsia="zh-CN"/>
        </w:rPr>
        <w:t>芒市帕底工业园区，</w:t>
      </w:r>
      <w:r>
        <w:rPr>
          <w:rFonts w:hint="default" w:ascii="Times New Roman" w:hAnsi="Times New Roman" w:eastAsia="宋体" w:cs="Times New Roman"/>
          <w:color w:val="auto"/>
        </w:rPr>
        <w:t>厂址不涉及生态红线</w:t>
      </w:r>
      <w:r>
        <w:rPr>
          <w:rFonts w:hint="eastAsia" w:ascii="Times New Roman" w:hAnsi="Times New Roman" w:cs="Times New Roman"/>
          <w:color w:val="auto"/>
          <w:lang w:eastAsia="zh-CN"/>
        </w:rPr>
        <w:t>。</w:t>
      </w:r>
    </w:p>
    <w:p w14:paraId="7B777B40">
      <w:pPr>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color w:val="auto"/>
        </w:rPr>
        <w:t>从环境相容性分析、污染物达标可行性、公众参与调查结论、环境现状以及平面布局合理性分析，项目周边2.5km范围内无风景名胜区、自然保护区、文物保护地及其他世界文化和自然遗产地、森林公园、地质公园等敏感区域</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项目选址无环境制约性因素，且与周边环境相容；根据环境影响预测，项目对周边关心点的大气环境影响、声环境影响、水环境影响均在可接受的范围内。另外项目厂区总体布局合理</w:t>
      </w:r>
      <w:r>
        <w:rPr>
          <w:rFonts w:hint="default" w:ascii="Times New Roman" w:hAnsi="Times New Roman" w:eastAsia="宋体" w:cs="Times New Roman"/>
          <w:color w:val="auto"/>
          <w:lang w:eastAsia="zh-CN"/>
        </w:rPr>
        <w:t>，综上</w:t>
      </w:r>
      <w:r>
        <w:rPr>
          <w:rFonts w:hint="default" w:ascii="Times New Roman" w:hAnsi="Times New Roman" w:eastAsia="宋体" w:cs="Times New Roman"/>
          <w:color w:val="auto"/>
        </w:rPr>
        <w:t>，项目选址合理</w:t>
      </w:r>
      <w:r>
        <w:rPr>
          <w:rFonts w:hint="default" w:ascii="Times New Roman" w:hAnsi="Times New Roman" w:eastAsia="宋体" w:cs="Times New Roman"/>
          <w:color w:val="auto"/>
          <w:lang w:eastAsia="zh-CN"/>
        </w:rPr>
        <w:t>、可行</w:t>
      </w:r>
      <w:r>
        <w:rPr>
          <w:rFonts w:hint="default" w:ascii="Times New Roman" w:hAnsi="Times New Roman" w:eastAsia="宋体" w:cs="Times New Roman"/>
          <w:color w:val="auto"/>
        </w:rPr>
        <w:t>。</w:t>
      </w:r>
    </w:p>
    <w:p w14:paraId="7A1A1357">
      <w:pPr>
        <w:pStyle w:val="10"/>
        <w:spacing w:before="0" w:after="0" w:line="360" w:lineRule="auto"/>
        <w:rPr>
          <w:rFonts w:hint="default" w:ascii="Times New Roman" w:hAnsi="Times New Roman" w:eastAsia="宋体" w:cs="Times New Roman"/>
          <w:color w:val="auto"/>
          <w:sz w:val="30"/>
          <w:szCs w:val="30"/>
        </w:rPr>
      </w:pPr>
      <w:bookmarkStart w:id="14" w:name="_Toc14305"/>
      <w:bookmarkStart w:id="15" w:name="_Toc533674813"/>
      <w:r>
        <w:rPr>
          <w:rFonts w:hint="default" w:ascii="Times New Roman" w:hAnsi="Times New Roman" w:eastAsia="宋体" w:cs="Times New Roman"/>
          <w:bCs w:val="0"/>
          <w:color w:val="auto"/>
          <w:sz w:val="30"/>
          <w:szCs w:val="30"/>
        </w:rPr>
        <w:t>五、环境影响报告书的主要结论</w:t>
      </w:r>
      <w:bookmarkEnd w:id="14"/>
      <w:bookmarkEnd w:id="15"/>
    </w:p>
    <w:p w14:paraId="36BF1E98">
      <w:pPr>
        <w:adjustRightInd w:val="0"/>
        <w:snapToGrid w:val="0"/>
        <w:ind w:firstLine="48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lang w:eastAsia="zh-CN"/>
        </w:rPr>
        <w:t>项目</w:t>
      </w:r>
      <w:r>
        <w:rPr>
          <w:rFonts w:hint="default" w:ascii="Times New Roman" w:hAnsi="Times New Roman" w:eastAsia="宋体" w:cs="Times New Roman"/>
          <w:color w:val="auto"/>
          <w:szCs w:val="28"/>
        </w:rPr>
        <w:t>符合国家产业政策，符合达标排放、总量控制和不降低当地环境功能的要求；环境影响预测分析结果表明，项目建成后产生的废气、废水、噪声、固废</w:t>
      </w:r>
      <w:r>
        <w:rPr>
          <w:rFonts w:hint="default" w:ascii="Times New Roman" w:hAnsi="Times New Roman" w:eastAsia="宋体" w:cs="Times New Roman"/>
          <w:color w:val="auto"/>
          <w:szCs w:val="28"/>
          <w:lang w:eastAsia="zh-CN"/>
        </w:rPr>
        <w:t>均得到妥善处置，</w:t>
      </w:r>
      <w:r>
        <w:rPr>
          <w:rFonts w:hint="default" w:ascii="Times New Roman" w:hAnsi="Times New Roman" w:eastAsia="宋体" w:cs="Times New Roman"/>
          <w:color w:val="auto"/>
          <w:szCs w:val="28"/>
        </w:rPr>
        <w:t>对当地环境质量及主要敏感目标的影响较小。</w:t>
      </w:r>
    </w:p>
    <w:p w14:paraId="608C1D5E">
      <w:pPr>
        <w:adjustRightInd w:val="0"/>
        <w:snapToGrid w:val="0"/>
        <w:ind w:firstLine="480" w:firstLineChars="200"/>
        <w:rPr>
          <w:rFonts w:hint="default" w:ascii="Times New Roman" w:hAnsi="Times New Roman" w:eastAsia="宋体" w:cs="Times New Roman"/>
          <w:color w:val="auto"/>
          <w:szCs w:val="28"/>
          <w:lang w:eastAsia="zh-CN"/>
        </w:rPr>
      </w:pPr>
      <w:r>
        <w:rPr>
          <w:rFonts w:hint="default" w:ascii="Times New Roman" w:hAnsi="Times New Roman" w:eastAsia="宋体" w:cs="Times New Roman"/>
          <w:color w:val="auto"/>
          <w:szCs w:val="28"/>
          <w:lang w:eastAsia="zh-CN"/>
        </w:rPr>
        <w:t>综上所述</w:t>
      </w:r>
      <w:r>
        <w:rPr>
          <w:rFonts w:hint="default" w:ascii="Times New Roman" w:hAnsi="Times New Roman" w:eastAsia="宋体" w:cs="Times New Roman"/>
          <w:color w:val="auto"/>
          <w:szCs w:val="28"/>
        </w:rPr>
        <w:t>，本项目在严格执行本环评提出的环境保护措施及环境保护“三同时”制度规定，严格进行环境管理，保证项目内的污染治理设施建设到位并正常运行，污染物达标排放的条件下，从环境保护角度论证，</w:t>
      </w:r>
      <w:r>
        <w:rPr>
          <w:rFonts w:hint="default" w:ascii="Times New Roman" w:hAnsi="Times New Roman" w:eastAsia="宋体" w:cs="Times New Roman"/>
          <w:color w:val="auto"/>
          <w:szCs w:val="28"/>
          <w:lang w:eastAsia="zh-CN"/>
        </w:rPr>
        <w:t>项目建设</w:t>
      </w:r>
      <w:r>
        <w:rPr>
          <w:rFonts w:hint="default" w:ascii="Times New Roman" w:hAnsi="Times New Roman" w:eastAsia="宋体" w:cs="Times New Roman"/>
          <w:color w:val="auto"/>
          <w:szCs w:val="28"/>
        </w:rPr>
        <w:t>可行</w:t>
      </w:r>
      <w:r>
        <w:rPr>
          <w:rFonts w:hint="default" w:ascii="Times New Roman" w:hAnsi="Times New Roman" w:eastAsia="宋体" w:cs="Times New Roman"/>
          <w:color w:val="auto"/>
          <w:szCs w:val="28"/>
          <w:lang w:eastAsia="zh-CN"/>
        </w:rPr>
        <w:t>。</w:t>
      </w:r>
    </w:p>
    <w:p w14:paraId="12A88595">
      <w:pPr>
        <w:adjustRightInd w:val="0"/>
        <w:snapToGrid w:val="0"/>
        <w:jc w:val="both"/>
        <w:rPr>
          <w:rFonts w:hint="default" w:ascii="Times New Roman" w:hAnsi="Times New Roman" w:eastAsia="宋体" w:cs="Times New Roman"/>
          <w:color w:val="auto"/>
          <w:sz w:val="21"/>
          <w:szCs w:val="24"/>
        </w:rPr>
      </w:pPr>
    </w:p>
    <w:p w14:paraId="0F4396E6">
      <w:pPr>
        <w:adjustRightInd w:val="0"/>
        <w:snapToGrid w:val="0"/>
        <w:ind w:firstLine="480" w:firstLineChars="200"/>
        <w:rPr>
          <w:rFonts w:hint="default" w:ascii="Times New Roman" w:hAnsi="Times New Roman" w:eastAsia="宋体" w:cs="Times New Roman"/>
          <w:color w:val="auto"/>
          <w:lang w:val="en-US" w:eastAsia="zh-CN"/>
        </w:rPr>
      </w:pPr>
    </w:p>
    <w:p w14:paraId="6C9056D4">
      <w:pPr>
        <w:adjustRightInd w:val="0"/>
        <w:snapToGrid w:val="0"/>
        <w:spacing w:beforeLines="50"/>
        <w:jc w:val="both"/>
        <w:rPr>
          <w:rFonts w:hint="default" w:ascii="Times New Roman" w:hAnsi="Times New Roman" w:eastAsia="宋体" w:cs="Times New Roman"/>
          <w:b/>
          <w:color w:val="auto"/>
          <w:sz w:val="36"/>
          <w:szCs w:val="36"/>
        </w:rPr>
      </w:pPr>
      <w:r>
        <w:rPr>
          <w:rFonts w:hint="default" w:ascii="Times New Roman" w:hAnsi="Times New Roman" w:eastAsia="宋体" w:cs="Times New Roman"/>
          <w:b/>
          <w:color w:val="auto"/>
          <w:sz w:val="36"/>
          <w:szCs w:val="36"/>
        </w:rPr>
        <w:br w:type="page"/>
      </w:r>
    </w:p>
    <w:p w14:paraId="2F887AB8">
      <w:pPr>
        <w:adjustRightInd w:val="0"/>
        <w:snapToGrid w:val="0"/>
        <w:spacing w:beforeLines="50"/>
        <w:jc w:val="center"/>
        <w:outlineLvl w:val="0"/>
        <w:rPr>
          <w:rFonts w:hint="default" w:ascii="Times New Roman" w:hAnsi="Times New Roman" w:eastAsia="宋体" w:cs="Times New Roman"/>
          <w:b/>
          <w:color w:val="auto"/>
          <w:sz w:val="36"/>
          <w:szCs w:val="36"/>
        </w:rPr>
      </w:pPr>
      <w:bookmarkStart w:id="16" w:name="_Toc13638"/>
      <w:bookmarkStart w:id="17" w:name="_Toc16241"/>
      <w:r>
        <w:rPr>
          <w:rFonts w:hint="default" w:ascii="Times New Roman" w:hAnsi="Times New Roman" w:eastAsia="宋体" w:cs="Times New Roman"/>
          <w:b/>
          <w:color w:val="auto"/>
          <w:sz w:val="36"/>
          <w:szCs w:val="36"/>
        </w:rPr>
        <w:t>1.总 则</w:t>
      </w:r>
      <w:bookmarkEnd w:id="16"/>
      <w:bookmarkEnd w:id="17"/>
    </w:p>
    <w:p w14:paraId="43A25220">
      <w:pPr>
        <w:adjustRightInd w:val="0"/>
        <w:snapToGrid w:val="0"/>
        <w:outlineLvl w:val="1"/>
        <w:rPr>
          <w:rFonts w:hint="default" w:ascii="Times New Roman" w:hAnsi="Times New Roman" w:eastAsia="宋体" w:cs="Times New Roman"/>
          <w:b/>
          <w:color w:val="auto"/>
          <w:sz w:val="32"/>
          <w:szCs w:val="32"/>
        </w:rPr>
      </w:pPr>
      <w:bookmarkStart w:id="18" w:name="_Toc745"/>
      <w:bookmarkStart w:id="19" w:name="_Toc6595"/>
      <w:bookmarkStart w:id="20" w:name="_Toc268077603"/>
      <w:bookmarkStart w:id="21" w:name="_Toc269196223"/>
      <w:bookmarkStart w:id="22" w:name="_Toc307819463"/>
      <w:bookmarkStart w:id="23" w:name="_Toc25478001"/>
      <w:bookmarkStart w:id="24" w:name="_Toc25477582"/>
      <w:bookmarkStart w:id="25" w:name="_Toc299348858"/>
      <w:bookmarkStart w:id="26" w:name="_Toc143085306"/>
      <w:bookmarkStart w:id="27" w:name="_Toc25477087"/>
      <w:bookmarkStart w:id="28" w:name="_Toc25477556"/>
      <w:bookmarkStart w:id="29" w:name="_Toc291195986"/>
      <w:bookmarkStart w:id="30" w:name="_Toc128370990"/>
      <w:bookmarkStart w:id="31" w:name="_Toc25477798"/>
      <w:bookmarkStart w:id="32" w:name="_Toc25477682"/>
      <w:bookmarkStart w:id="33" w:name="_Toc25477376"/>
      <w:bookmarkStart w:id="34" w:name="_Toc25477657"/>
      <w:r>
        <w:rPr>
          <w:rFonts w:hint="default" w:ascii="Times New Roman" w:hAnsi="Times New Roman" w:eastAsia="宋体" w:cs="Times New Roman"/>
          <w:b/>
          <w:color w:val="auto"/>
          <w:sz w:val="32"/>
          <w:szCs w:val="32"/>
        </w:rPr>
        <w:t>1.1编制依据</w:t>
      </w:r>
      <w:bookmarkEnd w:id="18"/>
      <w:bookmarkEnd w:id="19"/>
    </w:p>
    <w:p w14:paraId="697BB5A9">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35" w:name="_Toc123048223"/>
      <w:bookmarkStart w:id="36" w:name="_Toc122092642"/>
      <w:bookmarkStart w:id="37" w:name="_Toc117947770"/>
      <w:bookmarkStart w:id="38" w:name="_Toc143085309"/>
      <w:bookmarkStart w:id="39" w:name="_Toc291195989"/>
      <w:bookmarkStart w:id="40" w:name="_Toc269196226"/>
      <w:bookmarkStart w:id="41" w:name="_Toc268077606"/>
      <w:bookmarkStart w:id="42" w:name="_Toc2477"/>
      <w:bookmarkStart w:id="43" w:name="_Toc307819466"/>
      <w:bookmarkStart w:id="44" w:name="_Toc299348861"/>
      <w:r>
        <w:rPr>
          <w:rFonts w:hint="default" w:ascii="Times New Roman" w:hAnsi="Times New Roman" w:eastAsia="宋体" w:cs="Times New Roman"/>
          <w:color w:val="auto"/>
          <w:sz w:val="28"/>
          <w:szCs w:val="28"/>
        </w:rPr>
        <w:t>1.1.1国家环境保护法律、法规</w:t>
      </w:r>
      <w:bookmarkEnd w:id="35"/>
      <w:bookmarkEnd w:id="36"/>
      <w:bookmarkEnd w:id="37"/>
      <w:bookmarkEnd w:id="38"/>
      <w:r>
        <w:rPr>
          <w:rFonts w:hint="default" w:ascii="Times New Roman" w:hAnsi="Times New Roman" w:eastAsia="宋体" w:cs="Times New Roman"/>
          <w:color w:val="auto"/>
          <w:sz w:val="28"/>
          <w:szCs w:val="28"/>
        </w:rPr>
        <w:t>及政策</w:t>
      </w:r>
      <w:bookmarkEnd w:id="39"/>
      <w:bookmarkEnd w:id="40"/>
      <w:bookmarkEnd w:id="41"/>
      <w:bookmarkEnd w:id="42"/>
      <w:bookmarkEnd w:id="43"/>
      <w:bookmarkEnd w:id="44"/>
    </w:p>
    <w:p w14:paraId="719BB261">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（1）《中华人民共和国环境保护法》（2015年1月1日起实施）；</w:t>
      </w:r>
    </w:p>
    <w:p w14:paraId="696B89B3">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（2）《中华人民共和国环境影响评价法》（2018年12月29日修正）；</w:t>
      </w:r>
    </w:p>
    <w:p w14:paraId="01D8CAC8">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（3）《中华人民共和国大气污染防治法》（2016年1月1日起施行）；</w:t>
      </w:r>
    </w:p>
    <w:p w14:paraId="3CB0F345">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（4）《中华人民共和国水法》（2016年7月修订）；</w:t>
      </w:r>
    </w:p>
    <w:p w14:paraId="56F6B9A4">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（5）《中华人民共和国水污染防治法》（2018年1月实施）；</w:t>
      </w:r>
    </w:p>
    <w:p w14:paraId="182402E7">
      <w:pPr>
        <w:adjustRightInd w:val="0"/>
        <w:snapToGrid w:val="0"/>
        <w:ind w:firstLine="480" w:firstLineChars="200"/>
        <w:rPr>
          <w:rFonts w:hint="default" w:ascii="Times New Roman" w:hAnsi="Times New Roman" w:eastAsia="宋体" w:cs="Times New Roman"/>
          <w:color w:val="auto"/>
        </w:rPr>
      </w:pPr>
      <w:bookmarkStart w:id="45" w:name="_Toc286596836"/>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6</w:t>
      </w:r>
      <w:r>
        <w:rPr>
          <w:rFonts w:hint="default" w:ascii="Times New Roman" w:hAnsi="Times New Roman" w:eastAsia="宋体" w:cs="Times New Roman"/>
          <w:color w:val="auto"/>
          <w:lang w:val="zh-CN"/>
        </w:rPr>
        <w:t>）《国务院关于印发水污染防治行动计划的通知》（国发〔2015〕17号）；</w:t>
      </w:r>
    </w:p>
    <w:p w14:paraId="3532514F">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（7）《中华人民共和国固体废物污染环境防治法》（201</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日</w:t>
      </w:r>
      <w:r>
        <w:rPr>
          <w:rFonts w:hint="default" w:ascii="Times New Roman" w:hAnsi="Times New Roman" w:eastAsia="宋体" w:cs="Times New Roman"/>
          <w:color w:val="auto"/>
          <w:lang w:eastAsia="zh-CN"/>
        </w:rPr>
        <w:t>修订）</w:t>
      </w:r>
      <w:r>
        <w:rPr>
          <w:rFonts w:hint="default" w:ascii="Times New Roman" w:hAnsi="Times New Roman" w:eastAsia="宋体" w:cs="Times New Roman"/>
          <w:color w:val="auto"/>
        </w:rPr>
        <w:t>；</w:t>
      </w:r>
      <w:bookmarkEnd w:id="45"/>
    </w:p>
    <w:p w14:paraId="5BE62D16">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（8）《中华人民共和国环境噪声污染防治法》（2018年12月29日修订）；</w:t>
      </w:r>
    </w:p>
    <w:p w14:paraId="231BF6ED">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（9）《中华人民共和国土地管理法》（2004年8月实施）；</w:t>
      </w:r>
    </w:p>
    <w:p w14:paraId="478600B6">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（10）《中华人民共和国节约能源法》（2008年4月实施）；</w:t>
      </w:r>
    </w:p>
    <w:p w14:paraId="797AE58F">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（11）</w:t>
      </w:r>
      <w:r>
        <w:rPr>
          <w:rFonts w:hint="eastAsia" w:ascii="Times New Roman" w:hAnsi="Times New Roman" w:cs="Times New Roman"/>
          <w:color w:val="auto"/>
          <w:lang w:eastAsia="zh-CN"/>
        </w:rPr>
        <w:t>《中华人民共和国循环经济促进法》</w:t>
      </w:r>
      <w:r>
        <w:rPr>
          <w:rFonts w:hint="default" w:ascii="Times New Roman" w:hAnsi="Times New Roman" w:eastAsia="宋体" w:cs="Times New Roman"/>
          <w:color w:val="auto"/>
        </w:rPr>
        <w:t>（2009年1月实施）；</w:t>
      </w:r>
    </w:p>
    <w:p w14:paraId="417D1705">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（12）中华人民共和国国务院令第682号《建设项目环境保护管理条例》（2017年10月1日实施）；</w:t>
      </w:r>
    </w:p>
    <w:p w14:paraId="7D6C6DB2">
      <w:pPr>
        <w:adjustRightInd w:val="0"/>
        <w:snapToGrid w:val="0"/>
        <w:ind w:firstLine="480" w:firstLineChars="200"/>
        <w:rPr>
          <w:rFonts w:hint="default" w:ascii="Times New Roman" w:hAnsi="Times New Roman" w:eastAsia="宋体" w:cs="Times New Roman"/>
          <w:color w:val="auto"/>
        </w:rPr>
      </w:pPr>
      <w:bookmarkStart w:id="46" w:name="_Toc286596837"/>
      <w:r>
        <w:rPr>
          <w:rFonts w:hint="default" w:ascii="Times New Roman" w:hAnsi="Times New Roman" w:eastAsia="宋体" w:cs="Times New Roman"/>
          <w:color w:val="auto"/>
        </w:rPr>
        <w:t>（13）《建设项目环境影响评价分类管理名录》（2018年4月28日实施）；</w:t>
      </w:r>
      <w:bookmarkEnd w:id="46"/>
    </w:p>
    <w:p w14:paraId="7092EB2F">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（14）中华人民共和国</w:t>
      </w:r>
      <w:r>
        <w:rPr>
          <w:rFonts w:hint="eastAsia" w:ascii="Times New Roman" w:hAnsi="Times New Roman" w:cs="Times New Roman"/>
          <w:color w:val="auto"/>
          <w:lang w:eastAsia="zh-CN"/>
        </w:rPr>
        <w:t>国家发展和改革委员</w:t>
      </w:r>
      <w:r>
        <w:rPr>
          <w:rFonts w:hint="default" w:ascii="Times New Roman" w:hAnsi="Times New Roman" w:eastAsia="宋体" w:cs="Times New Roman"/>
          <w:color w:val="auto"/>
        </w:rPr>
        <w:t>会令第21号《产业结构调整指导目录（2011年本）》（2013年修正）；</w:t>
      </w:r>
    </w:p>
    <w:p w14:paraId="374E699E">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（15）《国家危险废物名录》（2016年8月1日实施)；</w:t>
      </w:r>
    </w:p>
    <w:p w14:paraId="3A60823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（16）《关于进一步加强环境影响评价管理防范环境风险的通知》（环发〔2012]77号）；</w:t>
      </w:r>
    </w:p>
    <w:p w14:paraId="552F67F6">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（17）《关于切实加强风险防范严格环境影响评价管理的通知》（环发〔2012〕98号）；</w:t>
      </w:r>
    </w:p>
    <w:p w14:paraId="6800D38E">
      <w:pPr>
        <w:adjustRightInd w:val="0"/>
        <w:snapToGrid w:val="0"/>
        <w:ind w:firstLine="480" w:firstLineChars="200"/>
        <w:rPr>
          <w:rFonts w:hint="default" w:ascii="Times New Roman" w:hAnsi="Times New Roman" w:eastAsia="宋体" w:cs="Times New Roman"/>
          <w:color w:val="auto"/>
          <w:lang w:val="zh-CN"/>
        </w:rPr>
      </w:pPr>
      <w:r>
        <w:rPr>
          <w:rFonts w:hint="default" w:ascii="Times New Roman" w:hAnsi="Times New Roman" w:eastAsia="宋体" w:cs="Times New Roman"/>
          <w:bCs/>
          <w:color w:val="auto"/>
        </w:rPr>
        <w:t>（18）《危险化学品安全管理条例》，2013年12月4日国务院第32次常务会议修订通过，自2013年12月7日起施行；</w:t>
      </w:r>
    </w:p>
    <w:p w14:paraId="5B938EE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zh-CN"/>
        </w:rPr>
        <w:t>（</w:t>
      </w:r>
      <w:r>
        <w:rPr>
          <w:rFonts w:hint="default" w:ascii="Times New Roman" w:hAnsi="Times New Roman" w:eastAsia="宋体" w:cs="Times New Roman"/>
          <w:color w:val="auto"/>
        </w:rPr>
        <w:t>19</w:t>
      </w:r>
      <w:r>
        <w:rPr>
          <w:rFonts w:hint="default" w:ascii="Times New Roman" w:hAnsi="Times New Roman" w:eastAsia="宋体" w:cs="Times New Roman"/>
          <w:color w:val="auto"/>
          <w:lang w:val="zh-CN"/>
        </w:rPr>
        <w:t>）《建设项目环境影响评价信息公开机制方案》（环发〔2015〕162号）；</w:t>
      </w:r>
    </w:p>
    <w:p w14:paraId="3AED0FB2">
      <w:pPr>
        <w:adjustRightInd w:val="0"/>
        <w:snapToGrid w:val="0"/>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rPr>
        <w:t>（20）</w:t>
      </w:r>
      <w:r>
        <w:rPr>
          <w:rFonts w:hint="default" w:ascii="Times New Roman" w:hAnsi="Times New Roman" w:eastAsia="宋体" w:cs="Times New Roman"/>
          <w:color w:val="auto"/>
        </w:rPr>
        <w:t>《环境影响评价公众参与办法》（生态环境部令第4号），2019年1月1日起施行；</w:t>
      </w:r>
    </w:p>
    <w:p w14:paraId="4B75BC72">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rPr>
        <w:t>（21）《国务院关于印发大气污染防治行动计划的通知》</w:t>
      </w:r>
      <w:r>
        <w:rPr>
          <w:rFonts w:hint="default" w:ascii="Times New Roman" w:hAnsi="Times New Roman" w:eastAsia="宋体" w:cs="Times New Roman"/>
          <w:color w:val="auto"/>
        </w:rPr>
        <w:t>国发〔2013〕37号；</w:t>
      </w:r>
    </w:p>
    <w:p w14:paraId="32BE3E2F">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（22）《关于以改善环境质量为核心加强环境影响评价管理的通知》（环环评〔2016〕150号）；</w:t>
      </w:r>
    </w:p>
    <w:p w14:paraId="27777C1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（23）《关于做好环境影响评价制度与排污许可制衔接相关工作的通知》（环办环评〔2017〕84号），2017年11月15日实施。</w:t>
      </w:r>
    </w:p>
    <w:p w14:paraId="541073C3">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47" w:name="_Toc291195990"/>
      <w:bookmarkStart w:id="48" w:name="_Toc31040"/>
      <w:bookmarkStart w:id="49" w:name="_Toc299348862"/>
      <w:bookmarkStart w:id="50" w:name="_Toc123048224"/>
      <w:bookmarkStart w:id="51" w:name="_Toc268077607"/>
      <w:bookmarkStart w:id="52" w:name="_Toc307819467"/>
      <w:bookmarkStart w:id="53" w:name="_Toc269196227"/>
      <w:bookmarkStart w:id="54" w:name="_Toc122092643"/>
      <w:bookmarkStart w:id="55" w:name="_Toc143085310"/>
      <w:bookmarkStart w:id="56" w:name="_Toc117947771"/>
      <w:r>
        <w:rPr>
          <w:rFonts w:hint="default" w:ascii="Times New Roman" w:hAnsi="Times New Roman" w:eastAsia="宋体" w:cs="Times New Roman"/>
          <w:color w:val="auto"/>
          <w:sz w:val="28"/>
          <w:szCs w:val="28"/>
        </w:rPr>
        <w:t>1.1.2地方环境保护法规及政策</w:t>
      </w:r>
      <w:bookmarkEnd w:id="47"/>
      <w:bookmarkEnd w:id="48"/>
      <w:bookmarkEnd w:id="49"/>
      <w:bookmarkEnd w:id="50"/>
      <w:bookmarkEnd w:id="51"/>
      <w:bookmarkEnd w:id="52"/>
      <w:bookmarkEnd w:id="53"/>
      <w:bookmarkEnd w:id="54"/>
      <w:bookmarkEnd w:id="55"/>
      <w:bookmarkEnd w:id="56"/>
    </w:p>
    <w:p w14:paraId="0C692BC4">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（1）《云南省建设项目环境保护管理规定》（云南省人民政府令第105号，2002.01.01施行）；</w:t>
      </w:r>
    </w:p>
    <w:p w14:paraId="229F6B92">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（2）云南省人民代表大会《云南省环境保护条例》（颁布时间为2004年6月29日）；</w:t>
      </w:r>
    </w:p>
    <w:p w14:paraId="0D8C520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（3）《云南省地方标准 用水定额》（DB53/T168-201</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w:t>
      </w:r>
    </w:p>
    <w:p w14:paraId="093498C1">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（4）《云南省水污染防治工作方案》</w:t>
      </w:r>
      <w:r>
        <w:rPr>
          <w:rFonts w:hint="default" w:ascii="Times New Roman" w:hAnsi="Times New Roman" w:eastAsia="宋体" w:cs="Times New Roman"/>
          <w:color w:val="auto"/>
          <w:lang w:eastAsia="zh-CN"/>
        </w:rPr>
        <w:t>；</w:t>
      </w:r>
    </w:p>
    <w:p w14:paraId="3D231830">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（5）《云南省地表水水环境功能区划（2010~2020年）》；</w:t>
      </w:r>
    </w:p>
    <w:p w14:paraId="65AC43D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）《云南省环境空气质量功能区划分》（复审），（云环发〔2006〕43号）；</w:t>
      </w:r>
    </w:p>
    <w:p w14:paraId="16D92A41">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）《云南省人民政府关于印发云南省大气污染防治行动计划的通知》（云政发〔2014〕9号）</w:t>
      </w:r>
    </w:p>
    <w:p w14:paraId="04BC81D0">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）云南省</w:t>
      </w:r>
      <w:r>
        <w:rPr>
          <w:rFonts w:hint="eastAsia" w:ascii="Times New Roman" w:hAnsi="Times New Roman" w:cs="Times New Roman"/>
          <w:color w:val="auto"/>
          <w:lang w:eastAsia="zh-CN"/>
        </w:rPr>
        <w:t>生态环境厅</w:t>
      </w:r>
      <w:r>
        <w:rPr>
          <w:rFonts w:hint="default" w:ascii="Times New Roman" w:hAnsi="Times New Roman" w:eastAsia="宋体" w:cs="Times New Roman"/>
          <w:color w:val="auto"/>
        </w:rPr>
        <w:t>关于印发《云南省生态功能区划》的通知（2009年9）；</w:t>
      </w:r>
    </w:p>
    <w:p w14:paraId="2E9BE1EC">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）《关于发布&lt;云南省环境保护厅审批环境影响评价文件的建设项目目录（2015年本）&gt;的通知》（云环发〔2015〕66号）；</w:t>
      </w:r>
    </w:p>
    <w:p w14:paraId="0CD5D7CE">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云南省人民政府关于发布云南省生态保护红线的通知</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（云政发〔2018〕32号）。</w:t>
      </w:r>
    </w:p>
    <w:p w14:paraId="7CC3EDEE">
      <w:pPr>
        <w:pStyle w:val="11"/>
        <w:tabs>
          <w:tab w:val="left" w:pos="5955"/>
        </w:tabs>
        <w:adjustRightInd w:val="0"/>
        <w:snapToGrid w:val="0"/>
        <w:spacing w:beforeLines="50" w:after="0" w:line="360" w:lineRule="auto"/>
        <w:rPr>
          <w:rFonts w:hint="default" w:ascii="Times New Roman" w:hAnsi="Times New Roman" w:eastAsia="宋体" w:cs="Times New Roman"/>
          <w:color w:val="auto"/>
          <w:sz w:val="28"/>
          <w:szCs w:val="28"/>
        </w:rPr>
      </w:pPr>
      <w:bookmarkStart w:id="57" w:name="_Toc123048225"/>
      <w:bookmarkStart w:id="58" w:name="_Toc117947772"/>
      <w:bookmarkStart w:id="59" w:name="_Toc143085311"/>
      <w:bookmarkStart w:id="60" w:name="_Toc122092644"/>
      <w:bookmarkStart w:id="61" w:name="_Toc291195991"/>
      <w:bookmarkStart w:id="62" w:name="_Toc268077608"/>
      <w:bookmarkStart w:id="63" w:name="_Toc269196228"/>
      <w:bookmarkStart w:id="64" w:name="_Toc26175"/>
      <w:bookmarkStart w:id="65" w:name="_Toc307819468"/>
      <w:bookmarkStart w:id="66" w:name="_Toc299348863"/>
      <w:r>
        <w:rPr>
          <w:rFonts w:hint="default" w:ascii="Times New Roman" w:hAnsi="Times New Roman" w:eastAsia="宋体" w:cs="Times New Roman"/>
          <w:color w:val="auto"/>
          <w:sz w:val="28"/>
          <w:szCs w:val="28"/>
        </w:rPr>
        <w:t>1.1.3其他</w:t>
      </w:r>
      <w:bookmarkEnd w:id="57"/>
      <w:bookmarkEnd w:id="58"/>
      <w:bookmarkEnd w:id="59"/>
      <w:bookmarkEnd w:id="60"/>
      <w:r>
        <w:rPr>
          <w:rFonts w:hint="default" w:ascii="Times New Roman" w:hAnsi="Times New Roman" w:eastAsia="宋体" w:cs="Times New Roman"/>
          <w:color w:val="auto"/>
          <w:sz w:val="28"/>
          <w:szCs w:val="28"/>
        </w:rPr>
        <w:t>技术</w:t>
      </w:r>
      <w:bookmarkEnd w:id="61"/>
      <w:bookmarkEnd w:id="62"/>
      <w:bookmarkEnd w:id="63"/>
      <w:bookmarkEnd w:id="64"/>
      <w:bookmarkEnd w:id="65"/>
      <w:bookmarkEnd w:id="66"/>
    </w:p>
    <w:p w14:paraId="3D84C376">
      <w:pPr>
        <w:ind w:firstLine="480" w:firstLineChars="200"/>
        <w:rPr>
          <w:rFonts w:hint="default" w:ascii="Times New Roman" w:hAnsi="Times New Roman" w:eastAsia="宋体" w:cs="Times New Roman"/>
          <w:color w:val="auto"/>
          <w:szCs w:val="24"/>
        </w:rPr>
      </w:pPr>
      <w:bookmarkStart w:id="67" w:name="_Toc117947774"/>
      <w:bookmarkStart w:id="68" w:name="_Toc269196229"/>
      <w:bookmarkStart w:id="69" w:name="_Toc123048227"/>
      <w:bookmarkStart w:id="70" w:name="_Toc122092646"/>
      <w:bookmarkStart w:id="71" w:name="_Toc268077609"/>
      <w:bookmarkStart w:id="72" w:name="_Toc143085312"/>
      <w:bookmarkStart w:id="73" w:name="_Toc291195992"/>
      <w:r>
        <w:rPr>
          <w:rFonts w:hint="default" w:ascii="Times New Roman" w:hAnsi="Times New Roman" w:eastAsia="宋体" w:cs="Times New Roman"/>
          <w:color w:val="auto"/>
        </w:rPr>
        <w:t>（1）《建设项目环境影响评价技术导则 总纲》（HJ2.1-2016）；</w:t>
      </w:r>
    </w:p>
    <w:p w14:paraId="6C8FCFD9">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（2）《环境影响评价技术导则 大气环境》（HJ2.2-2018）；</w:t>
      </w:r>
    </w:p>
    <w:p w14:paraId="1FFC24F8">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（3）《环境影响评价技术导则 地表水环境》（HJ/T2.3-2018）；</w:t>
      </w:r>
    </w:p>
    <w:p w14:paraId="24CC94C0">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（4）《环境影响评价技术导则 地下水环境》（HJ610-2016）；</w:t>
      </w:r>
    </w:p>
    <w:p w14:paraId="6DF92F24">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（5）《环境影响评价技术导则 声环境》（HJ2.4-2009）；</w:t>
      </w:r>
    </w:p>
    <w:p w14:paraId="58F5B957">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（6）《环境影响评价技术导则 生态影响》（HJ19-2011）；</w:t>
      </w:r>
    </w:p>
    <w:p w14:paraId="79DEADE0">
      <w:pPr>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lang w:eastAsia="zh-CN"/>
        </w:rPr>
        <w:t>）《环境影响评价技术导则 土壤环境》（HJ964-2018）</w:t>
      </w:r>
    </w:p>
    <w:p w14:paraId="09F27DA2">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）《建设项目环境风险评价技术导则》（HJ/T169-2018）；</w:t>
      </w:r>
    </w:p>
    <w:p w14:paraId="0CA22077">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）《声环境功能区划分技术规范》（GB/T15190-2014）；</w:t>
      </w:r>
    </w:p>
    <w:p w14:paraId="4F931698">
      <w:pPr>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rPr>
        <w:t>（</w:t>
      </w:r>
      <w:r>
        <w:rPr>
          <w:rFonts w:hint="default" w:ascii="Times New Roman" w:hAnsi="Times New Roman" w:eastAsia="宋体" w:cs="Times New Roman"/>
          <w:bCs/>
          <w:color w:val="auto"/>
          <w:lang w:val="en-US" w:eastAsia="zh-CN"/>
        </w:rPr>
        <w:t>10</w:t>
      </w:r>
      <w:r>
        <w:rPr>
          <w:rFonts w:hint="default" w:ascii="Times New Roman" w:hAnsi="Times New Roman" w:eastAsia="宋体" w:cs="Times New Roman"/>
          <w:bCs/>
          <w:color w:val="auto"/>
        </w:rPr>
        <w:t>）《常用危险化学品的分类及标志》（GB13690-</w:t>
      </w:r>
      <w:r>
        <w:rPr>
          <w:rFonts w:hint="default" w:ascii="Times New Roman" w:hAnsi="Times New Roman" w:eastAsia="宋体" w:cs="Times New Roman"/>
          <w:bCs/>
          <w:color w:val="auto"/>
          <w:lang w:val="en-US" w:eastAsia="zh-CN"/>
        </w:rPr>
        <w:t>2009</w:t>
      </w:r>
      <w:r>
        <w:rPr>
          <w:rFonts w:hint="default" w:ascii="Times New Roman" w:hAnsi="Times New Roman" w:eastAsia="宋体" w:cs="Times New Roman"/>
          <w:bCs/>
          <w:color w:val="auto"/>
        </w:rPr>
        <w:t>）；</w:t>
      </w:r>
    </w:p>
    <w:p w14:paraId="75DB0F07">
      <w:pPr>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rPr>
        <w:t>（1</w:t>
      </w:r>
      <w:r>
        <w:rPr>
          <w:rFonts w:hint="default" w:ascii="Times New Roman" w:hAnsi="Times New Roman" w:eastAsia="宋体" w:cs="Times New Roman"/>
          <w:bCs/>
          <w:color w:val="auto"/>
          <w:lang w:val="en-US" w:eastAsia="zh-CN"/>
        </w:rPr>
        <w:t>1</w:t>
      </w:r>
      <w:r>
        <w:rPr>
          <w:rFonts w:hint="default" w:ascii="Times New Roman" w:hAnsi="Times New Roman" w:eastAsia="宋体" w:cs="Times New Roman"/>
          <w:bCs/>
          <w:color w:val="auto"/>
        </w:rPr>
        <w:t>）《危险化学品重大危险源辨识》（GB18218-2018）；</w:t>
      </w:r>
    </w:p>
    <w:p w14:paraId="7F2D7E3C">
      <w:pPr>
        <w:ind w:firstLine="480" w:firstLineChars="20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lang w:val="en-US" w:eastAsia="zh-CN"/>
        </w:rPr>
        <w:t>12</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rPr>
        <w:t>《固体废物处理处置工程技术导则》（HJ2035-2013）</w:t>
      </w:r>
      <w:r>
        <w:rPr>
          <w:rFonts w:hint="default" w:ascii="Times New Roman" w:hAnsi="Times New Roman" w:eastAsia="宋体" w:cs="Times New Roman"/>
          <w:bCs/>
          <w:color w:val="auto"/>
          <w:lang w:eastAsia="zh-CN"/>
        </w:rPr>
        <w:t>。</w:t>
      </w:r>
    </w:p>
    <w:p w14:paraId="4D0B371C">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74" w:name="_Toc307819469"/>
      <w:bookmarkStart w:id="75" w:name="_Toc299348864"/>
      <w:bookmarkStart w:id="76" w:name="_Toc16140"/>
      <w:r>
        <w:rPr>
          <w:rFonts w:hint="default" w:ascii="Times New Roman" w:hAnsi="Times New Roman" w:eastAsia="宋体" w:cs="Times New Roman"/>
          <w:color w:val="auto"/>
          <w:sz w:val="28"/>
          <w:szCs w:val="28"/>
        </w:rPr>
        <w:t>1.1.4其他相关</w:t>
      </w:r>
      <w:bookmarkEnd w:id="67"/>
      <w:bookmarkEnd w:id="68"/>
      <w:bookmarkEnd w:id="69"/>
      <w:bookmarkEnd w:id="70"/>
      <w:bookmarkEnd w:id="71"/>
      <w:bookmarkEnd w:id="72"/>
      <w:r>
        <w:rPr>
          <w:rFonts w:hint="default" w:ascii="Times New Roman" w:hAnsi="Times New Roman" w:eastAsia="宋体" w:cs="Times New Roman"/>
          <w:color w:val="auto"/>
          <w:sz w:val="28"/>
          <w:szCs w:val="28"/>
        </w:rPr>
        <w:t>文件</w:t>
      </w:r>
      <w:bookmarkEnd w:id="73"/>
      <w:bookmarkEnd w:id="74"/>
      <w:bookmarkEnd w:id="75"/>
      <w:bookmarkEnd w:id="76"/>
    </w:p>
    <w:p w14:paraId="100A4DEE">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授权</w:t>
      </w:r>
      <w:r>
        <w:rPr>
          <w:rFonts w:hint="default" w:ascii="Times New Roman" w:hAnsi="Times New Roman" w:eastAsia="宋体" w:cs="Times New Roman"/>
          <w:color w:val="auto"/>
        </w:rPr>
        <w:t>委托书；</w:t>
      </w:r>
    </w:p>
    <w:p w14:paraId="675DB62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）投资项目备案证；</w:t>
      </w:r>
    </w:p>
    <w:p w14:paraId="642430BA">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）入园用地证明；</w:t>
      </w:r>
    </w:p>
    <w:p w14:paraId="517B365E">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）环境质量现状监测报告</w:t>
      </w:r>
      <w:r>
        <w:rPr>
          <w:rFonts w:hint="default" w:ascii="Times New Roman" w:hAnsi="Times New Roman" w:eastAsia="宋体" w:cs="Times New Roman"/>
          <w:color w:val="auto"/>
          <w:lang w:eastAsia="zh-CN"/>
        </w:rPr>
        <w:t>；</w:t>
      </w:r>
    </w:p>
    <w:p w14:paraId="16F072A1">
      <w:pPr>
        <w:adjustRightInd w:val="0"/>
        <w:snapToGrid w:val="0"/>
        <w:ind w:firstLine="480" w:firstLineChars="200"/>
        <w:rPr>
          <w:rFonts w:hint="default" w:ascii="Times New Roman" w:hAnsi="Times New Roman" w:eastAsia="宋体" w:cs="Times New Roman"/>
          <w:color w:val="auto"/>
          <w:lang w:val="en-US"/>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建设单位提供的其他资料。</w:t>
      </w:r>
      <w:r>
        <w:rPr>
          <w:rFonts w:hint="eastAsia" w:ascii="Times New Roman" w:hAnsi="Times New Roman" w:cs="Times New Roman"/>
          <w:color w:val="auto"/>
          <w:lang w:val="en-US" w:eastAsia="zh-CN"/>
        </w:rPr>
        <w:t xml:space="preserve">   </w:t>
      </w:r>
    </w:p>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41D8C4D0">
      <w:pPr>
        <w:adjustRightInd w:val="0"/>
        <w:snapToGrid w:val="0"/>
        <w:spacing w:beforeLines="50"/>
        <w:outlineLvl w:val="1"/>
        <w:rPr>
          <w:rFonts w:hint="default" w:ascii="Times New Roman" w:hAnsi="Times New Roman" w:eastAsia="宋体" w:cs="Times New Roman"/>
          <w:b/>
          <w:color w:val="auto"/>
          <w:sz w:val="32"/>
          <w:szCs w:val="32"/>
        </w:rPr>
      </w:pPr>
      <w:bookmarkStart w:id="77" w:name="_Toc143085307"/>
      <w:bookmarkStart w:id="78" w:name="_Toc268077604"/>
      <w:bookmarkStart w:id="79" w:name="_Toc30329"/>
      <w:bookmarkStart w:id="80" w:name="_Toc269196224"/>
      <w:bookmarkStart w:id="81" w:name="_Toc291195987"/>
      <w:bookmarkStart w:id="82" w:name="_Toc7293"/>
      <w:bookmarkStart w:id="83" w:name="_Toc299348859"/>
      <w:bookmarkStart w:id="84" w:name="_Toc307819464"/>
      <w:r>
        <w:rPr>
          <w:rFonts w:hint="default" w:ascii="Times New Roman" w:hAnsi="Times New Roman" w:eastAsia="宋体" w:cs="Times New Roman"/>
          <w:b/>
          <w:color w:val="auto"/>
          <w:sz w:val="32"/>
          <w:szCs w:val="32"/>
        </w:rPr>
        <w:t>1.</w:t>
      </w:r>
      <w:bookmarkEnd w:id="77"/>
      <w:r>
        <w:rPr>
          <w:rFonts w:hint="default" w:ascii="Times New Roman" w:hAnsi="Times New Roman" w:eastAsia="宋体" w:cs="Times New Roman"/>
          <w:b/>
          <w:color w:val="auto"/>
          <w:sz w:val="32"/>
          <w:szCs w:val="32"/>
        </w:rPr>
        <w:t>2评价目的及评价原则</w:t>
      </w:r>
      <w:bookmarkEnd w:id="78"/>
      <w:bookmarkEnd w:id="79"/>
      <w:bookmarkEnd w:id="80"/>
      <w:bookmarkEnd w:id="81"/>
      <w:bookmarkEnd w:id="82"/>
      <w:bookmarkEnd w:id="83"/>
      <w:bookmarkEnd w:id="84"/>
    </w:p>
    <w:p w14:paraId="3FAE6D66">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85" w:name="_Toc14098"/>
      <w:bookmarkStart w:id="86" w:name="_Toc123048222"/>
      <w:bookmarkStart w:id="87" w:name="_Toc269196225"/>
      <w:bookmarkStart w:id="88" w:name="_Toc117947769"/>
      <w:bookmarkStart w:id="89" w:name="_Toc122092641"/>
      <w:bookmarkStart w:id="90" w:name="_Toc291195988"/>
      <w:bookmarkStart w:id="91" w:name="_Toc268077605"/>
      <w:bookmarkStart w:id="92" w:name="_Toc143085308"/>
      <w:r>
        <w:rPr>
          <w:rFonts w:hint="default" w:ascii="Times New Roman" w:hAnsi="Times New Roman" w:eastAsia="宋体" w:cs="Times New Roman"/>
          <w:color w:val="auto"/>
          <w:sz w:val="28"/>
          <w:szCs w:val="28"/>
        </w:rPr>
        <w:t>1.2.1评价目的</w:t>
      </w:r>
      <w:bookmarkEnd w:id="85"/>
    </w:p>
    <w:p w14:paraId="682FCCE5">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（1）通过对建设项目厂址周围的自然环境、社会经济和环境质量现状的调查与分析，为项目建设提供现状资料。</w:t>
      </w:r>
    </w:p>
    <w:p w14:paraId="5A3CDE2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（2）通过工程分析，查清该项目的污染类型、排污节点、主要污染源及污染物排放规律、浓度和治理情况，确定环境影响要素、污染因子，预测对环境的影响范围，提出切实可行的污染防治措施。</w:t>
      </w:r>
    </w:p>
    <w:p w14:paraId="76120401">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（3）通过分析项目建成投产后主要污染物排放对周围环境的影响程度，根据区域环境条件，提出污染物排放总量控制指标。</w:t>
      </w:r>
    </w:p>
    <w:p w14:paraId="385E4BFE">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（4）明确项目选址是否符合规划要求，并且对项目选址及平面布置合理性进行分析</w:t>
      </w:r>
      <w:r>
        <w:rPr>
          <w:rFonts w:hint="default" w:ascii="Times New Roman" w:hAnsi="Times New Roman" w:eastAsia="宋体" w:cs="Times New Roman"/>
          <w:color w:val="auto"/>
          <w:lang w:eastAsia="zh-CN"/>
        </w:rPr>
        <w:t>。</w:t>
      </w:r>
    </w:p>
    <w:p w14:paraId="220A6833">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依据国家有关法律、环保法规、产业政策等，对该项目污染特点、污染防治措施等进行综合分析，从环保角度对工程的可行性作出明确结论，为设计单位设计、环境管理部门决策、建设单位环境管理提供科学依据。</w:t>
      </w:r>
    </w:p>
    <w:p w14:paraId="430A62C0">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93" w:name="_Toc20296"/>
      <w:r>
        <w:rPr>
          <w:rFonts w:hint="default" w:ascii="Times New Roman" w:hAnsi="Times New Roman" w:eastAsia="宋体" w:cs="Times New Roman"/>
          <w:color w:val="auto"/>
          <w:sz w:val="28"/>
          <w:szCs w:val="28"/>
        </w:rPr>
        <w:t>1.2.2评价原则</w:t>
      </w:r>
      <w:bookmarkEnd w:id="93"/>
    </w:p>
    <w:p w14:paraId="22B1E71E">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根据建设项目的建设规模、内容、施工和运行特点、对环境影响的情况，结合所在区域的环境现状和环境保护的政策法规，在进行评价工作时遵从以下原则：</w:t>
      </w:r>
    </w:p>
    <w:p w14:paraId="352F4455">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（1）依法评价：符合国家及云南省环境保护相关法律法规、标准、政策和规划等要求。</w:t>
      </w:r>
    </w:p>
    <w:p w14:paraId="0FC52F1A">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（2）科学评价：科学分析项目建设对环境质量的影响。</w:t>
      </w:r>
    </w:p>
    <w:p w14:paraId="0DC85830">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（3）突出重点：根据建设项目的工程内容及其特点，明确与环境要素间的作用效应关系，充分利用相关的数据资料及成果，对建设项目主要环境影响予以重点分析和评价。</w:t>
      </w:r>
    </w:p>
    <w:bookmarkEnd w:id="86"/>
    <w:bookmarkEnd w:id="87"/>
    <w:bookmarkEnd w:id="88"/>
    <w:bookmarkEnd w:id="89"/>
    <w:bookmarkEnd w:id="90"/>
    <w:bookmarkEnd w:id="91"/>
    <w:bookmarkEnd w:id="92"/>
    <w:p w14:paraId="002DB10C">
      <w:pPr>
        <w:adjustRightInd w:val="0"/>
        <w:snapToGrid w:val="0"/>
        <w:spacing w:beforeLines="50"/>
        <w:outlineLvl w:val="1"/>
        <w:rPr>
          <w:rFonts w:hint="default" w:ascii="Times New Roman" w:hAnsi="Times New Roman" w:eastAsia="宋体" w:cs="Times New Roman"/>
          <w:b/>
          <w:color w:val="auto"/>
          <w:sz w:val="32"/>
          <w:szCs w:val="32"/>
        </w:rPr>
      </w:pPr>
      <w:bookmarkStart w:id="94" w:name="_Toc3251"/>
      <w:bookmarkStart w:id="95" w:name="_Toc15506"/>
      <w:r>
        <w:rPr>
          <w:rFonts w:hint="default" w:ascii="Times New Roman" w:hAnsi="Times New Roman" w:eastAsia="宋体" w:cs="Times New Roman"/>
          <w:b/>
          <w:color w:val="auto"/>
          <w:sz w:val="32"/>
          <w:szCs w:val="32"/>
        </w:rPr>
        <w:t>1.3环境影响识别、评价因子及评价重点</w:t>
      </w:r>
      <w:bookmarkEnd w:id="94"/>
      <w:bookmarkEnd w:id="95"/>
    </w:p>
    <w:p w14:paraId="3315EB73">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96" w:name="_Toc322365349"/>
      <w:bookmarkStart w:id="97" w:name="_Toc235361854"/>
      <w:bookmarkStart w:id="98" w:name="_Toc189209385"/>
      <w:bookmarkStart w:id="99" w:name="_Toc18559"/>
      <w:r>
        <w:rPr>
          <w:rFonts w:hint="default" w:ascii="Times New Roman" w:hAnsi="Times New Roman" w:eastAsia="宋体" w:cs="Times New Roman"/>
          <w:color w:val="auto"/>
          <w:sz w:val="28"/>
          <w:szCs w:val="28"/>
        </w:rPr>
        <w:t>1.3.1环境影响识别</w:t>
      </w:r>
      <w:bookmarkEnd w:id="96"/>
      <w:bookmarkEnd w:id="97"/>
      <w:bookmarkEnd w:id="98"/>
      <w:bookmarkEnd w:id="99"/>
    </w:p>
    <w:p w14:paraId="5B6DDD63">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rPr>
        <w:t>评价分施工期和运营期两个时段进行，为了识别环境影响，设置环境问题识别矩阵，本项目的主要环境问题采用矩阵法进行筛选，详见表1.3-1。</w:t>
      </w:r>
    </w:p>
    <w:p w14:paraId="60EA99E9">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表1.3-1 主要环境问题识别矩阵</w:t>
      </w:r>
    </w:p>
    <w:tbl>
      <w:tblPr>
        <w:tblStyle w:val="66"/>
        <w:tblW w:w="8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61"/>
        <w:gridCol w:w="540"/>
        <w:gridCol w:w="600"/>
        <w:gridCol w:w="540"/>
        <w:gridCol w:w="568"/>
        <w:gridCol w:w="617"/>
        <w:gridCol w:w="600"/>
        <w:gridCol w:w="525"/>
        <w:gridCol w:w="540"/>
        <w:gridCol w:w="540"/>
        <w:gridCol w:w="555"/>
        <w:gridCol w:w="570"/>
        <w:gridCol w:w="727"/>
      </w:tblGrid>
      <w:tr w14:paraId="785F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tblHeader/>
          <w:jc w:val="center"/>
        </w:trPr>
        <w:tc>
          <w:tcPr>
            <w:tcW w:w="1921" w:type="dxa"/>
            <w:gridSpan w:val="2"/>
            <w:tcBorders>
              <w:top w:val="single" w:color="auto" w:sz="4" w:space="0"/>
              <w:left w:val="single" w:color="auto" w:sz="4" w:space="0"/>
              <w:bottom w:val="single" w:color="auto" w:sz="4" w:space="0"/>
              <w:right w:val="single" w:color="auto" w:sz="4" w:space="0"/>
            </w:tcBorders>
            <w:vAlign w:val="center"/>
          </w:tcPr>
          <w:p w14:paraId="4658370A">
            <w:pPr>
              <w:pStyle w:val="33"/>
              <w:adjustRightInd w:val="0"/>
              <w:snapToGrid w:val="0"/>
              <w:spacing w:after="0" w:line="240" w:lineRule="auto"/>
              <w:jc w:val="center"/>
              <w:rPr>
                <w:rFonts w:hint="default" w:ascii="Times New Roman" w:hAnsi="Times New Roman" w:eastAsia="宋体" w:cs="Times New Roman"/>
                <w:b/>
                <w:bCs w:val="0"/>
                <w:color w:val="auto"/>
                <w:sz w:val="21"/>
                <w:lang w:eastAsia="zh-CN"/>
              </w:rPr>
            </w:pPr>
            <w:r>
              <w:rPr>
                <w:rFonts w:hint="default" w:ascii="Times New Roman" w:hAnsi="Times New Roman" w:eastAsia="宋体" w:cs="Times New Roman"/>
                <w:b/>
                <w:bCs w:val="0"/>
                <w:color w:val="auto"/>
                <w:sz w:val="21"/>
                <w:lang w:eastAsia="zh-CN"/>
              </w:rPr>
              <w:t>污染因子</w:t>
            </w:r>
          </w:p>
        </w:tc>
        <w:tc>
          <w:tcPr>
            <w:tcW w:w="1140" w:type="dxa"/>
            <w:gridSpan w:val="2"/>
            <w:tcBorders>
              <w:top w:val="single" w:color="auto" w:sz="4" w:space="0"/>
              <w:left w:val="single" w:color="auto" w:sz="4" w:space="0"/>
              <w:bottom w:val="single" w:color="auto" w:sz="4" w:space="0"/>
              <w:right w:val="single" w:color="auto" w:sz="4" w:space="0"/>
            </w:tcBorders>
            <w:vAlign w:val="center"/>
          </w:tcPr>
          <w:p w14:paraId="3464624C">
            <w:pPr>
              <w:pStyle w:val="33"/>
              <w:adjustRightInd w:val="0"/>
              <w:snapToGrid w:val="0"/>
              <w:spacing w:after="0" w:line="240" w:lineRule="auto"/>
              <w:jc w:val="center"/>
              <w:rPr>
                <w:rFonts w:hint="default" w:ascii="Times New Roman" w:hAnsi="Times New Roman" w:eastAsia="宋体" w:cs="Times New Roman"/>
                <w:b/>
                <w:bCs w:val="0"/>
                <w:color w:val="auto"/>
                <w:sz w:val="21"/>
                <w:lang w:eastAsia="zh-CN"/>
              </w:rPr>
            </w:pPr>
            <w:r>
              <w:rPr>
                <w:rFonts w:hint="default" w:ascii="Times New Roman" w:hAnsi="Times New Roman" w:eastAsia="宋体" w:cs="Times New Roman"/>
                <w:b/>
                <w:bCs w:val="0"/>
                <w:color w:val="auto"/>
                <w:sz w:val="21"/>
                <w:lang w:eastAsia="zh-CN"/>
              </w:rPr>
              <w:t>废气</w:t>
            </w:r>
          </w:p>
        </w:tc>
        <w:tc>
          <w:tcPr>
            <w:tcW w:w="1108" w:type="dxa"/>
            <w:gridSpan w:val="2"/>
            <w:tcBorders>
              <w:top w:val="single" w:color="auto" w:sz="4" w:space="0"/>
              <w:left w:val="single" w:color="auto" w:sz="4" w:space="0"/>
              <w:bottom w:val="single" w:color="auto" w:sz="4" w:space="0"/>
              <w:right w:val="single" w:color="auto" w:sz="4" w:space="0"/>
            </w:tcBorders>
            <w:vAlign w:val="center"/>
          </w:tcPr>
          <w:p w14:paraId="7431CD2A">
            <w:pPr>
              <w:pStyle w:val="33"/>
              <w:adjustRightInd w:val="0"/>
              <w:snapToGrid w:val="0"/>
              <w:spacing w:after="0" w:line="240" w:lineRule="auto"/>
              <w:jc w:val="center"/>
              <w:rPr>
                <w:rFonts w:hint="default" w:ascii="Times New Roman" w:hAnsi="Times New Roman" w:eastAsia="宋体" w:cs="Times New Roman"/>
                <w:b/>
                <w:bCs w:val="0"/>
                <w:color w:val="auto"/>
                <w:sz w:val="21"/>
                <w:lang w:eastAsia="zh-CN"/>
              </w:rPr>
            </w:pPr>
            <w:r>
              <w:rPr>
                <w:rFonts w:hint="default" w:ascii="Times New Roman" w:hAnsi="Times New Roman" w:eastAsia="宋体" w:cs="Times New Roman"/>
                <w:b/>
                <w:bCs w:val="0"/>
                <w:color w:val="auto"/>
                <w:sz w:val="21"/>
                <w:lang w:eastAsia="zh-CN"/>
              </w:rPr>
              <w:t>废水</w:t>
            </w:r>
          </w:p>
        </w:tc>
        <w:tc>
          <w:tcPr>
            <w:tcW w:w="1217" w:type="dxa"/>
            <w:gridSpan w:val="2"/>
            <w:tcBorders>
              <w:top w:val="single" w:color="auto" w:sz="4" w:space="0"/>
              <w:left w:val="single" w:color="auto" w:sz="4" w:space="0"/>
              <w:bottom w:val="single" w:color="auto" w:sz="4" w:space="0"/>
              <w:right w:val="single" w:color="auto" w:sz="4" w:space="0"/>
            </w:tcBorders>
            <w:vAlign w:val="center"/>
          </w:tcPr>
          <w:p w14:paraId="7684D643">
            <w:pPr>
              <w:pStyle w:val="33"/>
              <w:adjustRightInd w:val="0"/>
              <w:snapToGrid w:val="0"/>
              <w:spacing w:after="0" w:line="240" w:lineRule="auto"/>
              <w:jc w:val="center"/>
              <w:rPr>
                <w:rFonts w:hint="default" w:ascii="Times New Roman" w:hAnsi="Times New Roman" w:eastAsia="宋体" w:cs="Times New Roman"/>
                <w:b/>
                <w:bCs w:val="0"/>
                <w:color w:val="auto"/>
                <w:sz w:val="21"/>
                <w:lang w:eastAsia="zh-CN"/>
              </w:rPr>
            </w:pPr>
            <w:r>
              <w:rPr>
                <w:rFonts w:hint="default" w:ascii="Times New Roman" w:hAnsi="Times New Roman" w:eastAsia="宋体" w:cs="Times New Roman"/>
                <w:b/>
                <w:bCs w:val="0"/>
                <w:color w:val="auto"/>
                <w:sz w:val="21"/>
                <w:lang w:eastAsia="zh-CN"/>
              </w:rPr>
              <w:t>固废</w:t>
            </w:r>
          </w:p>
        </w:tc>
        <w:tc>
          <w:tcPr>
            <w:tcW w:w="1065" w:type="dxa"/>
            <w:gridSpan w:val="2"/>
            <w:tcBorders>
              <w:top w:val="single" w:color="auto" w:sz="4" w:space="0"/>
              <w:left w:val="single" w:color="auto" w:sz="4" w:space="0"/>
              <w:bottom w:val="single" w:color="auto" w:sz="4" w:space="0"/>
              <w:right w:val="single" w:color="auto" w:sz="4" w:space="0"/>
            </w:tcBorders>
            <w:vAlign w:val="center"/>
          </w:tcPr>
          <w:p w14:paraId="3C05E835">
            <w:pPr>
              <w:pStyle w:val="33"/>
              <w:adjustRightInd w:val="0"/>
              <w:snapToGrid w:val="0"/>
              <w:spacing w:after="0" w:line="240" w:lineRule="auto"/>
              <w:jc w:val="center"/>
              <w:rPr>
                <w:rFonts w:hint="default" w:ascii="Times New Roman" w:hAnsi="Times New Roman" w:eastAsia="宋体" w:cs="Times New Roman"/>
                <w:b/>
                <w:bCs w:val="0"/>
                <w:color w:val="auto"/>
                <w:sz w:val="21"/>
                <w:lang w:eastAsia="zh-CN"/>
              </w:rPr>
            </w:pPr>
            <w:r>
              <w:rPr>
                <w:rFonts w:hint="default" w:ascii="Times New Roman" w:hAnsi="Times New Roman" w:eastAsia="宋体" w:cs="Times New Roman"/>
                <w:b/>
                <w:bCs w:val="0"/>
                <w:color w:val="auto"/>
                <w:sz w:val="21"/>
                <w:lang w:eastAsia="zh-CN"/>
              </w:rPr>
              <w:t>噪声</w:t>
            </w:r>
          </w:p>
        </w:tc>
        <w:tc>
          <w:tcPr>
            <w:tcW w:w="1095" w:type="dxa"/>
            <w:gridSpan w:val="2"/>
            <w:tcBorders>
              <w:top w:val="single" w:color="auto" w:sz="4" w:space="0"/>
              <w:left w:val="single" w:color="auto" w:sz="4" w:space="0"/>
              <w:bottom w:val="single" w:color="auto" w:sz="4" w:space="0"/>
              <w:right w:val="single" w:color="auto" w:sz="4" w:space="0"/>
            </w:tcBorders>
            <w:vAlign w:val="center"/>
          </w:tcPr>
          <w:p w14:paraId="271F7D65">
            <w:pPr>
              <w:pStyle w:val="33"/>
              <w:adjustRightInd w:val="0"/>
              <w:snapToGrid w:val="0"/>
              <w:spacing w:after="0" w:line="240" w:lineRule="auto"/>
              <w:jc w:val="center"/>
              <w:rPr>
                <w:rFonts w:hint="default" w:ascii="Times New Roman" w:hAnsi="Times New Roman" w:eastAsia="宋体" w:cs="Times New Roman"/>
                <w:b/>
                <w:bCs w:val="0"/>
                <w:color w:val="auto"/>
                <w:sz w:val="21"/>
                <w:lang w:eastAsia="zh-CN"/>
              </w:rPr>
            </w:pPr>
            <w:r>
              <w:rPr>
                <w:rFonts w:hint="default" w:ascii="Times New Roman" w:hAnsi="Times New Roman" w:eastAsia="宋体" w:cs="Times New Roman"/>
                <w:b/>
                <w:bCs w:val="0"/>
                <w:color w:val="auto"/>
                <w:sz w:val="21"/>
                <w:lang w:eastAsia="zh-CN"/>
              </w:rPr>
              <w:t>生态</w:t>
            </w:r>
          </w:p>
        </w:tc>
        <w:tc>
          <w:tcPr>
            <w:tcW w:w="1297" w:type="dxa"/>
            <w:gridSpan w:val="2"/>
            <w:tcBorders>
              <w:top w:val="single" w:color="auto" w:sz="4" w:space="0"/>
              <w:left w:val="single" w:color="auto" w:sz="4" w:space="0"/>
              <w:bottom w:val="single" w:color="auto" w:sz="4" w:space="0"/>
              <w:right w:val="single" w:color="auto" w:sz="4" w:space="0"/>
            </w:tcBorders>
            <w:vAlign w:val="center"/>
          </w:tcPr>
          <w:p w14:paraId="01DA1295">
            <w:pPr>
              <w:pStyle w:val="33"/>
              <w:adjustRightInd w:val="0"/>
              <w:snapToGrid w:val="0"/>
              <w:spacing w:after="0" w:line="240" w:lineRule="auto"/>
              <w:jc w:val="center"/>
              <w:rPr>
                <w:rFonts w:hint="default" w:ascii="Times New Roman" w:hAnsi="Times New Roman" w:eastAsia="宋体" w:cs="Times New Roman"/>
                <w:b/>
                <w:bCs w:val="0"/>
                <w:color w:val="auto"/>
                <w:sz w:val="21"/>
                <w:lang w:eastAsia="zh-CN"/>
              </w:rPr>
            </w:pPr>
            <w:r>
              <w:rPr>
                <w:rFonts w:hint="default" w:ascii="Times New Roman" w:hAnsi="Times New Roman" w:eastAsia="宋体" w:cs="Times New Roman"/>
                <w:b/>
                <w:bCs w:val="0"/>
                <w:color w:val="auto"/>
                <w:sz w:val="21"/>
                <w:lang w:eastAsia="zh-CN"/>
              </w:rPr>
              <w:t>土壤</w:t>
            </w:r>
          </w:p>
        </w:tc>
      </w:tr>
      <w:tr w14:paraId="72048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7" w:hRule="atLeast"/>
          <w:tblHeader/>
          <w:jc w:val="center"/>
        </w:trPr>
        <w:tc>
          <w:tcPr>
            <w:tcW w:w="1921" w:type="dxa"/>
            <w:gridSpan w:val="2"/>
            <w:tcBorders>
              <w:top w:val="single" w:color="auto" w:sz="4" w:space="0"/>
              <w:left w:val="single" w:color="auto" w:sz="4" w:space="0"/>
              <w:bottom w:val="single" w:color="auto" w:sz="4" w:space="0"/>
              <w:right w:val="single" w:color="auto" w:sz="4" w:space="0"/>
            </w:tcBorders>
            <w:vAlign w:val="center"/>
            <mc:AlternateContent>
              <mc:Choice Requires="wpsCustomData">
                <wpsCustomData:diagonals>
                  <wpsCustomData:diagonal from="10000" to="30000">
                    <wpsCustomData:border w:val="single" w:color="auto" w:sz="4" w:space="0"/>
                  </wpsCustomData:diagonal>
                </wpsCustomData:diagonals>
              </mc:Choice>
            </mc:AlternateContent>
          </w:tcPr>
          <w:p w14:paraId="1306EE6D">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 xml:space="preserve">            </w:t>
            </w:r>
          </w:p>
          <w:p w14:paraId="6ED43F34">
            <w:pPr>
              <w:pStyle w:val="33"/>
              <w:adjustRightInd w:val="0"/>
              <w:snapToGrid w:val="0"/>
              <w:spacing w:after="0" w:line="240" w:lineRule="auto"/>
              <w:jc w:val="center"/>
              <w:rPr>
                <w:rFonts w:hint="default" w:ascii="Times New Roman" w:hAnsi="Times New Roman" w:eastAsia="宋体" w:cs="Times New Roman"/>
                <w:bCs/>
                <w:color w:val="auto"/>
                <w:sz w:val="21"/>
              </w:rPr>
            </w:pPr>
          </w:p>
          <w:p w14:paraId="58B96FBA">
            <w:pPr>
              <w:pStyle w:val="33"/>
              <w:adjustRightInd w:val="0"/>
              <w:snapToGrid w:val="0"/>
              <w:spacing w:after="0" w:line="240" w:lineRule="auto"/>
              <w:jc w:val="center"/>
              <mc:AlternateContent>
                <mc:Choice Requires="wpsCustomData">
                  <wpsCustomData:diagonalParaType/>
                </mc:Choice>
              </mc:AlternateConten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环境因素</w:t>
            </w:r>
          </w:p>
          <w:p w14:paraId="27E801E2">
            <w:pPr>
              <w:pStyle w:val="33"/>
              <w:adjustRightInd w:val="0"/>
              <w:snapToGrid w:val="0"/>
              <w:spacing w:after="0" w:line="240" w:lineRule="auto"/>
              <w:ind w:firstLine="630" w:firstLineChars="300"/>
              <w:rPr>
                <w:rFonts w:hint="default" w:ascii="Times New Roman" w:hAnsi="Times New Roman" w:eastAsia="宋体" w:cs="Times New Roman"/>
                <w:bCs/>
                <w:color w:val="auto"/>
                <w:sz w:val="21"/>
                <w:lang w:eastAsia="zh-CN"/>
              </w:rPr>
            </w:pPr>
          </w:p>
          <w:p w14:paraId="031BC206">
            <w:pPr>
              <w:pStyle w:val="33"/>
              <w:adjustRightInd w:val="0"/>
              <w:snapToGrid w:val="0"/>
              <w:spacing w:after="0" w:line="240" w:lineRule="auto"/>
              <w:rPr>
                <w:rFonts w:hint="default" w:ascii="Times New Roman" w:hAnsi="Times New Roman" w:eastAsia="宋体" w:cs="Times New Roman"/>
                <w:bCs/>
                <w:color w:val="auto"/>
                <w:sz w:val="21"/>
                <w:lang w:eastAsia="zh-CN"/>
              </w:rPr>
            </w:pPr>
            <w:r>
              <w:rPr>
                <w:rFonts w:hint="default" w:ascii="Times New Roman" w:hAnsi="Times New Roman" w:eastAsia="宋体" w:cs="Times New Roman"/>
                <w:bCs/>
                <w:color w:val="auto"/>
                <w:sz w:val="21"/>
                <w:lang w:eastAsia="zh-CN"/>
              </w:rPr>
              <w:t>时段</w:t>
            </w:r>
          </w:p>
        </w:tc>
        <w:tc>
          <w:tcPr>
            <w:tcW w:w="540" w:type="dxa"/>
            <w:tcBorders>
              <w:top w:val="single" w:color="auto" w:sz="4" w:space="0"/>
              <w:left w:val="single" w:color="auto" w:sz="4" w:space="0"/>
              <w:bottom w:val="single" w:color="auto" w:sz="4" w:space="0"/>
              <w:right w:val="single" w:color="auto" w:sz="4" w:space="0"/>
            </w:tcBorders>
            <w:vAlign w:val="center"/>
          </w:tcPr>
          <w:p w14:paraId="7C7CDBA0">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施工期</w:t>
            </w:r>
          </w:p>
        </w:tc>
        <w:tc>
          <w:tcPr>
            <w:tcW w:w="600" w:type="dxa"/>
            <w:tcBorders>
              <w:top w:val="single" w:color="auto" w:sz="4" w:space="0"/>
              <w:left w:val="single" w:color="auto" w:sz="4" w:space="0"/>
              <w:bottom w:val="single" w:color="auto" w:sz="4" w:space="0"/>
              <w:right w:val="single" w:color="auto" w:sz="4" w:space="0"/>
            </w:tcBorders>
            <w:vAlign w:val="center"/>
          </w:tcPr>
          <w:p w14:paraId="6E2E725D">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运</w:t>
            </w:r>
            <w:r>
              <w:rPr>
                <w:rFonts w:hint="default" w:ascii="Times New Roman" w:hAnsi="Times New Roman" w:eastAsia="宋体" w:cs="Times New Roman"/>
                <w:bCs/>
                <w:color w:val="auto"/>
                <w:sz w:val="21"/>
                <w:lang w:eastAsia="zh-CN"/>
              </w:rPr>
              <w:t>营</w:t>
            </w:r>
            <w:r>
              <w:rPr>
                <w:rFonts w:hint="default" w:ascii="Times New Roman" w:hAnsi="Times New Roman" w:eastAsia="宋体" w:cs="Times New Roman"/>
                <w:bCs/>
                <w:color w:val="auto"/>
                <w:sz w:val="21"/>
              </w:rPr>
              <w:t>期</w:t>
            </w:r>
          </w:p>
        </w:tc>
        <w:tc>
          <w:tcPr>
            <w:tcW w:w="540" w:type="dxa"/>
            <w:tcBorders>
              <w:top w:val="single" w:color="auto" w:sz="4" w:space="0"/>
              <w:left w:val="single" w:color="auto" w:sz="4" w:space="0"/>
              <w:bottom w:val="single" w:color="auto" w:sz="4" w:space="0"/>
              <w:right w:val="single" w:color="auto" w:sz="4" w:space="0"/>
            </w:tcBorders>
            <w:vAlign w:val="center"/>
          </w:tcPr>
          <w:p w14:paraId="74D79777">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施工期</w:t>
            </w:r>
          </w:p>
        </w:tc>
        <w:tc>
          <w:tcPr>
            <w:tcW w:w="568" w:type="dxa"/>
            <w:tcBorders>
              <w:top w:val="single" w:color="auto" w:sz="4" w:space="0"/>
              <w:left w:val="single" w:color="auto" w:sz="4" w:space="0"/>
              <w:bottom w:val="single" w:color="auto" w:sz="4" w:space="0"/>
              <w:right w:val="single" w:color="auto" w:sz="4" w:space="0"/>
            </w:tcBorders>
            <w:vAlign w:val="center"/>
          </w:tcPr>
          <w:p w14:paraId="3CF258D7">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运</w:t>
            </w:r>
            <w:r>
              <w:rPr>
                <w:rFonts w:hint="default" w:ascii="Times New Roman" w:hAnsi="Times New Roman" w:eastAsia="宋体" w:cs="Times New Roman"/>
                <w:bCs/>
                <w:color w:val="auto"/>
                <w:sz w:val="21"/>
                <w:lang w:eastAsia="zh-CN"/>
              </w:rPr>
              <w:t>营</w:t>
            </w:r>
            <w:r>
              <w:rPr>
                <w:rFonts w:hint="default" w:ascii="Times New Roman" w:hAnsi="Times New Roman" w:eastAsia="宋体" w:cs="Times New Roman"/>
                <w:bCs/>
                <w:color w:val="auto"/>
                <w:sz w:val="21"/>
              </w:rPr>
              <w:t>期</w:t>
            </w:r>
          </w:p>
        </w:tc>
        <w:tc>
          <w:tcPr>
            <w:tcW w:w="617" w:type="dxa"/>
            <w:tcBorders>
              <w:top w:val="single" w:color="auto" w:sz="4" w:space="0"/>
              <w:left w:val="single" w:color="auto" w:sz="4" w:space="0"/>
              <w:bottom w:val="single" w:color="auto" w:sz="4" w:space="0"/>
              <w:right w:val="single" w:color="auto" w:sz="4" w:space="0"/>
            </w:tcBorders>
            <w:vAlign w:val="center"/>
          </w:tcPr>
          <w:p w14:paraId="1C33502F">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施工期</w:t>
            </w:r>
          </w:p>
        </w:tc>
        <w:tc>
          <w:tcPr>
            <w:tcW w:w="600" w:type="dxa"/>
            <w:tcBorders>
              <w:top w:val="single" w:color="auto" w:sz="4" w:space="0"/>
              <w:left w:val="single" w:color="auto" w:sz="4" w:space="0"/>
              <w:bottom w:val="single" w:color="auto" w:sz="4" w:space="0"/>
              <w:right w:val="single" w:color="auto" w:sz="4" w:space="0"/>
            </w:tcBorders>
            <w:vAlign w:val="center"/>
          </w:tcPr>
          <w:p w14:paraId="1E7B493A">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运</w:t>
            </w:r>
            <w:r>
              <w:rPr>
                <w:rFonts w:hint="default" w:ascii="Times New Roman" w:hAnsi="Times New Roman" w:eastAsia="宋体" w:cs="Times New Roman"/>
                <w:bCs/>
                <w:color w:val="auto"/>
                <w:sz w:val="21"/>
                <w:lang w:eastAsia="zh-CN"/>
              </w:rPr>
              <w:t>营</w:t>
            </w:r>
            <w:r>
              <w:rPr>
                <w:rFonts w:hint="default" w:ascii="Times New Roman" w:hAnsi="Times New Roman" w:eastAsia="宋体" w:cs="Times New Roman"/>
                <w:bCs/>
                <w:color w:val="auto"/>
                <w:sz w:val="21"/>
              </w:rPr>
              <w:t>期</w:t>
            </w:r>
          </w:p>
        </w:tc>
        <w:tc>
          <w:tcPr>
            <w:tcW w:w="525" w:type="dxa"/>
            <w:tcBorders>
              <w:top w:val="single" w:color="auto" w:sz="4" w:space="0"/>
              <w:left w:val="single" w:color="auto" w:sz="4" w:space="0"/>
              <w:bottom w:val="single" w:color="auto" w:sz="4" w:space="0"/>
              <w:right w:val="single" w:color="auto" w:sz="4" w:space="0"/>
            </w:tcBorders>
            <w:vAlign w:val="center"/>
          </w:tcPr>
          <w:p w14:paraId="14E32EE6">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施工期</w:t>
            </w:r>
          </w:p>
        </w:tc>
        <w:tc>
          <w:tcPr>
            <w:tcW w:w="540" w:type="dxa"/>
            <w:tcBorders>
              <w:top w:val="single" w:color="auto" w:sz="4" w:space="0"/>
              <w:left w:val="single" w:color="auto" w:sz="4" w:space="0"/>
              <w:bottom w:val="single" w:color="auto" w:sz="4" w:space="0"/>
              <w:right w:val="single" w:color="auto" w:sz="4" w:space="0"/>
            </w:tcBorders>
            <w:vAlign w:val="center"/>
          </w:tcPr>
          <w:p w14:paraId="772B1DC6">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运</w:t>
            </w:r>
            <w:r>
              <w:rPr>
                <w:rFonts w:hint="default" w:ascii="Times New Roman" w:hAnsi="Times New Roman" w:eastAsia="宋体" w:cs="Times New Roman"/>
                <w:bCs/>
                <w:color w:val="auto"/>
                <w:sz w:val="21"/>
                <w:lang w:eastAsia="zh-CN"/>
              </w:rPr>
              <w:t>营</w:t>
            </w:r>
            <w:r>
              <w:rPr>
                <w:rFonts w:hint="default" w:ascii="Times New Roman" w:hAnsi="Times New Roman" w:eastAsia="宋体" w:cs="Times New Roman"/>
                <w:bCs/>
                <w:color w:val="auto"/>
                <w:sz w:val="21"/>
              </w:rPr>
              <w:t>期</w:t>
            </w:r>
          </w:p>
        </w:tc>
        <w:tc>
          <w:tcPr>
            <w:tcW w:w="540" w:type="dxa"/>
            <w:tcBorders>
              <w:top w:val="single" w:color="auto" w:sz="4" w:space="0"/>
              <w:left w:val="single" w:color="auto" w:sz="4" w:space="0"/>
              <w:bottom w:val="single" w:color="auto" w:sz="4" w:space="0"/>
              <w:right w:val="single" w:color="auto" w:sz="4" w:space="0"/>
            </w:tcBorders>
            <w:vAlign w:val="center"/>
          </w:tcPr>
          <w:p w14:paraId="305027E4">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施工期</w:t>
            </w:r>
          </w:p>
        </w:tc>
        <w:tc>
          <w:tcPr>
            <w:tcW w:w="555" w:type="dxa"/>
            <w:tcBorders>
              <w:top w:val="single" w:color="auto" w:sz="4" w:space="0"/>
              <w:left w:val="single" w:color="auto" w:sz="4" w:space="0"/>
              <w:bottom w:val="single" w:color="auto" w:sz="4" w:space="0"/>
              <w:right w:val="single" w:color="auto" w:sz="4" w:space="0"/>
            </w:tcBorders>
            <w:vAlign w:val="center"/>
          </w:tcPr>
          <w:p w14:paraId="37B6D9F0">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运</w:t>
            </w:r>
            <w:r>
              <w:rPr>
                <w:rFonts w:hint="default" w:ascii="Times New Roman" w:hAnsi="Times New Roman" w:eastAsia="宋体" w:cs="Times New Roman"/>
                <w:bCs/>
                <w:color w:val="auto"/>
                <w:sz w:val="21"/>
                <w:lang w:eastAsia="zh-CN"/>
              </w:rPr>
              <w:t>营</w:t>
            </w:r>
            <w:r>
              <w:rPr>
                <w:rFonts w:hint="default" w:ascii="Times New Roman" w:hAnsi="Times New Roman" w:eastAsia="宋体" w:cs="Times New Roman"/>
                <w:bCs/>
                <w:color w:val="auto"/>
                <w:sz w:val="21"/>
              </w:rPr>
              <w:t>期</w:t>
            </w:r>
          </w:p>
        </w:tc>
        <w:tc>
          <w:tcPr>
            <w:tcW w:w="570" w:type="dxa"/>
            <w:tcBorders>
              <w:top w:val="single" w:color="auto" w:sz="4" w:space="0"/>
              <w:left w:val="single" w:color="auto" w:sz="4" w:space="0"/>
              <w:bottom w:val="single" w:color="auto" w:sz="4" w:space="0"/>
              <w:right w:val="single" w:color="auto" w:sz="4" w:space="0"/>
            </w:tcBorders>
            <w:vAlign w:val="center"/>
          </w:tcPr>
          <w:p w14:paraId="7D445AFB">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施工期</w:t>
            </w:r>
          </w:p>
        </w:tc>
        <w:tc>
          <w:tcPr>
            <w:tcW w:w="727" w:type="dxa"/>
            <w:tcBorders>
              <w:top w:val="single" w:color="auto" w:sz="4" w:space="0"/>
              <w:left w:val="single" w:color="auto" w:sz="4" w:space="0"/>
              <w:bottom w:val="single" w:color="auto" w:sz="4" w:space="0"/>
              <w:right w:val="single" w:color="auto" w:sz="4" w:space="0"/>
            </w:tcBorders>
            <w:vAlign w:val="center"/>
          </w:tcPr>
          <w:p w14:paraId="50B637C4">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运</w:t>
            </w:r>
            <w:r>
              <w:rPr>
                <w:rFonts w:hint="default" w:ascii="Times New Roman" w:hAnsi="Times New Roman" w:eastAsia="宋体" w:cs="Times New Roman"/>
                <w:bCs/>
                <w:color w:val="auto"/>
                <w:sz w:val="21"/>
                <w:lang w:eastAsia="zh-CN"/>
              </w:rPr>
              <w:t>营</w:t>
            </w:r>
            <w:r>
              <w:rPr>
                <w:rFonts w:hint="default" w:ascii="Times New Roman" w:hAnsi="Times New Roman" w:eastAsia="宋体" w:cs="Times New Roman"/>
                <w:bCs/>
                <w:color w:val="auto"/>
                <w:sz w:val="21"/>
              </w:rPr>
              <w:t>期</w:t>
            </w:r>
          </w:p>
        </w:tc>
      </w:tr>
      <w:tr w14:paraId="0008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660" w:type="dxa"/>
            <w:vMerge w:val="restart"/>
            <w:tcBorders>
              <w:top w:val="single" w:color="auto" w:sz="4" w:space="0"/>
              <w:left w:val="single" w:color="auto" w:sz="4" w:space="0"/>
              <w:bottom w:val="single" w:color="auto" w:sz="2" w:space="0"/>
              <w:right w:val="single" w:color="auto" w:sz="4" w:space="0"/>
            </w:tcBorders>
            <w:vAlign w:val="center"/>
          </w:tcPr>
          <w:p w14:paraId="6E106181">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自然</w:t>
            </w:r>
          </w:p>
          <w:p w14:paraId="750DF6CB">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环境</w:t>
            </w:r>
          </w:p>
        </w:tc>
        <w:tc>
          <w:tcPr>
            <w:tcW w:w="1261" w:type="dxa"/>
            <w:tcBorders>
              <w:top w:val="single" w:color="auto" w:sz="4" w:space="0"/>
              <w:left w:val="single" w:color="auto" w:sz="4" w:space="0"/>
              <w:bottom w:val="single" w:color="auto" w:sz="4" w:space="0"/>
              <w:right w:val="single" w:color="auto" w:sz="4" w:space="0"/>
            </w:tcBorders>
            <w:vAlign w:val="center"/>
          </w:tcPr>
          <w:p w14:paraId="1C58AB8E">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地质、地貌</w:t>
            </w:r>
          </w:p>
        </w:tc>
        <w:tc>
          <w:tcPr>
            <w:tcW w:w="540" w:type="dxa"/>
            <w:tcBorders>
              <w:top w:val="single" w:color="auto" w:sz="4" w:space="0"/>
              <w:left w:val="single" w:color="auto" w:sz="4" w:space="0"/>
              <w:bottom w:val="single" w:color="auto" w:sz="4" w:space="0"/>
              <w:right w:val="single" w:color="auto" w:sz="4" w:space="0"/>
            </w:tcBorders>
            <w:vAlign w:val="center"/>
          </w:tcPr>
          <w:p w14:paraId="2338068A">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6DD6A45B">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53ED772B">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08ABFFB1">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5AC9D293">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57771CBE">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7677EA3D">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6B727A69">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0F82D3E8">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c>
          <w:tcPr>
            <w:tcW w:w="555" w:type="dxa"/>
            <w:tcBorders>
              <w:top w:val="single" w:color="auto" w:sz="4" w:space="0"/>
              <w:left w:val="single" w:color="auto" w:sz="4" w:space="0"/>
              <w:bottom w:val="single" w:color="auto" w:sz="4" w:space="0"/>
              <w:right w:val="single" w:color="auto" w:sz="4" w:space="0"/>
            </w:tcBorders>
            <w:vAlign w:val="center"/>
          </w:tcPr>
          <w:p w14:paraId="35359E3A">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1F2E6281">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727" w:type="dxa"/>
            <w:tcBorders>
              <w:top w:val="single" w:color="auto" w:sz="4" w:space="0"/>
              <w:left w:val="single" w:color="auto" w:sz="4" w:space="0"/>
              <w:bottom w:val="single" w:color="auto" w:sz="4" w:space="0"/>
              <w:right w:val="single" w:color="auto" w:sz="4" w:space="0"/>
            </w:tcBorders>
            <w:vAlign w:val="center"/>
          </w:tcPr>
          <w:p w14:paraId="2C3912A7">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7ECA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continue"/>
            <w:tcBorders>
              <w:top w:val="single" w:color="auto" w:sz="4" w:space="0"/>
              <w:left w:val="single" w:color="auto" w:sz="4" w:space="0"/>
              <w:bottom w:val="single" w:color="auto" w:sz="2" w:space="0"/>
              <w:right w:val="single" w:color="auto" w:sz="4" w:space="0"/>
            </w:tcBorders>
            <w:vAlign w:val="center"/>
          </w:tcPr>
          <w:p w14:paraId="369C6C8A">
            <w:pPr>
              <w:widowControl/>
              <w:spacing w:line="240" w:lineRule="auto"/>
              <w:jc w:val="left"/>
              <w:rPr>
                <w:rFonts w:hint="default" w:ascii="Times New Roman" w:hAnsi="Times New Roman" w:eastAsia="宋体" w:cs="Times New Roman"/>
                <w:bCs/>
                <w:color w:val="auto"/>
                <w:sz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08B375EB">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大气质量</w:t>
            </w:r>
          </w:p>
        </w:tc>
        <w:tc>
          <w:tcPr>
            <w:tcW w:w="540" w:type="dxa"/>
            <w:tcBorders>
              <w:top w:val="single" w:color="auto" w:sz="4" w:space="0"/>
              <w:left w:val="single" w:color="auto" w:sz="4" w:space="0"/>
              <w:bottom w:val="single" w:color="auto" w:sz="4" w:space="0"/>
              <w:right w:val="single" w:color="auto" w:sz="4" w:space="0"/>
            </w:tcBorders>
            <w:vAlign w:val="center"/>
          </w:tcPr>
          <w:p w14:paraId="1CBE23FA">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600" w:type="dxa"/>
            <w:tcBorders>
              <w:top w:val="single" w:color="auto" w:sz="4" w:space="0"/>
              <w:left w:val="single" w:color="auto" w:sz="4" w:space="0"/>
              <w:bottom w:val="single" w:color="auto" w:sz="4" w:space="0"/>
              <w:right w:val="single" w:color="auto" w:sz="4" w:space="0"/>
            </w:tcBorders>
            <w:vAlign w:val="center"/>
          </w:tcPr>
          <w:p w14:paraId="5F1A44F3">
            <w:pPr>
              <w:pStyle w:val="33"/>
              <w:adjustRightInd w:val="0"/>
              <w:snapToGrid w:val="0"/>
              <w:spacing w:after="0" w:line="240" w:lineRule="auto"/>
              <w:jc w:val="center"/>
              <w:rPr>
                <w:rFonts w:hint="default" w:ascii="Times New Roman" w:hAnsi="Times New Roman" w:eastAsia="宋体" w:cs="Times New Roman"/>
                <w:bCs/>
                <w:color w:val="auto"/>
                <w:sz w:val="21"/>
                <w:lang w:eastAsia="zh-CN"/>
              </w:rPr>
            </w:pPr>
            <w:r>
              <w:rPr>
                <w:rFonts w:hint="default" w:ascii="Times New Roman" w:hAnsi="Times New Roman" w:eastAsia="宋体" w:cs="Times New Roman"/>
                <w:bCs/>
                <w:color w:val="auto"/>
                <w:sz w:val="21"/>
              </w:rPr>
              <w:t>-L</w:t>
            </w:r>
            <w:r>
              <w:rPr>
                <w:rFonts w:hint="default" w:ascii="Times New Roman" w:hAnsi="Times New Roman" w:eastAsia="宋体" w:cs="Times New Roman"/>
                <w:bCs/>
                <w:color w:val="auto"/>
                <w:sz w:val="21"/>
                <w:lang w:val="en-US" w:eastAsia="zh-CN"/>
              </w:rPr>
              <w:t>1</w:t>
            </w:r>
          </w:p>
        </w:tc>
        <w:tc>
          <w:tcPr>
            <w:tcW w:w="540" w:type="dxa"/>
            <w:tcBorders>
              <w:top w:val="single" w:color="auto" w:sz="4" w:space="0"/>
              <w:left w:val="single" w:color="auto" w:sz="4" w:space="0"/>
              <w:bottom w:val="single" w:color="auto" w:sz="4" w:space="0"/>
              <w:right w:val="single" w:color="auto" w:sz="4" w:space="0"/>
            </w:tcBorders>
            <w:vAlign w:val="center"/>
          </w:tcPr>
          <w:p w14:paraId="28F7E4EE">
            <w:pPr>
              <w:adjustRightInd w:val="0"/>
              <w:snapToGrid w:val="0"/>
              <w:spacing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157EA40E">
            <w:pPr>
              <w:adjustRightInd w:val="0"/>
              <w:snapToGrid w:val="0"/>
              <w:spacing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2728D962">
            <w:pPr>
              <w:adjustRightInd w:val="0"/>
              <w:snapToGrid w:val="0"/>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600" w:type="dxa"/>
            <w:tcBorders>
              <w:top w:val="single" w:color="auto" w:sz="4" w:space="0"/>
              <w:left w:val="single" w:color="auto" w:sz="4" w:space="0"/>
              <w:bottom w:val="single" w:color="auto" w:sz="4" w:space="0"/>
              <w:right w:val="single" w:color="auto" w:sz="4" w:space="0"/>
            </w:tcBorders>
            <w:vAlign w:val="center"/>
          </w:tcPr>
          <w:p w14:paraId="3B9C8A14">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770723B2">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083C2899">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42B259D5">
            <w:pPr>
              <w:adjustRightInd w:val="0"/>
              <w:snapToGrid w:val="0"/>
              <w:spacing w:line="240" w:lineRule="auto"/>
              <w:jc w:val="center"/>
              <w:rPr>
                <w:rFonts w:hint="default" w:ascii="Times New Roman" w:hAnsi="Times New Roman" w:eastAsia="宋体" w:cs="Times New Roman"/>
                <w:bCs/>
                <w:color w:val="auto"/>
                <w:sz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1E6A0FD3">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0D39405C">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727" w:type="dxa"/>
            <w:tcBorders>
              <w:top w:val="single" w:color="auto" w:sz="4" w:space="0"/>
              <w:left w:val="single" w:color="auto" w:sz="4" w:space="0"/>
              <w:bottom w:val="single" w:color="auto" w:sz="4" w:space="0"/>
              <w:right w:val="single" w:color="auto" w:sz="4" w:space="0"/>
            </w:tcBorders>
            <w:vAlign w:val="center"/>
          </w:tcPr>
          <w:p w14:paraId="3CDCCD63">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6F02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continue"/>
            <w:tcBorders>
              <w:top w:val="single" w:color="auto" w:sz="4" w:space="0"/>
              <w:left w:val="single" w:color="auto" w:sz="4" w:space="0"/>
              <w:bottom w:val="single" w:color="auto" w:sz="2" w:space="0"/>
              <w:right w:val="single" w:color="auto" w:sz="4" w:space="0"/>
            </w:tcBorders>
            <w:vAlign w:val="center"/>
          </w:tcPr>
          <w:p w14:paraId="4E109B28">
            <w:pPr>
              <w:widowControl/>
              <w:spacing w:line="240" w:lineRule="auto"/>
              <w:jc w:val="left"/>
              <w:rPr>
                <w:rFonts w:hint="default" w:ascii="Times New Roman" w:hAnsi="Times New Roman" w:eastAsia="宋体" w:cs="Times New Roman"/>
                <w:bCs/>
                <w:color w:val="auto"/>
                <w:sz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288A92D8">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地表水质</w:t>
            </w:r>
          </w:p>
        </w:tc>
        <w:tc>
          <w:tcPr>
            <w:tcW w:w="540" w:type="dxa"/>
            <w:tcBorders>
              <w:top w:val="single" w:color="auto" w:sz="4" w:space="0"/>
              <w:left w:val="single" w:color="auto" w:sz="4" w:space="0"/>
              <w:bottom w:val="single" w:color="auto" w:sz="4" w:space="0"/>
              <w:right w:val="single" w:color="auto" w:sz="4" w:space="0"/>
            </w:tcBorders>
            <w:vAlign w:val="center"/>
          </w:tcPr>
          <w:p w14:paraId="28D81F31">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562C533C">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2CCE791E">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568" w:type="dxa"/>
            <w:tcBorders>
              <w:top w:val="single" w:color="auto" w:sz="4" w:space="0"/>
              <w:left w:val="single" w:color="auto" w:sz="4" w:space="0"/>
              <w:bottom w:val="single" w:color="auto" w:sz="4" w:space="0"/>
              <w:right w:val="single" w:color="auto" w:sz="4" w:space="0"/>
            </w:tcBorders>
            <w:vAlign w:val="center"/>
          </w:tcPr>
          <w:p w14:paraId="109E3191">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7D28B4D7">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600" w:type="dxa"/>
            <w:tcBorders>
              <w:top w:val="single" w:color="auto" w:sz="4" w:space="0"/>
              <w:left w:val="single" w:color="auto" w:sz="4" w:space="0"/>
              <w:bottom w:val="single" w:color="auto" w:sz="4" w:space="0"/>
              <w:right w:val="single" w:color="auto" w:sz="4" w:space="0"/>
            </w:tcBorders>
            <w:vAlign w:val="center"/>
          </w:tcPr>
          <w:p w14:paraId="48A8B170">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24453397">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06D5724B">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425DA399">
            <w:pPr>
              <w:adjustRightInd w:val="0"/>
              <w:snapToGrid w:val="0"/>
              <w:spacing w:line="240" w:lineRule="auto"/>
              <w:jc w:val="center"/>
              <w:rPr>
                <w:rFonts w:hint="default" w:ascii="Times New Roman" w:hAnsi="Times New Roman" w:eastAsia="宋体" w:cs="Times New Roman"/>
                <w:bCs/>
                <w:color w:val="auto"/>
                <w:sz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27505BC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5055CC63">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727" w:type="dxa"/>
            <w:tcBorders>
              <w:top w:val="single" w:color="auto" w:sz="4" w:space="0"/>
              <w:left w:val="single" w:color="auto" w:sz="4" w:space="0"/>
              <w:bottom w:val="single" w:color="auto" w:sz="4" w:space="0"/>
              <w:right w:val="single" w:color="auto" w:sz="4" w:space="0"/>
            </w:tcBorders>
            <w:vAlign w:val="center"/>
          </w:tcPr>
          <w:p w14:paraId="3166E48B">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298D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continue"/>
            <w:tcBorders>
              <w:top w:val="single" w:color="auto" w:sz="4" w:space="0"/>
              <w:left w:val="single" w:color="auto" w:sz="4" w:space="0"/>
              <w:bottom w:val="single" w:color="auto" w:sz="2" w:space="0"/>
              <w:right w:val="single" w:color="auto" w:sz="4" w:space="0"/>
            </w:tcBorders>
            <w:vAlign w:val="center"/>
          </w:tcPr>
          <w:p w14:paraId="410B857F">
            <w:pPr>
              <w:widowControl/>
              <w:spacing w:line="240" w:lineRule="auto"/>
              <w:jc w:val="left"/>
              <w:rPr>
                <w:rFonts w:hint="default" w:ascii="Times New Roman" w:hAnsi="Times New Roman" w:eastAsia="宋体" w:cs="Times New Roman"/>
                <w:bCs/>
                <w:color w:val="auto"/>
                <w:sz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6A5BFD39">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地下水</w:t>
            </w:r>
          </w:p>
        </w:tc>
        <w:tc>
          <w:tcPr>
            <w:tcW w:w="540" w:type="dxa"/>
            <w:tcBorders>
              <w:top w:val="single" w:color="auto" w:sz="4" w:space="0"/>
              <w:left w:val="single" w:color="auto" w:sz="4" w:space="0"/>
              <w:bottom w:val="single" w:color="auto" w:sz="4" w:space="0"/>
              <w:right w:val="single" w:color="auto" w:sz="4" w:space="0"/>
            </w:tcBorders>
            <w:vAlign w:val="center"/>
          </w:tcPr>
          <w:p w14:paraId="3F53963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777722C2">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240DCB0D">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43CC6028">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c>
          <w:tcPr>
            <w:tcW w:w="617" w:type="dxa"/>
            <w:tcBorders>
              <w:top w:val="single" w:color="auto" w:sz="4" w:space="0"/>
              <w:left w:val="single" w:color="auto" w:sz="4" w:space="0"/>
              <w:bottom w:val="single" w:color="auto" w:sz="4" w:space="0"/>
              <w:right w:val="single" w:color="auto" w:sz="4" w:space="0"/>
            </w:tcBorders>
            <w:vAlign w:val="center"/>
          </w:tcPr>
          <w:p w14:paraId="5EC12338">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18E747F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5919C2EE">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78A45908">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09460448">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6F53A1A3">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52327141">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727" w:type="dxa"/>
            <w:tcBorders>
              <w:top w:val="single" w:color="auto" w:sz="4" w:space="0"/>
              <w:left w:val="single" w:color="auto" w:sz="4" w:space="0"/>
              <w:bottom w:val="single" w:color="auto" w:sz="4" w:space="0"/>
              <w:right w:val="single" w:color="auto" w:sz="4" w:space="0"/>
            </w:tcBorders>
            <w:vAlign w:val="center"/>
          </w:tcPr>
          <w:p w14:paraId="02D062CE">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36B1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continue"/>
            <w:tcBorders>
              <w:top w:val="single" w:color="auto" w:sz="4" w:space="0"/>
              <w:left w:val="single" w:color="auto" w:sz="4" w:space="0"/>
              <w:bottom w:val="single" w:color="auto" w:sz="2" w:space="0"/>
              <w:right w:val="single" w:color="auto" w:sz="4" w:space="0"/>
            </w:tcBorders>
            <w:vAlign w:val="center"/>
          </w:tcPr>
          <w:p w14:paraId="2F44EC75">
            <w:pPr>
              <w:widowControl/>
              <w:spacing w:line="240" w:lineRule="auto"/>
              <w:jc w:val="left"/>
              <w:rPr>
                <w:rFonts w:hint="default" w:ascii="Times New Roman" w:hAnsi="Times New Roman" w:eastAsia="宋体" w:cs="Times New Roman"/>
                <w:bCs/>
                <w:color w:val="auto"/>
                <w:sz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6E5E1A9C">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声</w:t>
            </w:r>
          </w:p>
        </w:tc>
        <w:tc>
          <w:tcPr>
            <w:tcW w:w="540" w:type="dxa"/>
            <w:tcBorders>
              <w:top w:val="single" w:color="auto" w:sz="4" w:space="0"/>
              <w:left w:val="single" w:color="auto" w:sz="4" w:space="0"/>
              <w:bottom w:val="single" w:color="auto" w:sz="4" w:space="0"/>
              <w:right w:val="single" w:color="auto" w:sz="4" w:space="0"/>
            </w:tcBorders>
            <w:vAlign w:val="center"/>
          </w:tcPr>
          <w:p w14:paraId="3C07F68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307EDF8B">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75754879">
            <w:pPr>
              <w:adjustRightInd w:val="0"/>
              <w:snapToGrid w:val="0"/>
              <w:spacing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2787CE2B">
            <w:pPr>
              <w:adjustRightInd w:val="0"/>
              <w:snapToGrid w:val="0"/>
              <w:spacing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597A067B">
            <w:pPr>
              <w:adjustRightInd w:val="0"/>
              <w:snapToGrid w:val="0"/>
              <w:spacing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387C7288">
            <w:pPr>
              <w:adjustRightInd w:val="0"/>
              <w:snapToGrid w:val="0"/>
              <w:spacing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19CB3055">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540" w:type="dxa"/>
            <w:tcBorders>
              <w:top w:val="single" w:color="auto" w:sz="4" w:space="0"/>
              <w:left w:val="single" w:color="auto" w:sz="4" w:space="0"/>
              <w:bottom w:val="single" w:color="auto" w:sz="4" w:space="0"/>
              <w:right w:val="single" w:color="auto" w:sz="4" w:space="0"/>
            </w:tcBorders>
            <w:vAlign w:val="center"/>
          </w:tcPr>
          <w:p w14:paraId="49582C80">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c>
          <w:tcPr>
            <w:tcW w:w="540" w:type="dxa"/>
            <w:tcBorders>
              <w:top w:val="single" w:color="auto" w:sz="4" w:space="0"/>
              <w:left w:val="single" w:color="auto" w:sz="4" w:space="0"/>
              <w:bottom w:val="single" w:color="auto" w:sz="4" w:space="0"/>
              <w:right w:val="single" w:color="auto" w:sz="4" w:space="0"/>
            </w:tcBorders>
            <w:vAlign w:val="center"/>
          </w:tcPr>
          <w:p w14:paraId="019899B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646D47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6A97E78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727" w:type="dxa"/>
            <w:tcBorders>
              <w:top w:val="single" w:color="auto" w:sz="4" w:space="0"/>
              <w:left w:val="single" w:color="auto" w:sz="4" w:space="0"/>
              <w:bottom w:val="single" w:color="auto" w:sz="4" w:space="0"/>
              <w:right w:val="single" w:color="auto" w:sz="4" w:space="0"/>
            </w:tcBorders>
            <w:vAlign w:val="center"/>
          </w:tcPr>
          <w:p w14:paraId="6F4467FB">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59FFE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continue"/>
            <w:tcBorders>
              <w:top w:val="single" w:color="auto" w:sz="4" w:space="0"/>
              <w:left w:val="single" w:color="auto" w:sz="4" w:space="0"/>
              <w:bottom w:val="single" w:color="auto" w:sz="2" w:space="0"/>
              <w:right w:val="single" w:color="auto" w:sz="4" w:space="0"/>
            </w:tcBorders>
            <w:vAlign w:val="center"/>
          </w:tcPr>
          <w:p w14:paraId="7917F9AA">
            <w:pPr>
              <w:widowControl/>
              <w:spacing w:line="240" w:lineRule="auto"/>
              <w:jc w:val="left"/>
              <w:rPr>
                <w:rFonts w:hint="default" w:ascii="Times New Roman" w:hAnsi="Times New Roman" w:eastAsia="宋体" w:cs="Times New Roman"/>
                <w:bCs/>
                <w:color w:val="auto"/>
                <w:sz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37DE5DF1">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土壤</w:t>
            </w:r>
          </w:p>
        </w:tc>
        <w:tc>
          <w:tcPr>
            <w:tcW w:w="540" w:type="dxa"/>
            <w:tcBorders>
              <w:top w:val="single" w:color="auto" w:sz="4" w:space="0"/>
              <w:left w:val="single" w:color="auto" w:sz="4" w:space="0"/>
              <w:bottom w:val="single" w:color="auto" w:sz="4" w:space="0"/>
              <w:right w:val="single" w:color="auto" w:sz="4" w:space="0"/>
            </w:tcBorders>
            <w:vAlign w:val="center"/>
          </w:tcPr>
          <w:p w14:paraId="27C1787A">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011D0D31">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5D09F9FA">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66BB10E0">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03456347">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600" w:type="dxa"/>
            <w:tcBorders>
              <w:top w:val="single" w:color="auto" w:sz="4" w:space="0"/>
              <w:left w:val="single" w:color="auto" w:sz="4" w:space="0"/>
              <w:bottom w:val="single" w:color="auto" w:sz="4" w:space="0"/>
              <w:right w:val="single" w:color="auto" w:sz="4" w:space="0"/>
            </w:tcBorders>
            <w:vAlign w:val="center"/>
          </w:tcPr>
          <w:p w14:paraId="05565D40">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1DD23E4E">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720175F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29116CB0">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555" w:type="dxa"/>
            <w:tcBorders>
              <w:top w:val="single" w:color="auto" w:sz="4" w:space="0"/>
              <w:left w:val="single" w:color="auto" w:sz="4" w:space="0"/>
              <w:bottom w:val="single" w:color="auto" w:sz="4" w:space="0"/>
              <w:right w:val="single" w:color="auto" w:sz="4" w:space="0"/>
            </w:tcBorders>
            <w:vAlign w:val="center"/>
          </w:tcPr>
          <w:p w14:paraId="0396B233">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75B3D107">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727" w:type="dxa"/>
            <w:tcBorders>
              <w:top w:val="single" w:color="auto" w:sz="4" w:space="0"/>
              <w:left w:val="single" w:color="auto" w:sz="4" w:space="0"/>
              <w:bottom w:val="single" w:color="auto" w:sz="4" w:space="0"/>
              <w:right w:val="single" w:color="auto" w:sz="4" w:space="0"/>
            </w:tcBorders>
            <w:vAlign w:val="center"/>
          </w:tcPr>
          <w:p w14:paraId="7B680A51">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r>
      <w:tr w14:paraId="35C6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continue"/>
            <w:tcBorders>
              <w:top w:val="single" w:color="auto" w:sz="4" w:space="0"/>
              <w:left w:val="single" w:color="auto" w:sz="4" w:space="0"/>
              <w:bottom w:val="single" w:color="auto" w:sz="2" w:space="0"/>
              <w:right w:val="single" w:color="auto" w:sz="4" w:space="0"/>
            </w:tcBorders>
            <w:vAlign w:val="center"/>
          </w:tcPr>
          <w:p w14:paraId="247D9BB8">
            <w:pPr>
              <w:widowControl/>
              <w:spacing w:line="240" w:lineRule="auto"/>
              <w:jc w:val="left"/>
              <w:rPr>
                <w:rFonts w:hint="default" w:ascii="Times New Roman" w:hAnsi="Times New Roman" w:eastAsia="宋体" w:cs="Times New Roman"/>
                <w:bCs/>
                <w:color w:val="auto"/>
                <w:sz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66860416">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水土流失</w:t>
            </w:r>
          </w:p>
        </w:tc>
        <w:tc>
          <w:tcPr>
            <w:tcW w:w="540" w:type="dxa"/>
            <w:tcBorders>
              <w:top w:val="single" w:color="auto" w:sz="4" w:space="0"/>
              <w:left w:val="single" w:color="auto" w:sz="4" w:space="0"/>
              <w:bottom w:val="single" w:color="auto" w:sz="4" w:space="0"/>
              <w:right w:val="single" w:color="auto" w:sz="4" w:space="0"/>
            </w:tcBorders>
            <w:vAlign w:val="center"/>
          </w:tcPr>
          <w:p w14:paraId="3C7735E8">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43FDE42C">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01451623">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568" w:type="dxa"/>
            <w:tcBorders>
              <w:top w:val="single" w:color="auto" w:sz="4" w:space="0"/>
              <w:left w:val="single" w:color="auto" w:sz="4" w:space="0"/>
              <w:bottom w:val="single" w:color="auto" w:sz="4" w:space="0"/>
              <w:right w:val="single" w:color="auto" w:sz="4" w:space="0"/>
            </w:tcBorders>
            <w:vAlign w:val="center"/>
          </w:tcPr>
          <w:p w14:paraId="1DE35D02">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6EF6B436">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600" w:type="dxa"/>
            <w:tcBorders>
              <w:top w:val="single" w:color="auto" w:sz="4" w:space="0"/>
              <w:left w:val="single" w:color="auto" w:sz="4" w:space="0"/>
              <w:bottom w:val="single" w:color="auto" w:sz="4" w:space="0"/>
              <w:right w:val="single" w:color="auto" w:sz="4" w:space="0"/>
            </w:tcBorders>
            <w:vAlign w:val="center"/>
          </w:tcPr>
          <w:p w14:paraId="05D35FFE">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2ACBF104">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1DB52888">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66ADB182">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555" w:type="dxa"/>
            <w:tcBorders>
              <w:top w:val="single" w:color="auto" w:sz="4" w:space="0"/>
              <w:left w:val="single" w:color="auto" w:sz="4" w:space="0"/>
              <w:bottom w:val="single" w:color="auto" w:sz="4" w:space="0"/>
              <w:right w:val="single" w:color="auto" w:sz="4" w:space="0"/>
            </w:tcBorders>
            <w:vAlign w:val="center"/>
          </w:tcPr>
          <w:p w14:paraId="564E78FD">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63FC549F">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727" w:type="dxa"/>
            <w:tcBorders>
              <w:top w:val="single" w:color="auto" w:sz="4" w:space="0"/>
              <w:left w:val="single" w:color="auto" w:sz="4" w:space="0"/>
              <w:bottom w:val="single" w:color="auto" w:sz="4" w:space="0"/>
              <w:right w:val="single" w:color="auto" w:sz="4" w:space="0"/>
            </w:tcBorders>
            <w:vAlign w:val="center"/>
          </w:tcPr>
          <w:p w14:paraId="1F00092D">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7E32E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continue"/>
            <w:tcBorders>
              <w:top w:val="single" w:color="auto" w:sz="4" w:space="0"/>
              <w:left w:val="single" w:color="auto" w:sz="4" w:space="0"/>
              <w:bottom w:val="single" w:color="auto" w:sz="2" w:space="0"/>
              <w:right w:val="single" w:color="auto" w:sz="4" w:space="0"/>
            </w:tcBorders>
            <w:vAlign w:val="center"/>
          </w:tcPr>
          <w:p w14:paraId="7EC131D1">
            <w:pPr>
              <w:widowControl/>
              <w:spacing w:line="240" w:lineRule="auto"/>
              <w:jc w:val="left"/>
              <w:rPr>
                <w:rFonts w:hint="default" w:ascii="Times New Roman" w:hAnsi="Times New Roman" w:eastAsia="宋体" w:cs="Times New Roman"/>
                <w:bCs/>
                <w:color w:val="auto"/>
                <w:sz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0DA7665C">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植被</w:t>
            </w:r>
          </w:p>
        </w:tc>
        <w:tc>
          <w:tcPr>
            <w:tcW w:w="540" w:type="dxa"/>
            <w:tcBorders>
              <w:top w:val="single" w:color="auto" w:sz="4" w:space="0"/>
              <w:left w:val="single" w:color="auto" w:sz="4" w:space="0"/>
              <w:bottom w:val="single" w:color="auto" w:sz="4" w:space="0"/>
              <w:right w:val="single" w:color="auto" w:sz="4" w:space="0"/>
            </w:tcBorders>
            <w:vAlign w:val="center"/>
          </w:tcPr>
          <w:p w14:paraId="78DE65A2">
            <w:pPr>
              <w:adjustRightInd w:val="0"/>
              <w:snapToGrid w:val="0"/>
              <w:spacing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47372CD9">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c>
          <w:tcPr>
            <w:tcW w:w="540" w:type="dxa"/>
            <w:tcBorders>
              <w:top w:val="single" w:color="auto" w:sz="4" w:space="0"/>
              <w:left w:val="single" w:color="auto" w:sz="4" w:space="0"/>
              <w:bottom w:val="single" w:color="auto" w:sz="4" w:space="0"/>
              <w:right w:val="single" w:color="auto" w:sz="4" w:space="0"/>
            </w:tcBorders>
            <w:vAlign w:val="center"/>
          </w:tcPr>
          <w:p w14:paraId="7831607C">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283ADF8C">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0A0AB36A">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600" w:type="dxa"/>
            <w:tcBorders>
              <w:top w:val="single" w:color="auto" w:sz="4" w:space="0"/>
              <w:left w:val="single" w:color="auto" w:sz="4" w:space="0"/>
              <w:bottom w:val="single" w:color="auto" w:sz="4" w:space="0"/>
              <w:right w:val="single" w:color="auto" w:sz="4" w:space="0"/>
            </w:tcBorders>
            <w:vAlign w:val="center"/>
          </w:tcPr>
          <w:p w14:paraId="64B4E8F1">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20B581BA">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588B5728">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6B839148">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2C18B5DB">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c>
          <w:tcPr>
            <w:tcW w:w="570" w:type="dxa"/>
            <w:tcBorders>
              <w:top w:val="single" w:color="auto" w:sz="4" w:space="0"/>
              <w:left w:val="single" w:color="auto" w:sz="4" w:space="0"/>
              <w:bottom w:val="single" w:color="auto" w:sz="4" w:space="0"/>
              <w:right w:val="single" w:color="auto" w:sz="4" w:space="0"/>
            </w:tcBorders>
            <w:vAlign w:val="center"/>
          </w:tcPr>
          <w:p w14:paraId="49CC8981">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727" w:type="dxa"/>
            <w:tcBorders>
              <w:top w:val="single" w:color="auto" w:sz="4" w:space="0"/>
              <w:left w:val="single" w:color="auto" w:sz="4" w:space="0"/>
              <w:bottom w:val="single" w:color="auto" w:sz="4" w:space="0"/>
              <w:right w:val="single" w:color="auto" w:sz="4" w:space="0"/>
            </w:tcBorders>
            <w:vAlign w:val="center"/>
          </w:tcPr>
          <w:p w14:paraId="791D4756">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6326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restart"/>
            <w:tcBorders>
              <w:top w:val="single" w:color="auto" w:sz="4" w:space="0"/>
              <w:left w:val="single" w:color="auto" w:sz="4" w:space="0"/>
              <w:bottom w:val="single" w:color="auto" w:sz="4" w:space="0"/>
              <w:right w:val="single" w:color="auto" w:sz="4" w:space="0"/>
            </w:tcBorders>
            <w:vAlign w:val="center"/>
          </w:tcPr>
          <w:p w14:paraId="18880FDE">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自然</w:t>
            </w:r>
          </w:p>
          <w:p w14:paraId="29C9CCD0">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资源</w:t>
            </w:r>
          </w:p>
        </w:tc>
        <w:tc>
          <w:tcPr>
            <w:tcW w:w="1261" w:type="dxa"/>
            <w:tcBorders>
              <w:top w:val="single" w:color="auto" w:sz="4" w:space="0"/>
              <w:left w:val="single" w:color="auto" w:sz="4" w:space="0"/>
              <w:bottom w:val="single" w:color="auto" w:sz="4" w:space="0"/>
              <w:right w:val="single" w:color="auto" w:sz="4" w:space="0"/>
            </w:tcBorders>
            <w:vAlign w:val="center"/>
          </w:tcPr>
          <w:p w14:paraId="6F9D13D4">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水资源</w:t>
            </w:r>
          </w:p>
        </w:tc>
        <w:tc>
          <w:tcPr>
            <w:tcW w:w="540" w:type="dxa"/>
            <w:tcBorders>
              <w:top w:val="single" w:color="auto" w:sz="4" w:space="0"/>
              <w:left w:val="single" w:color="auto" w:sz="4" w:space="0"/>
              <w:bottom w:val="single" w:color="auto" w:sz="4" w:space="0"/>
              <w:right w:val="single" w:color="auto" w:sz="4" w:space="0"/>
            </w:tcBorders>
            <w:vAlign w:val="center"/>
          </w:tcPr>
          <w:p w14:paraId="5C871661">
            <w:pPr>
              <w:adjustRightInd w:val="0"/>
              <w:snapToGrid w:val="0"/>
              <w:spacing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50ED11F7">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43A2D7FD">
            <w:pPr>
              <w:adjustRightInd w:val="0"/>
              <w:snapToGrid w:val="0"/>
              <w:spacing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2EB9C2C2">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1FAB97E4">
            <w:pPr>
              <w:adjustRightInd w:val="0"/>
              <w:snapToGrid w:val="0"/>
              <w:spacing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4B86DBF5">
            <w:pPr>
              <w:adjustRightInd w:val="0"/>
              <w:snapToGrid w:val="0"/>
              <w:spacing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37F56030">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3862687F">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10579688">
            <w:pPr>
              <w:adjustRightInd w:val="0"/>
              <w:snapToGrid w:val="0"/>
              <w:spacing w:line="240" w:lineRule="auto"/>
              <w:jc w:val="center"/>
              <w:rPr>
                <w:rFonts w:hint="default" w:ascii="Times New Roman" w:hAnsi="Times New Roman" w:eastAsia="宋体" w:cs="Times New Roman"/>
                <w:bCs/>
                <w:color w:val="auto"/>
                <w:sz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63B90DC2">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4DA7E568">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727" w:type="dxa"/>
            <w:tcBorders>
              <w:top w:val="single" w:color="auto" w:sz="4" w:space="0"/>
              <w:left w:val="single" w:color="auto" w:sz="4" w:space="0"/>
              <w:bottom w:val="single" w:color="auto" w:sz="4" w:space="0"/>
              <w:right w:val="single" w:color="auto" w:sz="4" w:space="0"/>
            </w:tcBorders>
            <w:vAlign w:val="center"/>
          </w:tcPr>
          <w:p w14:paraId="3FD5B62D">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0A31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660" w:type="dxa"/>
            <w:vMerge w:val="continue"/>
            <w:tcBorders>
              <w:top w:val="single" w:color="auto" w:sz="4" w:space="0"/>
              <w:left w:val="single" w:color="auto" w:sz="4" w:space="0"/>
              <w:bottom w:val="single" w:color="auto" w:sz="4" w:space="0"/>
              <w:right w:val="single" w:color="auto" w:sz="4" w:space="0"/>
            </w:tcBorders>
            <w:vAlign w:val="center"/>
          </w:tcPr>
          <w:p w14:paraId="0CB52202">
            <w:pPr>
              <w:widowControl/>
              <w:spacing w:line="240" w:lineRule="auto"/>
              <w:jc w:val="left"/>
              <w:rPr>
                <w:rFonts w:hint="default" w:ascii="Times New Roman" w:hAnsi="Times New Roman" w:eastAsia="宋体" w:cs="Times New Roman"/>
                <w:bCs/>
                <w:color w:val="auto"/>
                <w:sz w:val="21"/>
              </w:rPr>
            </w:pPr>
          </w:p>
        </w:tc>
        <w:tc>
          <w:tcPr>
            <w:tcW w:w="1261" w:type="dxa"/>
            <w:tcBorders>
              <w:top w:val="single" w:color="auto" w:sz="4" w:space="0"/>
              <w:left w:val="single" w:color="auto" w:sz="4" w:space="0"/>
              <w:bottom w:val="single" w:color="auto" w:sz="4" w:space="0"/>
              <w:right w:val="single" w:color="auto" w:sz="4" w:space="0"/>
            </w:tcBorders>
            <w:vAlign w:val="center"/>
          </w:tcPr>
          <w:p w14:paraId="1546BC08">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土地资源</w:t>
            </w:r>
          </w:p>
        </w:tc>
        <w:tc>
          <w:tcPr>
            <w:tcW w:w="540" w:type="dxa"/>
            <w:tcBorders>
              <w:top w:val="single" w:color="auto" w:sz="4" w:space="0"/>
              <w:left w:val="single" w:color="auto" w:sz="4" w:space="0"/>
              <w:bottom w:val="single" w:color="auto" w:sz="4" w:space="0"/>
              <w:right w:val="single" w:color="auto" w:sz="4" w:space="0"/>
            </w:tcBorders>
            <w:vAlign w:val="center"/>
          </w:tcPr>
          <w:p w14:paraId="26AEEDB0">
            <w:pPr>
              <w:adjustRightInd w:val="0"/>
              <w:snapToGrid w:val="0"/>
              <w:spacing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23BB1508">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07907CFB">
            <w:pPr>
              <w:adjustRightInd w:val="0"/>
              <w:snapToGrid w:val="0"/>
              <w:spacing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1C11C88E">
            <w:pPr>
              <w:adjustRightInd w:val="0"/>
              <w:snapToGrid w:val="0"/>
              <w:spacing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72424CD2">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3FE1749E">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c>
          <w:tcPr>
            <w:tcW w:w="525" w:type="dxa"/>
            <w:tcBorders>
              <w:top w:val="single" w:color="auto" w:sz="4" w:space="0"/>
              <w:left w:val="single" w:color="auto" w:sz="4" w:space="0"/>
              <w:bottom w:val="single" w:color="auto" w:sz="4" w:space="0"/>
              <w:right w:val="single" w:color="auto" w:sz="4" w:space="0"/>
            </w:tcBorders>
            <w:vAlign w:val="center"/>
          </w:tcPr>
          <w:p w14:paraId="5A779A0B">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2A884690">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60A7EF32">
            <w:pPr>
              <w:adjustRightInd w:val="0"/>
              <w:snapToGrid w:val="0"/>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555" w:type="dxa"/>
            <w:tcBorders>
              <w:top w:val="single" w:color="auto" w:sz="4" w:space="0"/>
              <w:left w:val="single" w:color="auto" w:sz="4" w:space="0"/>
              <w:bottom w:val="single" w:color="auto" w:sz="4" w:space="0"/>
              <w:right w:val="single" w:color="auto" w:sz="4" w:space="0"/>
            </w:tcBorders>
            <w:vAlign w:val="center"/>
          </w:tcPr>
          <w:p w14:paraId="07126FFA">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386EACA6">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727" w:type="dxa"/>
            <w:tcBorders>
              <w:top w:val="single" w:color="auto" w:sz="4" w:space="0"/>
              <w:left w:val="single" w:color="auto" w:sz="4" w:space="0"/>
              <w:bottom w:val="single" w:color="auto" w:sz="4" w:space="0"/>
              <w:right w:val="single" w:color="auto" w:sz="4" w:space="0"/>
            </w:tcBorders>
            <w:vAlign w:val="center"/>
          </w:tcPr>
          <w:p w14:paraId="0F972858">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40C3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921" w:type="dxa"/>
            <w:gridSpan w:val="2"/>
            <w:tcBorders>
              <w:top w:val="single" w:color="auto" w:sz="4" w:space="0"/>
              <w:left w:val="single" w:color="auto" w:sz="4" w:space="0"/>
              <w:bottom w:val="single" w:color="auto" w:sz="4" w:space="0"/>
              <w:right w:val="single" w:color="auto" w:sz="4" w:space="0"/>
            </w:tcBorders>
            <w:vAlign w:val="center"/>
          </w:tcPr>
          <w:p w14:paraId="0E339624">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人群健康</w:t>
            </w:r>
          </w:p>
        </w:tc>
        <w:tc>
          <w:tcPr>
            <w:tcW w:w="540" w:type="dxa"/>
            <w:tcBorders>
              <w:top w:val="single" w:color="auto" w:sz="4" w:space="0"/>
              <w:left w:val="single" w:color="auto" w:sz="4" w:space="0"/>
              <w:bottom w:val="single" w:color="auto" w:sz="4" w:space="0"/>
              <w:right w:val="single" w:color="auto" w:sz="4" w:space="0"/>
            </w:tcBorders>
            <w:vAlign w:val="center"/>
          </w:tcPr>
          <w:p w14:paraId="146FCEDB">
            <w:pPr>
              <w:adjustRightInd w:val="0"/>
              <w:snapToGrid w:val="0"/>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-S1</w:t>
            </w:r>
          </w:p>
        </w:tc>
        <w:tc>
          <w:tcPr>
            <w:tcW w:w="600" w:type="dxa"/>
            <w:tcBorders>
              <w:top w:val="single" w:color="auto" w:sz="4" w:space="0"/>
              <w:left w:val="single" w:color="auto" w:sz="4" w:space="0"/>
              <w:bottom w:val="single" w:color="auto" w:sz="4" w:space="0"/>
              <w:right w:val="single" w:color="auto" w:sz="4" w:space="0"/>
            </w:tcBorders>
            <w:vAlign w:val="center"/>
          </w:tcPr>
          <w:p w14:paraId="021936BC">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c>
          <w:tcPr>
            <w:tcW w:w="540" w:type="dxa"/>
            <w:tcBorders>
              <w:top w:val="single" w:color="auto" w:sz="4" w:space="0"/>
              <w:left w:val="single" w:color="auto" w:sz="4" w:space="0"/>
              <w:bottom w:val="single" w:color="auto" w:sz="4" w:space="0"/>
              <w:right w:val="single" w:color="auto" w:sz="4" w:space="0"/>
            </w:tcBorders>
            <w:vAlign w:val="center"/>
          </w:tcPr>
          <w:p w14:paraId="12003230">
            <w:pPr>
              <w:adjustRightInd w:val="0"/>
              <w:snapToGrid w:val="0"/>
              <w:spacing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2D444DD5">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42405A5D">
            <w:pPr>
              <w:adjustRightInd w:val="0"/>
              <w:snapToGrid w:val="0"/>
              <w:spacing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3B851CEC">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56777233">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440950E0">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-L1</w:t>
            </w:r>
          </w:p>
        </w:tc>
        <w:tc>
          <w:tcPr>
            <w:tcW w:w="540" w:type="dxa"/>
            <w:tcBorders>
              <w:top w:val="single" w:color="auto" w:sz="4" w:space="0"/>
              <w:left w:val="single" w:color="auto" w:sz="4" w:space="0"/>
              <w:bottom w:val="single" w:color="auto" w:sz="4" w:space="0"/>
              <w:right w:val="single" w:color="auto" w:sz="4" w:space="0"/>
            </w:tcBorders>
            <w:vAlign w:val="center"/>
          </w:tcPr>
          <w:p w14:paraId="54BC27A3">
            <w:pPr>
              <w:adjustRightInd w:val="0"/>
              <w:snapToGrid w:val="0"/>
              <w:spacing w:line="240" w:lineRule="auto"/>
              <w:jc w:val="center"/>
              <w:rPr>
                <w:rFonts w:hint="default" w:ascii="Times New Roman" w:hAnsi="Times New Roman" w:eastAsia="宋体" w:cs="Times New Roman"/>
                <w:bCs/>
                <w:color w:val="auto"/>
                <w:sz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5A2C7A4">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29947357">
            <w:pPr>
              <w:pStyle w:val="33"/>
              <w:adjustRightInd w:val="0"/>
              <w:snapToGrid w:val="0"/>
              <w:spacing w:after="0" w:line="240" w:lineRule="auto"/>
              <w:jc w:val="center"/>
              <w:rPr>
                <w:rFonts w:hint="default" w:ascii="Times New Roman" w:hAnsi="Times New Roman" w:eastAsia="宋体" w:cs="Times New Roman"/>
                <w:bCs/>
                <w:color w:val="auto"/>
                <w:sz w:val="21"/>
              </w:rPr>
            </w:pPr>
          </w:p>
        </w:tc>
        <w:tc>
          <w:tcPr>
            <w:tcW w:w="727" w:type="dxa"/>
            <w:tcBorders>
              <w:top w:val="single" w:color="auto" w:sz="4" w:space="0"/>
              <w:left w:val="single" w:color="auto" w:sz="4" w:space="0"/>
              <w:bottom w:val="single" w:color="auto" w:sz="4" w:space="0"/>
              <w:right w:val="single" w:color="auto" w:sz="4" w:space="0"/>
            </w:tcBorders>
            <w:vAlign w:val="center"/>
          </w:tcPr>
          <w:p w14:paraId="5AA93F40">
            <w:pPr>
              <w:pStyle w:val="33"/>
              <w:adjustRightInd w:val="0"/>
              <w:snapToGrid w:val="0"/>
              <w:spacing w:after="0" w:line="240" w:lineRule="auto"/>
              <w:jc w:val="center"/>
              <w:rPr>
                <w:rFonts w:hint="default" w:ascii="Times New Roman" w:hAnsi="Times New Roman" w:eastAsia="宋体" w:cs="Times New Roman"/>
                <w:bCs/>
                <w:color w:val="auto"/>
                <w:sz w:val="21"/>
              </w:rPr>
            </w:pPr>
          </w:p>
        </w:tc>
      </w:tr>
      <w:tr w14:paraId="6F7F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1921" w:type="dxa"/>
            <w:gridSpan w:val="2"/>
            <w:tcBorders>
              <w:top w:val="single" w:color="auto" w:sz="4" w:space="0"/>
              <w:left w:val="single" w:color="auto" w:sz="4" w:space="0"/>
              <w:bottom w:val="single" w:color="auto" w:sz="4" w:space="0"/>
              <w:right w:val="single" w:color="auto" w:sz="4" w:space="0"/>
            </w:tcBorders>
            <w:vAlign w:val="center"/>
          </w:tcPr>
          <w:p w14:paraId="62849EF6">
            <w:pPr>
              <w:pStyle w:val="33"/>
              <w:adjustRightInd w:val="0"/>
              <w:snapToGrid w:val="0"/>
              <w:spacing w:after="0"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环境风险</w:t>
            </w:r>
          </w:p>
        </w:tc>
        <w:tc>
          <w:tcPr>
            <w:tcW w:w="540" w:type="dxa"/>
            <w:tcBorders>
              <w:top w:val="single" w:color="auto" w:sz="4" w:space="0"/>
              <w:left w:val="single" w:color="auto" w:sz="4" w:space="0"/>
              <w:bottom w:val="single" w:color="auto" w:sz="4" w:space="0"/>
              <w:right w:val="single" w:color="auto" w:sz="4" w:space="0"/>
            </w:tcBorders>
            <w:vAlign w:val="center"/>
          </w:tcPr>
          <w:p w14:paraId="5474F023">
            <w:pPr>
              <w:adjustRightInd w:val="0"/>
              <w:snapToGrid w:val="0"/>
              <w:spacing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2C1E8CA9">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sz w:val="21"/>
              </w:rPr>
              <w:t>-S1</w:t>
            </w:r>
          </w:p>
        </w:tc>
        <w:tc>
          <w:tcPr>
            <w:tcW w:w="540" w:type="dxa"/>
            <w:tcBorders>
              <w:top w:val="single" w:color="auto" w:sz="4" w:space="0"/>
              <w:left w:val="single" w:color="auto" w:sz="4" w:space="0"/>
              <w:bottom w:val="single" w:color="auto" w:sz="4" w:space="0"/>
              <w:right w:val="single" w:color="auto" w:sz="4" w:space="0"/>
            </w:tcBorders>
            <w:vAlign w:val="center"/>
          </w:tcPr>
          <w:p w14:paraId="3A0FB6F8">
            <w:pPr>
              <w:adjustRightInd w:val="0"/>
              <w:snapToGrid w:val="0"/>
              <w:spacing w:line="240" w:lineRule="auto"/>
              <w:jc w:val="center"/>
              <w:rPr>
                <w:rFonts w:hint="default" w:ascii="Times New Roman" w:hAnsi="Times New Roman" w:eastAsia="宋体" w:cs="Times New Roman"/>
                <w:bCs/>
                <w:color w:val="auto"/>
                <w:sz w:val="21"/>
              </w:rPr>
            </w:pPr>
          </w:p>
        </w:tc>
        <w:tc>
          <w:tcPr>
            <w:tcW w:w="568" w:type="dxa"/>
            <w:tcBorders>
              <w:top w:val="single" w:color="auto" w:sz="4" w:space="0"/>
              <w:left w:val="single" w:color="auto" w:sz="4" w:space="0"/>
              <w:bottom w:val="single" w:color="auto" w:sz="4" w:space="0"/>
              <w:right w:val="single" w:color="auto" w:sz="4" w:space="0"/>
            </w:tcBorders>
            <w:vAlign w:val="center"/>
          </w:tcPr>
          <w:p w14:paraId="23DCE20A">
            <w:pPr>
              <w:adjustRightInd w:val="0"/>
              <w:snapToGrid w:val="0"/>
              <w:spacing w:line="240" w:lineRule="auto"/>
              <w:jc w:val="center"/>
              <w:rPr>
                <w:rFonts w:hint="default" w:ascii="Times New Roman" w:hAnsi="Times New Roman" w:eastAsia="宋体" w:cs="Times New Roman"/>
                <w:bCs/>
                <w:color w:val="auto"/>
                <w:sz w:val="21"/>
              </w:rPr>
            </w:pPr>
          </w:p>
        </w:tc>
        <w:tc>
          <w:tcPr>
            <w:tcW w:w="617" w:type="dxa"/>
            <w:tcBorders>
              <w:top w:val="single" w:color="auto" w:sz="4" w:space="0"/>
              <w:left w:val="single" w:color="auto" w:sz="4" w:space="0"/>
              <w:bottom w:val="single" w:color="auto" w:sz="4" w:space="0"/>
              <w:right w:val="single" w:color="auto" w:sz="4" w:space="0"/>
            </w:tcBorders>
            <w:vAlign w:val="center"/>
          </w:tcPr>
          <w:p w14:paraId="552FF663">
            <w:pPr>
              <w:adjustRightInd w:val="0"/>
              <w:snapToGrid w:val="0"/>
              <w:spacing w:line="240" w:lineRule="auto"/>
              <w:jc w:val="center"/>
              <w:rPr>
                <w:rFonts w:hint="default" w:ascii="Times New Roman" w:hAnsi="Times New Roman" w:eastAsia="宋体" w:cs="Times New Roman"/>
                <w:bCs/>
                <w:color w:val="auto"/>
                <w:sz w:val="21"/>
              </w:rPr>
            </w:pPr>
          </w:p>
        </w:tc>
        <w:tc>
          <w:tcPr>
            <w:tcW w:w="600" w:type="dxa"/>
            <w:tcBorders>
              <w:top w:val="single" w:color="auto" w:sz="4" w:space="0"/>
              <w:left w:val="single" w:color="auto" w:sz="4" w:space="0"/>
              <w:bottom w:val="single" w:color="auto" w:sz="4" w:space="0"/>
              <w:right w:val="single" w:color="auto" w:sz="4" w:space="0"/>
            </w:tcBorders>
            <w:vAlign w:val="center"/>
          </w:tcPr>
          <w:p w14:paraId="2FAD5EA6">
            <w:pPr>
              <w:adjustRightInd w:val="0"/>
              <w:snapToGrid w:val="0"/>
              <w:spacing w:line="240" w:lineRule="auto"/>
              <w:jc w:val="center"/>
              <w:rPr>
                <w:rFonts w:hint="default" w:ascii="Times New Roman" w:hAnsi="Times New Roman" w:eastAsia="宋体" w:cs="Times New Roman"/>
                <w:bCs/>
                <w:color w:val="auto"/>
                <w:sz w:val="21"/>
              </w:rPr>
            </w:pPr>
          </w:p>
        </w:tc>
        <w:tc>
          <w:tcPr>
            <w:tcW w:w="525" w:type="dxa"/>
            <w:tcBorders>
              <w:top w:val="single" w:color="auto" w:sz="4" w:space="0"/>
              <w:left w:val="single" w:color="auto" w:sz="4" w:space="0"/>
              <w:bottom w:val="single" w:color="auto" w:sz="4" w:space="0"/>
              <w:right w:val="single" w:color="auto" w:sz="4" w:space="0"/>
            </w:tcBorders>
            <w:vAlign w:val="center"/>
          </w:tcPr>
          <w:p w14:paraId="4CFE4C9C">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5DBCF4B4">
            <w:pPr>
              <w:adjustRightInd w:val="0"/>
              <w:snapToGrid w:val="0"/>
              <w:spacing w:line="240" w:lineRule="auto"/>
              <w:jc w:val="center"/>
              <w:rPr>
                <w:rFonts w:hint="default" w:ascii="Times New Roman" w:hAnsi="Times New Roman" w:eastAsia="宋体" w:cs="Times New Roman"/>
                <w:bCs/>
                <w:color w:val="auto"/>
                <w:sz w:val="21"/>
              </w:rPr>
            </w:pPr>
          </w:p>
        </w:tc>
        <w:tc>
          <w:tcPr>
            <w:tcW w:w="540" w:type="dxa"/>
            <w:tcBorders>
              <w:top w:val="single" w:color="auto" w:sz="4" w:space="0"/>
              <w:left w:val="single" w:color="auto" w:sz="4" w:space="0"/>
              <w:bottom w:val="single" w:color="auto" w:sz="4" w:space="0"/>
              <w:right w:val="single" w:color="auto" w:sz="4" w:space="0"/>
            </w:tcBorders>
            <w:vAlign w:val="center"/>
          </w:tcPr>
          <w:p w14:paraId="49BDBE7E">
            <w:pPr>
              <w:adjustRightInd w:val="0"/>
              <w:snapToGrid w:val="0"/>
              <w:spacing w:line="240" w:lineRule="auto"/>
              <w:jc w:val="center"/>
              <w:rPr>
                <w:rFonts w:hint="default" w:ascii="Times New Roman" w:hAnsi="Times New Roman" w:eastAsia="宋体" w:cs="Times New Roman"/>
                <w:bCs/>
                <w:color w:val="auto"/>
                <w:sz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04C7001D">
            <w:pPr>
              <w:adjustRightInd w:val="0"/>
              <w:snapToGrid w:val="0"/>
              <w:spacing w:line="240" w:lineRule="auto"/>
              <w:jc w:val="center"/>
              <w:rPr>
                <w:rFonts w:hint="default" w:ascii="Times New Roman" w:hAnsi="Times New Roman" w:eastAsia="宋体" w:cs="Times New Roman"/>
                <w:bCs/>
                <w:color w:val="auto"/>
                <w:sz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1303EBFC">
            <w:pPr>
              <w:adjustRightInd w:val="0"/>
              <w:snapToGrid w:val="0"/>
              <w:spacing w:line="240" w:lineRule="auto"/>
              <w:jc w:val="center"/>
              <w:rPr>
                <w:rFonts w:hint="default" w:ascii="Times New Roman" w:hAnsi="Times New Roman" w:eastAsia="宋体" w:cs="Times New Roman"/>
                <w:bCs/>
                <w:color w:val="auto"/>
                <w:sz w:val="21"/>
              </w:rPr>
            </w:pPr>
          </w:p>
        </w:tc>
        <w:tc>
          <w:tcPr>
            <w:tcW w:w="727" w:type="dxa"/>
            <w:tcBorders>
              <w:top w:val="single" w:color="auto" w:sz="4" w:space="0"/>
              <w:left w:val="single" w:color="auto" w:sz="4" w:space="0"/>
              <w:bottom w:val="single" w:color="auto" w:sz="4" w:space="0"/>
              <w:right w:val="single" w:color="auto" w:sz="4" w:space="0"/>
            </w:tcBorders>
            <w:vAlign w:val="center"/>
          </w:tcPr>
          <w:p w14:paraId="17D59F6B">
            <w:pPr>
              <w:adjustRightInd w:val="0"/>
              <w:snapToGrid w:val="0"/>
              <w:spacing w:line="240" w:lineRule="auto"/>
              <w:jc w:val="center"/>
              <w:rPr>
                <w:rFonts w:hint="default" w:ascii="Times New Roman" w:hAnsi="Times New Roman" w:eastAsia="宋体" w:cs="Times New Roman"/>
                <w:bCs/>
                <w:color w:val="auto"/>
                <w:sz w:val="21"/>
              </w:rPr>
            </w:pPr>
          </w:p>
        </w:tc>
      </w:tr>
    </w:tbl>
    <w:p w14:paraId="6949883B">
      <w:pPr>
        <w:widowControl/>
        <w:adjustRightInd w:val="0"/>
        <w:snapToGrid w:val="0"/>
        <w:ind w:firstLine="480" w:firstLineChars="200"/>
        <w:rPr>
          <w:rFonts w:hint="default" w:ascii="Times New Roman" w:hAnsi="Times New Roman" w:eastAsia="宋体" w:cs="Times New Roman"/>
          <w:color w:val="auto"/>
          <w:kern w:val="0"/>
          <w:sz w:val="21"/>
        </w:rPr>
      </w:pPr>
      <w:bookmarkStart w:id="100" w:name="_Toc291196002"/>
      <w:bookmarkStart w:id="101" w:name="_Toc42057894"/>
      <w:bookmarkStart w:id="102" w:name="_Toc67386699"/>
      <w:bookmarkStart w:id="103" w:name="_Toc176518441"/>
      <w:bookmarkStart w:id="104" w:name="_Toc523199384"/>
      <w:bookmarkStart w:id="105" w:name="_Toc185918306"/>
      <w:bookmarkStart w:id="106" w:name="_Toc174898455"/>
      <w:bookmarkStart w:id="107" w:name="_Toc48038937"/>
      <w:bookmarkStart w:id="108" w:name="_Toc299348874"/>
      <w:bookmarkStart w:id="109" w:name="_Toc48038962"/>
      <w:bookmarkStart w:id="110" w:name="_Toc307819479"/>
      <w:bookmarkStart w:id="111" w:name="_Toc50801621"/>
      <w:bookmarkStart w:id="112" w:name="_Toc50797162"/>
      <w:bookmarkStart w:id="113" w:name="_Toc162454428"/>
      <w:r>
        <w:rPr>
          <w:rFonts w:hint="default" w:ascii="Times New Roman" w:hAnsi="Times New Roman" w:eastAsia="宋体" w:cs="Times New Roman"/>
          <w:color w:val="auto"/>
          <w:kern w:val="0"/>
        </w:rPr>
        <w:t xml:space="preserve">注：填表说明：S/L：短期/长期影响；+/- </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有利/不利影响；空白：影响很小或无影响，1</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影响一般，2</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rPr>
        <w:t>影响较大。</w:t>
      </w:r>
    </w:p>
    <w:p w14:paraId="20416FB4">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114" w:name="_Toc26214"/>
      <w:r>
        <w:rPr>
          <w:rFonts w:hint="default" w:ascii="Times New Roman" w:hAnsi="Times New Roman" w:eastAsia="宋体" w:cs="Times New Roman"/>
          <w:color w:val="auto"/>
          <w:sz w:val="28"/>
          <w:szCs w:val="28"/>
        </w:rPr>
        <w:t>1.3.2评价因子</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Pr>
          <w:rFonts w:hint="default" w:ascii="Times New Roman" w:hAnsi="Times New Roman" w:eastAsia="宋体" w:cs="Times New Roman"/>
          <w:color w:val="auto"/>
          <w:sz w:val="28"/>
          <w:szCs w:val="28"/>
        </w:rPr>
        <w:t>筛选</w:t>
      </w:r>
      <w:bookmarkEnd w:id="114"/>
    </w:p>
    <w:p w14:paraId="06EB9263">
      <w:pPr>
        <w:adjustRightInd w:val="0"/>
        <w:snapToGrid w:val="0"/>
        <w:spacing w:line="360" w:lineRule="auto"/>
        <w:ind w:firstLine="480" w:firstLineChars="200"/>
        <w:rPr>
          <w:rFonts w:hint="default" w:ascii="Times New Roman" w:hAnsi="Times New Roman" w:eastAsia="宋体" w:cs="Times New Roman"/>
          <w:b/>
          <w:color w:val="auto"/>
          <w:szCs w:val="21"/>
        </w:rPr>
      </w:pPr>
      <w:bookmarkStart w:id="115" w:name="_Toc20609"/>
      <w:bookmarkStart w:id="116" w:name="_Toc269196230"/>
      <w:bookmarkStart w:id="117" w:name="_Toc291195993"/>
      <w:bookmarkStart w:id="118" w:name="_Toc307819470"/>
      <w:bookmarkStart w:id="119" w:name="_Toc268077610"/>
      <w:bookmarkStart w:id="120" w:name="_Toc299348865"/>
      <w:r>
        <w:rPr>
          <w:rFonts w:hint="default" w:ascii="Times New Roman" w:hAnsi="Times New Roman" w:eastAsia="宋体" w:cs="Times New Roman"/>
          <w:color w:val="auto"/>
          <w:sz w:val="24"/>
        </w:rPr>
        <w:t>根据项目周围环境状况和建设项目主要污染特征，选择能够反应工程污染物特征、污染物种类、数量的环境因子作为评价因子，结合环境现状，为控制建设项目环境污染，制定防治对策及综合利用提供依据。项目主要评价因子详见</w:t>
      </w:r>
      <w:r>
        <w:rPr>
          <w:rFonts w:hint="default"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表。</w:t>
      </w:r>
    </w:p>
    <w:p w14:paraId="537313DF">
      <w:pPr>
        <w:adjustRightInd w:val="0"/>
        <w:snapToGrid w:val="0"/>
        <w:spacing w:line="360" w:lineRule="auto"/>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表1.3-2 项目主要评价因子</w:t>
      </w:r>
    </w:p>
    <w:tbl>
      <w:tblPr>
        <w:tblStyle w:val="6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3128"/>
        <w:gridCol w:w="4304"/>
      </w:tblGrid>
      <w:tr w14:paraId="2A3C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072" w:type="dxa"/>
            <w:noWrap w:val="0"/>
            <w:vAlign w:val="center"/>
          </w:tcPr>
          <w:p w14:paraId="1310C8B8">
            <w:pPr>
              <w:pStyle w:val="569"/>
              <w:adjustRightIn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3128" w:type="dxa"/>
            <w:noWrap w:val="0"/>
            <w:vAlign w:val="center"/>
          </w:tcPr>
          <w:p w14:paraId="7143FEDF">
            <w:pPr>
              <w:pStyle w:val="569"/>
              <w:adjustRightIn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现状评价因子</w:t>
            </w:r>
          </w:p>
        </w:tc>
        <w:tc>
          <w:tcPr>
            <w:tcW w:w="4304" w:type="dxa"/>
            <w:noWrap w:val="0"/>
            <w:vAlign w:val="center"/>
          </w:tcPr>
          <w:p w14:paraId="3E2D6944">
            <w:pPr>
              <w:pStyle w:val="569"/>
              <w:adjustRightIn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影响评价因子</w:t>
            </w:r>
          </w:p>
        </w:tc>
      </w:tr>
      <w:tr w14:paraId="045C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noWrap w:val="0"/>
            <w:vAlign w:val="center"/>
          </w:tcPr>
          <w:p w14:paraId="22C2E752">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w:t>
            </w:r>
          </w:p>
        </w:tc>
        <w:tc>
          <w:tcPr>
            <w:tcW w:w="3128" w:type="dxa"/>
            <w:noWrap w:val="0"/>
            <w:vAlign w:val="center"/>
          </w:tcPr>
          <w:p w14:paraId="4F607A25">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、PM</w:t>
            </w:r>
            <w:r>
              <w:rPr>
                <w:rFonts w:hint="default" w:ascii="Times New Roman" w:hAnsi="Times New Roman" w:eastAsia="宋体" w:cs="Times New Roman"/>
                <w:color w:val="auto"/>
                <w:sz w:val="21"/>
                <w:szCs w:val="21"/>
                <w:vertAlign w:val="subscript"/>
                <w:lang w:val="en-US" w:eastAsia="zh-CN"/>
              </w:rPr>
              <w:t>2.5</w:t>
            </w:r>
            <w:r>
              <w:rPr>
                <w:rFonts w:hint="default" w:ascii="Times New Roman" w:hAnsi="Times New Roman" w:eastAsia="宋体" w:cs="Times New Roman"/>
                <w:color w:val="auto"/>
                <w:sz w:val="21"/>
                <w:szCs w:val="21"/>
                <w:lang w:val="en-US" w:eastAsia="zh-CN"/>
              </w:rPr>
              <w:t>、SO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、TSP、</w:t>
            </w:r>
            <w:r>
              <w:rPr>
                <w:rFonts w:hint="default" w:ascii="Times New Roman" w:hAnsi="Times New Roman" w:eastAsia="宋体" w:cs="Times New Roman"/>
                <w:color w:val="auto"/>
                <w:sz w:val="21"/>
                <w:szCs w:val="21"/>
                <w:lang w:eastAsia="zh-CN"/>
              </w:rPr>
              <w:t>非甲烷总烃、恶臭</w:t>
            </w:r>
          </w:p>
        </w:tc>
        <w:tc>
          <w:tcPr>
            <w:tcW w:w="4304" w:type="dxa"/>
            <w:noWrap w:val="0"/>
            <w:vAlign w:val="center"/>
          </w:tcPr>
          <w:p w14:paraId="31744DAE">
            <w:pPr>
              <w:pStyle w:val="569"/>
              <w:adjustRightIn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2"/>
                <w:position w:val="0"/>
                <w:sz w:val="21"/>
                <w:szCs w:val="21"/>
                <w:lang w:val="en-US" w:eastAsia="zh-CN" w:bidi="ar-SA"/>
              </w:rPr>
              <w:t>粉尘、</w:t>
            </w:r>
            <w:r>
              <w:rPr>
                <w:rFonts w:hint="eastAsia" w:ascii="Times New Roman" w:hAnsi="Times New Roman" w:eastAsia="宋体" w:cs="Times New Roman"/>
                <w:color w:val="auto"/>
                <w:kern w:val="2"/>
                <w:position w:val="0"/>
                <w:sz w:val="21"/>
                <w:szCs w:val="21"/>
                <w:lang w:val="en-US" w:eastAsia="zh-CN" w:bidi="ar-SA"/>
              </w:rPr>
              <w:t>硫化氢、氨气</w:t>
            </w:r>
          </w:p>
        </w:tc>
      </w:tr>
      <w:tr w14:paraId="7D3D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noWrap w:val="0"/>
            <w:vAlign w:val="center"/>
          </w:tcPr>
          <w:p w14:paraId="14B042B2">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3128" w:type="dxa"/>
            <w:noWrap w:val="0"/>
            <w:vAlign w:val="center"/>
          </w:tcPr>
          <w:p w14:paraId="53E9A03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pH、COD、BOD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、氨氮、总磷、总氮、SS</w:t>
            </w:r>
            <w:r>
              <w:rPr>
                <w:rFonts w:hint="default" w:ascii="Times New Roman" w:hAnsi="Times New Roman" w:eastAsia="宋体" w:cs="Times New Roman"/>
                <w:color w:val="auto"/>
                <w:sz w:val="21"/>
                <w:szCs w:val="21"/>
                <w:lang w:eastAsia="zh-CN"/>
              </w:rPr>
              <w:t>等</w:t>
            </w:r>
          </w:p>
        </w:tc>
        <w:tc>
          <w:tcPr>
            <w:tcW w:w="4304" w:type="dxa"/>
            <w:noWrap w:val="0"/>
            <w:vAlign w:val="center"/>
          </w:tcPr>
          <w:p w14:paraId="3E99999C">
            <w:pPr>
              <w:pStyle w:val="569"/>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、SS、LAS、色度、NH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-N及TP</w:t>
            </w:r>
          </w:p>
        </w:tc>
      </w:tr>
      <w:tr w14:paraId="39ED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noWrap w:val="0"/>
            <w:vAlign w:val="center"/>
          </w:tcPr>
          <w:p w14:paraId="275EBD67">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3128" w:type="dxa"/>
            <w:noWrap w:val="0"/>
            <w:vAlign w:val="center"/>
          </w:tcPr>
          <w:p w14:paraId="13761A4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pH、总硬度（以CaCO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计）、高锰酸盐指数、</w:t>
            </w:r>
            <w:r>
              <w:rPr>
                <w:rFonts w:hint="default" w:ascii="Times New Roman" w:hAnsi="Times New Roman" w:eastAsia="宋体" w:cs="Times New Roman"/>
                <w:color w:val="auto"/>
                <w:sz w:val="21"/>
                <w:szCs w:val="21"/>
                <w:lang w:eastAsia="zh-CN"/>
              </w:rPr>
              <w:t>硫酸盐、</w:t>
            </w:r>
            <w:r>
              <w:rPr>
                <w:rFonts w:hint="default" w:ascii="Times New Roman" w:hAnsi="Times New Roman" w:eastAsia="宋体" w:cs="Times New Roman"/>
                <w:color w:val="auto"/>
                <w:sz w:val="21"/>
                <w:szCs w:val="21"/>
              </w:rPr>
              <w:t>氨氮、溶解性总固体、总磷、色度、总大肠菌群</w:t>
            </w:r>
            <w:r>
              <w:rPr>
                <w:rFonts w:hint="default" w:ascii="Times New Roman" w:hAnsi="Times New Roman" w:eastAsia="宋体" w:cs="Times New Roman"/>
                <w:color w:val="auto"/>
                <w:sz w:val="21"/>
                <w:szCs w:val="21"/>
                <w:lang w:eastAsia="zh-CN"/>
              </w:rPr>
              <w:t>、砷、铅、镉、六价铬</w:t>
            </w:r>
          </w:p>
        </w:tc>
        <w:tc>
          <w:tcPr>
            <w:tcW w:w="4304" w:type="dxa"/>
            <w:noWrap w:val="0"/>
            <w:vAlign w:val="center"/>
          </w:tcPr>
          <w:p w14:paraId="452B7E8E">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采用</w:t>
            </w:r>
            <w:r>
              <w:rPr>
                <w:rFonts w:hint="default" w:ascii="Times New Roman" w:hAnsi="Times New Roman" w:eastAsia="宋体" w:cs="Times New Roman"/>
                <w:color w:val="auto"/>
                <w:sz w:val="21"/>
                <w:szCs w:val="21"/>
              </w:rPr>
              <w:t>类比分析法进行地下水影响分析和评价。对比相关规范提出对厂区进行硬化、防渗处理的要求</w:t>
            </w:r>
          </w:p>
        </w:tc>
      </w:tr>
      <w:tr w14:paraId="6687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72" w:type="dxa"/>
            <w:noWrap w:val="0"/>
            <w:vAlign w:val="center"/>
          </w:tcPr>
          <w:p w14:paraId="1172E353">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w:t>
            </w:r>
          </w:p>
        </w:tc>
        <w:tc>
          <w:tcPr>
            <w:tcW w:w="3128" w:type="dxa"/>
            <w:noWrap w:val="0"/>
            <w:vAlign w:val="center"/>
          </w:tcPr>
          <w:p w14:paraId="07EEBF8F">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4304" w:type="dxa"/>
            <w:noWrap w:val="0"/>
            <w:vAlign w:val="center"/>
          </w:tcPr>
          <w:p w14:paraId="23999137">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r>
      <w:tr w14:paraId="6C74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noWrap w:val="0"/>
            <w:vAlign w:val="center"/>
          </w:tcPr>
          <w:p w14:paraId="5E7D098E">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3128" w:type="dxa"/>
            <w:noWrap w:val="0"/>
            <w:vAlign w:val="center"/>
          </w:tcPr>
          <w:p w14:paraId="53A57BD5">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04" w:type="dxa"/>
            <w:noWrap w:val="0"/>
            <w:vAlign w:val="center"/>
          </w:tcPr>
          <w:p w14:paraId="6DF683E4">
            <w:pPr>
              <w:pStyle w:val="569"/>
              <w:adjustRightInd w:val="0"/>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生活垃圾、污水处理设施污泥、废边角料及残次品</w:t>
            </w:r>
            <w:r>
              <w:rPr>
                <w:rFonts w:hint="default" w:ascii="Times New Roman" w:hAnsi="Times New Roman" w:eastAsia="宋体" w:cs="Times New Roman"/>
                <w:color w:val="auto"/>
                <w:sz w:val="21"/>
                <w:szCs w:val="21"/>
              </w:rPr>
              <w:t>等一般工业固废，</w:t>
            </w:r>
            <w:r>
              <w:rPr>
                <w:rFonts w:hint="default" w:ascii="Times New Roman" w:hAnsi="Times New Roman" w:eastAsia="宋体" w:cs="Times New Roman"/>
                <w:color w:val="auto"/>
                <w:sz w:val="21"/>
                <w:szCs w:val="21"/>
                <w:lang w:eastAsia="zh-CN"/>
              </w:rPr>
              <w:t>废机油</w:t>
            </w:r>
            <w:r>
              <w:rPr>
                <w:rFonts w:hint="default" w:ascii="Times New Roman" w:hAnsi="Times New Roman" w:eastAsia="宋体" w:cs="Times New Roman"/>
                <w:color w:val="auto"/>
                <w:sz w:val="21"/>
                <w:szCs w:val="21"/>
              </w:rPr>
              <w:t>等危险废物</w:t>
            </w:r>
          </w:p>
        </w:tc>
      </w:tr>
      <w:tr w14:paraId="0479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072" w:type="dxa"/>
            <w:noWrap w:val="0"/>
            <w:vAlign w:val="center"/>
          </w:tcPr>
          <w:p w14:paraId="32663698">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tc>
        <w:tc>
          <w:tcPr>
            <w:tcW w:w="3128" w:type="dxa"/>
            <w:noWrap w:val="0"/>
            <w:vAlign w:val="center"/>
          </w:tcPr>
          <w:p w14:paraId="05DD6A72">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水土流失、动植物现状</w:t>
            </w:r>
          </w:p>
        </w:tc>
        <w:tc>
          <w:tcPr>
            <w:tcW w:w="4304" w:type="dxa"/>
            <w:noWrap w:val="0"/>
            <w:vAlign w:val="center"/>
          </w:tcPr>
          <w:p w14:paraId="79B3F91E">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动植物、周边生态影响</w:t>
            </w:r>
          </w:p>
        </w:tc>
      </w:tr>
      <w:tr w14:paraId="78D3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72" w:type="dxa"/>
            <w:noWrap w:val="0"/>
            <w:vAlign w:val="center"/>
          </w:tcPr>
          <w:p w14:paraId="27E8AE96">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w:t>
            </w:r>
          </w:p>
        </w:tc>
        <w:tc>
          <w:tcPr>
            <w:tcW w:w="3128" w:type="dxa"/>
            <w:noWrap w:val="0"/>
            <w:vAlign w:val="center"/>
          </w:tcPr>
          <w:p w14:paraId="3F96F35C">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304" w:type="dxa"/>
            <w:noWrap w:val="0"/>
            <w:vAlign w:val="center"/>
          </w:tcPr>
          <w:p w14:paraId="3EEFAFF8">
            <w:pPr>
              <w:pStyle w:val="569"/>
              <w:adjustRightIn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项目火灾等潜在风险事故分析</w:t>
            </w:r>
          </w:p>
        </w:tc>
      </w:tr>
      <w:tr w14:paraId="6353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072" w:type="dxa"/>
            <w:noWrap w:val="0"/>
            <w:vAlign w:val="center"/>
          </w:tcPr>
          <w:p w14:paraId="5AEB4855">
            <w:pPr>
              <w:pStyle w:val="569"/>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土壤</w:t>
            </w:r>
          </w:p>
        </w:tc>
        <w:tc>
          <w:tcPr>
            <w:tcW w:w="3128" w:type="dxa"/>
            <w:noWrap w:val="0"/>
            <w:vAlign w:val="center"/>
          </w:tcPr>
          <w:p w14:paraId="6CCB6ACB">
            <w:pPr>
              <w:pStyle w:val="569"/>
              <w:adjustRightIn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（GB36600-2018）《土壤环境质量 建设用地土壤污染风险管控标准》</w:t>
            </w:r>
            <w:r>
              <w:rPr>
                <w:rFonts w:hint="default" w:ascii="Times New Roman" w:hAnsi="Times New Roman" w:eastAsia="宋体" w:cs="Times New Roman"/>
                <w:color w:val="auto"/>
                <w:sz w:val="21"/>
                <w:szCs w:val="21"/>
                <w:lang w:eastAsia="zh-CN"/>
              </w:rPr>
              <w:t>中基本项</w:t>
            </w:r>
          </w:p>
        </w:tc>
        <w:tc>
          <w:tcPr>
            <w:tcW w:w="4304" w:type="dxa"/>
            <w:noWrap w:val="0"/>
            <w:vAlign w:val="center"/>
          </w:tcPr>
          <w:p w14:paraId="666C5535">
            <w:pPr>
              <w:pStyle w:val="569"/>
              <w:adjustRightInd w:val="0"/>
              <w:spacing w:line="240" w:lineRule="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eastAsia="zh-CN"/>
              </w:rPr>
              <w:t>对土壤</w:t>
            </w:r>
            <w:r>
              <w:rPr>
                <w:rFonts w:hint="default" w:ascii="Times New Roman" w:hAnsi="Times New Roman" w:eastAsia="宋体" w:cs="Times New Roman"/>
                <w:color w:val="auto"/>
                <w:sz w:val="21"/>
                <w:szCs w:val="21"/>
              </w:rPr>
              <w:t>影响分析和评价</w:t>
            </w:r>
            <w:r>
              <w:rPr>
                <w:rFonts w:hint="default" w:ascii="Times New Roman" w:hAnsi="Times New Roman" w:eastAsia="宋体" w:cs="Times New Roman"/>
                <w:color w:val="auto"/>
                <w:sz w:val="21"/>
                <w:szCs w:val="21"/>
                <w:lang w:eastAsia="zh-CN"/>
              </w:rPr>
              <w:t>进行定性描述</w:t>
            </w:r>
          </w:p>
        </w:tc>
      </w:tr>
    </w:tbl>
    <w:p w14:paraId="136826BD">
      <w:pPr>
        <w:pStyle w:val="11"/>
        <w:adjustRightInd w:val="0"/>
        <w:snapToGrid w:val="0"/>
        <w:spacing w:beforeLines="5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1.3.3评价重点</w:t>
      </w:r>
      <w:bookmarkEnd w:id="115"/>
    </w:p>
    <w:p w14:paraId="4E437006">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根据项目排污情况，结合区域周围的环境条件，本次评价重点如下：</w:t>
      </w:r>
    </w:p>
    <w:p w14:paraId="73A47A83">
      <w:pPr>
        <w:numPr>
          <w:ilvl w:val="0"/>
          <w:numId w:val="3"/>
        </w:num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工程分析</w:t>
      </w:r>
    </w:p>
    <w:p w14:paraId="2EB213C1">
      <w:pPr>
        <w:numPr>
          <w:ilvl w:val="0"/>
          <w:numId w:val="3"/>
        </w:num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lang w:eastAsia="zh-CN"/>
        </w:rPr>
        <w:t>预测和评价项目生产过程中产生的</w:t>
      </w:r>
      <w:r>
        <w:rPr>
          <w:rFonts w:hint="eastAsia" w:ascii="Times New Roman" w:hAnsi="Times New Roman" w:cs="Times New Roman"/>
          <w:color w:val="auto"/>
          <w:lang w:eastAsia="zh-CN"/>
        </w:rPr>
        <w:t>粉尘、异味</w:t>
      </w:r>
      <w:r>
        <w:rPr>
          <w:rFonts w:hint="default" w:ascii="Times New Roman" w:hAnsi="Times New Roman" w:eastAsia="宋体" w:cs="Times New Roman"/>
          <w:color w:val="auto"/>
          <w:lang w:eastAsia="zh-CN"/>
        </w:rPr>
        <w:t>等对厂区周围环境空气的影响程度和范围，同时对废气处理措施的可行性进行论证，提出合理的建议。</w:t>
      </w:r>
    </w:p>
    <w:p w14:paraId="26580431">
      <w:pPr>
        <w:numPr>
          <w:ilvl w:val="0"/>
          <w:numId w:val="3"/>
        </w:num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项目生产</w:t>
      </w:r>
      <w:r>
        <w:rPr>
          <w:rFonts w:hint="default" w:ascii="Times New Roman" w:hAnsi="Times New Roman" w:eastAsia="宋体" w:cs="Times New Roman"/>
          <w:color w:val="auto"/>
          <w:lang w:eastAsia="zh-CN"/>
        </w:rPr>
        <w:t>的</w:t>
      </w:r>
      <w:r>
        <w:rPr>
          <w:rFonts w:hint="default" w:ascii="Times New Roman" w:hAnsi="Times New Roman" w:eastAsia="宋体" w:cs="Times New Roman"/>
          <w:color w:val="auto"/>
        </w:rPr>
        <w:t>生活污水</w:t>
      </w:r>
      <w:r>
        <w:rPr>
          <w:rFonts w:hint="default" w:ascii="Times New Roman" w:hAnsi="Times New Roman" w:eastAsia="宋体" w:cs="Times New Roman"/>
          <w:color w:val="auto"/>
          <w:lang w:eastAsia="zh-CN"/>
        </w:rPr>
        <w:t>经建设</w:t>
      </w:r>
      <w:r>
        <w:rPr>
          <w:rFonts w:hint="default" w:ascii="Times New Roman" w:hAnsi="Times New Roman" w:eastAsia="宋体" w:cs="Times New Roman"/>
          <w:color w:val="auto"/>
        </w:rPr>
        <w:t>隔油池/化粪池</w:t>
      </w:r>
      <w:r>
        <w:rPr>
          <w:rFonts w:hint="eastAsia" w:ascii="Times New Roman" w:hAnsi="Times New Roman" w:cs="Times New Roman"/>
          <w:color w:val="auto"/>
          <w:lang w:eastAsia="zh-CN"/>
        </w:rPr>
        <w:t>处理后</w:t>
      </w:r>
      <w:r>
        <w:rPr>
          <w:rFonts w:hint="default" w:ascii="Times New Roman" w:hAnsi="Times New Roman" w:eastAsia="宋体" w:cs="Times New Roman"/>
          <w:color w:val="auto"/>
          <w:lang w:eastAsia="zh-CN"/>
        </w:rPr>
        <w:t>排入工业园区污水管道</w:t>
      </w:r>
      <w:r>
        <w:rPr>
          <w:rFonts w:hint="eastAsia" w:ascii="Times New Roman" w:hAnsi="Times New Roman" w:cs="Times New Roman"/>
          <w:color w:val="auto"/>
          <w:lang w:eastAsia="zh-CN"/>
        </w:rPr>
        <w:t>，生产废水经三级沉淀池</w:t>
      </w:r>
      <w:r>
        <w:rPr>
          <w:rFonts w:hint="default" w:ascii="Times New Roman" w:hAnsi="Times New Roman" w:eastAsia="宋体" w:cs="Times New Roman"/>
          <w:color w:val="auto"/>
        </w:rPr>
        <w:t>+污水处理设备处理后</w:t>
      </w:r>
      <w:r>
        <w:rPr>
          <w:rFonts w:hint="default" w:ascii="Times New Roman" w:hAnsi="Times New Roman" w:eastAsia="宋体" w:cs="Times New Roman"/>
          <w:color w:val="auto"/>
          <w:lang w:eastAsia="zh-CN"/>
        </w:rPr>
        <w:t>排入工业园区污水管道</w:t>
      </w:r>
      <w:r>
        <w:rPr>
          <w:rFonts w:hint="default" w:ascii="Times New Roman" w:hAnsi="Times New Roman" w:eastAsia="宋体" w:cs="Times New Roman"/>
          <w:color w:val="auto"/>
        </w:rPr>
        <w:t>，结合</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特征及项目所在地环境状况，重点</w:t>
      </w:r>
      <w:r>
        <w:rPr>
          <w:rFonts w:hint="default" w:ascii="Times New Roman" w:hAnsi="Times New Roman" w:eastAsia="宋体" w:cs="Times New Roman"/>
          <w:color w:val="auto"/>
          <w:lang w:eastAsia="zh-CN"/>
        </w:rPr>
        <w:t>分析</w:t>
      </w:r>
      <w:r>
        <w:rPr>
          <w:rFonts w:hint="default" w:ascii="Times New Roman" w:hAnsi="Times New Roman" w:eastAsia="宋体" w:cs="Times New Roman"/>
          <w:color w:val="auto"/>
        </w:rPr>
        <w:t>项目废水外排的可行性</w:t>
      </w:r>
      <w:r>
        <w:rPr>
          <w:rFonts w:hint="default" w:ascii="Times New Roman" w:hAnsi="Times New Roman" w:eastAsia="宋体" w:cs="Times New Roman"/>
          <w:color w:val="auto"/>
          <w:lang w:eastAsia="zh-CN"/>
        </w:rPr>
        <w:t>。</w:t>
      </w:r>
    </w:p>
    <w:p w14:paraId="2C833608">
      <w:pPr>
        <w:numPr>
          <w:ilvl w:val="0"/>
          <w:numId w:val="3"/>
        </w:num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lang w:eastAsia="zh-CN"/>
        </w:rPr>
        <w:t>预测和评价项目生产设备运行过程中产生的噪声，对噪声防治措施进行论证并提出合理的建议</w:t>
      </w:r>
      <w:r>
        <w:rPr>
          <w:rFonts w:hint="default" w:ascii="Times New Roman" w:hAnsi="Times New Roman" w:eastAsia="宋体" w:cs="Times New Roman"/>
          <w:color w:val="auto"/>
        </w:rPr>
        <w:t>。</w:t>
      </w:r>
    </w:p>
    <w:p w14:paraId="15E79930">
      <w:pPr>
        <w:numPr>
          <w:ilvl w:val="0"/>
          <w:numId w:val="3"/>
        </w:num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eastAsia="zh-CN"/>
        </w:rPr>
        <w:t>项目生产过程中产生的一般工业固体废弃物、废机油等固废影响分析，提出合理的处置措施。</w:t>
      </w:r>
    </w:p>
    <w:p w14:paraId="2CABA564">
      <w:pPr>
        <w:numPr>
          <w:ilvl w:val="0"/>
          <w:numId w:val="3"/>
        </w:num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eastAsia="zh-CN"/>
        </w:rPr>
        <w:t>项目与芒市帕底工业园区的规划符合性分析，项目环境风险分析及风险防范措施。</w:t>
      </w:r>
    </w:p>
    <w:p w14:paraId="00E31171">
      <w:pPr>
        <w:adjustRightInd w:val="0"/>
        <w:snapToGrid w:val="0"/>
        <w:spacing w:beforeLines="50"/>
        <w:outlineLvl w:val="1"/>
        <w:rPr>
          <w:rFonts w:hint="default" w:ascii="Times New Roman" w:hAnsi="Times New Roman" w:eastAsia="宋体" w:cs="Times New Roman"/>
          <w:b/>
          <w:color w:val="auto"/>
          <w:sz w:val="32"/>
          <w:szCs w:val="32"/>
        </w:rPr>
      </w:pPr>
      <w:bookmarkStart w:id="121" w:name="_Toc24491"/>
      <w:bookmarkStart w:id="122" w:name="_Toc14295"/>
      <w:r>
        <w:rPr>
          <w:rFonts w:hint="default" w:ascii="Times New Roman" w:hAnsi="Times New Roman" w:eastAsia="宋体" w:cs="Times New Roman"/>
          <w:b/>
          <w:color w:val="auto"/>
          <w:sz w:val="32"/>
          <w:szCs w:val="32"/>
        </w:rPr>
        <w:t>1.4</w:t>
      </w:r>
      <w:bookmarkStart w:id="123" w:name="_Toc476517250"/>
      <w:r>
        <w:rPr>
          <w:rFonts w:hint="default" w:ascii="Times New Roman" w:hAnsi="Times New Roman" w:eastAsia="宋体" w:cs="Times New Roman"/>
          <w:b/>
          <w:color w:val="auto"/>
          <w:sz w:val="32"/>
          <w:szCs w:val="32"/>
        </w:rPr>
        <w:t>环境功能区划</w:t>
      </w:r>
      <w:bookmarkEnd w:id="121"/>
      <w:bookmarkEnd w:id="122"/>
      <w:bookmarkEnd w:id="123"/>
    </w:p>
    <w:p w14:paraId="6D06604A">
      <w:pPr>
        <w:adjustRightInd w:val="0"/>
        <w:snapToGrid w:val="0"/>
        <w:ind w:firstLine="600" w:firstLineChars="250"/>
        <w:rPr>
          <w:rFonts w:hint="default" w:ascii="Times New Roman" w:hAnsi="Times New Roman" w:eastAsia="宋体" w:cs="Times New Roman"/>
          <w:b/>
          <w:color w:val="auto"/>
        </w:rPr>
      </w:pPr>
      <w:r>
        <w:rPr>
          <w:rFonts w:hint="default" w:ascii="Times New Roman" w:hAnsi="Times New Roman" w:eastAsia="宋体" w:cs="Times New Roman"/>
          <w:color w:val="auto"/>
        </w:rPr>
        <w:t>项目所在区域环境功能区划见下表。</w:t>
      </w:r>
    </w:p>
    <w:p w14:paraId="7DF069C7">
      <w:pPr>
        <w:adjustRightInd w:val="0"/>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rPr>
        <w:t>表1.4-1 环境功能区划一览表</w:t>
      </w:r>
    </w:p>
    <w:tbl>
      <w:tblPr>
        <w:tblStyle w:val="66"/>
        <w:tblW w:w="8504" w:type="dxa"/>
        <w:jc w:val="center"/>
        <w:tblLayout w:type="fixed"/>
        <w:tblCellMar>
          <w:top w:w="0" w:type="dxa"/>
          <w:left w:w="108" w:type="dxa"/>
          <w:bottom w:w="0" w:type="dxa"/>
          <w:right w:w="108" w:type="dxa"/>
        </w:tblCellMar>
      </w:tblPr>
      <w:tblGrid>
        <w:gridCol w:w="1128"/>
        <w:gridCol w:w="7376"/>
      </w:tblGrid>
      <w:tr w14:paraId="3A10CD62">
        <w:tblPrEx>
          <w:tblCellMar>
            <w:top w:w="0" w:type="dxa"/>
            <w:left w:w="108" w:type="dxa"/>
            <w:bottom w:w="0" w:type="dxa"/>
            <w:right w:w="108" w:type="dxa"/>
          </w:tblCellMar>
        </w:tblPrEx>
        <w:trPr>
          <w:trHeight w:val="395" w:hRule="atLeast"/>
          <w:tblHeader/>
          <w:jc w:val="center"/>
        </w:trPr>
        <w:tc>
          <w:tcPr>
            <w:tcW w:w="1128" w:type="dxa"/>
            <w:tcBorders>
              <w:top w:val="single" w:color="auto" w:sz="4" w:space="0"/>
              <w:left w:val="single" w:color="auto" w:sz="4" w:space="0"/>
              <w:bottom w:val="single" w:color="auto" w:sz="4" w:space="0"/>
              <w:right w:val="single" w:color="auto" w:sz="4" w:space="0"/>
            </w:tcBorders>
            <w:vAlign w:val="center"/>
          </w:tcPr>
          <w:p w14:paraId="6DC3AA91">
            <w:pPr>
              <w:adjustRightInd w:val="0"/>
              <w:snapToGrid w:val="0"/>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环境要素</w:t>
            </w:r>
          </w:p>
        </w:tc>
        <w:tc>
          <w:tcPr>
            <w:tcW w:w="7376" w:type="dxa"/>
            <w:tcBorders>
              <w:top w:val="single" w:color="auto" w:sz="4" w:space="0"/>
              <w:left w:val="nil"/>
              <w:bottom w:val="single" w:color="auto" w:sz="4" w:space="0"/>
              <w:right w:val="single" w:color="auto" w:sz="4" w:space="0"/>
            </w:tcBorders>
            <w:vAlign w:val="center"/>
          </w:tcPr>
          <w:p w14:paraId="3406E07E">
            <w:pPr>
              <w:adjustRightInd w:val="0"/>
              <w:snapToGrid w:val="0"/>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功能区划</w:t>
            </w:r>
          </w:p>
        </w:tc>
      </w:tr>
      <w:tr w14:paraId="5E57990C">
        <w:tblPrEx>
          <w:tblCellMar>
            <w:top w:w="0" w:type="dxa"/>
            <w:left w:w="108" w:type="dxa"/>
            <w:bottom w:w="0" w:type="dxa"/>
            <w:right w:w="108" w:type="dxa"/>
          </w:tblCellMar>
        </w:tblPrEx>
        <w:trPr>
          <w:trHeight w:val="724" w:hRule="atLeast"/>
          <w:jc w:val="center"/>
        </w:trPr>
        <w:tc>
          <w:tcPr>
            <w:tcW w:w="1128" w:type="dxa"/>
            <w:tcBorders>
              <w:top w:val="nil"/>
              <w:left w:val="single" w:color="auto" w:sz="4" w:space="0"/>
              <w:bottom w:val="single" w:color="auto" w:sz="4" w:space="0"/>
              <w:right w:val="single" w:color="auto" w:sz="4" w:space="0"/>
            </w:tcBorders>
            <w:vAlign w:val="center"/>
          </w:tcPr>
          <w:p w14:paraId="740CE8B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环境空气</w:t>
            </w:r>
          </w:p>
        </w:tc>
        <w:tc>
          <w:tcPr>
            <w:tcW w:w="7376" w:type="dxa"/>
            <w:tcBorders>
              <w:top w:val="nil"/>
              <w:left w:val="nil"/>
              <w:bottom w:val="single" w:color="auto" w:sz="4" w:space="0"/>
              <w:right w:val="single" w:color="auto" w:sz="4" w:space="0"/>
            </w:tcBorders>
            <w:vAlign w:val="center"/>
          </w:tcPr>
          <w:p w14:paraId="33B135A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项目位于</w:t>
            </w:r>
            <w:r>
              <w:rPr>
                <w:rFonts w:hint="default" w:ascii="Times New Roman" w:hAnsi="Times New Roman" w:eastAsia="宋体" w:cs="Times New Roman"/>
                <w:color w:val="auto"/>
                <w:sz w:val="21"/>
                <w:lang w:eastAsia="zh-CN"/>
              </w:rPr>
              <w:t>芒市帕底工业园区</w:t>
            </w:r>
            <w:r>
              <w:rPr>
                <w:rFonts w:hint="default" w:ascii="Times New Roman" w:hAnsi="Times New Roman" w:eastAsia="宋体" w:cs="Times New Roman"/>
                <w:color w:val="auto"/>
                <w:sz w:val="21"/>
              </w:rPr>
              <w:t>，根据《环境空气质量标准》</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GB3095－2012</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，项目区域属于环境空气二类区。</w:t>
            </w:r>
          </w:p>
        </w:tc>
      </w:tr>
      <w:tr w14:paraId="71772222">
        <w:tblPrEx>
          <w:tblCellMar>
            <w:top w:w="0" w:type="dxa"/>
            <w:left w:w="108" w:type="dxa"/>
            <w:bottom w:w="0" w:type="dxa"/>
            <w:right w:w="108" w:type="dxa"/>
          </w:tblCellMar>
        </w:tblPrEx>
        <w:trPr>
          <w:trHeight w:val="405" w:hRule="atLeast"/>
          <w:jc w:val="center"/>
        </w:trPr>
        <w:tc>
          <w:tcPr>
            <w:tcW w:w="1128" w:type="dxa"/>
            <w:tcBorders>
              <w:top w:val="nil"/>
              <w:left w:val="single" w:color="auto" w:sz="4" w:space="0"/>
              <w:bottom w:val="single" w:color="auto" w:sz="4" w:space="0"/>
              <w:right w:val="single" w:color="auto" w:sz="4" w:space="0"/>
            </w:tcBorders>
            <w:vAlign w:val="center"/>
          </w:tcPr>
          <w:p w14:paraId="7F8244D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地表水环境</w:t>
            </w:r>
          </w:p>
        </w:tc>
        <w:tc>
          <w:tcPr>
            <w:tcW w:w="7376" w:type="dxa"/>
            <w:tcBorders>
              <w:top w:val="nil"/>
              <w:left w:val="nil"/>
              <w:bottom w:val="single" w:color="auto" w:sz="4" w:space="0"/>
              <w:right w:val="single" w:color="auto" w:sz="4" w:space="0"/>
            </w:tcBorders>
            <w:vAlign w:val="center"/>
          </w:tcPr>
          <w:p w14:paraId="2FA18267">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项目区域</w:t>
            </w:r>
            <w:r>
              <w:rPr>
                <w:rFonts w:hint="default" w:ascii="Times New Roman" w:hAnsi="Times New Roman" w:eastAsia="宋体" w:cs="Times New Roman"/>
                <w:color w:val="auto"/>
                <w:sz w:val="21"/>
                <w:lang w:eastAsia="zh-CN"/>
              </w:rPr>
              <w:t>涉及的主要地表水体为芒市大河，根据《云南省地表水水环境功能区划（2010~2020）》，芒市大河属伊洛瓦底江流域，芒市大河为瑞丽江一级支流，伊洛瓦底江二级及以下支流，木康断面—入瑞丽江区域地表水体水环境功能为农业用水、工业用水，水质类别为Ⅲ类，执行GB3838-2002《地表水环境质量标准》Ⅲ类标准</w:t>
            </w:r>
            <w:r>
              <w:rPr>
                <w:rFonts w:hint="default" w:ascii="Times New Roman" w:hAnsi="Times New Roman" w:eastAsia="宋体" w:cs="Times New Roman"/>
                <w:color w:val="auto"/>
                <w:kern w:val="32"/>
                <w:sz w:val="21"/>
              </w:rPr>
              <w:t>。</w:t>
            </w:r>
          </w:p>
        </w:tc>
      </w:tr>
      <w:tr w14:paraId="0C0C239B">
        <w:tblPrEx>
          <w:tblCellMar>
            <w:top w:w="0" w:type="dxa"/>
            <w:left w:w="108" w:type="dxa"/>
            <w:bottom w:w="0" w:type="dxa"/>
            <w:right w:w="108" w:type="dxa"/>
          </w:tblCellMar>
        </w:tblPrEx>
        <w:trPr>
          <w:trHeight w:val="405" w:hRule="atLeast"/>
          <w:jc w:val="center"/>
        </w:trPr>
        <w:tc>
          <w:tcPr>
            <w:tcW w:w="1128" w:type="dxa"/>
            <w:tcBorders>
              <w:top w:val="nil"/>
              <w:left w:val="single" w:color="auto" w:sz="4" w:space="0"/>
              <w:bottom w:val="single" w:color="auto" w:sz="4" w:space="0"/>
              <w:right w:val="single" w:color="auto" w:sz="4" w:space="0"/>
            </w:tcBorders>
            <w:vAlign w:val="center"/>
          </w:tcPr>
          <w:p w14:paraId="640BB5E2">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地下水环境</w:t>
            </w:r>
          </w:p>
        </w:tc>
        <w:tc>
          <w:tcPr>
            <w:tcW w:w="7376" w:type="dxa"/>
            <w:tcBorders>
              <w:top w:val="nil"/>
              <w:left w:val="nil"/>
              <w:bottom w:val="single" w:color="auto" w:sz="4" w:space="0"/>
              <w:right w:val="single" w:color="auto" w:sz="4" w:space="0"/>
            </w:tcBorders>
            <w:vAlign w:val="center"/>
          </w:tcPr>
          <w:p w14:paraId="1EFECCC0">
            <w:pPr>
              <w:adjustRightInd w:val="0"/>
              <w:snapToGrid w:val="0"/>
              <w:spacing w:line="240" w:lineRule="auto"/>
              <w:jc w:val="center"/>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rPr>
              <w:t>项目位于</w:t>
            </w:r>
            <w:r>
              <w:rPr>
                <w:rFonts w:hint="default" w:ascii="Times New Roman" w:hAnsi="Times New Roman" w:eastAsia="宋体" w:cs="Times New Roman"/>
                <w:color w:val="auto"/>
                <w:sz w:val="21"/>
                <w:lang w:eastAsia="zh-CN"/>
              </w:rPr>
              <w:t>芒市帕底工业园区，根据《地下水环境质量标准》（</w:t>
            </w:r>
            <w:r>
              <w:rPr>
                <w:rFonts w:hint="default" w:ascii="Times New Roman" w:hAnsi="Times New Roman" w:eastAsia="宋体" w:cs="Times New Roman"/>
                <w:color w:val="auto"/>
                <w:sz w:val="21"/>
                <w:lang w:val="en-US" w:eastAsia="zh-CN"/>
              </w:rPr>
              <w:t>GB/T14848-2017</w:t>
            </w:r>
            <w:r>
              <w:rPr>
                <w:rFonts w:hint="default" w:ascii="Times New Roman" w:hAnsi="Times New Roman" w:eastAsia="宋体" w:cs="Times New Roman"/>
                <w:color w:val="auto"/>
                <w:sz w:val="21"/>
                <w:lang w:eastAsia="zh-CN"/>
              </w:rPr>
              <w:t>），项目区执行</w:t>
            </w:r>
            <w:r>
              <w:rPr>
                <w:rFonts w:hint="default" w:ascii="Times New Roman" w:hAnsi="Times New Roman" w:eastAsia="宋体" w:cs="Times New Roman"/>
                <w:color w:val="auto"/>
                <w:sz w:val="21"/>
                <w:lang w:val="en-US" w:eastAsia="zh-CN"/>
              </w:rPr>
              <w:t>III类水质标准</w:t>
            </w:r>
          </w:p>
        </w:tc>
      </w:tr>
      <w:tr w14:paraId="217C0A18">
        <w:tblPrEx>
          <w:tblCellMar>
            <w:top w:w="0" w:type="dxa"/>
            <w:left w:w="108" w:type="dxa"/>
            <w:bottom w:w="0" w:type="dxa"/>
            <w:right w:w="108" w:type="dxa"/>
          </w:tblCellMar>
        </w:tblPrEx>
        <w:trPr>
          <w:trHeight w:val="405" w:hRule="atLeast"/>
          <w:jc w:val="center"/>
        </w:trPr>
        <w:tc>
          <w:tcPr>
            <w:tcW w:w="1128" w:type="dxa"/>
            <w:tcBorders>
              <w:top w:val="nil"/>
              <w:left w:val="single" w:color="auto" w:sz="4" w:space="0"/>
              <w:bottom w:val="single" w:color="auto" w:sz="4" w:space="0"/>
              <w:right w:val="single" w:color="auto" w:sz="4" w:space="0"/>
            </w:tcBorders>
            <w:vAlign w:val="center"/>
          </w:tcPr>
          <w:p w14:paraId="0E9823DB">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土壤环境</w:t>
            </w:r>
          </w:p>
        </w:tc>
        <w:tc>
          <w:tcPr>
            <w:tcW w:w="7376" w:type="dxa"/>
            <w:tcBorders>
              <w:top w:val="nil"/>
              <w:left w:val="nil"/>
              <w:bottom w:val="single" w:color="auto" w:sz="4" w:space="0"/>
              <w:right w:val="single" w:color="auto" w:sz="4" w:space="0"/>
            </w:tcBorders>
            <w:vAlign w:val="center"/>
          </w:tcPr>
          <w:p w14:paraId="72C9EB02">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项目位于</w:t>
            </w:r>
            <w:r>
              <w:rPr>
                <w:rFonts w:hint="default" w:ascii="Times New Roman" w:hAnsi="Times New Roman" w:eastAsia="宋体" w:cs="Times New Roman"/>
                <w:color w:val="auto"/>
                <w:sz w:val="21"/>
                <w:lang w:eastAsia="zh-CN"/>
              </w:rPr>
              <w:t>芒市帕底工业园区，用地为工业用地，项目区执行（GB36600-2018）《土壤环境质量 建设用地土壤污染风险管控标准》中二类用地筛选值标准要求。</w:t>
            </w:r>
          </w:p>
        </w:tc>
      </w:tr>
      <w:tr w14:paraId="1F31C45C">
        <w:tblPrEx>
          <w:tblCellMar>
            <w:top w:w="0" w:type="dxa"/>
            <w:left w:w="108" w:type="dxa"/>
            <w:bottom w:w="0" w:type="dxa"/>
            <w:right w:w="108" w:type="dxa"/>
          </w:tblCellMar>
        </w:tblPrEx>
        <w:trPr>
          <w:trHeight w:val="561" w:hRule="atLeast"/>
          <w:jc w:val="center"/>
        </w:trPr>
        <w:tc>
          <w:tcPr>
            <w:tcW w:w="1128" w:type="dxa"/>
            <w:tcBorders>
              <w:top w:val="nil"/>
              <w:left w:val="single" w:color="auto" w:sz="4" w:space="0"/>
              <w:bottom w:val="single" w:color="auto" w:sz="4" w:space="0"/>
              <w:right w:val="single" w:color="auto" w:sz="4" w:space="0"/>
            </w:tcBorders>
            <w:vAlign w:val="center"/>
          </w:tcPr>
          <w:p w14:paraId="2A93808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声环境</w:t>
            </w:r>
          </w:p>
        </w:tc>
        <w:tc>
          <w:tcPr>
            <w:tcW w:w="7376" w:type="dxa"/>
            <w:tcBorders>
              <w:top w:val="nil"/>
              <w:left w:val="nil"/>
              <w:bottom w:val="single" w:color="auto" w:sz="4" w:space="0"/>
              <w:right w:val="single" w:color="auto" w:sz="4" w:space="0"/>
            </w:tcBorders>
            <w:vAlign w:val="center"/>
          </w:tcPr>
          <w:p w14:paraId="2BA45CEE">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项目位于</w:t>
            </w:r>
            <w:r>
              <w:rPr>
                <w:rFonts w:hint="default" w:ascii="Times New Roman" w:hAnsi="Times New Roman" w:eastAsia="宋体" w:cs="Times New Roman"/>
                <w:color w:val="auto"/>
                <w:sz w:val="21"/>
                <w:lang w:eastAsia="zh-CN"/>
              </w:rPr>
              <w:t>芒市帕底工业园区</w:t>
            </w:r>
            <w:r>
              <w:rPr>
                <w:rFonts w:hint="default" w:ascii="Times New Roman" w:hAnsi="Times New Roman" w:eastAsia="宋体" w:cs="Times New Roman"/>
                <w:color w:val="auto"/>
                <w:sz w:val="21"/>
              </w:rPr>
              <w:t>，根据《声环境质量标准》(GB3096-2008)，项目区属于3类声环境功能区。</w:t>
            </w:r>
          </w:p>
        </w:tc>
      </w:tr>
      <w:tr w14:paraId="7C56D55E">
        <w:tblPrEx>
          <w:tblCellMar>
            <w:top w:w="0" w:type="dxa"/>
            <w:left w:w="108" w:type="dxa"/>
            <w:bottom w:w="0" w:type="dxa"/>
            <w:right w:w="108" w:type="dxa"/>
          </w:tblCellMar>
        </w:tblPrEx>
        <w:trPr>
          <w:trHeight w:val="482" w:hRule="atLeast"/>
          <w:jc w:val="center"/>
        </w:trPr>
        <w:tc>
          <w:tcPr>
            <w:tcW w:w="1128" w:type="dxa"/>
            <w:tcBorders>
              <w:top w:val="nil"/>
              <w:left w:val="single" w:color="auto" w:sz="4" w:space="0"/>
              <w:bottom w:val="single" w:color="auto" w:sz="4" w:space="0"/>
              <w:right w:val="single" w:color="auto" w:sz="4" w:space="0"/>
            </w:tcBorders>
            <w:vAlign w:val="center"/>
          </w:tcPr>
          <w:p w14:paraId="7510A02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生态环境</w:t>
            </w:r>
          </w:p>
        </w:tc>
        <w:tc>
          <w:tcPr>
            <w:tcW w:w="7376" w:type="dxa"/>
            <w:tcBorders>
              <w:top w:val="nil"/>
              <w:left w:val="nil"/>
              <w:bottom w:val="single" w:color="auto" w:sz="4" w:space="0"/>
              <w:right w:val="single" w:color="auto" w:sz="4" w:space="0"/>
            </w:tcBorders>
            <w:vAlign w:val="center"/>
          </w:tcPr>
          <w:p w14:paraId="3918656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项目位于</w:t>
            </w:r>
            <w:r>
              <w:rPr>
                <w:rFonts w:hint="default" w:ascii="Times New Roman" w:hAnsi="Times New Roman" w:eastAsia="宋体" w:cs="Times New Roman"/>
                <w:color w:val="auto"/>
                <w:sz w:val="21"/>
                <w:lang w:eastAsia="zh-CN"/>
              </w:rPr>
              <w:t>芒市帕底工业园区</w:t>
            </w:r>
            <w:r>
              <w:rPr>
                <w:rFonts w:hint="default" w:ascii="Times New Roman" w:hAnsi="Times New Roman" w:eastAsia="宋体" w:cs="Times New Roman"/>
                <w:color w:val="auto"/>
                <w:sz w:val="21"/>
              </w:rPr>
              <w:t>，其主导功能是工业生态环境。</w:t>
            </w:r>
          </w:p>
        </w:tc>
      </w:tr>
    </w:tbl>
    <w:p w14:paraId="40C85578">
      <w:pPr>
        <w:adjustRightInd w:val="0"/>
        <w:snapToGrid w:val="0"/>
        <w:spacing w:beforeLines="50"/>
        <w:outlineLvl w:val="1"/>
        <w:rPr>
          <w:rFonts w:hint="default" w:ascii="Times New Roman" w:hAnsi="Times New Roman" w:eastAsia="宋体" w:cs="Times New Roman"/>
          <w:b/>
          <w:color w:val="auto"/>
          <w:sz w:val="32"/>
          <w:szCs w:val="32"/>
        </w:rPr>
      </w:pPr>
      <w:bookmarkStart w:id="124" w:name="_Toc16107"/>
      <w:bookmarkStart w:id="125" w:name="_Toc3470"/>
      <w:r>
        <w:rPr>
          <w:rFonts w:hint="default" w:ascii="Times New Roman" w:hAnsi="Times New Roman" w:eastAsia="宋体" w:cs="Times New Roman"/>
          <w:b/>
          <w:color w:val="auto"/>
          <w:sz w:val="32"/>
          <w:szCs w:val="32"/>
        </w:rPr>
        <w:t>1.5评价标准</w:t>
      </w:r>
      <w:bookmarkEnd w:id="116"/>
      <w:bookmarkEnd w:id="117"/>
      <w:bookmarkEnd w:id="118"/>
      <w:bookmarkEnd w:id="119"/>
      <w:bookmarkEnd w:id="120"/>
      <w:bookmarkEnd w:id="124"/>
      <w:bookmarkEnd w:id="125"/>
    </w:p>
    <w:p w14:paraId="4A1285AD">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根据建设项目特点和功能定位，本项目执行的评价标准如下：</w:t>
      </w:r>
    </w:p>
    <w:p w14:paraId="6D8A5C1A">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126" w:name="_Toc269196231"/>
      <w:bookmarkStart w:id="127" w:name="_Toc307819471"/>
      <w:bookmarkStart w:id="128" w:name="_Toc291195994"/>
      <w:bookmarkStart w:id="129" w:name="_Toc143085325"/>
      <w:bookmarkStart w:id="130" w:name="_Toc268077611"/>
      <w:bookmarkStart w:id="131" w:name="_Toc23396"/>
      <w:bookmarkStart w:id="132" w:name="_Toc299348866"/>
      <w:r>
        <w:rPr>
          <w:rFonts w:hint="default" w:ascii="Times New Roman" w:hAnsi="Times New Roman" w:eastAsia="宋体" w:cs="Times New Roman"/>
          <w:color w:val="auto"/>
          <w:sz w:val="28"/>
          <w:szCs w:val="28"/>
        </w:rPr>
        <w:t>1.5.1环境质量标准</w:t>
      </w:r>
      <w:bookmarkEnd w:id="126"/>
      <w:bookmarkEnd w:id="127"/>
      <w:bookmarkEnd w:id="128"/>
      <w:bookmarkEnd w:id="129"/>
      <w:bookmarkEnd w:id="130"/>
      <w:bookmarkEnd w:id="131"/>
      <w:bookmarkEnd w:id="132"/>
    </w:p>
    <w:p w14:paraId="731A94B0">
      <w:pPr>
        <w:adjustRightInd w:val="0"/>
        <w:snapToGrid w:val="0"/>
        <w:ind w:firstLine="480" w:firstLineChars="200"/>
        <w:rPr>
          <w:rFonts w:hint="default" w:ascii="Times New Roman" w:hAnsi="Times New Roman" w:eastAsia="宋体" w:cs="Times New Roman"/>
          <w:b/>
          <w:color w:val="auto"/>
          <w:szCs w:val="24"/>
        </w:rPr>
      </w:pPr>
      <w:bookmarkStart w:id="133" w:name="_Toc289866099"/>
      <w:bookmarkStart w:id="134" w:name="_Toc286596846"/>
      <w:r>
        <w:rPr>
          <w:rFonts w:hint="default" w:ascii="Times New Roman" w:hAnsi="Times New Roman" w:eastAsia="宋体" w:cs="Times New Roman"/>
          <w:b/>
          <w:color w:val="auto"/>
        </w:rPr>
        <w:t>（1）环境空气</w:t>
      </w:r>
      <w:bookmarkEnd w:id="133"/>
      <w:bookmarkEnd w:id="134"/>
    </w:p>
    <w:p w14:paraId="34F4E4A8">
      <w:pPr>
        <w:adjustRightInd w:val="0"/>
        <w:snapToGrid w:val="0"/>
        <w:ind w:firstLine="480" w:firstLineChars="200"/>
        <w:rPr>
          <w:rFonts w:hint="default" w:ascii="Times New Roman" w:hAnsi="Times New Roman" w:eastAsia="宋体" w:cs="Times New Roman"/>
          <w:b/>
          <w:color w:val="auto"/>
          <w:sz w:val="21"/>
        </w:rPr>
      </w:pPr>
      <w:r>
        <w:rPr>
          <w:rFonts w:hint="default" w:ascii="Times New Roman" w:hAnsi="Times New Roman" w:eastAsia="宋体" w:cs="Times New Roman"/>
          <w:color w:val="auto"/>
        </w:rPr>
        <w:t>项目位于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属于环境空气二类功能区，</w:t>
      </w:r>
      <w:r>
        <w:rPr>
          <w:rFonts w:hint="default" w:ascii="Times New Roman" w:hAnsi="Times New Roman" w:eastAsia="宋体" w:cs="Times New Roman"/>
          <w:color w:val="auto"/>
        </w:rPr>
        <w:t>执行《环境空气质量标准》（GB3095-2012）二级浓度限值，</w:t>
      </w:r>
      <w:r>
        <w:rPr>
          <w:rFonts w:hint="default" w:ascii="Times New Roman" w:hAnsi="Times New Roman" w:eastAsia="宋体" w:cs="Times New Roman"/>
          <w:color w:val="auto"/>
          <w:lang w:eastAsia="zh-CN"/>
        </w:rPr>
        <w:t>标准值</w:t>
      </w:r>
      <w:r>
        <w:rPr>
          <w:rFonts w:hint="default" w:ascii="Times New Roman" w:hAnsi="Times New Roman" w:eastAsia="宋体" w:cs="Times New Roman"/>
          <w:color w:val="auto"/>
        </w:rPr>
        <w:t>见表1.5-1。</w:t>
      </w:r>
    </w:p>
    <w:p w14:paraId="66BCC040">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表1.5-1 环境空气质量标准   单位：μg/m</w:t>
      </w:r>
      <w:r>
        <w:rPr>
          <w:rFonts w:hint="default" w:ascii="Times New Roman" w:hAnsi="Times New Roman" w:eastAsia="宋体" w:cs="Times New Roman"/>
          <w:b/>
          <w:color w:val="auto"/>
          <w:vertAlign w:val="superscript"/>
        </w:rPr>
        <w:t>3</w:t>
      </w:r>
    </w:p>
    <w:tbl>
      <w:tblPr>
        <w:tblStyle w:val="66"/>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798"/>
        <w:gridCol w:w="746"/>
        <w:gridCol w:w="748"/>
        <w:gridCol w:w="800"/>
        <w:gridCol w:w="729"/>
        <w:gridCol w:w="727"/>
        <w:gridCol w:w="674"/>
        <w:gridCol w:w="1475"/>
      </w:tblGrid>
      <w:tr w14:paraId="6A33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dxa"/>
            <w:tcBorders>
              <w:top w:val="single" w:color="auto" w:sz="4" w:space="0"/>
              <w:left w:val="single" w:color="auto" w:sz="4" w:space="0"/>
              <w:bottom w:val="single" w:color="auto" w:sz="4" w:space="0"/>
              <w:right w:val="single" w:color="auto" w:sz="4" w:space="0"/>
            </w:tcBorders>
            <w:vAlign w:val="center"/>
          </w:tcPr>
          <w:p w14:paraId="43AF9D8C">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标准</w:t>
            </w:r>
          </w:p>
        </w:tc>
        <w:tc>
          <w:tcPr>
            <w:tcW w:w="1798" w:type="dxa"/>
            <w:tcBorders>
              <w:top w:val="single" w:color="auto" w:sz="4" w:space="0"/>
              <w:left w:val="single" w:color="auto" w:sz="4" w:space="0"/>
              <w:bottom w:val="single" w:color="auto" w:sz="4" w:space="0"/>
              <w:right w:val="single" w:color="auto" w:sz="4" w:space="0"/>
            </w:tcBorders>
            <w:vAlign w:val="center"/>
          </w:tcPr>
          <w:p w14:paraId="09A50DF3">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取值时间</w:t>
            </w:r>
          </w:p>
        </w:tc>
        <w:tc>
          <w:tcPr>
            <w:tcW w:w="746" w:type="dxa"/>
            <w:tcBorders>
              <w:top w:val="single" w:color="auto" w:sz="4" w:space="0"/>
              <w:left w:val="single" w:color="auto" w:sz="4" w:space="0"/>
              <w:bottom w:val="single" w:color="auto" w:sz="4" w:space="0"/>
              <w:right w:val="single" w:color="auto" w:sz="4" w:space="0"/>
            </w:tcBorders>
            <w:vAlign w:val="center"/>
          </w:tcPr>
          <w:p w14:paraId="6CA54F60">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TSP</w:t>
            </w:r>
          </w:p>
        </w:tc>
        <w:tc>
          <w:tcPr>
            <w:tcW w:w="748" w:type="dxa"/>
            <w:tcBorders>
              <w:top w:val="single" w:color="auto" w:sz="4" w:space="0"/>
              <w:left w:val="single" w:color="auto" w:sz="4" w:space="0"/>
              <w:bottom w:val="single" w:color="auto" w:sz="4" w:space="0"/>
              <w:right w:val="single" w:color="auto" w:sz="4" w:space="0"/>
            </w:tcBorders>
            <w:vAlign w:val="center"/>
          </w:tcPr>
          <w:p w14:paraId="2F31F637">
            <w:pPr>
              <w:adjustRightInd w:val="0"/>
              <w:snapToGrid w:val="0"/>
              <w:spacing w:line="240" w:lineRule="auto"/>
              <w:jc w:val="center"/>
              <w:rPr>
                <w:rFonts w:hint="default" w:ascii="Times New Roman" w:hAnsi="Times New Roman" w:eastAsia="宋体" w:cs="Times New Roman"/>
                <w:b/>
                <w:bCs/>
                <w:color w:val="auto"/>
                <w:sz w:val="21"/>
                <w:vertAlign w:val="subscript"/>
              </w:rPr>
            </w:pPr>
            <w:r>
              <w:rPr>
                <w:rFonts w:hint="default" w:ascii="Times New Roman" w:hAnsi="Times New Roman" w:eastAsia="宋体" w:cs="Times New Roman"/>
                <w:b/>
                <w:bCs/>
                <w:color w:val="auto"/>
                <w:sz w:val="21"/>
              </w:rPr>
              <w:t>PM</w:t>
            </w:r>
            <w:r>
              <w:rPr>
                <w:rFonts w:hint="default" w:ascii="Times New Roman" w:hAnsi="Times New Roman" w:eastAsia="宋体" w:cs="Times New Roman"/>
                <w:b/>
                <w:bCs/>
                <w:color w:val="auto"/>
                <w:sz w:val="21"/>
                <w:vertAlign w:val="subscript"/>
              </w:rPr>
              <w:t>10</w:t>
            </w:r>
          </w:p>
        </w:tc>
        <w:tc>
          <w:tcPr>
            <w:tcW w:w="800" w:type="dxa"/>
            <w:tcBorders>
              <w:top w:val="single" w:color="auto" w:sz="4" w:space="0"/>
              <w:left w:val="single" w:color="auto" w:sz="4" w:space="0"/>
              <w:bottom w:val="single" w:color="auto" w:sz="4" w:space="0"/>
              <w:right w:val="single" w:color="auto" w:sz="4" w:space="0"/>
            </w:tcBorders>
            <w:vAlign w:val="center"/>
          </w:tcPr>
          <w:p w14:paraId="58A8F39D">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rPr>
              <w:t>PM</w:t>
            </w:r>
            <w:r>
              <w:rPr>
                <w:rFonts w:hint="default" w:ascii="Times New Roman" w:hAnsi="Times New Roman" w:eastAsia="宋体" w:cs="Times New Roman"/>
                <w:b/>
                <w:bCs/>
                <w:color w:val="auto"/>
                <w:sz w:val="21"/>
                <w:vertAlign w:val="subscript"/>
                <w:lang w:val="en-US" w:eastAsia="zh-CN"/>
              </w:rPr>
              <w:t>2.5</w:t>
            </w:r>
          </w:p>
        </w:tc>
        <w:tc>
          <w:tcPr>
            <w:tcW w:w="729" w:type="dxa"/>
            <w:tcBorders>
              <w:top w:val="single" w:color="auto" w:sz="4" w:space="0"/>
              <w:left w:val="single" w:color="auto" w:sz="4" w:space="0"/>
              <w:bottom w:val="single" w:color="auto" w:sz="4" w:space="0"/>
              <w:right w:val="single" w:color="auto" w:sz="4" w:space="0"/>
            </w:tcBorders>
            <w:vAlign w:val="center"/>
          </w:tcPr>
          <w:p w14:paraId="707C89E1">
            <w:pPr>
              <w:adjustRightInd w:val="0"/>
              <w:snapToGrid w:val="0"/>
              <w:spacing w:line="240" w:lineRule="auto"/>
              <w:jc w:val="center"/>
              <w:rPr>
                <w:rFonts w:hint="default" w:ascii="Times New Roman" w:hAnsi="Times New Roman" w:eastAsia="宋体" w:cs="Times New Roman"/>
                <w:b/>
                <w:bCs/>
                <w:color w:val="auto"/>
                <w:sz w:val="21"/>
                <w:vertAlign w:val="subscript"/>
              </w:rPr>
            </w:pPr>
            <w:r>
              <w:rPr>
                <w:rFonts w:hint="default" w:ascii="Times New Roman" w:hAnsi="Times New Roman" w:eastAsia="宋体" w:cs="Times New Roman"/>
                <w:b/>
                <w:bCs/>
                <w:color w:val="auto"/>
                <w:sz w:val="21"/>
              </w:rPr>
              <w:t>SO</w:t>
            </w:r>
            <w:r>
              <w:rPr>
                <w:rFonts w:hint="default" w:ascii="Times New Roman" w:hAnsi="Times New Roman" w:eastAsia="宋体" w:cs="Times New Roman"/>
                <w:b/>
                <w:bCs/>
                <w:color w:val="auto"/>
                <w:sz w:val="21"/>
                <w:vertAlign w:val="subscript"/>
              </w:rPr>
              <w:t>2</w:t>
            </w:r>
          </w:p>
        </w:tc>
        <w:tc>
          <w:tcPr>
            <w:tcW w:w="727" w:type="dxa"/>
            <w:tcBorders>
              <w:top w:val="single" w:color="auto" w:sz="4" w:space="0"/>
              <w:left w:val="single" w:color="auto" w:sz="4" w:space="0"/>
              <w:bottom w:val="single" w:color="auto" w:sz="4" w:space="0"/>
              <w:right w:val="single" w:color="auto" w:sz="4" w:space="0"/>
            </w:tcBorders>
            <w:vAlign w:val="center"/>
          </w:tcPr>
          <w:p w14:paraId="7BAA5B2C">
            <w:pPr>
              <w:adjustRightInd w:val="0"/>
              <w:snapToGrid w:val="0"/>
              <w:spacing w:line="240" w:lineRule="auto"/>
              <w:jc w:val="center"/>
              <w:rPr>
                <w:rFonts w:hint="default" w:ascii="Times New Roman" w:hAnsi="Times New Roman" w:eastAsia="宋体" w:cs="Times New Roman"/>
                <w:b/>
                <w:bCs/>
                <w:color w:val="auto"/>
                <w:sz w:val="21"/>
                <w:vertAlign w:val="subscript"/>
              </w:rPr>
            </w:pPr>
            <w:r>
              <w:rPr>
                <w:rFonts w:hint="default" w:ascii="Times New Roman" w:hAnsi="Times New Roman" w:eastAsia="宋体" w:cs="Times New Roman"/>
                <w:b/>
                <w:bCs/>
                <w:color w:val="auto"/>
                <w:sz w:val="21"/>
              </w:rPr>
              <w:t>NO</w:t>
            </w:r>
            <w:r>
              <w:rPr>
                <w:rFonts w:hint="default" w:ascii="Times New Roman" w:hAnsi="Times New Roman" w:eastAsia="宋体" w:cs="Times New Roman"/>
                <w:b/>
                <w:bCs/>
                <w:color w:val="auto"/>
                <w:sz w:val="21"/>
                <w:vertAlign w:val="subscript"/>
              </w:rPr>
              <w:t>2</w:t>
            </w:r>
          </w:p>
        </w:tc>
        <w:tc>
          <w:tcPr>
            <w:tcW w:w="674" w:type="dxa"/>
            <w:tcBorders>
              <w:top w:val="single" w:color="auto" w:sz="4" w:space="0"/>
              <w:left w:val="single" w:color="auto" w:sz="4" w:space="0"/>
              <w:bottom w:val="single" w:color="auto" w:sz="4" w:space="0"/>
              <w:right w:val="single" w:color="auto" w:sz="4" w:space="0"/>
            </w:tcBorders>
            <w:vAlign w:val="center"/>
          </w:tcPr>
          <w:p w14:paraId="6F9B0B73">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CO</w:t>
            </w:r>
          </w:p>
        </w:tc>
        <w:tc>
          <w:tcPr>
            <w:tcW w:w="1475" w:type="dxa"/>
            <w:tcBorders>
              <w:top w:val="single" w:color="auto" w:sz="4" w:space="0"/>
              <w:left w:val="single" w:color="auto" w:sz="4" w:space="0"/>
              <w:bottom w:val="single" w:color="auto" w:sz="4" w:space="0"/>
              <w:right w:val="single" w:color="auto" w:sz="4" w:space="0"/>
            </w:tcBorders>
            <w:vAlign w:val="center"/>
          </w:tcPr>
          <w:p w14:paraId="77D856C4">
            <w:pPr>
              <w:adjustRightInd w:val="0"/>
              <w:snapToGrid w:val="0"/>
              <w:spacing w:line="240" w:lineRule="auto"/>
              <w:jc w:val="center"/>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臭氧（</w:t>
            </w:r>
            <w:r>
              <w:rPr>
                <w:rFonts w:hint="default" w:ascii="Times New Roman" w:hAnsi="Times New Roman" w:eastAsia="宋体" w:cs="Times New Roman"/>
                <w:b/>
                <w:bCs/>
                <w:color w:val="auto"/>
                <w:sz w:val="21"/>
                <w:lang w:val="en-US" w:eastAsia="zh-CN"/>
              </w:rPr>
              <w:t>O</w:t>
            </w:r>
            <w:r>
              <w:rPr>
                <w:rFonts w:hint="default" w:ascii="Times New Roman" w:hAnsi="Times New Roman" w:eastAsia="宋体" w:cs="Times New Roman"/>
                <w:b/>
                <w:bCs/>
                <w:color w:val="auto"/>
                <w:sz w:val="21"/>
                <w:vertAlign w:val="subscript"/>
                <w:lang w:val="en-US" w:eastAsia="zh-CN"/>
              </w:rPr>
              <w:t>3</w:t>
            </w:r>
            <w:r>
              <w:rPr>
                <w:rFonts w:hint="default" w:ascii="Times New Roman" w:hAnsi="Times New Roman" w:eastAsia="宋体" w:cs="Times New Roman"/>
                <w:b/>
                <w:bCs/>
                <w:color w:val="auto"/>
                <w:sz w:val="21"/>
                <w:lang w:eastAsia="zh-CN"/>
              </w:rPr>
              <w:t>）</w:t>
            </w:r>
          </w:p>
        </w:tc>
      </w:tr>
      <w:tr w14:paraId="7661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dxa"/>
            <w:vMerge w:val="restart"/>
            <w:tcBorders>
              <w:top w:val="single" w:color="auto" w:sz="4" w:space="0"/>
              <w:left w:val="single" w:color="auto" w:sz="4" w:space="0"/>
              <w:bottom w:val="single" w:color="auto" w:sz="4" w:space="0"/>
              <w:right w:val="single" w:color="auto" w:sz="4" w:space="0"/>
            </w:tcBorders>
            <w:vAlign w:val="center"/>
          </w:tcPr>
          <w:p w14:paraId="188EB83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GB3095-2012</w:t>
            </w:r>
          </w:p>
        </w:tc>
        <w:tc>
          <w:tcPr>
            <w:tcW w:w="1798" w:type="dxa"/>
            <w:tcBorders>
              <w:top w:val="single" w:color="auto" w:sz="4" w:space="0"/>
              <w:left w:val="single" w:color="auto" w:sz="4" w:space="0"/>
              <w:bottom w:val="single" w:color="auto" w:sz="4" w:space="0"/>
              <w:right w:val="single" w:color="auto" w:sz="4" w:space="0"/>
            </w:tcBorders>
            <w:vAlign w:val="center"/>
          </w:tcPr>
          <w:p w14:paraId="23FAE535">
            <w:pPr>
              <w:adjustRightInd w:val="0"/>
              <w:snapToGrid w:val="0"/>
              <w:spacing w:line="240" w:lineRule="auto"/>
              <w:jc w:val="center"/>
              <w:rPr>
                <w:rFonts w:hint="default" w:ascii="Times New Roman" w:hAnsi="Times New Roman" w:eastAsia="宋体" w:cs="Times New Roman"/>
                <w:bCs/>
                <w:color w:val="auto"/>
                <w:kern w:val="21"/>
                <w:sz w:val="21"/>
              </w:rPr>
            </w:pPr>
            <w:r>
              <w:rPr>
                <w:rFonts w:hint="default" w:ascii="Times New Roman" w:hAnsi="Times New Roman" w:eastAsia="宋体" w:cs="Times New Roman"/>
                <w:bCs/>
                <w:color w:val="auto"/>
                <w:kern w:val="21"/>
                <w:sz w:val="21"/>
              </w:rPr>
              <w:t>年平均浓度</w:t>
            </w:r>
          </w:p>
        </w:tc>
        <w:tc>
          <w:tcPr>
            <w:tcW w:w="746" w:type="dxa"/>
            <w:tcBorders>
              <w:top w:val="single" w:color="auto" w:sz="4" w:space="0"/>
              <w:left w:val="single" w:color="auto" w:sz="4" w:space="0"/>
              <w:bottom w:val="single" w:color="auto" w:sz="4" w:space="0"/>
              <w:right w:val="single" w:color="auto" w:sz="4" w:space="0"/>
            </w:tcBorders>
            <w:vAlign w:val="center"/>
          </w:tcPr>
          <w:p w14:paraId="420711A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200</w:t>
            </w:r>
          </w:p>
        </w:tc>
        <w:tc>
          <w:tcPr>
            <w:tcW w:w="748" w:type="dxa"/>
            <w:tcBorders>
              <w:top w:val="single" w:color="auto" w:sz="4" w:space="0"/>
              <w:left w:val="single" w:color="auto" w:sz="4" w:space="0"/>
              <w:bottom w:val="single" w:color="auto" w:sz="4" w:space="0"/>
              <w:right w:val="single" w:color="auto" w:sz="4" w:space="0"/>
            </w:tcBorders>
            <w:vAlign w:val="center"/>
          </w:tcPr>
          <w:p w14:paraId="634ACD0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70</w:t>
            </w:r>
          </w:p>
        </w:tc>
        <w:tc>
          <w:tcPr>
            <w:tcW w:w="800" w:type="dxa"/>
            <w:tcBorders>
              <w:top w:val="single" w:color="auto" w:sz="4" w:space="0"/>
              <w:left w:val="single" w:color="auto" w:sz="4" w:space="0"/>
              <w:bottom w:val="single" w:color="auto" w:sz="4" w:space="0"/>
              <w:right w:val="single" w:color="auto" w:sz="4" w:space="0"/>
            </w:tcBorders>
            <w:vAlign w:val="center"/>
          </w:tcPr>
          <w:p w14:paraId="7ABEA553">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35</w:t>
            </w:r>
          </w:p>
        </w:tc>
        <w:tc>
          <w:tcPr>
            <w:tcW w:w="729" w:type="dxa"/>
            <w:tcBorders>
              <w:top w:val="single" w:color="auto" w:sz="4" w:space="0"/>
              <w:left w:val="single" w:color="auto" w:sz="4" w:space="0"/>
              <w:bottom w:val="single" w:color="auto" w:sz="4" w:space="0"/>
              <w:right w:val="single" w:color="auto" w:sz="4" w:space="0"/>
            </w:tcBorders>
            <w:vAlign w:val="center"/>
          </w:tcPr>
          <w:p w14:paraId="39A7E0A7">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60</w:t>
            </w:r>
          </w:p>
        </w:tc>
        <w:tc>
          <w:tcPr>
            <w:tcW w:w="727" w:type="dxa"/>
            <w:tcBorders>
              <w:top w:val="single" w:color="auto" w:sz="4" w:space="0"/>
              <w:left w:val="single" w:color="auto" w:sz="4" w:space="0"/>
              <w:bottom w:val="single" w:color="auto" w:sz="4" w:space="0"/>
              <w:right w:val="single" w:color="auto" w:sz="4" w:space="0"/>
            </w:tcBorders>
            <w:vAlign w:val="center"/>
          </w:tcPr>
          <w:p w14:paraId="001B031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40</w:t>
            </w:r>
          </w:p>
        </w:tc>
        <w:tc>
          <w:tcPr>
            <w:tcW w:w="674" w:type="dxa"/>
            <w:tcBorders>
              <w:top w:val="single" w:color="auto" w:sz="4" w:space="0"/>
              <w:left w:val="single" w:color="auto" w:sz="4" w:space="0"/>
              <w:bottom w:val="single" w:color="auto" w:sz="4" w:space="0"/>
              <w:right w:val="single" w:color="auto" w:sz="4" w:space="0"/>
            </w:tcBorders>
            <w:vAlign w:val="center"/>
          </w:tcPr>
          <w:p w14:paraId="71CF878A">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c>
          <w:tcPr>
            <w:tcW w:w="1475" w:type="dxa"/>
            <w:tcBorders>
              <w:top w:val="single" w:color="auto" w:sz="4" w:space="0"/>
              <w:left w:val="single" w:color="auto" w:sz="4" w:space="0"/>
              <w:bottom w:val="single" w:color="auto" w:sz="4" w:space="0"/>
              <w:right w:val="single" w:color="auto" w:sz="4" w:space="0"/>
            </w:tcBorders>
            <w:vAlign w:val="center"/>
          </w:tcPr>
          <w:p w14:paraId="306F3A60">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14:paraId="509E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dxa"/>
            <w:vMerge w:val="continue"/>
            <w:tcBorders>
              <w:top w:val="single" w:color="auto" w:sz="4" w:space="0"/>
              <w:left w:val="single" w:color="auto" w:sz="4" w:space="0"/>
              <w:bottom w:val="single" w:color="auto" w:sz="4" w:space="0"/>
              <w:right w:val="single" w:color="auto" w:sz="4" w:space="0"/>
            </w:tcBorders>
            <w:vAlign w:val="center"/>
          </w:tcPr>
          <w:p w14:paraId="1768B056">
            <w:pPr>
              <w:widowControl/>
              <w:spacing w:line="240" w:lineRule="auto"/>
              <w:jc w:val="left"/>
              <w:rPr>
                <w:rFonts w:hint="default" w:ascii="Times New Roman" w:hAnsi="Times New Roman" w:eastAsia="宋体" w:cs="Times New Roman"/>
                <w:color w:val="auto"/>
                <w:sz w:val="21"/>
              </w:rPr>
            </w:pPr>
          </w:p>
        </w:tc>
        <w:tc>
          <w:tcPr>
            <w:tcW w:w="1798" w:type="dxa"/>
            <w:tcBorders>
              <w:top w:val="single" w:color="auto" w:sz="4" w:space="0"/>
              <w:left w:val="single" w:color="auto" w:sz="4" w:space="0"/>
              <w:bottom w:val="single" w:color="auto" w:sz="4" w:space="0"/>
              <w:right w:val="single" w:color="auto" w:sz="4" w:space="0"/>
            </w:tcBorders>
            <w:vAlign w:val="center"/>
          </w:tcPr>
          <w:p w14:paraId="0443F11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24小时平均浓度</w:t>
            </w:r>
          </w:p>
        </w:tc>
        <w:tc>
          <w:tcPr>
            <w:tcW w:w="746" w:type="dxa"/>
            <w:tcBorders>
              <w:top w:val="single" w:color="auto" w:sz="4" w:space="0"/>
              <w:left w:val="single" w:color="auto" w:sz="4" w:space="0"/>
              <w:bottom w:val="single" w:color="auto" w:sz="4" w:space="0"/>
              <w:right w:val="single" w:color="auto" w:sz="4" w:space="0"/>
            </w:tcBorders>
            <w:vAlign w:val="center"/>
          </w:tcPr>
          <w:p w14:paraId="58AAED7F">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300</w:t>
            </w:r>
          </w:p>
        </w:tc>
        <w:tc>
          <w:tcPr>
            <w:tcW w:w="748" w:type="dxa"/>
            <w:tcBorders>
              <w:top w:val="single" w:color="auto" w:sz="4" w:space="0"/>
              <w:left w:val="single" w:color="auto" w:sz="4" w:space="0"/>
              <w:bottom w:val="single" w:color="auto" w:sz="4" w:space="0"/>
              <w:right w:val="single" w:color="auto" w:sz="4" w:space="0"/>
            </w:tcBorders>
            <w:vAlign w:val="center"/>
          </w:tcPr>
          <w:p w14:paraId="7BA337B8">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150</w:t>
            </w:r>
          </w:p>
        </w:tc>
        <w:tc>
          <w:tcPr>
            <w:tcW w:w="800" w:type="dxa"/>
            <w:tcBorders>
              <w:top w:val="single" w:color="auto" w:sz="4" w:space="0"/>
              <w:left w:val="single" w:color="auto" w:sz="4" w:space="0"/>
              <w:bottom w:val="single" w:color="auto" w:sz="4" w:space="0"/>
              <w:right w:val="single" w:color="auto" w:sz="4" w:space="0"/>
            </w:tcBorders>
            <w:vAlign w:val="center"/>
          </w:tcPr>
          <w:p w14:paraId="1F2920E1">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75</w:t>
            </w:r>
          </w:p>
        </w:tc>
        <w:tc>
          <w:tcPr>
            <w:tcW w:w="729" w:type="dxa"/>
            <w:tcBorders>
              <w:top w:val="single" w:color="auto" w:sz="4" w:space="0"/>
              <w:left w:val="single" w:color="auto" w:sz="4" w:space="0"/>
              <w:bottom w:val="single" w:color="auto" w:sz="4" w:space="0"/>
              <w:right w:val="single" w:color="auto" w:sz="4" w:space="0"/>
            </w:tcBorders>
            <w:vAlign w:val="center"/>
          </w:tcPr>
          <w:p w14:paraId="58FA91C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150</w:t>
            </w:r>
          </w:p>
        </w:tc>
        <w:tc>
          <w:tcPr>
            <w:tcW w:w="727" w:type="dxa"/>
            <w:tcBorders>
              <w:top w:val="single" w:color="auto" w:sz="4" w:space="0"/>
              <w:left w:val="single" w:color="auto" w:sz="4" w:space="0"/>
              <w:bottom w:val="single" w:color="auto" w:sz="4" w:space="0"/>
              <w:right w:val="single" w:color="auto" w:sz="4" w:space="0"/>
            </w:tcBorders>
            <w:vAlign w:val="center"/>
          </w:tcPr>
          <w:p w14:paraId="643FADCE">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80</w:t>
            </w:r>
          </w:p>
        </w:tc>
        <w:tc>
          <w:tcPr>
            <w:tcW w:w="674" w:type="dxa"/>
            <w:tcBorders>
              <w:top w:val="single" w:color="auto" w:sz="4" w:space="0"/>
              <w:left w:val="single" w:color="auto" w:sz="4" w:space="0"/>
              <w:bottom w:val="single" w:color="auto" w:sz="4" w:space="0"/>
              <w:right w:val="single" w:color="auto" w:sz="4" w:space="0"/>
            </w:tcBorders>
            <w:vAlign w:val="center"/>
          </w:tcPr>
          <w:p w14:paraId="366FF078">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w:t>
            </w:r>
          </w:p>
        </w:tc>
        <w:tc>
          <w:tcPr>
            <w:tcW w:w="1475" w:type="dxa"/>
            <w:tcBorders>
              <w:top w:val="single" w:color="auto" w:sz="4" w:space="0"/>
              <w:left w:val="single" w:color="auto" w:sz="4" w:space="0"/>
              <w:bottom w:val="single" w:color="auto" w:sz="4" w:space="0"/>
              <w:right w:val="single" w:color="auto" w:sz="4" w:space="0"/>
            </w:tcBorders>
            <w:vAlign w:val="center"/>
          </w:tcPr>
          <w:p w14:paraId="6F47D367">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160（日最大8小时平均）</w:t>
            </w:r>
          </w:p>
        </w:tc>
      </w:tr>
      <w:tr w14:paraId="6AAE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7" w:type="dxa"/>
            <w:vMerge w:val="continue"/>
            <w:tcBorders>
              <w:top w:val="single" w:color="auto" w:sz="4" w:space="0"/>
              <w:left w:val="single" w:color="auto" w:sz="4" w:space="0"/>
              <w:bottom w:val="single" w:color="auto" w:sz="4" w:space="0"/>
              <w:right w:val="single" w:color="auto" w:sz="4" w:space="0"/>
            </w:tcBorders>
            <w:vAlign w:val="center"/>
          </w:tcPr>
          <w:p w14:paraId="3F27EE41">
            <w:pPr>
              <w:widowControl/>
              <w:spacing w:line="240" w:lineRule="auto"/>
              <w:jc w:val="left"/>
              <w:rPr>
                <w:rFonts w:hint="default" w:ascii="Times New Roman" w:hAnsi="Times New Roman" w:eastAsia="宋体" w:cs="Times New Roman"/>
                <w:color w:val="auto"/>
                <w:sz w:val="21"/>
              </w:rPr>
            </w:pPr>
          </w:p>
        </w:tc>
        <w:tc>
          <w:tcPr>
            <w:tcW w:w="1798" w:type="dxa"/>
            <w:tcBorders>
              <w:top w:val="single" w:color="auto" w:sz="4" w:space="0"/>
              <w:left w:val="single" w:color="auto" w:sz="4" w:space="0"/>
              <w:bottom w:val="single" w:color="auto" w:sz="4" w:space="0"/>
              <w:right w:val="single" w:color="auto" w:sz="4" w:space="0"/>
            </w:tcBorders>
            <w:vAlign w:val="center"/>
          </w:tcPr>
          <w:p w14:paraId="7B16099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kern w:val="21"/>
                <w:sz w:val="21"/>
              </w:rPr>
              <w:t>1小时平均浓度</w:t>
            </w:r>
          </w:p>
        </w:tc>
        <w:tc>
          <w:tcPr>
            <w:tcW w:w="746" w:type="dxa"/>
            <w:tcBorders>
              <w:top w:val="single" w:color="auto" w:sz="4" w:space="0"/>
              <w:left w:val="single" w:color="auto" w:sz="4" w:space="0"/>
              <w:bottom w:val="single" w:color="auto" w:sz="4" w:space="0"/>
              <w:right w:val="single" w:color="auto" w:sz="4" w:space="0"/>
            </w:tcBorders>
            <w:vAlign w:val="center"/>
          </w:tcPr>
          <w:p w14:paraId="0ACDB7D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p>
        </w:tc>
        <w:tc>
          <w:tcPr>
            <w:tcW w:w="748" w:type="dxa"/>
            <w:tcBorders>
              <w:top w:val="single" w:color="auto" w:sz="4" w:space="0"/>
              <w:left w:val="single" w:color="auto" w:sz="4" w:space="0"/>
              <w:bottom w:val="single" w:color="auto" w:sz="4" w:space="0"/>
              <w:right w:val="single" w:color="auto" w:sz="4" w:space="0"/>
            </w:tcBorders>
            <w:vAlign w:val="center"/>
          </w:tcPr>
          <w:p w14:paraId="7BEC16F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p>
        </w:tc>
        <w:tc>
          <w:tcPr>
            <w:tcW w:w="800" w:type="dxa"/>
            <w:tcBorders>
              <w:top w:val="single" w:color="auto" w:sz="4" w:space="0"/>
              <w:left w:val="single" w:color="auto" w:sz="4" w:space="0"/>
              <w:bottom w:val="single" w:color="auto" w:sz="4" w:space="0"/>
              <w:right w:val="single" w:color="auto" w:sz="4" w:space="0"/>
            </w:tcBorders>
            <w:vAlign w:val="center"/>
          </w:tcPr>
          <w:p w14:paraId="4FE6B42D">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c>
          <w:tcPr>
            <w:tcW w:w="729" w:type="dxa"/>
            <w:tcBorders>
              <w:top w:val="single" w:color="auto" w:sz="4" w:space="0"/>
              <w:left w:val="single" w:color="auto" w:sz="4" w:space="0"/>
              <w:bottom w:val="single" w:color="auto" w:sz="4" w:space="0"/>
              <w:right w:val="single" w:color="auto" w:sz="4" w:space="0"/>
            </w:tcBorders>
            <w:vAlign w:val="center"/>
          </w:tcPr>
          <w:p w14:paraId="4B4F4A5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500</w:t>
            </w:r>
          </w:p>
        </w:tc>
        <w:tc>
          <w:tcPr>
            <w:tcW w:w="727" w:type="dxa"/>
            <w:tcBorders>
              <w:top w:val="single" w:color="auto" w:sz="4" w:space="0"/>
              <w:left w:val="single" w:color="auto" w:sz="4" w:space="0"/>
              <w:bottom w:val="single" w:color="auto" w:sz="4" w:space="0"/>
              <w:right w:val="single" w:color="auto" w:sz="4" w:space="0"/>
            </w:tcBorders>
            <w:vAlign w:val="center"/>
          </w:tcPr>
          <w:p w14:paraId="427063C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200</w:t>
            </w:r>
          </w:p>
        </w:tc>
        <w:tc>
          <w:tcPr>
            <w:tcW w:w="674" w:type="dxa"/>
            <w:tcBorders>
              <w:top w:val="single" w:color="auto" w:sz="4" w:space="0"/>
              <w:left w:val="single" w:color="auto" w:sz="4" w:space="0"/>
              <w:bottom w:val="single" w:color="auto" w:sz="4" w:space="0"/>
              <w:right w:val="single" w:color="auto" w:sz="4" w:space="0"/>
            </w:tcBorders>
            <w:vAlign w:val="center"/>
          </w:tcPr>
          <w:p w14:paraId="1D3E3442">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10</w:t>
            </w:r>
          </w:p>
        </w:tc>
        <w:tc>
          <w:tcPr>
            <w:tcW w:w="1475" w:type="dxa"/>
            <w:tcBorders>
              <w:top w:val="single" w:color="auto" w:sz="4" w:space="0"/>
              <w:left w:val="single" w:color="auto" w:sz="4" w:space="0"/>
              <w:bottom w:val="single" w:color="auto" w:sz="4" w:space="0"/>
              <w:right w:val="single" w:color="auto" w:sz="4" w:space="0"/>
            </w:tcBorders>
            <w:vAlign w:val="center"/>
          </w:tcPr>
          <w:p w14:paraId="0A1ADD73">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200</w:t>
            </w:r>
          </w:p>
        </w:tc>
      </w:tr>
    </w:tbl>
    <w:p w14:paraId="6C27336C">
      <w:pPr>
        <w:adjustRightInd w:val="0"/>
        <w:snapToGrid w:val="0"/>
        <w:ind w:firstLine="480"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（2）地表水</w:t>
      </w:r>
    </w:p>
    <w:p w14:paraId="354DE2E6">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rPr>
        <w:t>项目区域涉及的主要地表水体为</w:t>
      </w:r>
      <w:r>
        <w:rPr>
          <w:rFonts w:hint="default" w:ascii="Times New Roman" w:hAnsi="Times New Roman" w:eastAsia="宋体" w:cs="Times New Roman"/>
          <w:color w:val="auto"/>
          <w:lang w:eastAsia="zh-CN"/>
        </w:rPr>
        <w:t>芒市大河</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根据《云南省地表水水环境功能区划（2010~2020）》，芒市大河属伊洛瓦底江流域，芒市大河为瑞丽江一级支流，伊洛瓦底江二级及以下支流，木康断面—入瑞丽江区域地表水体水环境功能为农业用水、工业用水，水质类别为Ⅲ类，执行GB3838-2002《地表水环境质量标准》Ⅲ类标准</w:t>
      </w:r>
      <w:r>
        <w:rPr>
          <w:rFonts w:hint="default" w:ascii="Times New Roman" w:hAnsi="Times New Roman" w:eastAsia="宋体" w:cs="Times New Roman"/>
          <w:bCs/>
          <w:color w:val="auto"/>
        </w:rPr>
        <w:t>。标准值见表1.5-</w:t>
      </w:r>
      <w:r>
        <w:rPr>
          <w:rFonts w:hint="default" w:ascii="Times New Roman" w:hAnsi="Times New Roman" w:eastAsia="宋体" w:cs="Times New Roman"/>
          <w:bCs/>
          <w:color w:val="auto"/>
          <w:lang w:val="en-US" w:eastAsia="zh-CN"/>
        </w:rPr>
        <w:t>2</w:t>
      </w:r>
      <w:r>
        <w:rPr>
          <w:rFonts w:hint="default" w:ascii="Times New Roman" w:hAnsi="Times New Roman" w:eastAsia="宋体" w:cs="Times New Roman"/>
          <w:bCs/>
          <w:color w:val="auto"/>
        </w:rPr>
        <w:t>。</w:t>
      </w:r>
    </w:p>
    <w:p w14:paraId="2888AF55">
      <w:pPr>
        <w:snapToGrid w:val="0"/>
        <w:ind w:firstLine="573"/>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rPr>
        <w:t>表1.5-</w:t>
      </w:r>
      <w:r>
        <w:rPr>
          <w:rFonts w:hint="default" w:ascii="Times New Roman" w:hAnsi="Times New Roman" w:eastAsia="宋体" w:cs="Times New Roman"/>
          <w:b/>
          <w:color w:val="auto"/>
          <w:lang w:val="en-US" w:eastAsia="zh-CN"/>
        </w:rPr>
        <w:t>2</w:t>
      </w:r>
      <w:r>
        <w:rPr>
          <w:rFonts w:hint="default" w:ascii="Times New Roman" w:hAnsi="Times New Roman" w:eastAsia="宋体" w:cs="Times New Roman"/>
          <w:b/>
          <w:color w:val="auto"/>
        </w:rPr>
        <w:t xml:space="preserve">  地表水环境质量标准   单位：mg/L</w:t>
      </w:r>
    </w:p>
    <w:tbl>
      <w:tblPr>
        <w:tblStyle w:val="6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410"/>
        <w:gridCol w:w="915"/>
        <w:gridCol w:w="974"/>
        <w:gridCol w:w="1065"/>
        <w:gridCol w:w="1065"/>
        <w:gridCol w:w="1066"/>
        <w:gridCol w:w="1066"/>
      </w:tblGrid>
      <w:tr w14:paraId="5CD2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14:paraId="1EDAA656">
            <w:pPr>
              <w:adjustRightInd w:val="0"/>
              <w:snapToGrid w:val="0"/>
              <w:spacing w:line="240" w:lineRule="auto"/>
              <w:jc w:val="center"/>
              <w:rPr>
                <w:rFonts w:hint="default" w:ascii="Times New Roman" w:hAnsi="Times New Roman" w:eastAsia="宋体" w:cs="Times New Roman"/>
                <w:b/>
                <w:color w:val="auto"/>
                <w:sz w:val="21"/>
                <w:szCs w:val="21"/>
                <w:vertAlign w:val="baseline"/>
                <w:lang w:eastAsia="zh-CN"/>
              </w:rPr>
            </w:pPr>
            <w:r>
              <w:rPr>
                <w:rFonts w:hint="default" w:ascii="Times New Roman" w:hAnsi="Times New Roman" w:eastAsia="宋体" w:cs="Times New Roman"/>
                <w:b/>
                <w:color w:val="auto"/>
                <w:sz w:val="21"/>
                <w:szCs w:val="21"/>
                <w:vertAlign w:val="baseline"/>
                <w:lang w:eastAsia="zh-CN"/>
              </w:rPr>
              <w:t>污染物</w:t>
            </w:r>
          </w:p>
        </w:tc>
        <w:tc>
          <w:tcPr>
            <w:tcW w:w="1410" w:type="dxa"/>
            <w:vAlign w:val="center"/>
          </w:tcPr>
          <w:p w14:paraId="612B3E10">
            <w:pPr>
              <w:adjustRightInd w:val="0"/>
              <w:snapToGrid w:val="0"/>
              <w:spacing w:line="240" w:lineRule="auto"/>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pH（无量纲）</w:t>
            </w:r>
          </w:p>
        </w:tc>
        <w:tc>
          <w:tcPr>
            <w:tcW w:w="915" w:type="dxa"/>
            <w:vAlign w:val="center"/>
          </w:tcPr>
          <w:p w14:paraId="725325A0">
            <w:pPr>
              <w:adjustRightInd w:val="0"/>
              <w:snapToGrid w:val="0"/>
              <w:spacing w:line="240" w:lineRule="auto"/>
              <w:jc w:val="center"/>
              <w:rPr>
                <w:rFonts w:hint="default" w:ascii="Times New Roman" w:hAnsi="Times New Roman" w:eastAsia="宋体" w:cs="Times New Roman"/>
                <w:b/>
                <w:color w:val="auto"/>
                <w:sz w:val="21"/>
                <w:szCs w:val="21"/>
                <w:vertAlign w:val="baseline"/>
                <w:lang w:eastAsia="zh-CN"/>
              </w:rPr>
            </w:pPr>
            <w:r>
              <w:rPr>
                <w:rFonts w:hint="default" w:ascii="Times New Roman" w:hAnsi="Times New Roman" w:eastAsia="宋体" w:cs="Times New Roman"/>
                <w:b/>
                <w:color w:val="auto"/>
                <w:sz w:val="21"/>
                <w:szCs w:val="21"/>
                <w:vertAlign w:val="baseline"/>
                <w:lang w:eastAsia="zh-CN"/>
              </w:rPr>
              <w:t>溶解氧</w:t>
            </w:r>
          </w:p>
        </w:tc>
        <w:tc>
          <w:tcPr>
            <w:tcW w:w="974" w:type="dxa"/>
            <w:vAlign w:val="center"/>
          </w:tcPr>
          <w:p w14:paraId="425FC176">
            <w:pPr>
              <w:adjustRightInd w:val="0"/>
              <w:snapToGrid w:val="0"/>
              <w:spacing w:line="240" w:lineRule="auto"/>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COD</w:t>
            </w:r>
          </w:p>
        </w:tc>
        <w:tc>
          <w:tcPr>
            <w:tcW w:w="1065" w:type="dxa"/>
            <w:vAlign w:val="center"/>
          </w:tcPr>
          <w:p w14:paraId="7C1EB21A">
            <w:pPr>
              <w:adjustRightInd w:val="0"/>
              <w:snapToGrid w:val="0"/>
              <w:spacing w:line="240" w:lineRule="auto"/>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BOD</w:t>
            </w:r>
            <w:r>
              <w:rPr>
                <w:rFonts w:hint="default" w:ascii="Times New Roman" w:hAnsi="Times New Roman" w:eastAsia="宋体" w:cs="Times New Roman"/>
                <w:b/>
                <w:color w:val="auto"/>
                <w:sz w:val="21"/>
                <w:szCs w:val="21"/>
                <w:vertAlign w:val="subscript"/>
                <w:lang w:val="en-US" w:eastAsia="zh-CN"/>
              </w:rPr>
              <w:t>5</w:t>
            </w:r>
          </w:p>
        </w:tc>
        <w:tc>
          <w:tcPr>
            <w:tcW w:w="1065" w:type="dxa"/>
            <w:vAlign w:val="center"/>
          </w:tcPr>
          <w:p w14:paraId="7D1568B1">
            <w:pPr>
              <w:adjustRightInd w:val="0"/>
              <w:snapToGrid w:val="0"/>
              <w:spacing w:line="240" w:lineRule="auto"/>
              <w:jc w:val="center"/>
              <w:rPr>
                <w:rFonts w:hint="default" w:ascii="Times New Roman" w:hAnsi="Times New Roman" w:eastAsia="宋体" w:cs="Times New Roman"/>
                <w:b/>
                <w:color w:val="auto"/>
                <w:sz w:val="21"/>
                <w:szCs w:val="21"/>
                <w:vertAlign w:val="baseline"/>
                <w:lang w:eastAsia="zh-CN"/>
              </w:rPr>
            </w:pPr>
            <w:r>
              <w:rPr>
                <w:rFonts w:hint="default" w:ascii="Times New Roman" w:hAnsi="Times New Roman" w:eastAsia="宋体" w:cs="Times New Roman"/>
                <w:b/>
                <w:color w:val="auto"/>
                <w:sz w:val="21"/>
                <w:szCs w:val="21"/>
                <w:vertAlign w:val="baseline"/>
                <w:lang w:eastAsia="zh-CN"/>
              </w:rPr>
              <w:t>氨氮</w:t>
            </w:r>
          </w:p>
        </w:tc>
        <w:tc>
          <w:tcPr>
            <w:tcW w:w="1066" w:type="dxa"/>
            <w:vAlign w:val="center"/>
          </w:tcPr>
          <w:p w14:paraId="124041BD">
            <w:pPr>
              <w:adjustRightInd w:val="0"/>
              <w:snapToGrid w:val="0"/>
              <w:spacing w:line="240" w:lineRule="auto"/>
              <w:jc w:val="center"/>
              <w:rPr>
                <w:rFonts w:hint="default" w:ascii="Times New Roman" w:hAnsi="Times New Roman" w:eastAsia="宋体" w:cs="Times New Roman"/>
                <w:b/>
                <w:color w:val="auto"/>
                <w:sz w:val="21"/>
                <w:szCs w:val="21"/>
                <w:vertAlign w:val="baseline"/>
                <w:lang w:eastAsia="zh-CN"/>
              </w:rPr>
            </w:pPr>
            <w:r>
              <w:rPr>
                <w:rFonts w:hint="default" w:ascii="Times New Roman" w:hAnsi="Times New Roman" w:eastAsia="宋体" w:cs="Times New Roman"/>
                <w:b/>
                <w:color w:val="auto"/>
                <w:sz w:val="21"/>
                <w:szCs w:val="21"/>
                <w:vertAlign w:val="baseline"/>
                <w:lang w:eastAsia="zh-CN"/>
              </w:rPr>
              <w:t>总磷</w:t>
            </w:r>
          </w:p>
        </w:tc>
        <w:tc>
          <w:tcPr>
            <w:tcW w:w="1066" w:type="dxa"/>
            <w:vAlign w:val="center"/>
          </w:tcPr>
          <w:p w14:paraId="3736B34B">
            <w:pPr>
              <w:adjustRightInd w:val="0"/>
              <w:snapToGrid w:val="0"/>
              <w:spacing w:line="240" w:lineRule="auto"/>
              <w:jc w:val="center"/>
              <w:rPr>
                <w:rFonts w:hint="default" w:ascii="Times New Roman" w:hAnsi="Times New Roman" w:eastAsia="宋体" w:cs="Times New Roman"/>
                <w:b/>
                <w:color w:val="auto"/>
                <w:sz w:val="21"/>
                <w:szCs w:val="21"/>
                <w:vertAlign w:val="baseline"/>
                <w:lang w:eastAsia="zh-CN"/>
              </w:rPr>
            </w:pPr>
            <w:r>
              <w:rPr>
                <w:rFonts w:hint="default" w:ascii="Times New Roman" w:hAnsi="Times New Roman" w:eastAsia="宋体" w:cs="Times New Roman"/>
                <w:b/>
                <w:color w:val="auto"/>
                <w:sz w:val="21"/>
                <w:szCs w:val="21"/>
                <w:vertAlign w:val="baseline"/>
                <w:lang w:eastAsia="zh-CN"/>
              </w:rPr>
              <w:t>石油类</w:t>
            </w:r>
          </w:p>
        </w:tc>
      </w:tr>
      <w:tr w14:paraId="4F894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1" w:type="dxa"/>
            <w:vAlign w:val="center"/>
          </w:tcPr>
          <w:p w14:paraId="5479F930">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III类</w:t>
            </w:r>
          </w:p>
        </w:tc>
        <w:tc>
          <w:tcPr>
            <w:tcW w:w="1410" w:type="dxa"/>
            <w:vAlign w:val="center"/>
          </w:tcPr>
          <w:p w14:paraId="5A103584">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6—9</w:t>
            </w:r>
          </w:p>
        </w:tc>
        <w:tc>
          <w:tcPr>
            <w:tcW w:w="915" w:type="dxa"/>
            <w:vAlign w:val="center"/>
          </w:tcPr>
          <w:p w14:paraId="30C01356">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rPr>
              <w:t>≥</w:t>
            </w:r>
            <w:r>
              <w:rPr>
                <w:rFonts w:hint="default" w:ascii="Times New Roman" w:hAnsi="Times New Roman" w:eastAsia="宋体" w:cs="Times New Roman"/>
                <w:b w:val="0"/>
                <w:bCs/>
                <w:color w:val="auto"/>
                <w:sz w:val="21"/>
                <w:szCs w:val="21"/>
                <w:vertAlign w:val="baseline"/>
                <w:lang w:val="en-US" w:eastAsia="zh-CN"/>
              </w:rPr>
              <w:t>5</w:t>
            </w:r>
          </w:p>
        </w:tc>
        <w:tc>
          <w:tcPr>
            <w:tcW w:w="974" w:type="dxa"/>
            <w:vAlign w:val="center"/>
          </w:tcPr>
          <w:p w14:paraId="3EC2D87B">
            <w:pPr>
              <w:adjustRightInd w:val="0"/>
              <w:snapToGrid w:val="0"/>
              <w:spacing w:line="240" w:lineRule="auto"/>
              <w:jc w:val="center"/>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b w:val="0"/>
                <w:bCs/>
                <w:color w:val="auto"/>
                <w:sz w:val="21"/>
                <w:szCs w:val="21"/>
                <w:vertAlign w:val="baseline"/>
              </w:rPr>
              <w:t>≤20</w:t>
            </w:r>
          </w:p>
        </w:tc>
        <w:tc>
          <w:tcPr>
            <w:tcW w:w="1065" w:type="dxa"/>
            <w:vAlign w:val="center"/>
          </w:tcPr>
          <w:p w14:paraId="34845FAF">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rPr>
              <w:t>≤</w:t>
            </w:r>
            <w:r>
              <w:rPr>
                <w:rFonts w:hint="default" w:ascii="Times New Roman" w:hAnsi="Times New Roman" w:eastAsia="宋体" w:cs="Times New Roman"/>
                <w:b w:val="0"/>
                <w:bCs/>
                <w:color w:val="auto"/>
                <w:sz w:val="21"/>
                <w:szCs w:val="21"/>
                <w:vertAlign w:val="baseline"/>
                <w:lang w:val="en-US" w:eastAsia="zh-CN"/>
              </w:rPr>
              <w:t>4</w:t>
            </w:r>
          </w:p>
        </w:tc>
        <w:tc>
          <w:tcPr>
            <w:tcW w:w="1065" w:type="dxa"/>
            <w:vAlign w:val="center"/>
          </w:tcPr>
          <w:p w14:paraId="677BEDB4">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rPr>
              <w:t>≤</w:t>
            </w:r>
            <w:r>
              <w:rPr>
                <w:rFonts w:hint="default" w:ascii="Times New Roman" w:hAnsi="Times New Roman" w:eastAsia="宋体" w:cs="Times New Roman"/>
                <w:b w:val="0"/>
                <w:bCs/>
                <w:color w:val="auto"/>
                <w:sz w:val="21"/>
                <w:szCs w:val="21"/>
                <w:vertAlign w:val="baseline"/>
                <w:lang w:val="en-US" w:eastAsia="zh-CN"/>
              </w:rPr>
              <w:t>1</w:t>
            </w:r>
          </w:p>
        </w:tc>
        <w:tc>
          <w:tcPr>
            <w:tcW w:w="1066" w:type="dxa"/>
            <w:vAlign w:val="center"/>
          </w:tcPr>
          <w:p w14:paraId="17C854B2">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rPr>
              <w:t>≤</w:t>
            </w:r>
            <w:r>
              <w:rPr>
                <w:rFonts w:hint="default" w:ascii="Times New Roman" w:hAnsi="Times New Roman" w:eastAsia="宋体" w:cs="Times New Roman"/>
                <w:b w:val="0"/>
                <w:bCs/>
                <w:color w:val="auto"/>
                <w:sz w:val="21"/>
                <w:szCs w:val="21"/>
                <w:vertAlign w:val="baseline"/>
                <w:lang w:val="en-US" w:eastAsia="zh-CN"/>
              </w:rPr>
              <w:t>0.2（湖库</w:t>
            </w:r>
            <w:r>
              <w:rPr>
                <w:rFonts w:hint="default" w:ascii="Times New Roman" w:hAnsi="Times New Roman" w:eastAsia="宋体" w:cs="Times New Roman"/>
                <w:b w:val="0"/>
                <w:bCs/>
                <w:color w:val="auto"/>
                <w:sz w:val="21"/>
                <w:szCs w:val="21"/>
                <w:vertAlign w:val="baseline"/>
              </w:rPr>
              <w:t>≤</w:t>
            </w:r>
            <w:r>
              <w:rPr>
                <w:rFonts w:hint="default" w:ascii="Times New Roman" w:hAnsi="Times New Roman" w:eastAsia="宋体" w:cs="Times New Roman"/>
                <w:b w:val="0"/>
                <w:bCs/>
                <w:color w:val="auto"/>
                <w:sz w:val="21"/>
                <w:szCs w:val="21"/>
                <w:vertAlign w:val="baseline"/>
                <w:lang w:val="en-US" w:eastAsia="zh-CN"/>
              </w:rPr>
              <w:t>0.5）</w:t>
            </w:r>
          </w:p>
        </w:tc>
        <w:tc>
          <w:tcPr>
            <w:tcW w:w="1066" w:type="dxa"/>
            <w:vAlign w:val="center"/>
          </w:tcPr>
          <w:p w14:paraId="19A7E0D2">
            <w:pPr>
              <w:adjustRightInd w:val="0"/>
              <w:snapToGrid w:val="0"/>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rPr>
              <w:t>≤</w:t>
            </w:r>
            <w:r>
              <w:rPr>
                <w:rFonts w:hint="default" w:ascii="Times New Roman" w:hAnsi="Times New Roman" w:eastAsia="宋体" w:cs="Times New Roman"/>
                <w:b w:val="0"/>
                <w:bCs/>
                <w:color w:val="auto"/>
                <w:sz w:val="21"/>
                <w:szCs w:val="21"/>
                <w:vertAlign w:val="baseline"/>
                <w:lang w:val="en-US" w:eastAsia="zh-CN"/>
              </w:rPr>
              <w:t>0.05</w:t>
            </w:r>
          </w:p>
        </w:tc>
      </w:tr>
    </w:tbl>
    <w:p w14:paraId="1D0BD58E">
      <w:pPr>
        <w:adjustRightInd w:val="0"/>
        <w:snapToGrid w:val="0"/>
        <w:ind w:firstLine="480"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（3）地下水</w:t>
      </w:r>
    </w:p>
    <w:p w14:paraId="438FE49C">
      <w:pPr>
        <w:adjustRightInd w:val="0"/>
        <w:snapToGrid w:val="0"/>
        <w:ind w:firstLine="600" w:firstLineChars="250"/>
        <w:rPr>
          <w:rFonts w:hint="default" w:ascii="Times New Roman" w:hAnsi="Times New Roman" w:eastAsia="宋体" w:cs="Times New Roman"/>
          <w:b/>
          <w:color w:val="auto"/>
        </w:rPr>
      </w:pPr>
      <w:r>
        <w:rPr>
          <w:rFonts w:hint="default" w:ascii="Times New Roman" w:hAnsi="Times New Roman" w:eastAsia="宋体" w:cs="Times New Roman"/>
          <w:color w:val="auto"/>
        </w:rPr>
        <w:t>项目区地下水环境质量执行《地下水质量标准》（GB/T 14848-2017）中III类标准，地下水质量主要分类指标于表1.5-</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14:paraId="65E5025D">
      <w:pPr>
        <w:adjustRightInd w:val="0"/>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rPr>
        <w:t>表1.5-</w:t>
      </w:r>
      <w:r>
        <w:rPr>
          <w:rFonts w:hint="default" w:ascii="Times New Roman" w:hAnsi="Times New Roman" w:eastAsia="宋体" w:cs="Times New Roman"/>
          <w:b/>
          <w:color w:val="auto"/>
          <w:lang w:val="en-US" w:eastAsia="zh-CN"/>
        </w:rPr>
        <w:t>3</w:t>
      </w:r>
      <w:r>
        <w:rPr>
          <w:rFonts w:hint="default" w:ascii="Times New Roman" w:hAnsi="Times New Roman" w:eastAsia="宋体" w:cs="Times New Roman"/>
          <w:b/>
          <w:color w:val="auto"/>
        </w:rPr>
        <w:t>地下水质量主要分类指标   单位：mg/L</w:t>
      </w:r>
    </w:p>
    <w:tbl>
      <w:tblPr>
        <w:tblStyle w:val="6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4626"/>
        <w:gridCol w:w="2650"/>
      </w:tblGrid>
      <w:tr w14:paraId="7EC77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46" w:type="dxa"/>
            <w:tcBorders>
              <w:top w:val="single" w:color="auto" w:sz="4" w:space="0"/>
              <w:left w:val="single" w:color="auto" w:sz="4" w:space="0"/>
              <w:bottom w:val="single" w:color="auto" w:sz="4" w:space="0"/>
              <w:right w:val="single" w:color="auto" w:sz="4" w:space="0"/>
            </w:tcBorders>
            <w:vAlign w:val="center"/>
          </w:tcPr>
          <w:p w14:paraId="3AB31A71">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序号</w:t>
            </w:r>
          </w:p>
        </w:tc>
        <w:tc>
          <w:tcPr>
            <w:tcW w:w="4626" w:type="dxa"/>
            <w:tcBorders>
              <w:top w:val="single" w:color="auto" w:sz="4" w:space="0"/>
              <w:left w:val="single" w:color="auto" w:sz="4" w:space="0"/>
              <w:bottom w:val="single" w:color="auto" w:sz="4" w:space="0"/>
              <w:right w:val="single" w:color="auto" w:sz="4" w:space="0"/>
            </w:tcBorders>
            <w:vAlign w:val="center"/>
          </w:tcPr>
          <w:p w14:paraId="2E66100D">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650" w:type="dxa"/>
            <w:tcBorders>
              <w:top w:val="single" w:color="auto" w:sz="4" w:space="0"/>
              <w:left w:val="single" w:color="auto" w:sz="4" w:space="0"/>
              <w:bottom w:val="single" w:color="auto" w:sz="4" w:space="0"/>
              <w:right w:val="single" w:color="auto" w:sz="4" w:space="0"/>
            </w:tcBorders>
            <w:vAlign w:val="center"/>
          </w:tcPr>
          <w:p w14:paraId="19D174F9">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III类标准值</w:t>
            </w:r>
          </w:p>
        </w:tc>
      </w:tr>
      <w:tr w14:paraId="0B0B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67E7BFC0">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4626" w:type="dxa"/>
            <w:tcBorders>
              <w:top w:val="single" w:color="auto" w:sz="4" w:space="0"/>
              <w:left w:val="single" w:color="auto" w:sz="4" w:space="0"/>
              <w:bottom w:val="single" w:color="auto" w:sz="4" w:space="0"/>
              <w:right w:val="single" w:color="auto" w:sz="4" w:space="0"/>
            </w:tcBorders>
            <w:vAlign w:val="center"/>
          </w:tcPr>
          <w:p w14:paraId="32E27E2A">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pH（无量纲）</w:t>
            </w:r>
          </w:p>
        </w:tc>
        <w:tc>
          <w:tcPr>
            <w:tcW w:w="2650" w:type="dxa"/>
            <w:tcBorders>
              <w:top w:val="single" w:color="auto" w:sz="4" w:space="0"/>
              <w:left w:val="single" w:color="auto" w:sz="4" w:space="0"/>
              <w:bottom w:val="single" w:color="auto" w:sz="4" w:space="0"/>
              <w:right w:val="single" w:color="auto" w:sz="4" w:space="0"/>
            </w:tcBorders>
            <w:vAlign w:val="center"/>
          </w:tcPr>
          <w:p w14:paraId="69D20006">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6.5～8.5</w:t>
            </w:r>
          </w:p>
        </w:tc>
      </w:tr>
      <w:tr w14:paraId="009E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0B370E71">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4626" w:type="dxa"/>
            <w:tcBorders>
              <w:top w:val="single" w:color="auto" w:sz="4" w:space="0"/>
              <w:left w:val="single" w:color="auto" w:sz="4" w:space="0"/>
              <w:bottom w:val="single" w:color="auto" w:sz="4" w:space="0"/>
              <w:right w:val="single" w:color="auto" w:sz="4" w:space="0"/>
            </w:tcBorders>
            <w:vAlign w:val="center"/>
          </w:tcPr>
          <w:p w14:paraId="5D735A73">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总硬度（以CaCO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计）</w:t>
            </w:r>
          </w:p>
        </w:tc>
        <w:tc>
          <w:tcPr>
            <w:tcW w:w="2650" w:type="dxa"/>
            <w:tcBorders>
              <w:top w:val="single" w:color="auto" w:sz="4" w:space="0"/>
              <w:left w:val="single" w:color="auto" w:sz="4" w:space="0"/>
              <w:bottom w:val="single" w:color="auto" w:sz="4" w:space="0"/>
              <w:right w:val="single" w:color="auto" w:sz="4" w:space="0"/>
            </w:tcBorders>
            <w:vAlign w:val="center"/>
          </w:tcPr>
          <w:p w14:paraId="7F9850D4">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≤450</w:t>
            </w:r>
          </w:p>
        </w:tc>
      </w:tr>
      <w:tr w14:paraId="367C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2CE8BA05">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w:t>
            </w:r>
          </w:p>
        </w:tc>
        <w:tc>
          <w:tcPr>
            <w:tcW w:w="4626" w:type="dxa"/>
            <w:tcBorders>
              <w:top w:val="single" w:color="auto" w:sz="4" w:space="0"/>
              <w:left w:val="single" w:color="auto" w:sz="4" w:space="0"/>
              <w:bottom w:val="single" w:color="auto" w:sz="4" w:space="0"/>
              <w:right w:val="single" w:color="auto" w:sz="4" w:space="0"/>
            </w:tcBorders>
            <w:vAlign w:val="center"/>
          </w:tcPr>
          <w:p w14:paraId="57AF424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溶解性总固体</w:t>
            </w:r>
          </w:p>
        </w:tc>
        <w:tc>
          <w:tcPr>
            <w:tcW w:w="2650" w:type="dxa"/>
            <w:tcBorders>
              <w:top w:val="single" w:color="auto" w:sz="4" w:space="0"/>
              <w:left w:val="single" w:color="auto" w:sz="4" w:space="0"/>
              <w:bottom w:val="single" w:color="auto" w:sz="4" w:space="0"/>
              <w:right w:val="single" w:color="auto" w:sz="4" w:space="0"/>
            </w:tcBorders>
            <w:vAlign w:val="center"/>
          </w:tcPr>
          <w:p w14:paraId="0FBE5E3F">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≤1000</w:t>
            </w:r>
          </w:p>
        </w:tc>
      </w:tr>
      <w:tr w14:paraId="7D1E8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1457B0AC">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4626" w:type="dxa"/>
            <w:tcBorders>
              <w:top w:val="single" w:color="auto" w:sz="4" w:space="0"/>
              <w:left w:val="single" w:color="auto" w:sz="4" w:space="0"/>
              <w:bottom w:val="single" w:color="auto" w:sz="4" w:space="0"/>
              <w:right w:val="single" w:color="auto" w:sz="4" w:space="0"/>
            </w:tcBorders>
            <w:vAlign w:val="center"/>
          </w:tcPr>
          <w:p w14:paraId="57806E57">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氨氮</w:t>
            </w:r>
          </w:p>
        </w:tc>
        <w:tc>
          <w:tcPr>
            <w:tcW w:w="2650" w:type="dxa"/>
            <w:tcBorders>
              <w:top w:val="single" w:color="auto" w:sz="4" w:space="0"/>
              <w:left w:val="single" w:color="auto" w:sz="4" w:space="0"/>
              <w:bottom w:val="single" w:color="auto" w:sz="4" w:space="0"/>
              <w:right w:val="single" w:color="auto" w:sz="4" w:space="0"/>
            </w:tcBorders>
            <w:vAlign w:val="center"/>
          </w:tcPr>
          <w:p w14:paraId="20BAF568">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≤0.5</w:t>
            </w:r>
          </w:p>
        </w:tc>
      </w:tr>
      <w:tr w14:paraId="4CE1F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08038B9B">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w:t>
            </w:r>
          </w:p>
        </w:tc>
        <w:tc>
          <w:tcPr>
            <w:tcW w:w="4626" w:type="dxa"/>
            <w:tcBorders>
              <w:top w:val="single" w:color="auto" w:sz="4" w:space="0"/>
              <w:left w:val="single" w:color="auto" w:sz="4" w:space="0"/>
              <w:bottom w:val="single" w:color="auto" w:sz="4" w:space="0"/>
              <w:right w:val="single" w:color="auto" w:sz="4" w:space="0"/>
            </w:tcBorders>
            <w:vAlign w:val="center"/>
          </w:tcPr>
          <w:p w14:paraId="463E196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2650" w:type="dxa"/>
            <w:tcBorders>
              <w:top w:val="single" w:color="auto" w:sz="4" w:space="0"/>
              <w:left w:val="single" w:color="auto" w:sz="4" w:space="0"/>
              <w:bottom w:val="single" w:color="auto" w:sz="4" w:space="0"/>
              <w:right w:val="single" w:color="auto" w:sz="4" w:space="0"/>
            </w:tcBorders>
            <w:vAlign w:val="center"/>
          </w:tcPr>
          <w:p w14:paraId="1F861579">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≤15</w:t>
            </w:r>
          </w:p>
        </w:tc>
      </w:tr>
      <w:tr w14:paraId="452F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1876FBA1">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w:t>
            </w:r>
          </w:p>
        </w:tc>
        <w:tc>
          <w:tcPr>
            <w:tcW w:w="4626" w:type="dxa"/>
            <w:tcBorders>
              <w:top w:val="single" w:color="auto" w:sz="4" w:space="0"/>
              <w:left w:val="single" w:color="auto" w:sz="4" w:space="0"/>
              <w:bottom w:val="single" w:color="auto" w:sz="4" w:space="0"/>
              <w:right w:val="single" w:color="auto" w:sz="4" w:space="0"/>
            </w:tcBorders>
            <w:vAlign w:val="center"/>
          </w:tcPr>
          <w:p w14:paraId="64CEB0C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硫酸盐</w:t>
            </w:r>
          </w:p>
        </w:tc>
        <w:tc>
          <w:tcPr>
            <w:tcW w:w="2650" w:type="dxa"/>
            <w:tcBorders>
              <w:top w:val="single" w:color="auto" w:sz="4" w:space="0"/>
              <w:left w:val="single" w:color="auto" w:sz="4" w:space="0"/>
              <w:bottom w:val="single" w:color="auto" w:sz="4" w:space="0"/>
              <w:right w:val="single" w:color="auto" w:sz="4" w:space="0"/>
            </w:tcBorders>
            <w:vAlign w:val="center"/>
          </w:tcPr>
          <w:p w14:paraId="45866ECF">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≤250</w:t>
            </w:r>
          </w:p>
        </w:tc>
      </w:tr>
      <w:tr w14:paraId="70342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493D75D7">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7</w:t>
            </w:r>
          </w:p>
        </w:tc>
        <w:tc>
          <w:tcPr>
            <w:tcW w:w="4626" w:type="dxa"/>
            <w:tcBorders>
              <w:top w:val="single" w:color="auto" w:sz="4" w:space="0"/>
              <w:left w:val="single" w:color="auto" w:sz="4" w:space="0"/>
              <w:bottom w:val="single" w:color="auto" w:sz="4" w:space="0"/>
              <w:right w:val="single" w:color="auto" w:sz="4" w:space="0"/>
            </w:tcBorders>
            <w:vAlign w:val="center"/>
          </w:tcPr>
          <w:p w14:paraId="19FA69F7">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硝酸盐</w:t>
            </w:r>
          </w:p>
        </w:tc>
        <w:tc>
          <w:tcPr>
            <w:tcW w:w="2650" w:type="dxa"/>
            <w:tcBorders>
              <w:top w:val="single" w:color="auto" w:sz="4" w:space="0"/>
              <w:left w:val="single" w:color="auto" w:sz="4" w:space="0"/>
              <w:bottom w:val="single" w:color="auto" w:sz="4" w:space="0"/>
              <w:right w:val="single" w:color="auto" w:sz="4" w:space="0"/>
            </w:tcBorders>
            <w:vAlign w:val="center"/>
          </w:tcPr>
          <w:p w14:paraId="5BE881EB">
            <w:pPr>
              <w:widowControl/>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≤20</w:t>
            </w:r>
          </w:p>
        </w:tc>
      </w:tr>
      <w:tr w14:paraId="2FA1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3DAF3874">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c>
          <w:tcPr>
            <w:tcW w:w="4626" w:type="dxa"/>
            <w:tcBorders>
              <w:top w:val="single" w:color="auto" w:sz="4" w:space="0"/>
              <w:left w:val="single" w:color="auto" w:sz="4" w:space="0"/>
              <w:bottom w:val="single" w:color="auto" w:sz="4" w:space="0"/>
              <w:right w:val="single" w:color="auto" w:sz="4" w:space="0"/>
            </w:tcBorders>
            <w:vAlign w:val="center"/>
          </w:tcPr>
          <w:p w14:paraId="41413D7C">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2650" w:type="dxa"/>
            <w:tcBorders>
              <w:top w:val="single" w:color="auto" w:sz="4" w:space="0"/>
              <w:left w:val="single" w:color="auto" w:sz="4" w:space="0"/>
              <w:bottom w:val="single" w:color="auto" w:sz="4" w:space="0"/>
              <w:right w:val="single" w:color="auto" w:sz="4" w:space="0"/>
            </w:tcBorders>
            <w:vAlign w:val="center"/>
          </w:tcPr>
          <w:p w14:paraId="738E7B52">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6FCF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78A463BE">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9</w:t>
            </w:r>
          </w:p>
        </w:tc>
        <w:tc>
          <w:tcPr>
            <w:tcW w:w="4626" w:type="dxa"/>
            <w:tcBorders>
              <w:top w:val="single" w:color="auto" w:sz="4" w:space="0"/>
              <w:left w:val="single" w:color="auto" w:sz="4" w:space="0"/>
              <w:bottom w:val="single" w:color="auto" w:sz="4" w:space="0"/>
              <w:right w:val="single" w:color="auto" w:sz="4" w:space="0"/>
            </w:tcBorders>
            <w:vAlign w:val="center"/>
          </w:tcPr>
          <w:p w14:paraId="7420238B">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2650" w:type="dxa"/>
            <w:tcBorders>
              <w:top w:val="single" w:color="auto" w:sz="4" w:space="0"/>
              <w:left w:val="single" w:color="auto" w:sz="4" w:space="0"/>
              <w:bottom w:val="single" w:color="auto" w:sz="4" w:space="0"/>
              <w:right w:val="single" w:color="auto" w:sz="4" w:space="0"/>
            </w:tcBorders>
            <w:vAlign w:val="center"/>
          </w:tcPr>
          <w:p w14:paraId="30592502">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162E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16A9648C">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10</w:t>
            </w:r>
          </w:p>
        </w:tc>
        <w:tc>
          <w:tcPr>
            <w:tcW w:w="4626" w:type="dxa"/>
            <w:tcBorders>
              <w:top w:val="single" w:color="auto" w:sz="4" w:space="0"/>
              <w:left w:val="single" w:color="auto" w:sz="4" w:space="0"/>
              <w:bottom w:val="single" w:color="auto" w:sz="4" w:space="0"/>
              <w:right w:val="single" w:color="auto" w:sz="4" w:space="0"/>
            </w:tcBorders>
            <w:vAlign w:val="center"/>
          </w:tcPr>
          <w:p w14:paraId="3A0AC58C">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2650" w:type="dxa"/>
            <w:tcBorders>
              <w:top w:val="single" w:color="auto" w:sz="4" w:space="0"/>
              <w:left w:val="single" w:color="auto" w:sz="4" w:space="0"/>
              <w:bottom w:val="single" w:color="auto" w:sz="4" w:space="0"/>
              <w:right w:val="single" w:color="auto" w:sz="4" w:space="0"/>
            </w:tcBorders>
            <w:vAlign w:val="center"/>
          </w:tcPr>
          <w:p w14:paraId="6AE1677A">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r>
      <w:tr w14:paraId="4824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118D8B12">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11</w:t>
            </w:r>
          </w:p>
        </w:tc>
        <w:tc>
          <w:tcPr>
            <w:tcW w:w="4626" w:type="dxa"/>
            <w:tcBorders>
              <w:top w:val="single" w:color="auto" w:sz="4" w:space="0"/>
              <w:left w:val="single" w:color="auto" w:sz="4" w:space="0"/>
              <w:bottom w:val="single" w:color="auto" w:sz="4" w:space="0"/>
              <w:right w:val="single" w:color="auto" w:sz="4" w:space="0"/>
            </w:tcBorders>
            <w:vAlign w:val="center"/>
          </w:tcPr>
          <w:p w14:paraId="6922A00D">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2650" w:type="dxa"/>
            <w:tcBorders>
              <w:top w:val="single" w:color="auto" w:sz="4" w:space="0"/>
              <w:left w:val="single" w:color="auto" w:sz="4" w:space="0"/>
              <w:bottom w:val="single" w:color="auto" w:sz="4" w:space="0"/>
              <w:right w:val="single" w:color="auto" w:sz="4" w:space="0"/>
            </w:tcBorders>
            <w:vAlign w:val="center"/>
          </w:tcPr>
          <w:p w14:paraId="730C0499">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4E0F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dxa"/>
            <w:tcBorders>
              <w:top w:val="single" w:color="auto" w:sz="4" w:space="0"/>
              <w:left w:val="single" w:color="auto" w:sz="4" w:space="0"/>
              <w:bottom w:val="single" w:color="auto" w:sz="4" w:space="0"/>
              <w:right w:val="single" w:color="auto" w:sz="4" w:space="0"/>
            </w:tcBorders>
            <w:vAlign w:val="center"/>
          </w:tcPr>
          <w:p w14:paraId="052F356F">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12</w:t>
            </w:r>
          </w:p>
        </w:tc>
        <w:tc>
          <w:tcPr>
            <w:tcW w:w="4626" w:type="dxa"/>
            <w:tcBorders>
              <w:top w:val="single" w:color="auto" w:sz="4" w:space="0"/>
              <w:left w:val="single" w:color="auto" w:sz="4" w:space="0"/>
              <w:bottom w:val="single" w:color="auto" w:sz="4" w:space="0"/>
              <w:right w:val="single" w:color="auto" w:sz="4" w:space="0"/>
            </w:tcBorders>
            <w:vAlign w:val="center"/>
          </w:tcPr>
          <w:p w14:paraId="77F94EC9">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六价铬</w:t>
            </w:r>
          </w:p>
        </w:tc>
        <w:tc>
          <w:tcPr>
            <w:tcW w:w="2650" w:type="dxa"/>
            <w:tcBorders>
              <w:top w:val="single" w:color="auto" w:sz="4" w:space="0"/>
              <w:left w:val="single" w:color="auto" w:sz="4" w:space="0"/>
              <w:bottom w:val="single" w:color="auto" w:sz="4" w:space="0"/>
              <w:right w:val="single" w:color="auto" w:sz="4" w:space="0"/>
            </w:tcBorders>
            <w:vAlign w:val="center"/>
          </w:tcPr>
          <w:p w14:paraId="605A6E87">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r>
      <w:tr w14:paraId="4A3AB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46" w:type="dxa"/>
            <w:tcBorders>
              <w:top w:val="single" w:color="auto" w:sz="4" w:space="0"/>
              <w:left w:val="single" w:color="auto" w:sz="4" w:space="0"/>
              <w:bottom w:val="single" w:color="auto" w:sz="4" w:space="0"/>
              <w:right w:val="single" w:color="auto" w:sz="4" w:space="0"/>
            </w:tcBorders>
            <w:vAlign w:val="center"/>
          </w:tcPr>
          <w:p w14:paraId="13CFE273">
            <w:pPr>
              <w:adjustRightInd w:val="0"/>
              <w:snapToGrid w:val="0"/>
              <w:spacing w:line="240" w:lineRule="auto"/>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13</w:t>
            </w:r>
          </w:p>
        </w:tc>
        <w:tc>
          <w:tcPr>
            <w:tcW w:w="4626" w:type="dxa"/>
            <w:tcBorders>
              <w:top w:val="single" w:color="auto" w:sz="4" w:space="0"/>
              <w:left w:val="single" w:color="auto" w:sz="4" w:space="0"/>
              <w:bottom w:val="single" w:color="auto" w:sz="4" w:space="0"/>
              <w:right w:val="single" w:color="auto" w:sz="4" w:space="0"/>
            </w:tcBorders>
            <w:vAlign w:val="center"/>
          </w:tcPr>
          <w:p w14:paraId="49321B6C">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总大肠菌群（MPN/100mL或CFU/100mL）</w:t>
            </w:r>
          </w:p>
        </w:tc>
        <w:tc>
          <w:tcPr>
            <w:tcW w:w="2650" w:type="dxa"/>
            <w:tcBorders>
              <w:top w:val="single" w:color="auto" w:sz="4" w:space="0"/>
              <w:left w:val="single" w:color="auto" w:sz="4" w:space="0"/>
              <w:bottom w:val="single" w:color="auto" w:sz="4" w:space="0"/>
              <w:right w:val="single" w:color="auto" w:sz="4" w:space="0"/>
            </w:tcBorders>
            <w:vAlign w:val="center"/>
          </w:tcPr>
          <w:p w14:paraId="2CF0F771">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r>
    </w:tbl>
    <w:p w14:paraId="657E7A6E">
      <w:pPr>
        <w:adjustRightInd w:val="0"/>
        <w:snapToGrid w:val="0"/>
        <w:ind w:firstLine="480"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（4）声环境</w:t>
      </w:r>
    </w:p>
    <w:p w14:paraId="016A587E">
      <w:pPr>
        <w:tabs>
          <w:tab w:val="left" w:pos="720"/>
        </w:tabs>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属于以工业生产为主要功能的区域，</w:t>
      </w:r>
      <w:r>
        <w:rPr>
          <w:rFonts w:hint="default" w:ascii="Times New Roman" w:hAnsi="Times New Roman" w:eastAsia="宋体" w:cs="Times New Roman"/>
          <w:color w:val="auto"/>
        </w:rPr>
        <w:t>声环境执行《声环境质量标准》（GB3096-2008）3类标准，即昼间≤65dB(A)，夜间≤55dB(A)。</w:t>
      </w:r>
    </w:p>
    <w:p w14:paraId="7977D2F1">
      <w:pPr>
        <w:tabs>
          <w:tab w:val="left" w:pos="720"/>
        </w:tabs>
        <w:adjustRightInd w:val="0"/>
        <w:snapToGrid w:val="0"/>
        <w:ind w:firstLine="480" w:firstLineChars="200"/>
        <w:jc w:val="left"/>
        <w:rPr>
          <w:rFonts w:hint="default" w:ascii="Times New Roman" w:hAnsi="Times New Roman" w:eastAsia="宋体" w:cs="Times New Roman"/>
          <w:b/>
          <w:color w:val="auto"/>
        </w:rPr>
      </w:pP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5</w:t>
      </w:r>
      <w:r>
        <w:rPr>
          <w:rFonts w:hint="default" w:ascii="Times New Roman" w:hAnsi="Times New Roman" w:eastAsia="宋体" w:cs="Times New Roman"/>
          <w:b/>
          <w:color w:val="auto"/>
        </w:rPr>
        <w:t>）土壤环境</w:t>
      </w:r>
    </w:p>
    <w:p w14:paraId="4E2AB3B4">
      <w:pPr>
        <w:tabs>
          <w:tab w:val="left" w:pos="720"/>
        </w:tabs>
        <w:adjustRightInd w:val="0"/>
        <w:snapToGrid w:val="0"/>
        <w:ind w:firstLine="480" w:firstLineChars="200"/>
        <w:jc w:val="left"/>
        <w:rPr>
          <w:rFonts w:hint="default" w:ascii="Times New Roman" w:hAnsi="Times New Roman" w:eastAsia="宋体" w:cs="Times New Roman"/>
          <w:b/>
          <w:bCs/>
          <w:color w:val="auto"/>
          <w:lang w:eastAsia="zh-CN"/>
        </w:rPr>
      </w:pPr>
      <w:r>
        <w:rPr>
          <w:rFonts w:hint="default" w:ascii="Times New Roman" w:hAnsi="Times New Roman" w:eastAsia="宋体" w:cs="Times New Roman"/>
          <w:color w:val="auto"/>
          <w:sz w:val="24"/>
          <w:szCs w:val="24"/>
        </w:rPr>
        <w:t>项目位于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sz w:val="24"/>
          <w:szCs w:val="24"/>
        </w:rPr>
        <w:t>，</w:t>
      </w:r>
      <w:bookmarkStart w:id="135" w:name="_Toc268077612"/>
      <w:bookmarkStart w:id="136" w:name="_Toc30208"/>
      <w:bookmarkStart w:id="137" w:name="_Toc291195995"/>
      <w:bookmarkStart w:id="138" w:name="_Toc269196232"/>
      <w:bookmarkStart w:id="139" w:name="_Toc307819472"/>
      <w:bookmarkStart w:id="140" w:name="_Toc299348867"/>
      <w:r>
        <w:rPr>
          <w:rFonts w:hint="default" w:ascii="Times New Roman" w:hAnsi="Times New Roman" w:eastAsia="宋体" w:cs="Times New Roman"/>
          <w:color w:val="auto"/>
          <w:sz w:val="24"/>
          <w:szCs w:val="24"/>
          <w:lang w:eastAsia="zh-CN"/>
        </w:rPr>
        <w:t>项目用地为工业用地，</w:t>
      </w:r>
      <w:r>
        <w:rPr>
          <w:rFonts w:hint="default" w:ascii="Times New Roman" w:hAnsi="Times New Roman" w:eastAsia="宋体" w:cs="Times New Roman"/>
          <w:color w:val="auto"/>
        </w:rPr>
        <w:t xml:space="preserve">执行《土壤环境质量 </w:t>
      </w:r>
      <w:r>
        <w:rPr>
          <w:rFonts w:hint="default" w:ascii="Times New Roman" w:hAnsi="Times New Roman" w:eastAsia="宋体" w:cs="Times New Roman"/>
          <w:color w:val="auto"/>
          <w:lang w:eastAsia="zh-CN"/>
        </w:rPr>
        <w:t>建设</w:t>
      </w:r>
      <w:r>
        <w:rPr>
          <w:rFonts w:hint="default" w:ascii="Times New Roman" w:hAnsi="Times New Roman" w:eastAsia="宋体" w:cs="Times New Roman"/>
          <w:color w:val="auto"/>
        </w:rPr>
        <w:t>用地土壤污染风险管控标准（试行）》（GB</w:t>
      </w:r>
      <w:r>
        <w:rPr>
          <w:rFonts w:hint="default" w:ascii="Times New Roman" w:hAnsi="Times New Roman" w:eastAsia="宋体" w:cs="Times New Roman"/>
          <w:color w:val="auto"/>
          <w:lang w:val="en-US" w:eastAsia="zh-CN"/>
        </w:rPr>
        <w:t>36600</w:t>
      </w:r>
      <w:r>
        <w:rPr>
          <w:rFonts w:hint="default" w:ascii="Times New Roman" w:hAnsi="Times New Roman" w:eastAsia="宋体" w:cs="Times New Roman"/>
          <w:color w:val="auto"/>
        </w:rPr>
        <w:t>-2018）第二类用地</w:t>
      </w:r>
      <w:r>
        <w:rPr>
          <w:rFonts w:hint="default" w:ascii="Times New Roman" w:hAnsi="Times New Roman" w:eastAsia="宋体" w:cs="Times New Roman"/>
          <w:color w:val="auto"/>
          <w:lang w:eastAsia="zh-CN"/>
        </w:rPr>
        <w:t>标准要求，</w:t>
      </w:r>
      <w:r>
        <w:rPr>
          <w:rFonts w:hint="default" w:ascii="Times New Roman" w:hAnsi="Times New Roman" w:eastAsia="宋体" w:cs="Times New Roman"/>
          <w:color w:val="auto"/>
        </w:rPr>
        <w:t>具体标准值如表1.5-</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项目执行二类用地筛选值标准要求。</w:t>
      </w:r>
    </w:p>
    <w:p w14:paraId="421E1025">
      <w:pPr>
        <w:tabs>
          <w:tab w:val="left" w:pos="720"/>
        </w:tabs>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表1.5-</w:t>
      </w:r>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eastAsia="zh-CN"/>
        </w:rPr>
        <w:t>建设</w:t>
      </w:r>
      <w:r>
        <w:rPr>
          <w:rFonts w:hint="default" w:ascii="Times New Roman" w:hAnsi="Times New Roman" w:eastAsia="宋体" w:cs="Times New Roman"/>
          <w:b/>
          <w:bCs/>
          <w:color w:val="auto"/>
        </w:rPr>
        <w:t>用地土壤污染风险筛选值</w:t>
      </w:r>
      <w:r>
        <w:rPr>
          <w:rFonts w:hint="default" w:ascii="Times New Roman" w:hAnsi="Times New Roman" w:eastAsia="宋体" w:cs="Times New Roman"/>
          <w:b/>
          <w:bCs/>
          <w:color w:val="auto"/>
          <w:lang w:eastAsia="zh-CN"/>
        </w:rPr>
        <w:t>（基本项目）</w:t>
      </w:r>
      <w:r>
        <w:rPr>
          <w:rFonts w:hint="default" w:ascii="Times New Roman" w:hAnsi="Times New Roman" w:eastAsia="宋体" w:cs="Times New Roman"/>
          <w:b/>
          <w:bCs/>
          <w:color w:val="auto"/>
        </w:rPr>
        <w:t xml:space="preserve">  单位：mg/kg</w:t>
      </w:r>
    </w:p>
    <w:tbl>
      <w:tblPr>
        <w:tblStyle w:val="66"/>
        <w:tblW w:w="8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2144"/>
        <w:gridCol w:w="2339"/>
        <w:gridCol w:w="2341"/>
      </w:tblGrid>
      <w:tr w14:paraId="4594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06" w:type="dxa"/>
            <w:noWrap w:val="0"/>
            <w:vAlign w:val="center"/>
          </w:tcPr>
          <w:p w14:paraId="26511B66">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144" w:type="dxa"/>
            <w:noWrap w:val="0"/>
            <w:vAlign w:val="center"/>
          </w:tcPr>
          <w:p w14:paraId="622841D3">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污染物项目</w:t>
            </w:r>
          </w:p>
        </w:tc>
        <w:tc>
          <w:tcPr>
            <w:tcW w:w="2339" w:type="dxa"/>
            <w:noWrap w:val="0"/>
            <w:vAlign w:val="center"/>
          </w:tcPr>
          <w:p w14:paraId="0F937466">
            <w:pPr>
              <w:spacing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筛选值（第二类用地）</w:t>
            </w:r>
          </w:p>
        </w:tc>
        <w:tc>
          <w:tcPr>
            <w:tcW w:w="2341" w:type="dxa"/>
            <w:noWrap w:val="0"/>
            <w:vAlign w:val="center"/>
          </w:tcPr>
          <w:p w14:paraId="27283110">
            <w:pPr>
              <w:spacing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管制值（第二类用地）</w:t>
            </w:r>
          </w:p>
        </w:tc>
      </w:tr>
      <w:tr w14:paraId="77D7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06" w:type="dxa"/>
            <w:noWrap w:val="0"/>
            <w:vAlign w:val="center"/>
          </w:tcPr>
          <w:p w14:paraId="47F76AA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44" w:type="dxa"/>
            <w:noWrap w:val="0"/>
            <w:vAlign w:val="center"/>
          </w:tcPr>
          <w:p w14:paraId="5E4D603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砷</w:t>
            </w:r>
          </w:p>
        </w:tc>
        <w:tc>
          <w:tcPr>
            <w:tcW w:w="2339" w:type="dxa"/>
            <w:noWrap w:val="0"/>
            <w:vAlign w:val="center"/>
          </w:tcPr>
          <w:p w14:paraId="2D27D53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2341" w:type="dxa"/>
            <w:noWrap w:val="0"/>
            <w:vAlign w:val="center"/>
          </w:tcPr>
          <w:p w14:paraId="388BD322">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140</w:t>
            </w:r>
          </w:p>
        </w:tc>
      </w:tr>
      <w:tr w14:paraId="255A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306" w:type="dxa"/>
            <w:noWrap w:val="0"/>
            <w:vAlign w:val="center"/>
          </w:tcPr>
          <w:p w14:paraId="565B5EC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144" w:type="dxa"/>
            <w:noWrap w:val="0"/>
            <w:vAlign w:val="center"/>
          </w:tcPr>
          <w:p w14:paraId="35D1241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w:t>
            </w:r>
          </w:p>
        </w:tc>
        <w:tc>
          <w:tcPr>
            <w:tcW w:w="2339" w:type="dxa"/>
            <w:noWrap w:val="0"/>
            <w:vAlign w:val="center"/>
          </w:tcPr>
          <w:p w14:paraId="4347FB5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2341" w:type="dxa"/>
            <w:noWrap w:val="0"/>
            <w:vAlign w:val="center"/>
          </w:tcPr>
          <w:p w14:paraId="26C2D0B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172</w:t>
            </w:r>
          </w:p>
        </w:tc>
      </w:tr>
      <w:tr w14:paraId="31E9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06" w:type="dxa"/>
            <w:noWrap w:val="0"/>
            <w:vAlign w:val="center"/>
          </w:tcPr>
          <w:p w14:paraId="5DE5472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2144" w:type="dxa"/>
            <w:noWrap w:val="0"/>
            <w:vAlign w:val="center"/>
          </w:tcPr>
          <w:p w14:paraId="4B491A2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铬（六价）</w:t>
            </w:r>
          </w:p>
        </w:tc>
        <w:tc>
          <w:tcPr>
            <w:tcW w:w="2339" w:type="dxa"/>
            <w:noWrap w:val="0"/>
            <w:vAlign w:val="center"/>
          </w:tcPr>
          <w:p w14:paraId="15FFD03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2341" w:type="dxa"/>
            <w:noWrap w:val="0"/>
            <w:vAlign w:val="center"/>
          </w:tcPr>
          <w:p w14:paraId="698F561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78</w:t>
            </w:r>
          </w:p>
        </w:tc>
      </w:tr>
      <w:tr w14:paraId="23EF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306" w:type="dxa"/>
            <w:noWrap w:val="0"/>
            <w:vAlign w:val="center"/>
          </w:tcPr>
          <w:p w14:paraId="70A70E5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2144" w:type="dxa"/>
            <w:noWrap w:val="0"/>
            <w:vAlign w:val="center"/>
          </w:tcPr>
          <w:p w14:paraId="4BAFE38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铜</w:t>
            </w:r>
          </w:p>
        </w:tc>
        <w:tc>
          <w:tcPr>
            <w:tcW w:w="2339" w:type="dxa"/>
            <w:noWrap w:val="0"/>
            <w:vAlign w:val="center"/>
          </w:tcPr>
          <w:p w14:paraId="0B78C42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2341" w:type="dxa"/>
            <w:noWrap w:val="0"/>
            <w:vAlign w:val="center"/>
          </w:tcPr>
          <w:p w14:paraId="31D43F32">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36000</w:t>
            </w:r>
          </w:p>
        </w:tc>
      </w:tr>
      <w:tr w14:paraId="0523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06" w:type="dxa"/>
            <w:noWrap w:val="0"/>
            <w:vAlign w:val="center"/>
          </w:tcPr>
          <w:p w14:paraId="4617A1F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144" w:type="dxa"/>
            <w:noWrap w:val="0"/>
            <w:vAlign w:val="center"/>
          </w:tcPr>
          <w:p w14:paraId="6DCB5B3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铅</w:t>
            </w:r>
          </w:p>
        </w:tc>
        <w:tc>
          <w:tcPr>
            <w:tcW w:w="2339" w:type="dxa"/>
            <w:noWrap w:val="0"/>
            <w:vAlign w:val="center"/>
          </w:tcPr>
          <w:p w14:paraId="74FD64F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w:t>
            </w:r>
          </w:p>
        </w:tc>
        <w:tc>
          <w:tcPr>
            <w:tcW w:w="2341" w:type="dxa"/>
            <w:noWrap w:val="0"/>
            <w:vAlign w:val="center"/>
          </w:tcPr>
          <w:p w14:paraId="619BD8F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2500</w:t>
            </w:r>
          </w:p>
        </w:tc>
      </w:tr>
      <w:tr w14:paraId="5901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306" w:type="dxa"/>
            <w:noWrap w:val="0"/>
            <w:vAlign w:val="center"/>
          </w:tcPr>
          <w:p w14:paraId="60FB9702">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144" w:type="dxa"/>
            <w:noWrap w:val="0"/>
            <w:vAlign w:val="center"/>
          </w:tcPr>
          <w:p w14:paraId="2EC60FC6">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2339" w:type="dxa"/>
            <w:noWrap w:val="0"/>
            <w:vAlign w:val="center"/>
          </w:tcPr>
          <w:p w14:paraId="177A0855">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w:t>
            </w:r>
          </w:p>
        </w:tc>
        <w:tc>
          <w:tcPr>
            <w:tcW w:w="2341" w:type="dxa"/>
            <w:noWrap w:val="0"/>
            <w:vAlign w:val="center"/>
          </w:tcPr>
          <w:p w14:paraId="5488B01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82</w:t>
            </w:r>
          </w:p>
        </w:tc>
      </w:tr>
      <w:tr w14:paraId="23AE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06" w:type="dxa"/>
            <w:noWrap w:val="0"/>
            <w:vAlign w:val="center"/>
          </w:tcPr>
          <w:p w14:paraId="3124E3F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2144" w:type="dxa"/>
            <w:noWrap w:val="0"/>
            <w:vAlign w:val="center"/>
          </w:tcPr>
          <w:p w14:paraId="519CD49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镍</w:t>
            </w:r>
          </w:p>
        </w:tc>
        <w:tc>
          <w:tcPr>
            <w:tcW w:w="2339" w:type="dxa"/>
            <w:noWrap w:val="0"/>
            <w:vAlign w:val="center"/>
          </w:tcPr>
          <w:p w14:paraId="4E9C0A3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w:t>
            </w:r>
          </w:p>
        </w:tc>
        <w:tc>
          <w:tcPr>
            <w:tcW w:w="2341" w:type="dxa"/>
            <w:noWrap w:val="0"/>
            <w:vAlign w:val="center"/>
          </w:tcPr>
          <w:p w14:paraId="654E8F0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2000</w:t>
            </w:r>
          </w:p>
        </w:tc>
      </w:tr>
      <w:tr w14:paraId="5A7D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06" w:type="dxa"/>
            <w:noWrap w:val="0"/>
            <w:vAlign w:val="center"/>
          </w:tcPr>
          <w:p w14:paraId="4F407E6D">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8</w:t>
            </w:r>
          </w:p>
        </w:tc>
        <w:tc>
          <w:tcPr>
            <w:tcW w:w="2144" w:type="dxa"/>
            <w:noWrap w:val="0"/>
            <w:vAlign w:val="center"/>
          </w:tcPr>
          <w:p w14:paraId="1C6398FF">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四氯化碳</w:t>
            </w:r>
          </w:p>
        </w:tc>
        <w:tc>
          <w:tcPr>
            <w:tcW w:w="2339" w:type="dxa"/>
            <w:noWrap w:val="0"/>
            <w:vAlign w:val="center"/>
          </w:tcPr>
          <w:p w14:paraId="3BB3092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2341" w:type="dxa"/>
            <w:noWrap w:val="0"/>
            <w:vAlign w:val="center"/>
          </w:tcPr>
          <w:p w14:paraId="52B2BC7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r>
      <w:tr w14:paraId="6262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285EF44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144" w:type="dxa"/>
            <w:noWrap w:val="0"/>
            <w:vAlign w:val="center"/>
          </w:tcPr>
          <w:p w14:paraId="4D0A01FE">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氯仿</w:t>
            </w:r>
          </w:p>
        </w:tc>
        <w:tc>
          <w:tcPr>
            <w:tcW w:w="2339" w:type="dxa"/>
            <w:noWrap w:val="0"/>
            <w:vAlign w:val="center"/>
          </w:tcPr>
          <w:p w14:paraId="73C9F35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0.9</w:t>
            </w:r>
          </w:p>
        </w:tc>
        <w:tc>
          <w:tcPr>
            <w:tcW w:w="2341" w:type="dxa"/>
            <w:noWrap w:val="0"/>
            <w:vAlign w:val="center"/>
          </w:tcPr>
          <w:p w14:paraId="613694F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r>
      <w:tr w14:paraId="5DD6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061814B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144" w:type="dxa"/>
            <w:noWrap w:val="0"/>
            <w:vAlign w:val="center"/>
          </w:tcPr>
          <w:p w14:paraId="16DFA3B0">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氯甲烷</w:t>
            </w:r>
          </w:p>
        </w:tc>
        <w:tc>
          <w:tcPr>
            <w:tcW w:w="2339" w:type="dxa"/>
            <w:noWrap w:val="0"/>
            <w:vAlign w:val="center"/>
          </w:tcPr>
          <w:p w14:paraId="14582DF2">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2341" w:type="dxa"/>
            <w:noWrap w:val="0"/>
            <w:vAlign w:val="center"/>
          </w:tcPr>
          <w:p w14:paraId="2F8B57B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w:t>
            </w:r>
          </w:p>
        </w:tc>
      </w:tr>
      <w:tr w14:paraId="006F8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301EAA5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2144" w:type="dxa"/>
            <w:noWrap w:val="0"/>
            <w:vAlign w:val="center"/>
          </w:tcPr>
          <w:p w14:paraId="5F04BD2E">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1,1-二氯乙烷</w:t>
            </w:r>
          </w:p>
        </w:tc>
        <w:tc>
          <w:tcPr>
            <w:tcW w:w="2339" w:type="dxa"/>
            <w:noWrap w:val="0"/>
            <w:vAlign w:val="center"/>
          </w:tcPr>
          <w:p w14:paraId="305E329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341" w:type="dxa"/>
            <w:noWrap w:val="0"/>
            <w:vAlign w:val="center"/>
          </w:tcPr>
          <w:p w14:paraId="3D51479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6C3AF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3B673FF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2144" w:type="dxa"/>
            <w:noWrap w:val="0"/>
            <w:vAlign w:val="center"/>
          </w:tcPr>
          <w:p w14:paraId="69026EC5">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1,2-二氯乙烷</w:t>
            </w:r>
          </w:p>
        </w:tc>
        <w:tc>
          <w:tcPr>
            <w:tcW w:w="2339" w:type="dxa"/>
            <w:noWrap w:val="0"/>
            <w:vAlign w:val="center"/>
          </w:tcPr>
          <w:p w14:paraId="50FA5AC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341" w:type="dxa"/>
            <w:noWrap w:val="0"/>
            <w:vAlign w:val="center"/>
          </w:tcPr>
          <w:p w14:paraId="73A0AD9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r>
      <w:tr w14:paraId="7CFE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21DDF89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2144" w:type="dxa"/>
            <w:noWrap w:val="0"/>
            <w:vAlign w:val="center"/>
          </w:tcPr>
          <w:p w14:paraId="3E70622E">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1,1-二氯乙烯</w:t>
            </w:r>
          </w:p>
        </w:tc>
        <w:tc>
          <w:tcPr>
            <w:tcW w:w="2339" w:type="dxa"/>
            <w:noWrap w:val="0"/>
            <w:vAlign w:val="center"/>
          </w:tcPr>
          <w:p w14:paraId="57B09FF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w:t>
            </w:r>
          </w:p>
        </w:tc>
        <w:tc>
          <w:tcPr>
            <w:tcW w:w="2341" w:type="dxa"/>
            <w:noWrap w:val="0"/>
            <w:vAlign w:val="center"/>
          </w:tcPr>
          <w:p w14:paraId="7F2EF93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r>
      <w:tr w14:paraId="1F27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709A60B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2144" w:type="dxa"/>
            <w:noWrap w:val="0"/>
            <w:vAlign w:val="center"/>
          </w:tcPr>
          <w:p w14:paraId="4ED27B7E">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顺-1,2-二氯乙烯</w:t>
            </w:r>
          </w:p>
        </w:tc>
        <w:tc>
          <w:tcPr>
            <w:tcW w:w="2339" w:type="dxa"/>
            <w:noWrap w:val="0"/>
            <w:vAlign w:val="center"/>
          </w:tcPr>
          <w:p w14:paraId="3E30EFF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596</w:t>
            </w:r>
          </w:p>
        </w:tc>
        <w:tc>
          <w:tcPr>
            <w:tcW w:w="2341" w:type="dxa"/>
            <w:noWrap w:val="0"/>
            <w:vAlign w:val="center"/>
          </w:tcPr>
          <w:p w14:paraId="01B490D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2000</w:t>
            </w:r>
          </w:p>
        </w:tc>
      </w:tr>
      <w:tr w14:paraId="1E51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48BF90C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144" w:type="dxa"/>
            <w:noWrap w:val="0"/>
            <w:vAlign w:val="center"/>
          </w:tcPr>
          <w:p w14:paraId="1AEE043E">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反-1,2-二氯乙烯</w:t>
            </w:r>
          </w:p>
        </w:tc>
        <w:tc>
          <w:tcPr>
            <w:tcW w:w="2339" w:type="dxa"/>
            <w:noWrap w:val="0"/>
            <w:vAlign w:val="center"/>
          </w:tcPr>
          <w:p w14:paraId="60EEA41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2341" w:type="dxa"/>
            <w:noWrap w:val="0"/>
            <w:vAlign w:val="center"/>
          </w:tcPr>
          <w:p w14:paraId="333DBC1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163</w:t>
            </w:r>
          </w:p>
        </w:tc>
      </w:tr>
      <w:tr w14:paraId="2191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103606C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2144" w:type="dxa"/>
            <w:noWrap w:val="0"/>
            <w:vAlign w:val="center"/>
          </w:tcPr>
          <w:p w14:paraId="3D8509B6">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二氯甲烷</w:t>
            </w:r>
          </w:p>
        </w:tc>
        <w:tc>
          <w:tcPr>
            <w:tcW w:w="2339" w:type="dxa"/>
            <w:noWrap w:val="0"/>
            <w:vAlign w:val="center"/>
          </w:tcPr>
          <w:p w14:paraId="2D1ADA6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616</w:t>
            </w:r>
          </w:p>
        </w:tc>
        <w:tc>
          <w:tcPr>
            <w:tcW w:w="2341" w:type="dxa"/>
            <w:noWrap w:val="0"/>
            <w:vAlign w:val="center"/>
          </w:tcPr>
          <w:p w14:paraId="15295DE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2000</w:t>
            </w:r>
          </w:p>
        </w:tc>
      </w:tr>
      <w:tr w14:paraId="3321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7199DD0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2144" w:type="dxa"/>
            <w:noWrap w:val="0"/>
            <w:vAlign w:val="center"/>
          </w:tcPr>
          <w:p w14:paraId="20F4051C">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1,2-二氯丙烷</w:t>
            </w:r>
          </w:p>
        </w:tc>
        <w:tc>
          <w:tcPr>
            <w:tcW w:w="2339" w:type="dxa"/>
            <w:noWrap w:val="0"/>
            <w:vAlign w:val="center"/>
          </w:tcPr>
          <w:p w14:paraId="1385AFB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2341" w:type="dxa"/>
            <w:noWrap w:val="0"/>
            <w:vAlign w:val="center"/>
          </w:tcPr>
          <w:p w14:paraId="4554C95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47</w:t>
            </w:r>
          </w:p>
        </w:tc>
      </w:tr>
      <w:tr w14:paraId="2C2A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06BDA50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2144" w:type="dxa"/>
            <w:noWrap w:val="0"/>
            <w:vAlign w:val="center"/>
          </w:tcPr>
          <w:p w14:paraId="2300AAFD">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1,1,1,2-四氯乙烷</w:t>
            </w:r>
          </w:p>
        </w:tc>
        <w:tc>
          <w:tcPr>
            <w:tcW w:w="2339" w:type="dxa"/>
            <w:noWrap w:val="0"/>
            <w:vAlign w:val="center"/>
          </w:tcPr>
          <w:p w14:paraId="29BA730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2341" w:type="dxa"/>
            <w:noWrap w:val="0"/>
            <w:vAlign w:val="center"/>
          </w:tcPr>
          <w:p w14:paraId="37F50D2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r>
      <w:tr w14:paraId="103C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75D1899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2144" w:type="dxa"/>
            <w:noWrap w:val="0"/>
            <w:vAlign w:val="center"/>
          </w:tcPr>
          <w:p w14:paraId="138BCEE8">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1,1,2,2-四氯乙烷</w:t>
            </w:r>
          </w:p>
        </w:tc>
        <w:tc>
          <w:tcPr>
            <w:tcW w:w="2339" w:type="dxa"/>
            <w:noWrap w:val="0"/>
            <w:vAlign w:val="center"/>
          </w:tcPr>
          <w:p w14:paraId="6E9462E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6.8</w:t>
            </w:r>
          </w:p>
        </w:tc>
        <w:tc>
          <w:tcPr>
            <w:tcW w:w="2341" w:type="dxa"/>
            <w:noWrap w:val="0"/>
            <w:vAlign w:val="center"/>
          </w:tcPr>
          <w:p w14:paraId="7A9CCFA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r w14:paraId="590E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7478829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2144" w:type="dxa"/>
            <w:noWrap w:val="0"/>
            <w:vAlign w:val="center"/>
          </w:tcPr>
          <w:p w14:paraId="7723B876">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四氯乙烯</w:t>
            </w:r>
          </w:p>
        </w:tc>
        <w:tc>
          <w:tcPr>
            <w:tcW w:w="2339" w:type="dxa"/>
            <w:noWrap w:val="0"/>
            <w:vAlign w:val="center"/>
          </w:tcPr>
          <w:p w14:paraId="1397D272">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2341" w:type="dxa"/>
            <w:noWrap w:val="0"/>
            <w:vAlign w:val="center"/>
          </w:tcPr>
          <w:p w14:paraId="34BF2AD2">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183</w:t>
            </w:r>
          </w:p>
        </w:tc>
      </w:tr>
      <w:tr w14:paraId="34C38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22BE640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2144" w:type="dxa"/>
            <w:noWrap w:val="0"/>
            <w:vAlign w:val="center"/>
          </w:tcPr>
          <w:p w14:paraId="2D18FCAF">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1,1,1-三氯乙烷</w:t>
            </w:r>
          </w:p>
        </w:tc>
        <w:tc>
          <w:tcPr>
            <w:tcW w:w="2339" w:type="dxa"/>
            <w:noWrap w:val="0"/>
            <w:vAlign w:val="center"/>
          </w:tcPr>
          <w:p w14:paraId="68C3C2B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840</w:t>
            </w:r>
          </w:p>
        </w:tc>
        <w:tc>
          <w:tcPr>
            <w:tcW w:w="2341" w:type="dxa"/>
            <w:noWrap w:val="0"/>
            <w:vAlign w:val="center"/>
          </w:tcPr>
          <w:p w14:paraId="1D6F24B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840</w:t>
            </w:r>
          </w:p>
        </w:tc>
      </w:tr>
      <w:tr w14:paraId="726B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0EDA018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w:t>
            </w:r>
          </w:p>
        </w:tc>
        <w:tc>
          <w:tcPr>
            <w:tcW w:w="2144" w:type="dxa"/>
            <w:noWrap w:val="0"/>
            <w:vAlign w:val="center"/>
          </w:tcPr>
          <w:p w14:paraId="7F352DEC">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1,1,2-三氯乙烷</w:t>
            </w:r>
          </w:p>
        </w:tc>
        <w:tc>
          <w:tcPr>
            <w:tcW w:w="2339" w:type="dxa"/>
            <w:noWrap w:val="0"/>
            <w:vAlign w:val="center"/>
          </w:tcPr>
          <w:p w14:paraId="3AD7856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2341" w:type="dxa"/>
            <w:noWrap w:val="0"/>
            <w:vAlign w:val="center"/>
          </w:tcPr>
          <w:p w14:paraId="35D0D66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5BFA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67A1BCB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23</w:t>
            </w:r>
          </w:p>
        </w:tc>
        <w:tc>
          <w:tcPr>
            <w:tcW w:w="2144" w:type="dxa"/>
            <w:noWrap w:val="0"/>
            <w:vAlign w:val="center"/>
          </w:tcPr>
          <w:p w14:paraId="126B80E2">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三氯乙烯</w:t>
            </w:r>
          </w:p>
        </w:tc>
        <w:tc>
          <w:tcPr>
            <w:tcW w:w="2339" w:type="dxa"/>
            <w:noWrap w:val="0"/>
            <w:vAlign w:val="center"/>
          </w:tcPr>
          <w:p w14:paraId="08A9E1D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2341" w:type="dxa"/>
            <w:noWrap w:val="0"/>
            <w:vAlign w:val="center"/>
          </w:tcPr>
          <w:p w14:paraId="0EC2AD0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r>
      <w:tr w14:paraId="1CFB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487A87B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w:t>
            </w:r>
          </w:p>
        </w:tc>
        <w:tc>
          <w:tcPr>
            <w:tcW w:w="2144" w:type="dxa"/>
            <w:noWrap w:val="0"/>
            <w:vAlign w:val="center"/>
          </w:tcPr>
          <w:p w14:paraId="7474C592">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1,2,3-三氯丙烷</w:t>
            </w:r>
          </w:p>
        </w:tc>
        <w:tc>
          <w:tcPr>
            <w:tcW w:w="2339" w:type="dxa"/>
            <w:noWrap w:val="0"/>
            <w:vAlign w:val="center"/>
          </w:tcPr>
          <w:p w14:paraId="55B3E33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w:t>
            </w:r>
          </w:p>
        </w:tc>
        <w:tc>
          <w:tcPr>
            <w:tcW w:w="2341" w:type="dxa"/>
            <w:noWrap w:val="0"/>
            <w:vAlign w:val="center"/>
          </w:tcPr>
          <w:p w14:paraId="29BF99B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14:paraId="2EC6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602E0BC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25</w:t>
            </w:r>
          </w:p>
        </w:tc>
        <w:tc>
          <w:tcPr>
            <w:tcW w:w="2144" w:type="dxa"/>
            <w:noWrap w:val="0"/>
            <w:vAlign w:val="center"/>
          </w:tcPr>
          <w:p w14:paraId="2E594AF7">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氯乙烯</w:t>
            </w:r>
          </w:p>
        </w:tc>
        <w:tc>
          <w:tcPr>
            <w:tcW w:w="2339" w:type="dxa"/>
            <w:noWrap w:val="0"/>
            <w:vAlign w:val="center"/>
          </w:tcPr>
          <w:p w14:paraId="0ABD6F2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0.43</w:t>
            </w:r>
          </w:p>
        </w:tc>
        <w:tc>
          <w:tcPr>
            <w:tcW w:w="2341" w:type="dxa"/>
            <w:noWrap w:val="0"/>
            <w:vAlign w:val="center"/>
          </w:tcPr>
          <w:p w14:paraId="0EE065B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r>
      <w:tr w14:paraId="7649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06" w:type="dxa"/>
            <w:noWrap w:val="0"/>
            <w:vAlign w:val="center"/>
          </w:tcPr>
          <w:p w14:paraId="55A8E97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w:t>
            </w:r>
          </w:p>
        </w:tc>
        <w:tc>
          <w:tcPr>
            <w:tcW w:w="2144" w:type="dxa"/>
            <w:noWrap w:val="0"/>
            <w:vAlign w:val="center"/>
          </w:tcPr>
          <w:p w14:paraId="0F312F79">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苯</w:t>
            </w:r>
          </w:p>
        </w:tc>
        <w:tc>
          <w:tcPr>
            <w:tcW w:w="2339" w:type="dxa"/>
            <w:noWrap w:val="0"/>
            <w:vAlign w:val="center"/>
          </w:tcPr>
          <w:p w14:paraId="6DF473A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2341" w:type="dxa"/>
            <w:noWrap w:val="0"/>
            <w:vAlign w:val="center"/>
          </w:tcPr>
          <w:p w14:paraId="7F5D8E5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r>
      <w:tr w14:paraId="41515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306" w:type="dxa"/>
            <w:noWrap w:val="0"/>
            <w:vAlign w:val="center"/>
          </w:tcPr>
          <w:p w14:paraId="50348C5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2144" w:type="dxa"/>
            <w:noWrap w:val="0"/>
            <w:vAlign w:val="center"/>
          </w:tcPr>
          <w:p w14:paraId="63597366">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氯苯</w:t>
            </w:r>
          </w:p>
        </w:tc>
        <w:tc>
          <w:tcPr>
            <w:tcW w:w="2339" w:type="dxa"/>
            <w:noWrap w:val="0"/>
            <w:vAlign w:val="center"/>
          </w:tcPr>
          <w:p w14:paraId="43E5705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270</w:t>
            </w:r>
          </w:p>
        </w:tc>
        <w:tc>
          <w:tcPr>
            <w:tcW w:w="2341" w:type="dxa"/>
            <w:noWrap w:val="0"/>
            <w:vAlign w:val="center"/>
          </w:tcPr>
          <w:p w14:paraId="546DFB5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1000</w:t>
            </w:r>
          </w:p>
        </w:tc>
      </w:tr>
      <w:tr w14:paraId="162A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306" w:type="dxa"/>
            <w:noWrap w:val="0"/>
            <w:vAlign w:val="center"/>
          </w:tcPr>
          <w:p w14:paraId="3B5C3BF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2144" w:type="dxa"/>
            <w:noWrap w:val="0"/>
            <w:vAlign w:val="center"/>
          </w:tcPr>
          <w:p w14:paraId="76D84F94">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1,2-二氯苯</w:t>
            </w:r>
          </w:p>
        </w:tc>
        <w:tc>
          <w:tcPr>
            <w:tcW w:w="2339" w:type="dxa"/>
            <w:noWrap w:val="0"/>
            <w:vAlign w:val="center"/>
          </w:tcPr>
          <w:p w14:paraId="0B46068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560</w:t>
            </w:r>
          </w:p>
        </w:tc>
        <w:tc>
          <w:tcPr>
            <w:tcW w:w="2341" w:type="dxa"/>
            <w:noWrap w:val="0"/>
            <w:vAlign w:val="center"/>
          </w:tcPr>
          <w:p w14:paraId="6B266EC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560</w:t>
            </w:r>
          </w:p>
        </w:tc>
      </w:tr>
      <w:tr w14:paraId="7AA0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306" w:type="dxa"/>
            <w:noWrap w:val="0"/>
            <w:vAlign w:val="center"/>
          </w:tcPr>
          <w:p w14:paraId="314C34B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2144" w:type="dxa"/>
            <w:noWrap w:val="0"/>
            <w:vAlign w:val="center"/>
          </w:tcPr>
          <w:p w14:paraId="198BD9B3">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1,4-二氯苯</w:t>
            </w:r>
          </w:p>
        </w:tc>
        <w:tc>
          <w:tcPr>
            <w:tcW w:w="2339" w:type="dxa"/>
            <w:noWrap w:val="0"/>
            <w:vAlign w:val="center"/>
          </w:tcPr>
          <w:p w14:paraId="7C72793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2341" w:type="dxa"/>
            <w:noWrap w:val="0"/>
            <w:vAlign w:val="center"/>
          </w:tcPr>
          <w:p w14:paraId="02FEDF7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200</w:t>
            </w:r>
          </w:p>
        </w:tc>
      </w:tr>
      <w:tr w14:paraId="763F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306" w:type="dxa"/>
            <w:noWrap w:val="0"/>
            <w:vAlign w:val="center"/>
          </w:tcPr>
          <w:p w14:paraId="47910A7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2144" w:type="dxa"/>
            <w:noWrap w:val="0"/>
            <w:vAlign w:val="center"/>
          </w:tcPr>
          <w:p w14:paraId="55FFC1C6">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乙苯</w:t>
            </w:r>
          </w:p>
        </w:tc>
        <w:tc>
          <w:tcPr>
            <w:tcW w:w="2339" w:type="dxa"/>
            <w:noWrap w:val="0"/>
            <w:vAlign w:val="center"/>
          </w:tcPr>
          <w:p w14:paraId="4B008D02">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2341" w:type="dxa"/>
            <w:noWrap w:val="0"/>
            <w:vAlign w:val="center"/>
          </w:tcPr>
          <w:p w14:paraId="79060E9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280</w:t>
            </w:r>
          </w:p>
        </w:tc>
      </w:tr>
      <w:tr w14:paraId="0624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359B478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2144" w:type="dxa"/>
            <w:noWrap w:val="0"/>
            <w:vAlign w:val="center"/>
          </w:tcPr>
          <w:p w14:paraId="4407E452">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苯乙烯</w:t>
            </w:r>
          </w:p>
        </w:tc>
        <w:tc>
          <w:tcPr>
            <w:tcW w:w="2339" w:type="dxa"/>
            <w:noWrap w:val="0"/>
            <w:vAlign w:val="center"/>
          </w:tcPr>
          <w:p w14:paraId="17DE348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1290</w:t>
            </w:r>
          </w:p>
        </w:tc>
        <w:tc>
          <w:tcPr>
            <w:tcW w:w="2341" w:type="dxa"/>
            <w:noWrap w:val="0"/>
            <w:vAlign w:val="center"/>
          </w:tcPr>
          <w:p w14:paraId="70E9488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1290</w:t>
            </w:r>
          </w:p>
        </w:tc>
      </w:tr>
      <w:tr w14:paraId="0F2B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35B40CC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32</w:t>
            </w:r>
          </w:p>
        </w:tc>
        <w:tc>
          <w:tcPr>
            <w:tcW w:w="2144" w:type="dxa"/>
            <w:noWrap w:val="0"/>
            <w:vAlign w:val="center"/>
          </w:tcPr>
          <w:p w14:paraId="3A2511D9">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甲苯</w:t>
            </w:r>
          </w:p>
        </w:tc>
        <w:tc>
          <w:tcPr>
            <w:tcW w:w="2339" w:type="dxa"/>
            <w:noWrap w:val="0"/>
            <w:vAlign w:val="center"/>
          </w:tcPr>
          <w:p w14:paraId="18951BD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1200</w:t>
            </w:r>
          </w:p>
        </w:tc>
        <w:tc>
          <w:tcPr>
            <w:tcW w:w="2341" w:type="dxa"/>
            <w:noWrap w:val="0"/>
            <w:vAlign w:val="center"/>
          </w:tcPr>
          <w:p w14:paraId="7396D18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1200</w:t>
            </w:r>
          </w:p>
        </w:tc>
      </w:tr>
      <w:tr w14:paraId="584A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601AB8E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33</w:t>
            </w:r>
          </w:p>
        </w:tc>
        <w:tc>
          <w:tcPr>
            <w:tcW w:w="2144" w:type="dxa"/>
            <w:noWrap w:val="0"/>
            <w:vAlign w:val="center"/>
          </w:tcPr>
          <w:p w14:paraId="400FB057">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间二甲苯+对二甲苯</w:t>
            </w:r>
          </w:p>
        </w:tc>
        <w:tc>
          <w:tcPr>
            <w:tcW w:w="2339" w:type="dxa"/>
            <w:noWrap w:val="0"/>
            <w:vAlign w:val="center"/>
          </w:tcPr>
          <w:p w14:paraId="7F4AAE8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570</w:t>
            </w:r>
          </w:p>
        </w:tc>
        <w:tc>
          <w:tcPr>
            <w:tcW w:w="2341" w:type="dxa"/>
            <w:noWrap w:val="0"/>
            <w:vAlign w:val="center"/>
          </w:tcPr>
          <w:p w14:paraId="0202EF9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570</w:t>
            </w:r>
          </w:p>
        </w:tc>
      </w:tr>
      <w:tr w14:paraId="1874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10E5A28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2144" w:type="dxa"/>
            <w:noWrap w:val="0"/>
            <w:vAlign w:val="center"/>
          </w:tcPr>
          <w:p w14:paraId="05601648">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邻二甲苯</w:t>
            </w:r>
          </w:p>
        </w:tc>
        <w:tc>
          <w:tcPr>
            <w:tcW w:w="2339" w:type="dxa"/>
            <w:noWrap w:val="0"/>
            <w:vAlign w:val="center"/>
          </w:tcPr>
          <w:p w14:paraId="0ED0968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640</w:t>
            </w:r>
          </w:p>
        </w:tc>
        <w:tc>
          <w:tcPr>
            <w:tcW w:w="2341" w:type="dxa"/>
            <w:noWrap w:val="0"/>
            <w:vAlign w:val="center"/>
          </w:tcPr>
          <w:p w14:paraId="3B094BE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640</w:t>
            </w:r>
          </w:p>
        </w:tc>
      </w:tr>
      <w:tr w14:paraId="7918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02C0B92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w:t>
            </w:r>
          </w:p>
        </w:tc>
        <w:tc>
          <w:tcPr>
            <w:tcW w:w="2144" w:type="dxa"/>
            <w:noWrap w:val="0"/>
            <w:vAlign w:val="center"/>
          </w:tcPr>
          <w:p w14:paraId="59F11D91">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硝基苯</w:t>
            </w:r>
          </w:p>
        </w:tc>
        <w:tc>
          <w:tcPr>
            <w:tcW w:w="2339" w:type="dxa"/>
            <w:noWrap w:val="0"/>
            <w:vAlign w:val="center"/>
          </w:tcPr>
          <w:p w14:paraId="0B1C5B1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w:t>
            </w:r>
          </w:p>
        </w:tc>
        <w:tc>
          <w:tcPr>
            <w:tcW w:w="2341" w:type="dxa"/>
            <w:noWrap w:val="0"/>
            <w:vAlign w:val="center"/>
          </w:tcPr>
          <w:p w14:paraId="6F550AF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760</w:t>
            </w:r>
          </w:p>
        </w:tc>
      </w:tr>
      <w:tr w14:paraId="0F7D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179C3945">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2144" w:type="dxa"/>
            <w:noWrap w:val="0"/>
            <w:vAlign w:val="center"/>
          </w:tcPr>
          <w:p w14:paraId="0B0A8778">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苯胺</w:t>
            </w:r>
          </w:p>
        </w:tc>
        <w:tc>
          <w:tcPr>
            <w:tcW w:w="2339" w:type="dxa"/>
            <w:noWrap w:val="0"/>
            <w:vAlign w:val="center"/>
          </w:tcPr>
          <w:p w14:paraId="3436EAC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260</w:t>
            </w:r>
          </w:p>
        </w:tc>
        <w:tc>
          <w:tcPr>
            <w:tcW w:w="2341" w:type="dxa"/>
            <w:noWrap w:val="0"/>
            <w:vAlign w:val="center"/>
          </w:tcPr>
          <w:p w14:paraId="2013995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663</w:t>
            </w:r>
          </w:p>
        </w:tc>
      </w:tr>
      <w:tr w14:paraId="32B8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2FD6241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w:t>
            </w:r>
          </w:p>
        </w:tc>
        <w:tc>
          <w:tcPr>
            <w:tcW w:w="2144" w:type="dxa"/>
            <w:noWrap w:val="0"/>
            <w:vAlign w:val="center"/>
          </w:tcPr>
          <w:p w14:paraId="3589782F">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2-氯酚</w:t>
            </w:r>
          </w:p>
        </w:tc>
        <w:tc>
          <w:tcPr>
            <w:tcW w:w="2339" w:type="dxa"/>
            <w:noWrap w:val="0"/>
            <w:vAlign w:val="center"/>
          </w:tcPr>
          <w:p w14:paraId="1CB0829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2256</w:t>
            </w:r>
          </w:p>
        </w:tc>
        <w:tc>
          <w:tcPr>
            <w:tcW w:w="2341" w:type="dxa"/>
            <w:noWrap w:val="0"/>
            <w:vAlign w:val="center"/>
          </w:tcPr>
          <w:p w14:paraId="3924E51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4500</w:t>
            </w:r>
          </w:p>
        </w:tc>
      </w:tr>
      <w:tr w14:paraId="709F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315C2DC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38</w:t>
            </w:r>
          </w:p>
        </w:tc>
        <w:tc>
          <w:tcPr>
            <w:tcW w:w="2144" w:type="dxa"/>
            <w:noWrap w:val="0"/>
            <w:vAlign w:val="center"/>
          </w:tcPr>
          <w:p w14:paraId="50D3C2BB">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苯并[a]蒽</w:t>
            </w:r>
          </w:p>
        </w:tc>
        <w:tc>
          <w:tcPr>
            <w:tcW w:w="2339" w:type="dxa"/>
            <w:noWrap w:val="0"/>
            <w:vAlign w:val="center"/>
          </w:tcPr>
          <w:p w14:paraId="0DF8933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341" w:type="dxa"/>
            <w:noWrap w:val="0"/>
            <w:vAlign w:val="center"/>
          </w:tcPr>
          <w:p w14:paraId="18E9D88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w:t>
            </w:r>
          </w:p>
        </w:tc>
      </w:tr>
      <w:tr w14:paraId="5CB3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7740BDC1">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39</w:t>
            </w:r>
          </w:p>
        </w:tc>
        <w:tc>
          <w:tcPr>
            <w:tcW w:w="2144" w:type="dxa"/>
            <w:noWrap w:val="0"/>
            <w:vAlign w:val="center"/>
          </w:tcPr>
          <w:p w14:paraId="5B4D469C">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苯并[a]芘</w:t>
            </w:r>
          </w:p>
        </w:tc>
        <w:tc>
          <w:tcPr>
            <w:tcW w:w="2339" w:type="dxa"/>
            <w:noWrap w:val="0"/>
            <w:vAlign w:val="center"/>
          </w:tcPr>
          <w:p w14:paraId="5FF64D7E">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341" w:type="dxa"/>
            <w:noWrap w:val="0"/>
            <w:vAlign w:val="center"/>
          </w:tcPr>
          <w:p w14:paraId="70B125F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5681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20D2710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w:t>
            </w:r>
          </w:p>
        </w:tc>
        <w:tc>
          <w:tcPr>
            <w:tcW w:w="2144" w:type="dxa"/>
            <w:noWrap w:val="0"/>
            <w:vAlign w:val="center"/>
          </w:tcPr>
          <w:p w14:paraId="128C66D6">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苯并[b]荧蒽</w:t>
            </w:r>
          </w:p>
        </w:tc>
        <w:tc>
          <w:tcPr>
            <w:tcW w:w="2339" w:type="dxa"/>
            <w:noWrap w:val="0"/>
            <w:vAlign w:val="center"/>
          </w:tcPr>
          <w:p w14:paraId="361047B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341" w:type="dxa"/>
            <w:noWrap w:val="0"/>
            <w:vAlign w:val="center"/>
          </w:tcPr>
          <w:p w14:paraId="5EB4E25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w:t>
            </w:r>
          </w:p>
        </w:tc>
      </w:tr>
      <w:tr w14:paraId="48013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49384F7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41</w:t>
            </w:r>
          </w:p>
        </w:tc>
        <w:tc>
          <w:tcPr>
            <w:tcW w:w="2144" w:type="dxa"/>
            <w:noWrap w:val="0"/>
            <w:vAlign w:val="center"/>
          </w:tcPr>
          <w:p w14:paraId="73131B5F">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苯并[k]荧蒽</w:t>
            </w:r>
          </w:p>
        </w:tc>
        <w:tc>
          <w:tcPr>
            <w:tcW w:w="2339" w:type="dxa"/>
            <w:noWrap w:val="0"/>
            <w:vAlign w:val="center"/>
          </w:tcPr>
          <w:p w14:paraId="4E9D704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w:t>
            </w:r>
          </w:p>
        </w:tc>
        <w:tc>
          <w:tcPr>
            <w:tcW w:w="2341" w:type="dxa"/>
            <w:noWrap w:val="0"/>
            <w:vAlign w:val="center"/>
          </w:tcPr>
          <w:p w14:paraId="2B25F34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1500</w:t>
            </w:r>
          </w:p>
        </w:tc>
      </w:tr>
      <w:tr w14:paraId="2096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686268BA">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c>
          <w:tcPr>
            <w:tcW w:w="2144" w:type="dxa"/>
            <w:noWrap w:val="0"/>
            <w:vAlign w:val="center"/>
          </w:tcPr>
          <w:p w14:paraId="4373B4A9">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䓛</w:t>
            </w:r>
          </w:p>
        </w:tc>
        <w:tc>
          <w:tcPr>
            <w:tcW w:w="2339" w:type="dxa"/>
            <w:noWrap w:val="0"/>
            <w:vAlign w:val="center"/>
          </w:tcPr>
          <w:p w14:paraId="762009C3">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1293</w:t>
            </w:r>
          </w:p>
        </w:tc>
        <w:tc>
          <w:tcPr>
            <w:tcW w:w="2341" w:type="dxa"/>
            <w:noWrap w:val="0"/>
            <w:vAlign w:val="center"/>
          </w:tcPr>
          <w:p w14:paraId="7668068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12900</w:t>
            </w:r>
          </w:p>
        </w:tc>
      </w:tr>
      <w:tr w14:paraId="43A81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654F78F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w:t>
            </w:r>
          </w:p>
        </w:tc>
        <w:tc>
          <w:tcPr>
            <w:tcW w:w="2144" w:type="dxa"/>
            <w:noWrap w:val="0"/>
            <w:vAlign w:val="center"/>
          </w:tcPr>
          <w:p w14:paraId="3FA491D5">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二苯并[a,h]蒽</w:t>
            </w:r>
          </w:p>
        </w:tc>
        <w:tc>
          <w:tcPr>
            <w:tcW w:w="2339" w:type="dxa"/>
            <w:noWrap w:val="0"/>
            <w:vAlign w:val="center"/>
          </w:tcPr>
          <w:p w14:paraId="72D60707">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341" w:type="dxa"/>
            <w:noWrap w:val="0"/>
            <w:vAlign w:val="center"/>
          </w:tcPr>
          <w:p w14:paraId="0DDD6D2D">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r>
      <w:tr w14:paraId="184E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79FBB19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w:t>
            </w:r>
          </w:p>
        </w:tc>
        <w:tc>
          <w:tcPr>
            <w:tcW w:w="2144" w:type="dxa"/>
            <w:noWrap w:val="0"/>
            <w:vAlign w:val="center"/>
          </w:tcPr>
          <w:p w14:paraId="4B2F80E0">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茚并[1,2,3-cd]芘</w:t>
            </w:r>
          </w:p>
        </w:tc>
        <w:tc>
          <w:tcPr>
            <w:tcW w:w="2339" w:type="dxa"/>
            <w:noWrap w:val="0"/>
            <w:vAlign w:val="center"/>
          </w:tcPr>
          <w:p w14:paraId="26B3518B">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2341" w:type="dxa"/>
            <w:noWrap w:val="0"/>
            <w:vAlign w:val="center"/>
          </w:tcPr>
          <w:p w14:paraId="6E0D183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151</w:t>
            </w:r>
          </w:p>
        </w:tc>
      </w:tr>
      <w:tr w14:paraId="769D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306" w:type="dxa"/>
            <w:noWrap w:val="0"/>
            <w:vAlign w:val="center"/>
          </w:tcPr>
          <w:p w14:paraId="69562044">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2144" w:type="dxa"/>
            <w:noWrap w:val="0"/>
            <w:vAlign w:val="center"/>
          </w:tcPr>
          <w:p w14:paraId="22B6CDAD">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萘</w:t>
            </w:r>
          </w:p>
        </w:tc>
        <w:tc>
          <w:tcPr>
            <w:tcW w:w="2339" w:type="dxa"/>
            <w:noWrap w:val="0"/>
            <w:vAlign w:val="center"/>
          </w:tcPr>
          <w:p w14:paraId="45CC471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2341" w:type="dxa"/>
            <w:noWrap w:val="0"/>
            <w:vAlign w:val="center"/>
          </w:tcPr>
          <w:p w14:paraId="25A164CF">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w:t>
            </w:r>
          </w:p>
        </w:tc>
      </w:tr>
    </w:tbl>
    <w:p w14:paraId="0578AF56">
      <w:pPr>
        <w:pStyle w:val="11"/>
        <w:adjustRightInd w:val="0"/>
        <w:snapToGrid w:val="0"/>
        <w:spacing w:beforeLines="5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1.5.2污染物排放标准</w:t>
      </w:r>
      <w:bookmarkEnd w:id="135"/>
      <w:bookmarkEnd w:id="136"/>
      <w:bookmarkEnd w:id="137"/>
      <w:bookmarkEnd w:id="138"/>
      <w:bookmarkEnd w:id="139"/>
      <w:bookmarkEnd w:id="140"/>
    </w:p>
    <w:p w14:paraId="7FB22D00">
      <w:pPr>
        <w:adjustRightInd w:val="0"/>
        <w:snapToGrid w:val="0"/>
        <w:ind w:firstLine="360" w:firstLineChars="150"/>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（1）大气污染物排放标准</w:t>
      </w:r>
    </w:p>
    <w:p w14:paraId="257BA3A7">
      <w:pPr>
        <w:adjustRightInd w:val="0"/>
        <w:snapToGrid w:val="0"/>
        <w:ind w:firstLine="480"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①</w:t>
      </w:r>
      <w:r>
        <w:rPr>
          <w:rFonts w:hint="default" w:ascii="Times New Roman" w:hAnsi="Times New Roman" w:eastAsia="宋体" w:cs="Times New Roman"/>
          <w:b/>
          <w:bCs/>
          <w:color w:val="auto"/>
        </w:rPr>
        <w:t>施工期</w:t>
      </w:r>
    </w:p>
    <w:p w14:paraId="6E8A9A28">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施工期扬尘以无组织方式排放，执行《大气污染物综合排放标准》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GB16297-1996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表2二级标准中无组织监控浓度，即周界外浓度最高点≤1.0mg/m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14:paraId="7FB201BA">
      <w:pPr>
        <w:adjustRightInd w:val="0"/>
        <w:snapToGrid w:val="0"/>
        <w:ind w:firstLine="480"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lang w:eastAsia="zh-CN"/>
        </w:rPr>
        <w:t>②</w:t>
      </w:r>
      <w:r>
        <w:rPr>
          <w:rFonts w:hint="default" w:ascii="Times New Roman" w:hAnsi="Times New Roman" w:eastAsia="宋体" w:cs="Times New Roman"/>
          <w:b/>
          <w:bCs/>
          <w:color w:val="auto"/>
        </w:rPr>
        <w:t>运营期</w:t>
      </w:r>
    </w:p>
    <w:p w14:paraId="297A288B">
      <w:pPr>
        <w:adjustRightInd w:val="0"/>
        <w:snapToGrid w:val="0"/>
        <w:ind w:firstLine="480" w:firstLineChars="200"/>
        <w:rPr>
          <w:rFonts w:hint="default" w:ascii="Times New Roman" w:hAnsi="Times New Roman" w:eastAsia="宋体" w:cs="Times New Roman"/>
          <w:b/>
          <w:color w:val="auto"/>
          <w:sz w:val="24"/>
          <w:szCs w:val="24"/>
        </w:rPr>
      </w:pPr>
      <w:bookmarkStart w:id="141" w:name="_Hlk497727419"/>
      <w:r>
        <w:rPr>
          <w:rFonts w:hint="default" w:ascii="Times New Roman" w:hAnsi="Times New Roman" w:eastAsia="宋体" w:cs="Times New Roman"/>
          <w:color w:val="auto"/>
          <w:szCs w:val="20"/>
        </w:rPr>
        <w:t>颗粒物排放执行</w:t>
      </w:r>
      <w:r>
        <w:rPr>
          <w:rFonts w:hint="default" w:ascii="Times New Roman" w:hAnsi="Times New Roman" w:eastAsia="宋体" w:cs="Times New Roman"/>
          <w:color w:val="auto"/>
        </w:rPr>
        <w:t>《大气污染物综合排放标准》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GB16297-1996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表2二级标准中无组织监控浓度</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具体标准限值见表1.5-</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szCs w:val="20"/>
        </w:rPr>
        <w:t>；</w:t>
      </w:r>
      <w:bookmarkEnd w:id="141"/>
      <w:r>
        <w:rPr>
          <w:rFonts w:hint="default" w:ascii="Times New Roman" w:hAnsi="Times New Roman" w:eastAsia="宋体" w:cs="Times New Roman"/>
          <w:color w:val="auto"/>
        </w:rPr>
        <w:t>项目运营期</w:t>
      </w:r>
      <w:r>
        <w:rPr>
          <w:rFonts w:hint="default" w:ascii="Times New Roman" w:hAnsi="Times New Roman" w:eastAsia="宋体" w:cs="Times New Roman"/>
          <w:color w:val="auto"/>
          <w:lang w:eastAsia="zh-CN"/>
        </w:rPr>
        <w:t>生产过程和</w:t>
      </w:r>
      <w:r>
        <w:rPr>
          <w:rFonts w:hint="default" w:ascii="Times New Roman" w:hAnsi="Times New Roman" w:eastAsia="宋体" w:cs="Times New Roman"/>
          <w:color w:val="auto"/>
        </w:rPr>
        <w:t>污水处理系统等会产生少量异味，排放异味执行《恶臭污染物排放标准》（GB14554-93）中二级标准值要求，具体排放浓度见表1.5-</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p>
    <w:p w14:paraId="0CD46E2F">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b/>
          <w:color w:val="auto"/>
        </w:rPr>
        <w:t>表1.5-</w:t>
      </w:r>
      <w:r>
        <w:rPr>
          <w:rFonts w:hint="default" w:ascii="Times New Roman" w:hAnsi="Times New Roman" w:eastAsia="宋体" w:cs="Times New Roman"/>
          <w:b/>
          <w:color w:val="auto"/>
          <w:lang w:val="en-US" w:eastAsia="zh-CN"/>
        </w:rPr>
        <w:t>5</w:t>
      </w:r>
      <w:r>
        <w:rPr>
          <w:rFonts w:hint="default" w:ascii="Times New Roman" w:hAnsi="Times New Roman" w:eastAsia="宋体" w:cs="Times New Roman"/>
          <w:b/>
          <w:color w:val="auto"/>
        </w:rPr>
        <w:t xml:space="preserve">   本项目大气污染物排放标准限值</w:t>
      </w:r>
    </w:p>
    <w:tbl>
      <w:tblPr>
        <w:tblStyle w:val="66"/>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58"/>
        <w:gridCol w:w="4349"/>
        <w:gridCol w:w="2755"/>
      </w:tblGrid>
      <w:tr w14:paraId="2663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258" w:type="dxa"/>
            <w:vMerge w:val="restart"/>
            <w:noWrap w:val="0"/>
            <w:vAlign w:val="center"/>
          </w:tcPr>
          <w:p w14:paraId="5449783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4349" w:type="dxa"/>
            <w:vMerge w:val="restart"/>
            <w:noWrap w:val="0"/>
            <w:vAlign w:val="center"/>
          </w:tcPr>
          <w:p w14:paraId="2C307E13">
            <w:pPr>
              <w:adjustRightInd w:val="0"/>
              <w:snapToGrid w:val="0"/>
              <w:spacing w:line="240" w:lineRule="auto"/>
              <w:ind w:firstLine="0" w:firstLineChars="0"/>
              <w:jc w:val="center"/>
              <w:rPr>
                <w:rFonts w:hint="default" w:ascii="Times New Roman" w:hAnsi="Times New Roman" w:eastAsia="宋体" w:cs="Times New Roman"/>
                <w:b/>
                <w:color w:val="auto"/>
                <w:sz w:val="21"/>
                <w:szCs w:val="21"/>
                <w:vertAlign w:val="superscript"/>
              </w:rPr>
            </w:pPr>
            <w:r>
              <w:rPr>
                <w:rFonts w:hint="default" w:ascii="Times New Roman" w:hAnsi="Times New Roman" w:eastAsia="宋体" w:cs="Times New Roman"/>
                <w:b/>
                <w:color w:val="auto"/>
                <w:sz w:val="21"/>
                <w:szCs w:val="21"/>
              </w:rPr>
              <w:t>无组织监控浓度限值mg/m</w:t>
            </w:r>
            <w:r>
              <w:rPr>
                <w:rFonts w:hint="default" w:ascii="Times New Roman" w:hAnsi="Times New Roman" w:eastAsia="宋体" w:cs="Times New Roman"/>
                <w:b/>
                <w:color w:val="auto"/>
                <w:sz w:val="21"/>
                <w:szCs w:val="21"/>
                <w:vertAlign w:val="superscript"/>
              </w:rPr>
              <w:t>3</w:t>
            </w:r>
          </w:p>
        </w:tc>
        <w:tc>
          <w:tcPr>
            <w:tcW w:w="2755" w:type="dxa"/>
            <w:vMerge w:val="restart"/>
            <w:noWrap w:val="0"/>
            <w:vAlign w:val="center"/>
          </w:tcPr>
          <w:p w14:paraId="5C72536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14:paraId="1701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8" w:type="dxa"/>
            <w:vMerge w:val="continue"/>
            <w:noWrap w:val="0"/>
            <w:vAlign w:val="center"/>
          </w:tcPr>
          <w:p w14:paraId="27D18045">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4349" w:type="dxa"/>
            <w:vMerge w:val="continue"/>
            <w:noWrap w:val="0"/>
            <w:vAlign w:val="center"/>
          </w:tcPr>
          <w:p w14:paraId="4421CB74">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vertAlign w:val="superscript"/>
              </w:rPr>
            </w:pPr>
          </w:p>
        </w:tc>
        <w:tc>
          <w:tcPr>
            <w:tcW w:w="2755" w:type="dxa"/>
            <w:vMerge w:val="continue"/>
            <w:noWrap w:val="0"/>
            <w:vAlign w:val="center"/>
          </w:tcPr>
          <w:p w14:paraId="1D638DD8">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7758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58" w:type="dxa"/>
            <w:noWrap w:val="0"/>
            <w:vAlign w:val="center"/>
          </w:tcPr>
          <w:p w14:paraId="66802886">
            <w:pPr>
              <w:adjustRightInd w:val="0"/>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颗粒物</w:t>
            </w:r>
          </w:p>
        </w:tc>
        <w:tc>
          <w:tcPr>
            <w:tcW w:w="4349" w:type="dxa"/>
            <w:noWrap w:val="0"/>
            <w:vAlign w:val="center"/>
          </w:tcPr>
          <w:p w14:paraId="6D0A494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2755" w:type="dxa"/>
            <w:noWrap w:val="0"/>
            <w:vAlign w:val="center"/>
          </w:tcPr>
          <w:p w14:paraId="6C38342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GB16297-1996</w:t>
            </w:r>
          </w:p>
        </w:tc>
      </w:tr>
    </w:tbl>
    <w:p w14:paraId="37E92202">
      <w:pPr>
        <w:pStyle w:val="226"/>
        <w:adjustRightInd w:val="0"/>
        <w:snapToGrid w:val="0"/>
        <w:ind w:firstLine="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表1.5-</w:t>
      </w: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 xml:space="preserve">  恶臭污染物</w:t>
      </w:r>
      <w:r>
        <w:rPr>
          <w:rFonts w:hint="default" w:ascii="Times New Roman" w:hAnsi="Times New Roman" w:eastAsia="宋体" w:cs="Times New Roman"/>
          <w:b/>
          <w:color w:val="auto"/>
          <w:sz w:val="24"/>
          <w:szCs w:val="24"/>
          <w:lang w:eastAsia="zh-CN"/>
        </w:rPr>
        <w:t>排放</w:t>
      </w:r>
      <w:r>
        <w:rPr>
          <w:rFonts w:hint="default" w:ascii="Times New Roman" w:hAnsi="Times New Roman" w:eastAsia="宋体" w:cs="Times New Roman"/>
          <w:b/>
          <w:color w:val="auto"/>
          <w:sz w:val="24"/>
          <w:szCs w:val="24"/>
        </w:rPr>
        <w:t>标准值</w:t>
      </w:r>
    </w:p>
    <w:tbl>
      <w:tblPr>
        <w:tblStyle w:val="67"/>
        <w:tblW w:w="8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003"/>
        <w:gridCol w:w="1754"/>
        <w:gridCol w:w="1542"/>
        <w:gridCol w:w="1752"/>
      </w:tblGrid>
      <w:tr w14:paraId="2C4C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dxa"/>
            <w:vMerge w:val="restart"/>
            <w:noWrap w:val="0"/>
            <w:vAlign w:val="center"/>
          </w:tcPr>
          <w:p w14:paraId="7B65BA4F">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bCs/>
                <w:color w:val="auto"/>
                <w:sz w:val="21"/>
                <w:szCs w:val="21"/>
              </w:rPr>
              <w:t>污染物名称</w:t>
            </w:r>
          </w:p>
        </w:tc>
        <w:tc>
          <w:tcPr>
            <w:tcW w:w="2003" w:type="dxa"/>
            <w:noWrap w:val="0"/>
            <w:vAlign w:val="center"/>
          </w:tcPr>
          <w:p w14:paraId="3D83AC03">
            <w:pPr>
              <w:pStyle w:val="126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厂界标准值</w:t>
            </w:r>
          </w:p>
        </w:tc>
        <w:tc>
          <w:tcPr>
            <w:tcW w:w="5048" w:type="dxa"/>
            <w:gridSpan w:val="3"/>
            <w:noWrap w:val="0"/>
            <w:vAlign w:val="center"/>
          </w:tcPr>
          <w:p w14:paraId="7FF0BDBF">
            <w:pPr>
              <w:pStyle w:val="126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排放标准值kg/h</w:t>
            </w:r>
          </w:p>
        </w:tc>
      </w:tr>
      <w:tr w14:paraId="5797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dxa"/>
            <w:vMerge w:val="continue"/>
            <w:noWrap w:val="0"/>
            <w:vAlign w:val="center"/>
          </w:tcPr>
          <w:p w14:paraId="1E18CA1C">
            <w:pPr>
              <w:pStyle w:val="1260"/>
              <w:spacing w:line="240" w:lineRule="auto"/>
              <w:rPr>
                <w:rFonts w:hint="default" w:ascii="Times New Roman" w:hAnsi="Times New Roman" w:eastAsia="宋体" w:cs="Times New Roman"/>
                <w:b w:val="0"/>
                <w:color w:val="auto"/>
                <w:sz w:val="21"/>
                <w:szCs w:val="21"/>
              </w:rPr>
            </w:pPr>
          </w:p>
        </w:tc>
        <w:tc>
          <w:tcPr>
            <w:tcW w:w="2003" w:type="dxa"/>
            <w:noWrap w:val="0"/>
            <w:vAlign w:val="center"/>
          </w:tcPr>
          <w:p w14:paraId="3FE50CC3">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二级，新改扩建</w:t>
            </w:r>
          </w:p>
        </w:tc>
        <w:tc>
          <w:tcPr>
            <w:tcW w:w="1754" w:type="dxa"/>
            <w:noWrap w:val="0"/>
            <w:vAlign w:val="center"/>
          </w:tcPr>
          <w:p w14:paraId="3947CF11">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15m</w:t>
            </w:r>
          </w:p>
        </w:tc>
        <w:tc>
          <w:tcPr>
            <w:tcW w:w="1542" w:type="dxa"/>
            <w:noWrap w:val="0"/>
            <w:vAlign w:val="center"/>
          </w:tcPr>
          <w:p w14:paraId="3E49A5DD">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20m</w:t>
            </w:r>
          </w:p>
        </w:tc>
        <w:tc>
          <w:tcPr>
            <w:tcW w:w="1752" w:type="dxa"/>
            <w:noWrap w:val="0"/>
            <w:vAlign w:val="center"/>
          </w:tcPr>
          <w:p w14:paraId="10E5AC76">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25m</w:t>
            </w:r>
          </w:p>
        </w:tc>
      </w:tr>
      <w:tr w14:paraId="7B19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dxa"/>
            <w:noWrap w:val="0"/>
            <w:vAlign w:val="center"/>
          </w:tcPr>
          <w:p w14:paraId="63FBA53A">
            <w:pPr>
              <w:pStyle w:val="126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w:t>
            </w:r>
          </w:p>
        </w:tc>
        <w:tc>
          <w:tcPr>
            <w:tcW w:w="2003" w:type="dxa"/>
            <w:noWrap w:val="0"/>
            <w:vAlign w:val="center"/>
          </w:tcPr>
          <w:p w14:paraId="7103A8E1">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0.06mg/m</w:t>
            </w:r>
            <w:r>
              <w:rPr>
                <w:rFonts w:hint="default" w:ascii="Times New Roman" w:hAnsi="Times New Roman" w:eastAsia="宋体" w:cs="Times New Roman"/>
                <w:b w:val="0"/>
                <w:color w:val="auto"/>
                <w:sz w:val="21"/>
                <w:szCs w:val="21"/>
                <w:vertAlign w:val="superscript"/>
              </w:rPr>
              <w:t>3</w:t>
            </w:r>
          </w:p>
        </w:tc>
        <w:tc>
          <w:tcPr>
            <w:tcW w:w="1754" w:type="dxa"/>
            <w:noWrap w:val="0"/>
            <w:vAlign w:val="center"/>
          </w:tcPr>
          <w:p w14:paraId="4FDC8F07">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0.33</w:t>
            </w:r>
          </w:p>
        </w:tc>
        <w:tc>
          <w:tcPr>
            <w:tcW w:w="1542" w:type="dxa"/>
            <w:noWrap w:val="0"/>
            <w:vAlign w:val="center"/>
          </w:tcPr>
          <w:p w14:paraId="7DD24622">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0.58</w:t>
            </w:r>
          </w:p>
        </w:tc>
        <w:tc>
          <w:tcPr>
            <w:tcW w:w="1752" w:type="dxa"/>
            <w:noWrap w:val="0"/>
            <w:vAlign w:val="center"/>
          </w:tcPr>
          <w:p w14:paraId="53070F1A">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0.90</w:t>
            </w:r>
          </w:p>
        </w:tc>
      </w:tr>
      <w:tr w14:paraId="2B86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dxa"/>
            <w:noWrap w:val="0"/>
            <w:vAlign w:val="center"/>
          </w:tcPr>
          <w:p w14:paraId="7C58C837">
            <w:pPr>
              <w:pStyle w:val="1260"/>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NH</w:t>
            </w:r>
            <w:r>
              <w:rPr>
                <w:rFonts w:hint="default" w:ascii="Times New Roman" w:hAnsi="Times New Roman" w:eastAsia="宋体" w:cs="Times New Roman"/>
                <w:b/>
                <w:bCs/>
                <w:color w:val="auto"/>
                <w:sz w:val="21"/>
                <w:szCs w:val="21"/>
                <w:vertAlign w:val="subscript"/>
                <w:lang w:val="en-US" w:eastAsia="zh-CN"/>
              </w:rPr>
              <w:t>3</w:t>
            </w:r>
          </w:p>
        </w:tc>
        <w:tc>
          <w:tcPr>
            <w:tcW w:w="2003" w:type="dxa"/>
            <w:noWrap w:val="0"/>
            <w:vAlign w:val="center"/>
          </w:tcPr>
          <w:p w14:paraId="14A704CE">
            <w:pPr>
              <w:pStyle w:val="1260"/>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1.5</w:t>
            </w:r>
            <w:r>
              <w:rPr>
                <w:rFonts w:hint="default" w:ascii="Times New Roman" w:hAnsi="Times New Roman" w:eastAsia="宋体" w:cs="Times New Roman"/>
                <w:b w:val="0"/>
                <w:color w:val="auto"/>
                <w:sz w:val="21"/>
                <w:szCs w:val="21"/>
              </w:rPr>
              <w:t>mg/m</w:t>
            </w:r>
            <w:r>
              <w:rPr>
                <w:rFonts w:hint="default" w:ascii="Times New Roman" w:hAnsi="Times New Roman" w:eastAsia="宋体" w:cs="Times New Roman"/>
                <w:b w:val="0"/>
                <w:color w:val="auto"/>
                <w:sz w:val="21"/>
                <w:szCs w:val="21"/>
                <w:vertAlign w:val="superscript"/>
              </w:rPr>
              <w:t>3</w:t>
            </w:r>
          </w:p>
        </w:tc>
        <w:tc>
          <w:tcPr>
            <w:tcW w:w="1754" w:type="dxa"/>
            <w:noWrap w:val="0"/>
            <w:vAlign w:val="center"/>
          </w:tcPr>
          <w:p w14:paraId="26EE6D8D">
            <w:pPr>
              <w:pStyle w:val="1260"/>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4.9</w:t>
            </w:r>
          </w:p>
        </w:tc>
        <w:tc>
          <w:tcPr>
            <w:tcW w:w="1542" w:type="dxa"/>
            <w:noWrap w:val="0"/>
            <w:vAlign w:val="center"/>
          </w:tcPr>
          <w:p w14:paraId="087FD058">
            <w:pPr>
              <w:pStyle w:val="1260"/>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8.7</w:t>
            </w:r>
          </w:p>
        </w:tc>
        <w:tc>
          <w:tcPr>
            <w:tcW w:w="1752" w:type="dxa"/>
            <w:noWrap w:val="0"/>
            <w:vAlign w:val="center"/>
          </w:tcPr>
          <w:p w14:paraId="0F908ED2">
            <w:pPr>
              <w:pStyle w:val="1260"/>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14</w:t>
            </w:r>
          </w:p>
        </w:tc>
      </w:tr>
      <w:tr w14:paraId="06C5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4" w:type="dxa"/>
            <w:noWrap w:val="0"/>
            <w:vAlign w:val="center"/>
          </w:tcPr>
          <w:p w14:paraId="2EAF166A">
            <w:pPr>
              <w:pStyle w:val="126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臭气浓度</w:t>
            </w:r>
          </w:p>
        </w:tc>
        <w:tc>
          <w:tcPr>
            <w:tcW w:w="2003" w:type="dxa"/>
            <w:noWrap w:val="0"/>
            <w:vAlign w:val="center"/>
          </w:tcPr>
          <w:p w14:paraId="1216FA41">
            <w:pPr>
              <w:pStyle w:val="1260"/>
              <w:spacing w:line="240" w:lineRule="auto"/>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20（无量纲）</w:t>
            </w:r>
          </w:p>
        </w:tc>
        <w:tc>
          <w:tcPr>
            <w:tcW w:w="1754" w:type="dxa"/>
            <w:noWrap w:val="0"/>
            <w:vAlign w:val="center"/>
          </w:tcPr>
          <w:p w14:paraId="48FE757B">
            <w:pPr>
              <w:pStyle w:val="1260"/>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w:t>
            </w:r>
          </w:p>
        </w:tc>
        <w:tc>
          <w:tcPr>
            <w:tcW w:w="1542" w:type="dxa"/>
            <w:noWrap w:val="0"/>
            <w:vAlign w:val="center"/>
          </w:tcPr>
          <w:p w14:paraId="5E079D4B">
            <w:pPr>
              <w:pStyle w:val="1260"/>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w:t>
            </w:r>
          </w:p>
        </w:tc>
        <w:tc>
          <w:tcPr>
            <w:tcW w:w="1752" w:type="dxa"/>
            <w:noWrap w:val="0"/>
            <w:vAlign w:val="center"/>
          </w:tcPr>
          <w:p w14:paraId="26B8CAE5">
            <w:pPr>
              <w:pStyle w:val="1260"/>
              <w:spacing w:line="240" w:lineRule="auto"/>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val="0"/>
                <w:color w:val="auto"/>
                <w:sz w:val="21"/>
                <w:szCs w:val="21"/>
                <w:lang w:val="en-US" w:eastAsia="zh-CN"/>
              </w:rPr>
              <w:t>--</w:t>
            </w:r>
          </w:p>
        </w:tc>
      </w:tr>
    </w:tbl>
    <w:p w14:paraId="1EF7A99B">
      <w:pPr>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rPr>
        <w:t>运营期餐饮执行《饮食业油烟排放标准》（GB18483-2001），餐饮业单位的油烟最高允许排放浓度和油烟净化设施最低去除效率见表</w:t>
      </w:r>
      <w:r>
        <w:rPr>
          <w:rFonts w:hint="eastAsia" w:ascii="Times New Roman" w:hAnsi="Times New Roman" w:cs="Times New Roman"/>
          <w:color w:val="auto"/>
          <w:sz w:val="24"/>
          <w:lang w:val="en-US" w:eastAsia="zh-CN"/>
        </w:rPr>
        <w:t>1.5-7</w:t>
      </w:r>
      <w:r>
        <w:rPr>
          <w:rFonts w:hint="default" w:ascii="Times New Roman" w:hAnsi="Times New Roman" w:eastAsia="宋体" w:cs="Times New Roman"/>
          <w:color w:val="auto"/>
          <w:sz w:val="24"/>
        </w:rPr>
        <w:t>。</w:t>
      </w:r>
    </w:p>
    <w:p w14:paraId="22FB383D">
      <w:pPr>
        <w:pStyle w:val="226"/>
        <w:adjustRightInd w:val="0"/>
        <w:snapToGrid w:val="0"/>
        <w:ind w:firstLine="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1.5-</w:t>
      </w:r>
      <w:r>
        <w:rPr>
          <w:rFonts w:hint="eastAsia" w:ascii="Times New Roman" w:hAnsi="Times New Roman" w:cs="Times New Roman"/>
          <w:b/>
          <w:color w:val="auto"/>
          <w:sz w:val="24"/>
          <w:szCs w:val="24"/>
          <w:lang w:val="en-US" w:eastAsia="zh-CN"/>
        </w:rPr>
        <w:t>7</w:t>
      </w:r>
      <w:r>
        <w:rPr>
          <w:rFonts w:hint="default" w:ascii="Times New Roman" w:hAnsi="Times New Roman" w:eastAsia="宋体" w:cs="Times New Roman"/>
          <w:b/>
          <w:color w:val="auto"/>
          <w:sz w:val="24"/>
          <w:szCs w:val="24"/>
        </w:rPr>
        <w:t xml:space="preserve"> 餐饮业单位的油烟最高允许排放浓度和油烟净化设施最低去除效率</w:t>
      </w:r>
    </w:p>
    <w:tbl>
      <w:tblPr>
        <w:tblStyle w:val="66"/>
        <w:tblW w:w="838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046"/>
        <w:gridCol w:w="1556"/>
        <w:gridCol w:w="1"/>
        <w:gridCol w:w="1684"/>
        <w:gridCol w:w="2093"/>
      </w:tblGrid>
      <w:tr w14:paraId="35D500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46" w:type="dxa"/>
            <w:noWrap w:val="0"/>
            <w:vAlign w:val="top"/>
          </w:tcPr>
          <w:p w14:paraId="4F1ED60B">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c>
          <w:tcPr>
            <w:tcW w:w="1556" w:type="dxa"/>
            <w:noWrap w:val="0"/>
            <w:vAlign w:val="top"/>
          </w:tcPr>
          <w:p w14:paraId="60390F6C">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小型</w:t>
            </w:r>
          </w:p>
        </w:tc>
        <w:tc>
          <w:tcPr>
            <w:tcW w:w="1685" w:type="dxa"/>
            <w:gridSpan w:val="2"/>
            <w:noWrap w:val="0"/>
            <w:vAlign w:val="top"/>
          </w:tcPr>
          <w:p w14:paraId="144A7113">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中型</w:t>
            </w:r>
          </w:p>
        </w:tc>
        <w:tc>
          <w:tcPr>
            <w:tcW w:w="2093" w:type="dxa"/>
            <w:noWrap w:val="0"/>
            <w:vAlign w:val="top"/>
          </w:tcPr>
          <w:p w14:paraId="1241D831">
            <w:pPr>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大型</w:t>
            </w:r>
          </w:p>
        </w:tc>
      </w:tr>
      <w:tr w14:paraId="1107A9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3046" w:type="dxa"/>
            <w:noWrap w:val="0"/>
            <w:vAlign w:val="top"/>
          </w:tcPr>
          <w:p w14:paraId="6B98F9B6">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最高允许排放浓度（mg/m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334" w:type="dxa"/>
            <w:gridSpan w:val="4"/>
            <w:noWrap w:val="0"/>
            <w:vAlign w:val="top"/>
          </w:tcPr>
          <w:p w14:paraId="683372C6">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r>
      <w:tr w14:paraId="7FD40D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046" w:type="dxa"/>
            <w:noWrap w:val="0"/>
            <w:vAlign w:val="top"/>
          </w:tcPr>
          <w:p w14:paraId="5E31BE25">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净化设施最低去除效率（%）</w:t>
            </w:r>
          </w:p>
        </w:tc>
        <w:tc>
          <w:tcPr>
            <w:tcW w:w="1557" w:type="dxa"/>
            <w:gridSpan w:val="2"/>
            <w:noWrap w:val="0"/>
            <w:vAlign w:val="top"/>
          </w:tcPr>
          <w:p w14:paraId="4B7CA7DD">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684" w:type="dxa"/>
            <w:noWrap w:val="0"/>
            <w:vAlign w:val="top"/>
          </w:tcPr>
          <w:p w14:paraId="2ED6C828">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2093" w:type="dxa"/>
            <w:noWrap w:val="0"/>
            <w:vAlign w:val="top"/>
          </w:tcPr>
          <w:p w14:paraId="14115B21">
            <w:pPr>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r>
    </w:tbl>
    <w:p w14:paraId="3CF1ED76">
      <w:pPr>
        <w:ind w:firstLine="480" w:firstLineChars="200"/>
        <w:rPr>
          <w:rFonts w:hint="default" w:ascii="Times New Roman" w:hAnsi="Times New Roman" w:eastAsia="宋体" w:cs="Times New Roman"/>
          <w:color w:val="auto"/>
          <w:lang w:eastAsia="zh-CN"/>
        </w:rPr>
      </w:pPr>
    </w:p>
    <w:p w14:paraId="1556D5A1">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项目产生的</w:t>
      </w:r>
      <w:r>
        <w:rPr>
          <w:rFonts w:hint="default" w:ascii="Times New Roman" w:hAnsi="Times New Roman" w:eastAsia="宋体" w:cs="Times New Roman"/>
          <w:color w:val="auto"/>
        </w:rPr>
        <w:t>厨房油烟废气参照执行《饮食业油烟排放标准》（GB18483-2001），本项目厨房灶头数为</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个，</w:t>
      </w:r>
      <w:r>
        <w:rPr>
          <w:rFonts w:hint="default" w:ascii="Times New Roman" w:hAnsi="Times New Roman" w:eastAsia="宋体" w:cs="Times New Roman"/>
          <w:color w:val="auto"/>
          <w:lang w:eastAsia="zh-CN"/>
        </w:rPr>
        <w:t>规模为中型，</w:t>
      </w:r>
      <w:r>
        <w:rPr>
          <w:rFonts w:hint="default" w:ascii="Times New Roman" w:hAnsi="Times New Roman" w:eastAsia="宋体" w:cs="Times New Roman"/>
          <w:color w:val="auto"/>
        </w:rPr>
        <w:t>厨房油烟最高允许排放浓度≤2.0mg/m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，油烟净化设施最低去除效率为</w:t>
      </w:r>
      <w:r>
        <w:rPr>
          <w:rFonts w:hint="default" w:ascii="Times New Roman" w:hAnsi="Times New Roman" w:eastAsia="宋体" w:cs="Times New Roman"/>
          <w:color w:val="auto"/>
          <w:lang w:val="en-US" w:eastAsia="zh-CN"/>
        </w:rPr>
        <w:t>75</w:t>
      </w:r>
      <w:r>
        <w:rPr>
          <w:rFonts w:hint="default" w:ascii="Times New Roman" w:hAnsi="Times New Roman" w:eastAsia="宋体" w:cs="Times New Roman"/>
          <w:color w:val="auto"/>
        </w:rPr>
        <w:t>%。</w:t>
      </w:r>
    </w:p>
    <w:p w14:paraId="2559134B">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（2）水污染物排放标准</w:t>
      </w:r>
    </w:p>
    <w:p w14:paraId="578B678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运营期企业产生的生产废水</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lang w:eastAsia="zh-CN"/>
        </w:rPr>
        <w:t>，生活污水经隔油池化粪池处理后排入园区污水管网</w:t>
      </w:r>
      <w:r>
        <w:rPr>
          <w:rFonts w:hint="default" w:ascii="Times New Roman" w:hAnsi="Times New Roman" w:eastAsia="宋体" w:cs="Times New Roman"/>
          <w:color w:val="auto"/>
          <w:sz w:val="24"/>
        </w:rPr>
        <w:t>，外排废水执行</w:t>
      </w:r>
      <w:r>
        <w:rPr>
          <w:rFonts w:hint="default" w:ascii="Times New Roman" w:hAnsi="Times New Roman" w:eastAsia="宋体" w:cs="Times New Roman"/>
          <w:color w:val="auto"/>
          <w:kern w:val="10"/>
          <w:sz w:val="24"/>
        </w:rPr>
        <w:t>《污水综合排放标准》（GB8978-1996）中三级标准和《污水排入城镇下水道水质标准》（GB/T31962-2015）表1中B级标准。</w:t>
      </w:r>
      <w:r>
        <w:rPr>
          <w:rFonts w:hint="default" w:ascii="Times New Roman" w:hAnsi="Times New Roman" w:eastAsia="宋体" w:cs="Times New Roman"/>
          <w:color w:val="auto"/>
          <w:sz w:val="24"/>
        </w:rPr>
        <w:t>具体标准限值详见表</w:t>
      </w:r>
      <w:r>
        <w:rPr>
          <w:rFonts w:hint="default" w:ascii="Times New Roman" w:hAnsi="Times New Roman" w:eastAsia="宋体" w:cs="Times New Roman"/>
          <w:color w:val="auto"/>
          <w:sz w:val="24"/>
          <w:lang w:val="en-US" w:eastAsia="zh-CN"/>
        </w:rPr>
        <w:t>1.5-</w:t>
      </w:r>
      <w:r>
        <w:rPr>
          <w:rFonts w:hint="eastAsia" w:ascii="Times New Roman" w:hAnsi="Times New Roman" w:cs="Times New Roman"/>
          <w:color w:val="auto"/>
          <w:sz w:val="24"/>
          <w:lang w:val="en-US" w:eastAsia="zh-CN"/>
        </w:rPr>
        <w:t>8</w:t>
      </w:r>
      <w:r>
        <w:rPr>
          <w:rFonts w:hint="default" w:ascii="Times New Roman" w:hAnsi="Times New Roman" w:eastAsia="宋体" w:cs="Times New Roman"/>
          <w:color w:val="auto"/>
          <w:sz w:val="24"/>
        </w:rPr>
        <w:t>。</w:t>
      </w:r>
    </w:p>
    <w:p w14:paraId="3215EF5D">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1.5-</w:t>
      </w:r>
      <w:r>
        <w:rPr>
          <w:rFonts w:hint="eastAsia" w:ascii="Times New Roman" w:hAnsi="Times New Roman" w:cs="Times New Roman"/>
          <w:b/>
          <w:color w:val="auto"/>
          <w:lang w:val="en-US" w:eastAsia="zh-CN"/>
        </w:rPr>
        <w:t>8</w:t>
      </w:r>
      <w:r>
        <w:rPr>
          <w:rFonts w:hint="default" w:ascii="Times New Roman" w:hAnsi="Times New Roman" w:eastAsia="宋体" w:cs="Times New Roman"/>
          <w:b/>
          <w:color w:val="auto"/>
        </w:rPr>
        <w:t xml:space="preserve"> 项目水污染物排放标准限值     单位：mg/L（pH除外）</w:t>
      </w:r>
    </w:p>
    <w:tbl>
      <w:tblPr>
        <w:tblStyle w:val="66"/>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070"/>
        <w:gridCol w:w="448"/>
        <w:gridCol w:w="617"/>
        <w:gridCol w:w="558"/>
        <w:gridCol w:w="685"/>
        <w:gridCol w:w="893"/>
        <w:gridCol w:w="885"/>
        <w:gridCol w:w="876"/>
        <w:gridCol w:w="863"/>
      </w:tblGrid>
      <w:tr w14:paraId="7477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41" w:hRule="atLeast"/>
          <w:jc w:val="center"/>
        </w:trPr>
        <w:tc>
          <w:tcPr>
            <w:tcW w:w="1628" w:type="dxa"/>
            <w:noWrap w:val="0"/>
            <w:vAlign w:val="center"/>
          </w:tcPr>
          <w:p w14:paraId="4E83A42E">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指标</w:t>
            </w:r>
          </w:p>
        </w:tc>
        <w:tc>
          <w:tcPr>
            <w:tcW w:w="1070" w:type="dxa"/>
            <w:noWrap w:val="0"/>
            <w:vAlign w:val="center"/>
          </w:tcPr>
          <w:p w14:paraId="46C40F3C">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pH</w:t>
            </w:r>
          </w:p>
        </w:tc>
        <w:tc>
          <w:tcPr>
            <w:tcW w:w="448" w:type="dxa"/>
            <w:noWrap w:val="0"/>
            <w:vAlign w:val="center"/>
          </w:tcPr>
          <w:p w14:paraId="7140D3AF">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SS</w:t>
            </w:r>
          </w:p>
        </w:tc>
        <w:tc>
          <w:tcPr>
            <w:tcW w:w="617" w:type="dxa"/>
            <w:noWrap w:val="0"/>
            <w:vAlign w:val="center"/>
          </w:tcPr>
          <w:p w14:paraId="2A0CE2C1">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BOD</w:t>
            </w:r>
            <w:r>
              <w:rPr>
                <w:rFonts w:hint="default" w:ascii="Times New Roman" w:hAnsi="Times New Roman" w:eastAsia="宋体" w:cs="Times New Roman"/>
                <w:b/>
                <w:bCs w:val="0"/>
                <w:color w:val="auto"/>
                <w:sz w:val="21"/>
                <w:szCs w:val="21"/>
                <w:vertAlign w:val="subscript"/>
              </w:rPr>
              <w:t>5</w:t>
            </w:r>
          </w:p>
        </w:tc>
        <w:tc>
          <w:tcPr>
            <w:tcW w:w="558" w:type="dxa"/>
            <w:noWrap w:val="0"/>
            <w:vAlign w:val="center"/>
          </w:tcPr>
          <w:p w14:paraId="05E5A0FC">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COD</w:t>
            </w:r>
          </w:p>
        </w:tc>
        <w:tc>
          <w:tcPr>
            <w:tcW w:w="685" w:type="dxa"/>
            <w:noWrap w:val="0"/>
            <w:vAlign w:val="center"/>
          </w:tcPr>
          <w:p w14:paraId="5B7D99C5">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NH</w:t>
            </w:r>
            <w:r>
              <w:rPr>
                <w:rFonts w:hint="default" w:ascii="Times New Roman" w:hAnsi="Times New Roman" w:eastAsia="宋体" w:cs="Times New Roman"/>
                <w:b/>
                <w:bCs w:val="0"/>
                <w:color w:val="auto"/>
                <w:sz w:val="21"/>
                <w:szCs w:val="21"/>
                <w:vertAlign w:val="subscript"/>
              </w:rPr>
              <w:t>3</w:t>
            </w:r>
            <w:r>
              <w:rPr>
                <w:rFonts w:hint="default" w:ascii="Times New Roman" w:hAnsi="Times New Roman" w:eastAsia="宋体" w:cs="Times New Roman"/>
                <w:b/>
                <w:bCs w:val="0"/>
                <w:color w:val="auto"/>
                <w:sz w:val="21"/>
                <w:szCs w:val="21"/>
              </w:rPr>
              <w:t>-N</w:t>
            </w:r>
          </w:p>
        </w:tc>
        <w:tc>
          <w:tcPr>
            <w:tcW w:w="893" w:type="dxa"/>
            <w:noWrap w:val="0"/>
            <w:vAlign w:val="center"/>
          </w:tcPr>
          <w:p w14:paraId="55B0FB0C">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动植物油</w:t>
            </w:r>
          </w:p>
        </w:tc>
        <w:tc>
          <w:tcPr>
            <w:tcW w:w="885" w:type="dxa"/>
            <w:noWrap w:val="0"/>
            <w:vAlign w:val="center"/>
          </w:tcPr>
          <w:p w14:paraId="4389CD67">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lang w:eastAsia="zh-CN"/>
              </w:rPr>
              <w:t>石油类</w:t>
            </w:r>
          </w:p>
        </w:tc>
        <w:tc>
          <w:tcPr>
            <w:tcW w:w="876" w:type="dxa"/>
            <w:noWrap w:val="0"/>
            <w:vAlign w:val="center"/>
          </w:tcPr>
          <w:p w14:paraId="35E68CCB">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LAS（倍）</w:t>
            </w:r>
          </w:p>
        </w:tc>
        <w:tc>
          <w:tcPr>
            <w:tcW w:w="863" w:type="dxa"/>
            <w:noWrap w:val="0"/>
            <w:vAlign w:val="center"/>
          </w:tcPr>
          <w:p w14:paraId="62CE9C9E">
            <w:pPr>
              <w:adjustRightInd w:val="0"/>
              <w:snapToGrid w:val="0"/>
              <w:spacing w:line="240" w:lineRule="auto"/>
              <w:ind w:firstLine="0" w:firstLineChars="0"/>
              <w:jc w:val="center"/>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色度</w:t>
            </w:r>
          </w:p>
        </w:tc>
      </w:tr>
      <w:tr w14:paraId="2169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8" w:type="dxa"/>
            <w:noWrap w:val="0"/>
            <w:vAlign w:val="center"/>
          </w:tcPr>
          <w:p w14:paraId="6DEB9DD8">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GB8978-1996</w:t>
            </w:r>
          </w:p>
          <w:p w14:paraId="35833599">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排水指标</w:t>
            </w:r>
          </w:p>
        </w:tc>
        <w:tc>
          <w:tcPr>
            <w:tcW w:w="1070" w:type="dxa"/>
            <w:noWrap w:val="0"/>
            <w:vAlign w:val="center"/>
          </w:tcPr>
          <w:p w14:paraId="69DCF350">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6～9</w:t>
            </w:r>
          </w:p>
          <w:p w14:paraId="33CC16D6">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（无量纲）</w:t>
            </w:r>
          </w:p>
        </w:tc>
        <w:tc>
          <w:tcPr>
            <w:tcW w:w="448" w:type="dxa"/>
            <w:noWrap w:val="0"/>
            <w:vAlign w:val="center"/>
          </w:tcPr>
          <w:p w14:paraId="79E29500">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400</w:t>
            </w:r>
          </w:p>
        </w:tc>
        <w:tc>
          <w:tcPr>
            <w:tcW w:w="617" w:type="dxa"/>
            <w:noWrap w:val="0"/>
            <w:vAlign w:val="center"/>
          </w:tcPr>
          <w:p w14:paraId="5BD76486">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300</w:t>
            </w:r>
          </w:p>
        </w:tc>
        <w:tc>
          <w:tcPr>
            <w:tcW w:w="558" w:type="dxa"/>
            <w:noWrap w:val="0"/>
            <w:vAlign w:val="center"/>
          </w:tcPr>
          <w:p w14:paraId="30AFA89C">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500</w:t>
            </w:r>
          </w:p>
        </w:tc>
        <w:tc>
          <w:tcPr>
            <w:tcW w:w="685" w:type="dxa"/>
            <w:noWrap w:val="0"/>
            <w:vAlign w:val="center"/>
          </w:tcPr>
          <w:p w14:paraId="1EE71BC2">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893" w:type="dxa"/>
            <w:noWrap w:val="0"/>
            <w:vAlign w:val="center"/>
          </w:tcPr>
          <w:p w14:paraId="451DD5D9">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100</w:t>
            </w:r>
          </w:p>
        </w:tc>
        <w:tc>
          <w:tcPr>
            <w:tcW w:w="885" w:type="dxa"/>
            <w:noWrap w:val="0"/>
            <w:vAlign w:val="center"/>
          </w:tcPr>
          <w:p w14:paraId="07AD8567">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20</w:t>
            </w:r>
          </w:p>
        </w:tc>
        <w:tc>
          <w:tcPr>
            <w:tcW w:w="876" w:type="dxa"/>
            <w:noWrap w:val="0"/>
            <w:vAlign w:val="center"/>
          </w:tcPr>
          <w:p w14:paraId="7141EE95">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w:t>
            </w:r>
          </w:p>
        </w:tc>
        <w:tc>
          <w:tcPr>
            <w:tcW w:w="863" w:type="dxa"/>
            <w:noWrap w:val="0"/>
            <w:vAlign w:val="center"/>
          </w:tcPr>
          <w:p w14:paraId="3F25B21F">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20</w:t>
            </w:r>
          </w:p>
        </w:tc>
      </w:tr>
      <w:tr w14:paraId="4205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28" w:type="dxa"/>
            <w:noWrap w:val="0"/>
            <w:vAlign w:val="center"/>
          </w:tcPr>
          <w:p w14:paraId="046E6E0D">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GB/T31962-2015</w:t>
            </w:r>
          </w:p>
          <w:p w14:paraId="7831004C">
            <w:pPr>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B级标准</w:t>
            </w:r>
          </w:p>
        </w:tc>
        <w:tc>
          <w:tcPr>
            <w:tcW w:w="1070" w:type="dxa"/>
            <w:noWrap w:val="0"/>
            <w:vAlign w:val="center"/>
          </w:tcPr>
          <w:p w14:paraId="6F39B44F">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448" w:type="dxa"/>
            <w:noWrap w:val="0"/>
            <w:vAlign w:val="center"/>
          </w:tcPr>
          <w:p w14:paraId="388BECE4">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617" w:type="dxa"/>
            <w:noWrap w:val="0"/>
            <w:vAlign w:val="center"/>
          </w:tcPr>
          <w:p w14:paraId="57EA5C8C">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558" w:type="dxa"/>
            <w:noWrap w:val="0"/>
            <w:vAlign w:val="center"/>
          </w:tcPr>
          <w:p w14:paraId="488E2CFE">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685" w:type="dxa"/>
            <w:noWrap w:val="0"/>
            <w:vAlign w:val="center"/>
          </w:tcPr>
          <w:p w14:paraId="4B2F894A">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45</w:t>
            </w:r>
          </w:p>
        </w:tc>
        <w:tc>
          <w:tcPr>
            <w:tcW w:w="893" w:type="dxa"/>
            <w:noWrap w:val="0"/>
            <w:vAlign w:val="center"/>
          </w:tcPr>
          <w:p w14:paraId="75BF4AEB">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c>
          <w:tcPr>
            <w:tcW w:w="885" w:type="dxa"/>
            <w:noWrap w:val="0"/>
            <w:vAlign w:val="center"/>
          </w:tcPr>
          <w:p w14:paraId="3F712657">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w:t>
            </w:r>
          </w:p>
        </w:tc>
        <w:tc>
          <w:tcPr>
            <w:tcW w:w="876" w:type="dxa"/>
            <w:noWrap w:val="0"/>
            <w:vAlign w:val="center"/>
          </w:tcPr>
          <w:p w14:paraId="6CE51690">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64</w:t>
            </w:r>
          </w:p>
        </w:tc>
        <w:tc>
          <w:tcPr>
            <w:tcW w:w="863" w:type="dxa"/>
            <w:noWrap w:val="0"/>
            <w:vAlign w:val="center"/>
          </w:tcPr>
          <w:p w14:paraId="23C8C4BB">
            <w:pPr>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w:t>
            </w:r>
          </w:p>
        </w:tc>
      </w:tr>
    </w:tbl>
    <w:p w14:paraId="5F49F3D9">
      <w:pPr>
        <w:adjustRightInd w:val="0"/>
        <w:snapToGrid w:val="0"/>
        <w:ind w:firstLine="240" w:firstLineChars="100"/>
        <w:rPr>
          <w:rFonts w:hint="default" w:ascii="Times New Roman" w:hAnsi="Times New Roman" w:eastAsia="宋体" w:cs="Times New Roman"/>
          <w:b/>
          <w:color w:val="auto"/>
        </w:rPr>
      </w:pPr>
      <w:r>
        <w:rPr>
          <w:rFonts w:hint="default" w:ascii="Times New Roman" w:hAnsi="Times New Roman" w:eastAsia="宋体" w:cs="Times New Roman"/>
          <w:b/>
          <w:color w:val="auto"/>
        </w:rPr>
        <w:t>（3）噪声排放标准</w:t>
      </w:r>
    </w:p>
    <w:p w14:paraId="45998321">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①项目施工期噪声执行《建筑施工场界环境噪声排放标准》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GB12523-2011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，即昼间≤70dB(A)，夜间≤55dB(A)。</w:t>
      </w:r>
    </w:p>
    <w:p w14:paraId="10A722E5">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w:t>
      </w:r>
      <w:r>
        <w:rPr>
          <w:rFonts w:hint="default" w:ascii="Times New Roman" w:hAnsi="Times New Roman" w:eastAsia="宋体" w:cs="Times New Roman"/>
          <w:color w:val="auto"/>
          <w:lang w:eastAsia="zh-CN"/>
        </w:rPr>
        <w:t>项目位于芒市帕底工业园区，故项目</w:t>
      </w:r>
      <w:r>
        <w:rPr>
          <w:rFonts w:hint="default" w:ascii="Times New Roman" w:hAnsi="Times New Roman" w:eastAsia="宋体" w:cs="Times New Roman"/>
          <w:color w:val="auto"/>
        </w:rPr>
        <w:t>运营期厂界噪声执行《工业企业厂界环境噪声排放标准》（GB12348-2008）3类区标准，即昼间≤65dB(A)，夜间≤55dB(A)。</w:t>
      </w:r>
      <w:bookmarkStart w:id="142" w:name="_Toc370802045"/>
    </w:p>
    <w:p w14:paraId="30A6EED9">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（4）固废标准</w:t>
      </w:r>
    </w:p>
    <w:p w14:paraId="604DD376">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一般工业固体废弃物执行《一般工业固体废物贮存、处置场污染控制标准》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GB18599-2001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及其修改单的相关规定；危险废物执行《危险废物贮存污染物控制标准》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GB18597-2001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及其修改单的相关规定。</w:t>
      </w:r>
    </w:p>
    <w:bookmarkEnd w:id="142"/>
    <w:p w14:paraId="0B55BD7B">
      <w:pPr>
        <w:adjustRightInd w:val="0"/>
        <w:snapToGrid w:val="0"/>
        <w:spacing w:beforeLines="50"/>
        <w:outlineLvl w:val="1"/>
        <w:rPr>
          <w:rFonts w:hint="default" w:ascii="Times New Roman" w:hAnsi="Times New Roman" w:eastAsia="宋体" w:cs="Times New Roman"/>
          <w:b/>
          <w:color w:val="auto"/>
          <w:sz w:val="32"/>
          <w:szCs w:val="32"/>
        </w:rPr>
      </w:pPr>
      <w:bookmarkStart w:id="143" w:name="_Toc25928"/>
      <w:bookmarkStart w:id="144" w:name="_Toc18081"/>
      <w:bookmarkStart w:id="145" w:name="_Toc299348875"/>
      <w:bookmarkStart w:id="146" w:name="_Toc143085321"/>
      <w:bookmarkStart w:id="147" w:name="_Toc273460586"/>
      <w:bookmarkStart w:id="148" w:name="_Toc307819480"/>
      <w:r>
        <w:rPr>
          <w:rFonts w:hint="default" w:ascii="Times New Roman" w:hAnsi="Times New Roman" w:eastAsia="宋体" w:cs="Times New Roman"/>
          <w:b/>
          <w:color w:val="auto"/>
          <w:sz w:val="32"/>
          <w:szCs w:val="32"/>
        </w:rPr>
        <w:t>1.6评价等级及评价范围</w:t>
      </w:r>
      <w:bookmarkEnd w:id="143"/>
      <w:bookmarkEnd w:id="144"/>
    </w:p>
    <w:p w14:paraId="51C3AF59">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149" w:name="_Toc307819475"/>
      <w:bookmarkStart w:id="150" w:name="_Toc297286334"/>
      <w:bookmarkStart w:id="151" w:name="_Toc143085314"/>
      <w:bookmarkStart w:id="152" w:name="_Toc269196235"/>
      <w:bookmarkStart w:id="153" w:name="_Toc6717"/>
      <w:bookmarkStart w:id="154" w:name="_Toc286596850"/>
      <w:bookmarkStart w:id="155" w:name="_Toc291195998"/>
      <w:bookmarkStart w:id="156" w:name="_Toc299348870"/>
      <w:bookmarkStart w:id="157" w:name="_Toc295681851"/>
      <w:bookmarkStart w:id="158" w:name="_Toc268077614"/>
      <w:bookmarkStart w:id="159" w:name="_Toc268077615"/>
      <w:bookmarkStart w:id="160" w:name="_Toc286596854"/>
      <w:bookmarkStart w:id="161" w:name="_Toc291195999"/>
      <w:bookmarkStart w:id="162" w:name="_Toc269196236"/>
      <w:r>
        <w:rPr>
          <w:rFonts w:hint="default" w:ascii="Times New Roman" w:hAnsi="Times New Roman" w:eastAsia="宋体" w:cs="Times New Roman"/>
          <w:color w:val="auto"/>
          <w:sz w:val="28"/>
          <w:szCs w:val="28"/>
        </w:rPr>
        <w:t>1.6.1评价等级</w:t>
      </w:r>
      <w:bookmarkEnd w:id="149"/>
      <w:bookmarkEnd w:id="150"/>
      <w:bookmarkEnd w:id="151"/>
      <w:bookmarkEnd w:id="152"/>
      <w:bookmarkEnd w:id="153"/>
      <w:bookmarkEnd w:id="154"/>
      <w:bookmarkEnd w:id="155"/>
      <w:bookmarkEnd w:id="156"/>
      <w:bookmarkEnd w:id="157"/>
      <w:bookmarkEnd w:id="158"/>
    </w:p>
    <w:p w14:paraId="35D117CD">
      <w:pPr>
        <w:ind w:firstLine="480" w:firstLineChars="200"/>
        <w:rPr>
          <w:rFonts w:hint="default" w:ascii="Times New Roman" w:hAnsi="Times New Roman" w:eastAsia="宋体" w:cs="Times New Roman"/>
          <w:color w:val="auto"/>
          <w:lang w:val="en-US" w:eastAsia="zh-CN"/>
        </w:rPr>
      </w:pPr>
      <w:bookmarkStart w:id="163" w:name="_Toc286596852"/>
      <w:bookmarkStart w:id="164" w:name="_Toc289866106"/>
      <w:r>
        <w:rPr>
          <w:rFonts w:hint="default" w:ascii="Times New Roman" w:hAnsi="Times New Roman" w:eastAsia="宋体" w:cs="Times New Roman"/>
          <w:color w:val="auto"/>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r>
        <w:rPr>
          <w:rFonts w:hint="default" w:ascii="Times New Roman" w:hAnsi="Times New Roman" w:eastAsia="宋体" w:cs="Times New Roman"/>
          <w:color w:val="auto"/>
          <w:lang w:val="en-US" w:eastAsia="zh-CN"/>
        </w:rPr>
        <w:t xml:space="preserve"> </w:t>
      </w:r>
    </w:p>
    <w:p w14:paraId="1AA19E37">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①P</w:t>
      </w:r>
      <w:r>
        <w:rPr>
          <w:rFonts w:hint="default" w:ascii="Times New Roman" w:hAnsi="Times New Roman" w:eastAsia="宋体" w:cs="Times New Roman"/>
          <w:color w:val="auto"/>
          <w:vertAlign w:val="subscript"/>
        </w:rPr>
        <w:t>max</w:t>
      </w:r>
      <w:r>
        <w:rPr>
          <w:rFonts w:hint="default" w:ascii="Times New Roman" w:hAnsi="Times New Roman" w:eastAsia="宋体" w:cs="Times New Roman"/>
          <w:color w:val="auto"/>
        </w:rPr>
        <w:t>及D</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的确定</w:t>
      </w:r>
    </w:p>
    <w:p w14:paraId="716560C1">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依据《环境影响评价技术导则 大气环境》(HJ2.2-2018)中最大地面浓度占标率P</w:t>
      </w:r>
      <w:r>
        <w:rPr>
          <w:rFonts w:hint="default" w:ascii="Times New Roman" w:hAnsi="Times New Roman" w:eastAsia="宋体" w:cs="Times New Roman"/>
          <w:i/>
          <w:color w:val="auto"/>
        </w:rPr>
        <w:t>i</w:t>
      </w:r>
      <w:r>
        <w:rPr>
          <w:rFonts w:hint="default" w:ascii="Times New Roman" w:hAnsi="Times New Roman" w:eastAsia="宋体" w:cs="Times New Roman"/>
          <w:color w:val="auto"/>
        </w:rPr>
        <w:t>定义如下：</w:t>
      </w:r>
    </w:p>
    <w:p w14:paraId="0D6BAD28">
      <w:pPr>
        <w:ind w:firstLine="48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0" distR="0">
            <wp:extent cx="1133475" cy="419100"/>
            <wp:effectExtent l="0" t="0" r="952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17" cstate="print"/>
                    <a:srcRect/>
                    <a:stretch>
                      <a:fillRect/>
                    </a:stretch>
                  </pic:blipFill>
                  <pic:spPr>
                    <a:xfrm>
                      <a:off x="0" y="0"/>
                      <a:ext cx="1133475" cy="419100"/>
                    </a:xfrm>
                    <a:prstGeom prst="rect">
                      <a:avLst/>
                    </a:prstGeom>
                    <a:noFill/>
                    <a:ln w="9525">
                      <a:noFill/>
                      <a:miter lim="800000"/>
                      <a:headEnd/>
                      <a:tailEnd/>
                    </a:ln>
                  </pic:spPr>
                </pic:pic>
              </a:graphicData>
            </a:graphic>
          </wp:inline>
        </w:drawing>
      </w:r>
    </w:p>
    <w:p w14:paraId="5BE257CA">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——第i个污染物的最大地面空气质量浓度 占标率，%；</w:t>
      </w:r>
    </w:p>
    <w:p w14:paraId="56A21FFE">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——采用估算模型计算出的第i个污染物的最大1h地面空气质量浓度，μg/m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14:paraId="5716C6F7">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——第i个污染物的环境空气质量浓度标准，μg/m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14:paraId="5BE560F8">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②评价等级判别表</w:t>
      </w:r>
    </w:p>
    <w:p w14:paraId="0A3B3139">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评价等级按下表的分级判据进行划分。</w:t>
      </w:r>
    </w:p>
    <w:p w14:paraId="3C206EFC">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cs="Times New Roman"/>
          <w:b/>
          <w:bCs/>
          <w:color w:val="auto"/>
          <w:lang w:val="en-US" w:eastAsia="zh-CN"/>
        </w:rPr>
        <w:t>1.6-1</w:t>
      </w:r>
      <w:r>
        <w:rPr>
          <w:rFonts w:hint="default" w:ascii="Times New Roman" w:hAnsi="Times New Roman" w:eastAsia="宋体" w:cs="Times New Roman"/>
          <w:b/>
          <w:bCs/>
          <w:color w:val="auto"/>
        </w:rPr>
        <w:t xml:space="preserve"> 评价等级判别表</w:t>
      </w:r>
    </w:p>
    <w:tbl>
      <w:tblPr>
        <w:tblStyle w:val="67"/>
        <w:tblW w:w="88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33"/>
        <w:gridCol w:w="4432"/>
      </w:tblGrid>
      <w:tr w14:paraId="529B3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4433" w:type="dxa"/>
            <w:tcBorders>
              <w:top w:val="single" w:color="auto" w:sz="4" w:space="0"/>
              <w:left w:val="single" w:color="auto" w:sz="4" w:space="0"/>
              <w:bottom w:val="single" w:color="auto" w:sz="4" w:space="0"/>
              <w:right w:val="single" w:color="auto" w:sz="4" w:space="0"/>
            </w:tcBorders>
            <w:vAlign w:val="center"/>
          </w:tcPr>
          <w:p w14:paraId="5A7D26EF">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评价工作等级</w:t>
            </w:r>
          </w:p>
        </w:tc>
        <w:tc>
          <w:tcPr>
            <w:tcW w:w="4432" w:type="dxa"/>
            <w:tcBorders>
              <w:top w:val="single" w:color="auto" w:sz="4" w:space="0"/>
              <w:left w:val="single" w:color="auto" w:sz="4" w:space="0"/>
              <w:bottom w:val="single" w:color="auto" w:sz="4" w:space="0"/>
              <w:right w:val="single" w:color="auto" w:sz="4" w:space="0"/>
            </w:tcBorders>
            <w:vAlign w:val="center"/>
          </w:tcPr>
          <w:p w14:paraId="769A9D53">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评价工作分级判据</w:t>
            </w:r>
          </w:p>
        </w:tc>
      </w:tr>
      <w:tr w14:paraId="21E67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4433" w:type="dxa"/>
            <w:tcBorders>
              <w:top w:val="single" w:color="auto" w:sz="4" w:space="0"/>
              <w:left w:val="single" w:color="auto" w:sz="4" w:space="0"/>
              <w:bottom w:val="single" w:color="auto" w:sz="4" w:space="0"/>
              <w:right w:val="single" w:color="auto" w:sz="4" w:space="0"/>
            </w:tcBorders>
            <w:vAlign w:val="center"/>
          </w:tcPr>
          <w:p w14:paraId="544C044E">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一级评价</w:t>
            </w:r>
          </w:p>
        </w:tc>
        <w:tc>
          <w:tcPr>
            <w:tcW w:w="4432" w:type="dxa"/>
            <w:tcBorders>
              <w:top w:val="single" w:color="auto" w:sz="4" w:space="0"/>
              <w:left w:val="single" w:color="auto" w:sz="4" w:space="0"/>
              <w:bottom w:val="single" w:color="auto" w:sz="4" w:space="0"/>
              <w:right w:val="single" w:color="auto" w:sz="4" w:space="0"/>
            </w:tcBorders>
            <w:vAlign w:val="center"/>
          </w:tcPr>
          <w:p w14:paraId="42D74521">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Pmax≧10%</w:t>
            </w:r>
          </w:p>
        </w:tc>
      </w:tr>
      <w:tr w14:paraId="00467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4433" w:type="dxa"/>
            <w:tcBorders>
              <w:top w:val="single" w:color="auto" w:sz="4" w:space="0"/>
              <w:left w:val="single" w:color="auto" w:sz="4" w:space="0"/>
              <w:bottom w:val="single" w:color="auto" w:sz="4" w:space="0"/>
              <w:right w:val="single" w:color="auto" w:sz="4" w:space="0"/>
            </w:tcBorders>
            <w:vAlign w:val="center"/>
          </w:tcPr>
          <w:p w14:paraId="4939E358">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二级评价</w:t>
            </w:r>
          </w:p>
        </w:tc>
        <w:tc>
          <w:tcPr>
            <w:tcW w:w="4432" w:type="dxa"/>
            <w:tcBorders>
              <w:top w:val="single" w:color="auto" w:sz="4" w:space="0"/>
              <w:left w:val="single" w:color="auto" w:sz="4" w:space="0"/>
              <w:bottom w:val="single" w:color="auto" w:sz="4" w:space="0"/>
              <w:right w:val="single" w:color="auto" w:sz="4" w:space="0"/>
            </w:tcBorders>
            <w:vAlign w:val="center"/>
          </w:tcPr>
          <w:p w14:paraId="73C696B8">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1%≦Pmax&lt;10%</w:t>
            </w:r>
          </w:p>
        </w:tc>
      </w:tr>
      <w:tr w14:paraId="32A18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4433" w:type="dxa"/>
            <w:tcBorders>
              <w:top w:val="single" w:color="auto" w:sz="4" w:space="0"/>
              <w:left w:val="single" w:color="auto" w:sz="4" w:space="0"/>
              <w:bottom w:val="single" w:color="auto" w:sz="4" w:space="0"/>
              <w:right w:val="single" w:color="auto" w:sz="4" w:space="0"/>
            </w:tcBorders>
            <w:vAlign w:val="center"/>
          </w:tcPr>
          <w:p w14:paraId="71B5223E">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三级评价</w:t>
            </w:r>
          </w:p>
        </w:tc>
        <w:tc>
          <w:tcPr>
            <w:tcW w:w="4432" w:type="dxa"/>
            <w:tcBorders>
              <w:top w:val="single" w:color="auto" w:sz="4" w:space="0"/>
              <w:left w:val="single" w:color="auto" w:sz="4" w:space="0"/>
              <w:bottom w:val="single" w:color="auto" w:sz="4" w:space="0"/>
              <w:right w:val="single" w:color="auto" w:sz="4" w:space="0"/>
            </w:tcBorders>
            <w:vAlign w:val="center"/>
          </w:tcPr>
          <w:p w14:paraId="1AEC7F3C">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Pmax&lt;1%</w:t>
            </w:r>
          </w:p>
        </w:tc>
      </w:tr>
    </w:tbl>
    <w:p w14:paraId="6211FB68">
      <w:pPr>
        <w:ind w:firstLine="422" w:firstLineChars="176"/>
        <w:rPr>
          <w:rFonts w:hint="default" w:ascii="Times New Roman" w:hAnsi="Times New Roman" w:eastAsia="宋体" w:cs="Times New Roman"/>
          <w:color w:val="auto"/>
        </w:rPr>
      </w:pPr>
      <w:r>
        <w:rPr>
          <w:rFonts w:hint="default" w:ascii="Times New Roman" w:hAnsi="Times New Roman" w:eastAsia="宋体" w:cs="Times New Roman"/>
          <w:color w:val="auto"/>
        </w:rPr>
        <w:t>③污染物评价标准</w:t>
      </w:r>
    </w:p>
    <w:p w14:paraId="774D3FBE">
      <w:pPr>
        <w:ind w:firstLine="422" w:firstLineChars="176"/>
        <w:rPr>
          <w:rFonts w:hint="default" w:ascii="Times New Roman" w:hAnsi="Times New Roman" w:eastAsia="宋体" w:cs="Times New Roman"/>
          <w:color w:val="auto"/>
        </w:rPr>
      </w:pPr>
      <w:r>
        <w:rPr>
          <w:rFonts w:hint="default" w:ascii="Times New Roman" w:hAnsi="Times New Roman" w:eastAsia="宋体" w:cs="Times New Roman"/>
          <w:color w:val="auto"/>
        </w:rPr>
        <w:t>污染物评价标准和来源见下表。</w:t>
      </w:r>
    </w:p>
    <w:p w14:paraId="3C85B016">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cs="Times New Roman"/>
          <w:b/>
          <w:bCs/>
          <w:color w:val="auto"/>
          <w:lang w:val="en-US" w:eastAsia="zh-CN"/>
        </w:rPr>
        <w:t>1.6-2</w:t>
      </w:r>
      <w:r>
        <w:rPr>
          <w:rFonts w:hint="default" w:ascii="Times New Roman" w:hAnsi="Times New Roman" w:eastAsia="宋体" w:cs="Times New Roman"/>
          <w:b/>
          <w:bCs/>
          <w:color w:val="auto"/>
        </w:rPr>
        <w:t xml:space="preserve">  污染物评价标准</w:t>
      </w:r>
    </w:p>
    <w:tbl>
      <w:tblPr>
        <w:tblStyle w:val="67"/>
        <w:tblW w:w="88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4"/>
        <w:gridCol w:w="1239"/>
        <w:gridCol w:w="1799"/>
        <w:gridCol w:w="1467"/>
        <w:gridCol w:w="2966"/>
      </w:tblGrid>
      <w:tr w14:paraId="6D0EDD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4" w:type="dxa"/>
            <w:tcBorders>
              <w:top w:val="single" w:color="auto" w:sz="4" w:space="0"/>
              <w:left w:val="single" w:color="auto" w:sz="4" w:space="0"/>
              <w:bottom w:val="single" w:color="auto" w:sz="4" w:space="0"/>
              <w:right w:val="single" w:color="auto" w:sz="4" w:space="0"/>
            </w:tcBorders>
            <w:vAlign w:val="center"/>
          </w:tcPr>
          <w:p w14:paraId="1256D0B9">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污染物名称</w:t>
            </w:r>
          </w:p>
        </w:tc>
        <w:tc>
          <w:tcPr>
            <w:tcW w:w="1239" w:type="dxa"/>
            <w:tcBorders>
              <w:top w:val="single" w:color="auto" w:sz="4" w:space="0"/>
              <w:left w:val="single" w:color="auto" w:sz="4" w:space="0"/>
              <w:bottom w:val="single" w:color="auto" w:sz="4" w:space="0"/>
              <w:right w:val="single" w:color="auto" w:sz="4" w:space="0"/>
            </w:tcBorders>
            <w:vAlign w:val="center"/>
          </w:tcPr>
          <w:p w14:paraId="0C451CC5">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功能区</w:t>
            </w:r>
          </w:p>
        </w:tc>
        <w:tc>
          <w:tcPr>
            <w:tcW w:w="1799" w:type="dxa"/>
            <w:tcBorders>
              <w:top w:val="single" w:color="auto" w:sz="4" w:space="0"/>
              <w:left w:val="single" w:color="auto" w:sz="4" w:space="0"/>
              <w:bottom w:val="single" w:color="auto" w:sz="4" w:space="0"/>
              <w:right w:val="single" w:color="auto" w:sz="4" w:space="0"/>
            </w:tcBorders>
            <w:vAlign w:val="center"/>
          </w:tcPr>
          <w:p w14:paraId="3D1A4A2E">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取值时间</w:t>
            </w:r>
          </w:p>
        </w:tc>
        <w:tc>
          <w:tcPr>
            <w:tcW w:w="1467" w:type="dxa"/>
            <w:tcBorders>
              <w:top w:val="single" w:color="auto" w:sz="4" w:space="0"/>
              <w:left w:val="single" w:color="auto" w:sz="4" w:space="0"/>
              <w:bottom w:val="single" w:color="auto" w:sz="4" w:space="0"/>
              <w:right w:val="single" w:color="auto" w:sz="4" w:space="0"/>
            </w:tcBorders>
            <w:vAlign w:val="center"/>
          </w:tcPr>
          <w:p w14:paraId="72017783">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标准值</w:t>
            </w:r>
          </w:p>
          <w:p w14:paraId="7F6594CA">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(μg/m</w:t>
            </w:r>
            <w:r>
              <w:rPr>
                <w:rFonts w:hint="default" w:ascii="Times New Roman" w:hAnsi="Times New Roman" w:eastAsia="宋体" w:cs="Times New Roman"/>
                <w:b/>
                <w:bCs/>
                <w:color w:val="auto"/>
                <w:kern w:val="0"/>
                <w:sz w:val="21"/>
                <w:vertAlign w:val="superscript"/>
              </w:rPr>
              <w:t>3</w:t>
            </w:r>
            <w:r>
              <w:rPr>
                <w:rFonts w:hint="default" w:ascii="Times New Roman" w:hAnsi="Times New Roman" w:eastAsia="宋体" w:cs="Times New Roman"/>
                <w:b/>
                <w:bCs/>
                <w:color w:val="auto"/>
                <w:kern w:val="0"/>
                <w:sz w:val="21"/>
              </w:rPr>
              <w:t>)</w:t>
            </w:r>
          </w:p>
        </w:tc>
        <w:tc>
          <w:tcPr>
            <w:tcW w:w="2966" w:type="dxa"/>
            <w:tcBorders>
              <w:top w:val="single" w:color="auto" w:sz="4" w:space="0"/>
              <w:left w:val="single" w:color="auto" w:sz="4" w:space="0"/>
              <w:bottom w:val="single" w:color="auto" w:sz="4" w:space="0"/>
              <w:right w:val="single" w:color="auto" w:sz="4" w:space="0"/>
            </w:tcBorders>
            <w:vAlign w:val="center"/>
          </w:tcPr>
          <w:p w14:paraId="469DF523">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标准来源</w:t>
            </w:r>
          </w:p>
        </w:tc>
      </w:tr>
      <w:tr w14:paraId="5C5D8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94" w:type="dxa"/>
            <w:tcBorders>
              <w:top w:val="single" w:color="auto" w:sz="4" w:space="0"/>
              <w:left w:val="single" w:color="auto" w:sz="4" w:space="0"/>
              <w:bottom w:val="single" w:color="auto" w:sz="4" w:space="0"/>
              <w:right w:val="single" w:color="auto" w:sz="4" w:space="0"/>
            </w:tcBorders>
            <w:vAlign w:val="center"/>
          </w:tcPr>
          <w:p w14:paraId="63C43087">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粉尘</w:t>
            </w:r>
          </w:p>
        </w:tc>
        <w:tc>
          <w:tcPr>
            <w:tcW w:w="1239" w:type="dxa"/>
            <w:vMerge w:val="restart"/>
            <w:tcBorders>
              <w:top w:val="single" w:color="auto" w:sz="4" w:space="0"/>
              <w:left w:val="single" w:color="auto" w:sz="4" w:space="0"/>
              <w:right w:val="single" w:color="auto" w:sz="4" w:space="0"/>
            </w:tcBorders>
            <w:vAlign w:val="center"/>
          </w:tcPr>
          <w:p w14:paraId="0962DAE8">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二类限区</w:t>
            </w:r>
          </w:p>
        </w:tc>
        <w:tc>
          <w:tcPr>
            <w:tcW w:w="1799" w:type="dxa"/>
            <w:tcBorders>
              <w:top w:val="single" w:color="auto" w:sz="4" w:space="0"/>
              <w:left w:val="single" w:color="auto" w:sz="4" w:space="0"/>
              <w:bottom w:val="single" w:color="auto" w:sz="4" w:space="0"/>
              <w:right w:val="single" w:color="auto" w:sz="4" w:space="0"/>
            </w:tcBorders>
            <w:vAlign w:val="center"/>
          </w:tcPr>
          <w:p w14:paraId="0CF3EBC2">
            <w:pPr>
              <w:pStyle w:val="223"/>
              <w:spacing w:beforeLines="0"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rPr>
              <w:t>1小时平均</w:t>
            </w:r>
          </w:p>
        </w:tc>
        <w:tc>
          <w:tcPr>
            <w:tcW w:w="1467" w:type="dxa"/>
            <w:tcBorders>
              <w:top w:val="single" w:color="auto" w:sz="4" w:space="0"/>
              <w:left w:val="single" w:color="auto" w:sz="4" w:space="0"/>
              <w:bottom w:val="single" w:color="auto" w:sz="4" w:space="0"/>
              <w:right w:val="single" w:color="auto" w:sz="4" w:space="0"/>
            </w:tcBorders>
            <w:vAlign w:val="center"/>
          </w:tcPr>
          <w:p w14:paraId="3F597C93">
            <w:pPr>
              <w:pStyle w:val="223"/>
              <w:spacing w:beforeLines="0"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rPr>
              <w:t>900</w:t>
            </w:r>
          </w:p>
        </w:tc>
        <w:tc>
          <w:tcPr>
            <w:tcW w:w="2966" w:type="dxa"/>
            <w:tcBorders>
              <w:top w:val="single" w:color="auto" w:sz="4" w:space="0"/>
              <w:left w:val="single" w:color="auto" w:sz="4" w:space="0"/>
              <w:bottom w:val="single" w:color="auto" w:sz="4" w:space="0"/>
              <w:right w:val="single" w:color="auto" w:sz="4" w:space="0"/>
            </w:tcBorders>
            <w:vAlign w:val="center"/>
          </w:tcPr>
          <w:p w14:paraId="65D78475">
            <w:pPr>
              <w:spacing w:line="240" w:lineRule="auto"/>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0"/>
                <w:sz w:val="21"/>
              </w:rPr>
              <w:t>GB 3095-2012</w:t>
            </w:r>
            <w:r>
              <w:rPr>
                <w:rFonts w:hint="default" w:ascii="Times New Roman" w:hAnsi="Times New Roman" w:eastAsia="宋体" w:cs="Times New Roman"/>
                <w:color w:val="auto"/>
                <w:kern w:val="0"/>
                <w:sz w:val="21"/>
                <w:lang w:eastAsia="zh-CN"/>
              </w:rPr>
              <w:t>《环境空气质量标准》</w:t>
            </w:r>
          </w:p>
        </w:tc>
      </w:tr>
      <w:tr w14:paraId="539D0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94" w:type="dxa"/>
            <w:tcBorders>
              <w:top w:val="single" w:color="auto" w:sz="4" w:space="0"/>
              <w:left w:val="single" w:color="auto" w:sz="4" w:space="0"/>
              <w:bottom w:val="single" w:color="auto" w:sz="4" w:space="0"/>
              <w:right w:val="single" w:color="auto" w:sz="4" w:space="0"/>
            </w:tcBorders>
            <w:vAlign w:val="center"/>
          </w:tcPr>
          <w:p w14:paraId="157B9CC5">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氨气</w:t>
            </w:r>
          </w:p>
        </w:tc>
        <w:tc>
          <w:tcPr>
            <w:tcW w:w="1239" w:type="dxa"/>
            <w:vMerge w:val="continue"/>
            <w:tcBorders>
              <w:left w:val="single" w:color="auto" w:sz="4" w:space="0"/>
              <w:right w:val="single" w:color="auto" w:sz="4" w:space="0"/>
            </w:tcBorders>
            <w:vAlign w:val="center"/>
          </w:tcPr>
          <w:p w14:paraId="363B2CE0">
            <w:pPr>
              <w:spacing w:line="240" w:lineRule="auto"/>
              <w:jc w:val="center"/>
              <w:rPr>
                <w:rFonts w:hint="default" w:ascii="Times New Roman" w:hAnsi="Times New Roman" w:eastAsia="宋体" w:cs="Times New Roman"/>
                <w:color w:val="auto"/>
                <w:kern w:val="0"/>
                <w:sz w:val="21"/>
              </w:rPr>
            </w:pPr>
          </w:p>
        </w:tc>
        <w:tc>
          <w:tcPr>
            <w:tcW w:w="1799" w:type="dxa"/>
            <w:vMerge w:val="restart"/>
            <w:tcBorders>
              <w:top w:val="single" w:color="auto" w:sz="4" w:space="0"/>
              <w:left w:val="single" w:color="auto" w:sz="4" w:space="0"/>
              <w:right w:val="single" w:color="auto" w:sz="4" w:space="0"/>
            </w:tcBorders>
            <w:vAlign w:val="center"/>
          </w:tcPr>
          <w:p w14:paraId="268C978D">
            <w:pPr>
              <w:pStyle w:val="223"/>
              <w:spacing w:beforeLines="0"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一次值</w:t>
            </w:r>
          </w:p>
        </w:tc>
        <w:tc>
          <w:tcPr>
            <w:tcW w:w="1467" w:type="dxa"/>
            <w:tcBorders>
              <w:top w:val="single" w:color="auto" w:sz="4" w:space="0"/>
              <w:left w:val="single" w:color="auto" w:sz="4" w:space="0"/>
              <w:bottom w:val="single" w:color="auto" w:sz="4" w:space="0"/>
              <w:right w:val="single" w:color="auto" w:sz="4" w:space="0"/>
            </w:tcBorders>
            <w:vAlign w:val="center"/>
          </w:tcPr>
          <w:p w14:paraId="7AD7FCBC">
            <w:pPr>
              <w:pStyle w:val="223"/>
              <w:spacing w:beforeLines="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200</w:t>
            </w:r>
          </w:p>
        </w:tc>
        <w:tc>
          <w:tcPr>
            <w:tcW w:w="2966" w:type="dxa"/>
            <w:vMerge w:val="restart"/>
            <w:tcBorders>
              <w:top w:val="single" w:color="auto" w:sz="4" w:space="0"/>
              <w:left w:val="single" w:color="auto" w:sz="4" w:space="0"/>
              <w:right w:val="single" w:color="auto" w:sz="4" w:space="0"/>
            </w:tcBorders>
            <w:vAlign w:val="center"/>
          </w:tcPr>
          <w:p w14:paraId="68326C04">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《环境影响评价技术导则-大气环境》 HJ 2.2-2018 附录D</w:t>
            </w:r>
          </w:p>
        </w:tc>
      </w:tr>
      <w:tr w14:paraId="12C03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94" w:type="dxa"/>
            <w:tcBorders>
              <w:top w:val="single" w:color="auto" w:sz="4" w:space="0"/>
              <w:left w:val="single" w:color="auto" w:sz="4" w:space="0"/>
              <w:bottom w:val="single" w:color="auto" w:sz="4" w:space="0"/>
              <w:right w:val="single" w:color="auto" w:sz="4" w:space="0"/>
            </w:tcBorders>
            <w:vAlign w:val="center"/>
          </w:tcPr>
          <w:p w14:paraId="53B864FC">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硫化氢</w:t>
            </w:r>
          </w:p>
        </w:tc>
        <w:tc>
          <w:tcPr>
            <w:tcW w:w="1239" w:type="dxa"/>
            <w:vMerge w:val="continue"/>
            <w:tcBorders>
              <w:left w:val="single" w:color="auto" w:sz="4" w:space="0"/>
              <w:bottom w:val="single" w:color="auto" w:sz="4" w:space="0"/>
              <w:right w:val="single" w:color="auto" w:sz="4" w:space="0"/>
            </w:tcBorders>
            <w:vAlign w:val="center"/>
          </w:tcPr>
          <w:p w14:paraId="093D869C">
            <w:pPr>
              <w:spacing w:line="240" w:lineRule="auto"/>
              <w:jc w:val="center"/>
              <w:rPr>
                <w:rFonts w:hint="default" w:ascii="Times New Roman" w:hAnsi="Times New Roman" w:eastAsia="宋体" w:cs="Times New Roman"/>
                <w:color w:val="auto"/>
                <w:kern w:val="0"/>
                <w:sz w:val="21"/>
              </w:rPr>
            </w:pPr>
          </w:p>
        </w:tc>
        <w:tc>
          <w:tcPr>
            <w:tcW w:w="1799" w:type="dxa"/>
            <w:vMerge w:val="continue"/>
            <w:tcBorders>
              <w:left w:val="single" w:color="auto" w:sz="4" w:space="0"/>
              <w:bottom w:val="single" w:color="auto" w:sz="4" w:space="0"/>
              <w:right w:val="single" w:color="auto" w:sz="4" w:space="0"/>
            </w:tcBorders>
            <w:vAlign w:val="center"/>
          </w:tcPr>
          <w:p w14:paraId="11C9E95E">
            <w:pPr>
              <w:pStyle w:val="223"/>
              <w:spacing w:beforeLines="0" w:line="240" w:lineRule="auto"/>
              <w:ind w:firstLine="0" w:firstLineChars="0"/>
              <w:jc w:val="center"/>
              <w:rPr>
                <w:rFonts w:hint="default" w:ascii="Times New Roman" w:hAnsi="Times New Roman" w:eastAsia="宋体" w:cs="Times New Roman"/>
                <w:color w:val="auto"/>
                <w:kern w:val="0"/>
                <w:sz w:val="21"/>
                <w:szCs w:val="21"/>
              </w:rPr>
            </w:pPr>
          </w:p>
        </w:tc>
        <w:tc>
          <w:tcPr>
            <w:tcW w:w="1467" w:type="dxa"/>
            <w:tcBorders>
              <w:top w:val="single" w:color="auto" w:sz="4" w:space="0"/>
              <w:left w:val="single" w:color="auto" w:sz="4" w:space="0"/>
              <w:bottom w:val="single" w:color="auto" w:sz="4" w:space="0"/>
              <w:right w:val="single" w:color="auto" w:sz="4" w:space="0"/>
            </w:tcBorders>
            <w:vAlign w:val="center"/>
          </w:tcPr>
          <w:p w14:paraId="30A42AF8">
            <w:pPr>
              <w:pStyle w:val="223"/>
              <w:spacing w:beforeLines="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2966" w:type="dxa"/>
            <w:vMerge w:val="continue"/>
            <w:tcBorders>
              <w:left w:val="single" w:color="auto" w:sz="4" w:space="0"/>
              <w:bottom w:val="single" w:color="auto" w:sz="4" w:space="0"/>
              <w:right w:val="single" w:color="auto" w:sz="4" w:space="0"/>
            </w:tcBorders>
            <w:vAlign w:val="center"/>
          </w:tcPr>
          <w:p w14:paraId="06912349">
            <w:pPr>
              <w:spacing w:line="240" w:lineRule="auto"/>
              <w:jc w:val="center"/>
              <w:rPr>
                <w:rFonts w:hint="default" w:ascii="Times New Roman" w:hAnsi="Times New Roman" w:eastAsia="宋体" w:cs="Times New Roman"/>
                <w:color w:val="auto"/>
                <w:kern w:val="0"/>
                <w:sz w:val="21"/>
              </w:rPr>
            </w:pPr>
          </w:p>
        </w:tc>
      </w:tr>
    </w:tbl>
    <w:p w14:paraId="601AFBF4">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④污染源参数</w:t>
      </w:r>
    </w:p>
    <w:p w14:paraId="23E4F46E">
      <w:pPr>
        <w:tabs>
          <w:tab w:val="center" w:pos="4026"/>
        </w:tabs>
        <w:ind w:firstLine="480" w:firstLineChars="200"/>
        <w:rPr>
          <w:rFonts w:hint="default" w:ascii="Times New Roman" w:hAnsi="Times New Roman" w:eastAsia="宋体" w:cs="Times New Roman"/>
          <w:b/>
          <w:bCs/>
          <w:color w:val="auto"/>
        </w:rPr>
      </w:pPr>
      <w:r>
        <w:rPr>
          <w:rFonts w:hint="default" w:ascii="Times New Roman" w:hAnsi="Times New Roman" w:eastAsia="宋体" w:cs="Times New Roman"/>
          <w:color w:val="auto"/>
        </w:rPr>
        <w:t>根据工程分析，项目主要废气污染源排放参数见下表：</w:t>
      </w:r>
    </w:p>
    <w:p w14:paraId="61E3217F">
      <w:pPr>
        <w:spacing w:line="480" w:lineRule="exact"/>
        <w:ind w:firstLine="422" w:firstLineChars="176"/>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w:t>
      </w:r>
      <w:r>
        <w:rPr>
          <w:rFonts w:hint="eastAsia" w:ascii="Times New Roman" w:hAnsi="Times New Roman" w:cs="Times New Roman"/>
          <w:b/>
          <w:bCs/>
          <w:color w:val="auto"/>
          <w:lang w:val="en-US" w:eastAsia="zh-CN"/>
        </w:rPr>
        <w:t>1.6-3</w:t>
      </w:r>
      <w:r>
        <w:rPr>
          <w:rFonts w:hint="default" w:ascii="Times New Roman" w:hAnsi="Times New Roman" w:eastAsia="宋体" w:cs="Times New Roman"/>
          <w:b/>
          <w:bCs/>
          <w:color w:val="auto"/>
        </w:rPr>
        <w:t>主要废气污染源参数一览表(矩形面源)</w:t>
      </w:r>
    </w:p>
    <w:tbl>
      <w:tblPr>
        <w:tblStyle w:val="67"/>
        <w:tblW w:w="90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7"/>
        <w:gridCol w:w="1308"/>
        <w:gridCol w:w="1129"/>
        <w:gridCol w:w="879"/>
        <w:gridCol w:w="799"/>
        <w:gridCol w:w="729"/>
        <w:gridCol w:w="640"/>
        <w:gridCol w:w="849"/>
        <w:gridCol w:w="988"/>
        <w:gridCol w:w="705"/>
      </w:tblGrid>
      <w:tr w14:paraId="7107F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7" w:type="dxa"/>
            <w:vMerge w:val="restart"/>
            <w:tcBorders>
              <w:top w:val="single" w:color="auto" w:sz="4" w:space="0"/>
              <w:left w:val="single" w:color="auto" w:sz="4" w:space="0"/>
              <w:bottom w:val="single" w:color="auto" w:sz="4" w:space="0"/>
              <w:right w:val="single" w:color="auto" w:sz="4" w:space="0"/>
            </w:tcBorders>
            <w:vAlign w:val="center"/>
          </w:tcPr>
          <w:p w14:paraId="4BADB502">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污染源名称</w:t>
            </w:r>
          </w:p>
        </w:tc>
        <w:tc>
          <w:tcPr>
            <w:tcW w:w="2437" w:type="dxa"/>
            <w:gridSpan w:val="2"/>
            <w:tcBorders>
              <w:top w:val="single" w:color="auto" w:sz="4" w:space="0"/>
              <w:left w:val="single" w:color="auto" w:sz="4" w:space="0"/>
              <w:bottom w:val="single" w:color="auto" w:sz="4" w:space="0"/>
              <w:right w:val="single" w:color="auto" w:sz="4" w:space="0"/>
            </w:tcBorders>
            <w:vAlign w:val="center"/>
          </w:tcPr>
          <w:p w14:paraId="3613455D">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坐标</w:t>
            </w:r>
          </w:p>
        </w:tc>
        <w:tc>
          <w:tcPr>
            <w:tcW w:w="879" w:type="dxa"/>
            <w:vMerge w:val="restart"/>
            <w:tcBorders>
              <w:top w:val="single" w:color="auto" w:sz="4" w:space="0"/>
              <w:left w:val="single" w:color="auto" w:sz="4" w:space="0"/>
              <w:bottom w:val="single" w:color="auto" w:sz="4" w:space="0"/>
              <w:right w:val="single" w:color="auto" w:sz="4" w:space="0"/>
            </w:tcBorders>
            <w:vAlign w:val="center"/>
          </w:tcPr>
          <w:p w14:paraId="76DB19E7">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海拔高度/m</w:t>
            </w:r>
          </w:p>
        </w:tc>
        <w:tc>
          <w:tcPr>
            <w:tcW w:w="2168" w:type="dxa"/>
            <w:gridSpan w:val="3"/>
            <w:tcBorders>
              <w:top w:val="single" w:color="auto" w:sz="4" w:space="0"/>
              <w:left w:val="single" w:color="auto" w:sz="4" w:space="0"/>
              <w:bottom w:val="single" w:color="auto" w:sz="4" w:space="0"/>
              <w:right w:val="single" w:color="auto" w:sz="4" w:space="0"/>
            </w:tcBorders>
            <w:vAlign w:val="center"/>
          </w:tcPr>
          <w:p w14:paraId="3DAC3FB6">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矩形面源</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14:paraId="4B7EA147">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污染物</w:t>
            </w:r>
          </w:p>
        </w:tc>
        <w:tc>
          <w:tcPr>
            <w:tcW w:w="988" w:type="dxa"/>
            <w:vMerge w:val="restart"/>
            <w:tcBorders>
              <w:top w:val="single" w:color="auto" w:sz="4" w:space="0"/>
              <w:left w:val="single" w:color="auto" w:sz="4" w:space="0"/>
              <w:bottom w:val="single" w:color="auto" w:sz="4" w:space="0"/>
              <w:right w:val="single" w:color="auto" w:sz="4" w:space="0"/>
            </w:tcBorders>
            <w:vAlign w:val="center"/>
          </w:tcPr>
          <w:p w14:paraId="34E6AFF6">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排放速率</w:t>
            </w:r>
          </w:p>
        </w:tc>
        <w:tc>
          <w:tcPr>
            <w:tcW w:w="705" w:type="dxa"/>
            <w:vMerge w:val="restart"/>
            <w:tcBorders>
              <w:top w:val="single" w:color="auto" w:sz="4" w:space="0"/>
              <w:left w:val="single" w:color="auto" w:sz="4" w:space="0"/>
              <w:bottom w:val="single" w:color="auto" w:sz="4" w:space="0"/>
              <w:right w:val="single" w:color="auto" w:sz="4" w:space="0"/>
            </w:tcBorders>
            <w:vAlign w:val="center"/>
          </w:tcPr>
          <w:p w14:paraId="7DDBF696">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单位</w:t>
            </w:r>
          </w:p>
        </w:tc>
      </w:tr>
      <w:tr w14:paraId="2BBA6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017" w:type="dxa"/>
            <w:vMerge w:val="continue"/>
            <w:tcBorders>
              <w:top w:val="single" w:color="auto" w:sz="4" w:space="0"/>
              <w:left w:val="single" w:color="auto" w:sz="4" w:space="0"/>
              <w:bottom w:val="single" w:color="auto" w:sz="4" w:space="0"/>
              <w:right w:val="single" w:color="auto" w:sz="4" w:space="0"/>
            </w:tcBorders>
            <w:vAlign w:val="center"/>
          </w:tcPr>
          <w:p w14:paraId="683E424A">
            <w:pPr>
              <w:widowControl/>
              <w:spacing w:line="240" w:lineRule="auto"/>
              <w:jc w:val="left"/>
              <w:rPr>
                <w:rFonts w:hint="default" w:ascii="Times New Roman" w:hAnsi="Times New Roman" w:eastAsia="宋体" w:cs="Times New Roman"/>
                <w:color w:val="auto"/>
                <w:kern w:val="2"/>
                <w:sz w:val="21"/>
              </w:rPr>
            </w:pPr>
          </w:p>
        </w:tc>
        <w:tc>
          <w:tcPr>
            <w:tcW w:w="1308" w:type="dxa"/>
            <w:tcBorders>
              <w:top w:val="single" w:color="auto" w:sz="4" w:space="0"/>
              <w:left w:val="single" w:color="auto" w:sz="4" w:space="0"/>
              <w:bottom w:val="single" w:color="auto" w:sz="4" w:space="0"/>
              <w:right w:val="single" w:color="auto" w:sz="4" w:space="0"/>
            </w:tcBorders>
            <w:vAlign w:val="center"/>
          </w:tcPr>
          <w:p w14:paraId="7A81645B">
            <w:pPr>
              <w:snapToGrid w:val="0"/>
              <w:spacing w:line="240" w:lineRule="auto"/>
              <w:jc w:val="center"/>
              <w:rPr>
                <w:rFonts w:hint="default" w:ascii="Times New Roman" w:hAnsi="Times New Roman" w:eastAsia="宋体" w:cs="Times New Roman"/>
                <w:b/>
                <w:bCs/>
                <w:color w:val="auto"/>
                <w:kern w:val="2"/>
                <w:sz w:val="21"/>
                <w:lang w:eastAsia="zh-CN"/>
              </w:rPr>
            </w:pPr>
            <w:r>
              <w:rPr>
                <w:rFonts w:hint="default" w:ascii="Times New Roman" w:hAnsi="Times New Roman" w:eastAsia="宋体" w:cs="Times New Roman"/>
                <w:b/>
                <w:bCs/>
                <w:color w:val="auto"/>
                <w:kern w:val="0"/>
                <w:sz w:val="21"/>
                <w:lang w:eastAsia="zh-CN"/>
              </w:rPr>
              <w:t>经度</w:t>
            </w:r>
          </w:p>
        </w:tc>
        <w:tc>
          <w:tcPr>
            <w:tcW w:w="1129" w:type="dxa"/>
            <w:tcBorders>
              <w:top w:val="single" w:color="auto" w:sz="4" w:space="0"/>
              <w:left w:val="single" w:color="auto" w:sz="4" w:space="0"/>
              <w:bottom w:val="single" w:color="auto" w:sz="4" w:space="0"/>
              <w:right w:val="single" w:color="auto" w:sz="4" w:space="0"/>
            </w:tcBorders>
            <w:vAlign w:val="center"/>
          </w:tcPr>
          <w:p w14:paraId="5B0F489B">
            <w:pPr>
              <w:snapToGrid w:val="0"/>
              <w:spacing w:line="240" w:lineRule="auto"/>
              <w:jc w:val="center"/>
              <w:rPr>
                <w:rFonts w:hint="default" w:ascii="Times New Roman" w:hAnsi="Times New Roman" w:eastAsia="宋体" w:cs="Times New Roman"/>
                <w:b/>
                <w:bCs/>
                <w:color w:val="auto"/>
                <w:kern w:val="2"/>
                <w:sz w:val="21"/>
                <w:lang w:eastAsia="zh-CN"/>
              </w:rPr>
            </w:pPr>
            <w:r>
              <w:rPr>
                <w:rFonts w:hint="default" w:ascii="Times New Roman" w:hAnsi="Times New Roman" w:eastAsia="宋体" w:cs="Times New Roman"/>
                <w:b/>
                <w:bCs/>
                <w:color w:val="auto"/>
                <w:kern w:val="0"/>
                <w:sz w:val="21"/>
                <w:lang w:eastAsia="zh-CN"/>
              </w:rPr>
              <w:t>纬度</w:t>
            </w:r>
          </w:p>
        </w:tc>
        <w:tc>
          <w:tcPr>
            <w:tcW w:w="879" w:type="dxa"/>
            <w:vMerge w:val="continue"/>
            <w:tcBorders>
              <w:top w:val="single" w:color="auto" w:sz="4" w:space="0"/>
              <w:left w:val="single" w:color="auto" w:sz="4" w:space="0"/>
              <w:bottom w:val="single" w:color="auto" w:sz="4" w:space="0"/>
              <w:right w:val="single" w:color="auto" w:sz="4" w:space="0"/>
            </w:tcBorders>
            <w:vAlign w:val="center"/>
          </w:tcPr>
          <w:p w14:paraId="4BCCB86F">
            <w:pPr>
              <w:widowControl/>
              <w:spacing w:line="240" w:lineRule="auto"/>
              <w:jc w:val="left"/>
              <w:rPr>
                <w:rFonts w:hint="default" w:ascii="Times New Roman" w:hAnsi="Times New Roman" w:eastAsia="宋体" w:cs="Times New Roman"/>
                <w:color w:val="auto"/>
                <w:kern w:val="2"/>
                <w:sz w:val="21"/>
              </w:rPr>
            </w:pPr>
          </w:p>
        </w:tc>
        <w:tc>
          <w:tcPr>
            <w:tcW w:w="799" w:type="dxa"/>
            <w:tcBorders>
              <w:top w:val="single" w:color="auto" w:sz="4" w:space="0"/>
              <w:left w:val="single" w:color="auto" w:sz="4" w:space="0"/>
              <w:bottom w:val="single" w:color="auto" w:sz="4" w:space="0"/>
              <w:right w:val="single" w:color="auto" w:sz="4" w:space="0"/>
            </w:tcBorders>
            <w:vAlign w:val="center"/>
          </w:tcPr>
          <w:p w14:paraId="0265DFE4">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长度</w:t>
            </w:r>
          </w:p>
        </w:tc>
        <w:tc>
          <w:tcPr>
            <w:tcW w:w="729" w:type="dxa"/>
            <w:tcBorders>
              <w:top w:val="single" w:color="auto" w:sz="4" w:space="0"/>
              <w:left w:val="single" w:color="auto" w:sz="4" w:space="0"/>
              <w:bottom w:val="single" w:color="auto" w:sz="4" w:space="0"/>
              <w:right w:val="single" w:color="auto" w:sz="4" w:space="0"/>
            </w:tcBorders>
            <w:vAlign w:val="center"/>
          </w:tcPr>
          <w:p w14:paraId="38F98EDF">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宽度</w:t>
            </w:r>
          </w:p>
        </w:tc>
        <w:tc>
          <w:tcPr>
            <w:tcW w:w="640" w:type="dxa"/>
            <w:tcBorders>
              <w:top w:val="single" w:color="auto" w:sz="4" w:space="0"/>
              <w:left w:val="single" w:color="auto" w:sz="4" w:space="0"/>
              <w:bottom w:val="single" w:color="auto" w:sz="4" w:space="0"/>
              <w:right w:val="single" w:color="auto" w:sz="4" w:space="0"/>
            </w:tcBorders>
            <w:vAlign w:val="center"/>
          </w:tcPr>
          <w:p w14:paraId="0EF8B483">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有效高度</w:t>
            </w:r>
          </w:p>
        </w:tc>
        <w:tc>
          <w:tcPr>
            <w:tcW w:w="849" w:type="dxa"/>
            <w:vMerge w:val="continue"/>
            <w:tcBorders>
              <w:top w:val="single" w:color="auto" w:sz="4" w:space="0"/>
              <w:left w:val="single" w:color="auto" w:sz="4" w:space="0"/>
              <w:bottom w:val="single" w:color="auto" w:sz="4" w:space="0"/>
              <w:right w:val="single" w:color="auto" w:sz="4" w:space="0"/>
            </w:tcBorders>
            <w:vAlign w:val="center"/>
          </w:tcPr>
          <w:p w14:paraId="03C7C1E9">
            <w:pPr>
              <w:widowControl/>
              <w:spacing w:line="240" w:lineRule="auto"/>
              <w:jc w:val="left"/>
              <w:rPr>
                <w:rFonts w:hint="default" w:ascii="Times New Roman" w:hAnsi="Times New Roman" w:eastAsia="宋体" w:cs="Times New Roman"/>
                <w:color w:val="auto"/>
                <w:kern w:val="2"/>
                <w:sz w:val="21"/>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14:paraId="658EFD96">
            <w:pPr>
              <w:widowControl/>
              <w:spacing w:line="240" w:lineRule="auto"/>
              <w:jc w:val="left"/>
              <w:rPr>
                <w:rFonts w:hint="default" w:ascii="Times New Roman" w:hAnsi="Times New Roman" w:eastAsia="宋体" w:cs="Times New Roman"/>
                <w:color w:val="auto"/>
                <w:kern w:val="2"/>
                <w:sz w:val="21"/>
              </w:rPr>
            </w:pPr>
          </w:p>
        </w:tc>
        <w:tc>
          <w:tcPr>
            <w:tcW w:w="705" w:type="dxa"/>
            <w:vMerge w:val="continue"/>
            <w:tcBorders>
              <w:top w:val="single" w:color="auto" w:sz="4" w:space="0"/>
              <w:left w:val="single" w:color="auto" w:sz="4" w:space="0"/>
              <w:bottom w:val="single" w:color="auto" w:sz="4" w:space="0"/>
              <w:right w:val="single" w:color="auto" w:sz="4" w:space="0"/>
            </w:tcBorders>
            <w:vAlign w:val="center"/>
          </w:tcPr>
          <w:p w14:paraId="57E2D141">
            <w:pPr>
              <w:widowControl/>
              <w:spacing w:line="240" w:lineRule="auto"/>
              <w:jc w:val="left"/>
              <w:rPr>
                <w:rFonts w:hint="default" w:ascii="Times New Roman" w:hAnsi="Times New Roman" w:eastAsia="宋体" w:cs="Times New Roman"/>
                <w:color w:val="auto"/>
                <w:kern w:val="2"/>
                <w:sz w:val="21"/>
              </w:rPr>
            </w:pPr>
          </w:p>
        </w:tc>
      </w:tr>
      <w:tr w14:paraId="03815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jc w:val="center"/>
        </w:trPr>
        <w:tc>
          <w:tcPr>
            <w:tcW w:w="1017" w:type="dxa"/>
            <w:tcBorders>
              <w:top w:val="single" w:color="auto" w:sz="4" w:space="0"/>
              <w:left w:val="single" w:color="auto" w:sz="4" w:space="0"/>
              <w:bottom w:val="single" w:color="auto" w:sz="4" w:space="0"/>
              <w:right w:val="single" w:color="auto" w:sz="4" w:space="0"/>
            </w:tcBorders>
            <w:vAlign w:val="center"/>
          </w:tcPr>
          <w:p w14:paraId="7D1080DB">
            <w:pPr>
              <w:spacing w:line="240" w:lineRule="auto"/>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0"/>
                <w:sz w:val="21"/>
                <w:lang w:eastAsia="zh-CN"/>
              </w:rPr>
              <w:t>项目生产车间</w:t>
            </w:r>
          </w:p>
        </w:tc>
        <w:tc>
          <w:tcPr>
            <w:tcW w:w="1308" w:type="dxa"/>
            <w:tcBorders>
              <w:top w:val="single" w:color="auto" w:sz="4" w:space="0"/>
              <w:left w:val="single" w:color="auto" w:sz="4" w:space="0"/>
              <w:bottom w:val="single" w:color="auto" w:sz="4" w:space="0"/>
              <w:right w:val="single" w:color="auto" w:sz="4" w:space="0"/>
            </w:tcBorders>
            <w:vAlign w:val="center"/>
          </w:tcPr>
          <w:p w14:paraId="508D8577">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98.473215</w:t>
            </w:r>
          </w:p>
        </w:tc>
        <w:tc>
          <w:tcPr>
            <w:tcW w:w="1129" w:type="dxa"/>
            <w:tcBorders>
              <w:top w:val="single" w:color="auto" w:sz="4" w:space="0"/>
              <w:left w:val="single" w:color="auto" w:sz="4" w:space="0"/>
              <w:bottom w:val="single" w:color="auto" w:sz="4" w:space="0"/>
              <w:right w:val="single" w:color="auto" w:sz="4" w:space="0"/>
            </w:tcBorders>
            <w:vAlign w:val="center"/>
          </w:tcPr>
          <w:p w14:paraId="641CC6C6">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24.359272</w:t>
            </w:r>
          </w:p>
        </w:tc>
        <w:tc>
          <w:tcPr>
            <w:tcW w:w="879" w:type="dxa"/>
            <w:tcBorders>
              <w:top w:val="single" w:color="auto" w:sz="4" w:space="0"/>
              <w:left w:val="single" w:color="auto" w:sz="4" w:space="0"/>
              <w:bottom w:val="single" w:color="auto" w:sz="4" w:space="0"/>
              <w:right w:val="single" w:color="auto" w:sz="4" w:space="0"/>
            </w:tcBorders>
            <w:vAlign w:val="center"/>
          </w:tcPr>
          <w:p w14:paraId="54BFDAEE">
            <w:pPr>
              <w:spacing w:line="240" w:lineRule="auto"/>
              <w:jc w:val="center"/>
              <w:rPr>
                <w:rFonts w:hint="default" w:ascii="Times New Roman" w:hAnsi="Times New Roman" w:eastAsia="宋体" w:cs="Times New Roman"/>
                <w:color w:val="auto"/>
                <w:kern w:val="2"/>
                <w:sz w:val="21"/>
                <w:lang w:val="en-US" w:eastAsia="zh-CN"/>
              </w:rPr>
            </w:pPr>
            <w:r>
              <w:rPr>
                <w:rFonts w:hint="eastAsia" w:ascii="Times New Roman" w:hAnsi="Times New Roman" w:cs="Times New Roman"/>
                <w:color w:val="auto"/>
                <w:kern w:val="2"/>
                <w:sz w:val="21"/>
                <w:lang w:val="en-US" w:eastAsia="zh-CN"/>
              </w:rPr>
              <w:t>885</w:t>
            </w:r>
          </w:p>
        </w:tc>
        <w:tc>
          <w:tcPr>
            <w:tcW w:w="799" w:type="dxa"/>
            <w:tcBorders>
              <w:top w:val="single" w:color="auto" w:sz="4" w:space="0"/>
              <w:left w:val="single" w:color="auto" w:sz="4" w:space="0"/>
              <w:bottom w:val="single" w:color="auto" w:sz="4" w:space="0"/>
              <w:right w:val="single" w:color="auto" w:sz="4" w:space="0"/>
            </w:tcBorders>
            <w:vAlign w:val="center"/>
          </w:tcPr>
          <w:p w14:paraId="0639F752">
            <w:pPr>
              <w:spacing w:line="240" w:lineRule="auto"/>
              <w:jc w:val="center"/>
              <w:rPr>
                <w:rFonts w:hint="default" w:ascii="Times New Roman" w:hAnsi="Times New Roman" w:eastAsia="宋体" w:cs="Times New Roman"/>
                <w:color w:val="auto"/>
                <w:kern w:val="2"/>
                <w:sz w:val="21"/>
                <w:lang w:val="en-US" w:eastAsia="zh-CN"/>
              </w:rPr>
            </w:pPr>
            <w:r>
              <w:rPr>
                <w:rFonts w:hint="eastAsia" w:ascii="Times New Roman" w:hAnsi="Times New Roman" w:cs="Times New Roman"/>
                <w:color w:val="auto"/>
                <w:kern w:val="2"/>
                <w:sz w:val="21"/>
                <w:lang w:val="en-US" w:eastAsia="zh-CN"/>
              </w:rPr>
              <w:t>100</w:t>
            </w:r>
          </w:p>
        </w:tc>
        <w:tc>
          <w:tcPr>
            <w:tcW w:w="729" w:type="dxa"/>
            <w:tcBorders>
              <w:top w:val="single" w:color="auto" w:sz="4" w:space="0"/>
              <w:left w:val="single" w:color="auto" w:sz="4" w:space="0"/>
              <w:bottom w:val="single" w:color="auto" w:sz="4" w:space="0"/>
              <w:right w:val="single" w:color="auto" w:sz="4" w:space="0"/>
            </w:tcBorders>
            <w:vAlign w:val="center"/>
          </w:tcPr>
          <w:p w14:paraId="3E063CFE">
            <w:pPr>
              <w:spacing w:line="240" w:lineRule="auto"/>
              <w:jc w:val="center"/>
              <w:rPr>
                <w:rFonts w:hint="default" w:ascii="Times New Roman" w:hAnsi="Times New Roman" w:eastAsia="宋体" w:cs="Times New Roman"/>
                <w:color w:val="auto"/>
                <w:kern w:val="2"/>
                <w:sz w:val="21"/>
                <w:lang w:val="en-US" w:eastAsia="zh-CN"/>
              </w:rPr>
            </w:pPr>
            <w:r>
              <w:rPr>
                <w:rFonts w:hint="eastAsia" w:ascii="Times New Roman" w:hAnsi="Times New Roman" w:cs="Times New Roman"/>
                <w:color w:val="auto"/>
                <w:kern w:val="2"/>
                <w:sz w:val="21"/>
                <w:lang w:val="en-US" w:eastAsia="zh-CN"/>
              </w:rPr>
              <w:t>45</w:t>
            </w:r>
          </w:p>
        </w:tc>
        <w:tc>
          <w:tcPr>
            <w:tcW w:w="640" w:type="dxa"/>
            <w:tcBorders>
              <w:top w:val="single" w:color="auto" w:sz="4" w:space="0"/>
              <w:left w:val="single" w:color="auto" w:sz="4" w:space="0"/>
              <w:bottom w:val="single" w:color="auto" w:sz="4" w:space="0"/>
              <w:right w:val="single" w:color="auto" w:sz="4" w:space="0"/>
            </w:tcBorders>
            <w:vAlign w:val="center"/>
          </w:tcPr>
          <w:p w14:paraId="35655D64">
            <w:pPr>
              <w:spacing w:line="240" w:lineRule="auto"/>
              <w:jc w:val="center"/>
              <w:rPr>
                <w:rFonts w:hint="eastAsia" w:ascii="Times New Roman" w:hAnsi="Times New Roman" w:eastAsia="宋体" w:cs="Times New Roman"/>
                <w:color w:val="auto"/>
                <w:kern w:val="2"/>
                <w:sz w:val="21"/>
                <w:lang w:val="en-US" w:eastAsia="zh-CN"/>
              </w:rPr>
            </w:pPr>
            <w:r>
              <w:rPr>
                <w:rFonts w:hint="eastAsia" w:ascii="Times New Roman" w:hAnsi="Times New Roman" w:cs="Times New Roman"/>
                <w:color w:val="auto"/>
                <w:kern w:val="2"/>
                <w:sz w:val="21"/>
                <w:lang w:val="en-US" w:eastAsia="zh-CN"/>
              </w:rPr>
              <w:t>8</w:t>
            </w:r>
          </w:p>
        </w:tc>
        <w:tc>
          <w:tcPr>
            <w:tcW w:w="849" w:type="dxa"/>
            <w:tcBorders>
              <w:top w:val="single" w:color="auto" w:sz="4" w:space="0"/>
              <w:left w:val="single" w:color="auto" w:sz="4" w:space="0"/>
              <w:bottom w:val="single" w:color="auto" w:sz="4" w:space="0"/>
              <w:right w:val="single" w:color="auto" w:sz="4" w:space="0"/>
            </w:tcBorders>
            <w:vAlign w:val="center"/>
          </w:tcPr>
          <w:p w14:paraId="602FBD5C">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粉尘</w:t>
            </w:r>
          </w:p>
        </w:tc>
        <w:tc>
          <w:tcPr>
            <w:tcW w:w="988" w:type="dxa"/>
            <w:tcBorders>
              <w:top w:val="single" w:color="auto" w:sz="4" w:space="0"/>
              <w:left w:val="single" w:color="auto" w:sz="4" w:space="0"/>
              <w:bottom w:val="single" w:color="auto" w:sz="4" w:space="0"/>
              <w:right w:val="single" w:color="auto" w:sz="4" w:space="0"/>
            </w:tcBorders>
            <w:vAlign w:val="center"/>
          </w:tcPr>
          <w:p w14:paraId="0EE83E22">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0.0033</w:t>
            </w:r>
          </w:p>
        </w:tc>
        <w:tc>
          <w:tcPr>
            <w:tcW w:w="705" w:type="dxa"/>
            <w:vMerge w:val="restart"/>
            <w:tcBorders>
              <w:top w:val="single" w:color="auto" w:sz="4" w:space="0"/>
              <w:left w:val="single" w:color="auto" w:sz="4" w:space="0"/>
              <w:right w:val="single" w:color="auto" w:sz="4" w:space="0"/>
            </w:tcBorders>
            <w:vAlign w:val="center"/>
          </w:tcPr>
          <w:p w14:paraId="6C25EE13">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kg/h</w:t>
            </w:r>
          </w:p>
        </w:tc>
      </w:tr>
      <w:tr w14:paraId="210455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1017" w:type="dxa"/>
            <w:vMerge w:val="restart"/>
            <w:tcBorders>
              <w:top w:val="single" w:color="auto" w:sz="4" w:space="0"/>
              <w:left w:val="single" w:color="auto" w:sz="4" w:space="0"/>
              <w:right w:val="single" w:color="auto" w:sz="4" w:space="0"/>
            </w:tcBorders>
            <w:vAlign w:val="center"/>
          </w:tcPr>
          <w:p w14:paraId="138ED822">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污水处理站</w:t>
            </w:r>
          </w:p>
        </w:tc>
        <w:tc>
          <w:tcPr>
            <w:tcW w:w="1308" w:type="dxa"/>
            <w:vMerge w:val="restart"/>
            <w:tcBorders>
              <w:top w:val="single" w:color="auto" w:sz="4" w:space="0"/>
              <w:left w:val="single" w:color="auto" w:sz="4" w:space="0"/>
              <w:right w:val="single" w:color="auto" w:sz="4" w:space="0"/>
            </w:tcBorders>
            <w:vAlign w:val="center"/>
          </w:tcPr>
          <w:p w14:paraId="34617E1F">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98.474774</w:t>
            </w:r>
          </w:p>
        </w:tc>
        <w:tc>
          <w:tcPr>
            <w:tcW w:w="1129" w:type="dxa"/>
            <w:vMerge w:val="restart"/>
            <w:tcBorders>
              <w:top w:val="single" w:color="auto" w:sz="4" w:space="0"/>
              <w:left w:val="single" w:color="auto" w:sz="4" w:space="0"/>
              <w:right w:val="single" w:color="auto" w:sz="4" w:space="0"/>
            </w:tcBorders>
            <w:vAlign w:val="center"/>
          </w:tcPr>
          <w:p w14:paraId="4A61A5AB">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24.359149</w:t>
            </w:r>
          </w:p>
        </w:tc>
        <w:tc>
          <w:tcPr>
            <w:tcW w:w="879" w:type="dxa"/>
            <w:vMerge w:val="restart"/>
            <w:tcBorders>
              <w:top w:val="single" w:color="auto" w:sz="4" w:space="0"/>
              <w:left w:val="single" w:color="auto" w:sz="4" w:space="0"/>
              <w:right w:val="single" w:color="auto" w:sz="4" w:space="0"/>
            </w:tcBorders>
            <w:vAlign w:val="center"/>
          </w:tcPr>
          <w:p w14:paraId="19EA48DB">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878.0</w:t>
            </w:r>
          </w:p>
        </w:tc>
        <w:tc>
          <w:tcPr>
            <w:tcW w:w="799" w:type="dxa"/>
            <w:vMerge w:val="restart"/>
            <w:tcBorders>
              <w:top w:val="single" w:color="auto" w:sz="4" w:space="0"/>
              <w:left w:val="single" w:color="auto" w:sz="4" w:space="0"/>
              <w:right w:val="single" w:color="auto" w:sz="4" w:space="0"/>
            </w:tcBorders>
            <w:vAlign w:val="center"/>
          </w:tcPr>
          <w:p w14:paraId="4D3C2460">
            <w:pPr>
              <w:spacing w:line="240" w:lineRule="auto"/>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10</w:t>
            </w:r>
          </w:p>
        </w:tc>
        <w:tc>
          <w:tcPr>
            <w:tcW w:w="729" w:type="dxa"/>
            <w:vMerge w:val="restart"/>
            <w:tcBorders>
              <w:top w:val="single" w:color="auto" w:sz="4" w:space="0"/>
              <w:left w:val="single" w:color="auto" w:sz="4" w:space="0"/>
              <w:right w:val="single" w:color="auto" w:sz="4" w:space="0"/>
            </w:tcBorders>
            <w:vAlign w:val="center"/>
          </w:tcPr>
          <w:p w14:paraId="31C65CD9">
            <w:pPr>
              <w:spacing w:line="240" w:lineRule="auto"/>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5</w:t>
            </w:r>
          </w:p>
        </w:tc>
        <w:tc>
          <w:tcPr>
            <w:tcW w:w="640" w:type="dxa"/>
            <w:vMerge w:val="restart"/>
            <w:tcBorders>
              <w:top w:val="single" w:color="auto" w:sz="4" w:space="0"/>
              <w:left w:val="single" w:color="auto" w:sz="4" w:space="0"/>
              <w:right w:val="single" w:color="auto" w:sz="4" w:space="0"/>
            </w:tcBorders>
            <w:vAlign w:val="center"/>
          </w:tcPr>
          <w:p w14:paraId="6E4A5294">
            <w:pPr>
              <w:spacing w:line="240" w:lineRule="auto"/>
              <w:jc w:val="center"/>
              <w:rPr>
                <w:rFonts w:hint="eastAsia"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2</w:t>
            </w:r>
          </w:p>
        </w:tc>
        <w:tc>
          <w:tcPr>
            <w:tcW w:w="849" w:type="dxa"/>
            <w:tcBorders>
              <w:top w:val="single" w:color="auto" w:sz="4" w:space="0"/>
              <w:left w:val="single" w:color="auto" w:sz="4" w:space="0"/>
              <w:right w:val="single" w:color="auto" w:sz="4" w:space="0"/>
            </w:tcBorders>
            <w:vAlign w:val="center"/>
          </w:tcPr>
          <w:p w14:paraId="13F6FFA8">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氨气</w:t>
            </w:r>
          </w:p>
        </w:tc>
        <w:tc>
          <w:tcPr>
            <w:tcW w:w="988" w:type="dxa"/>
            <w:tcBorders>
              <w:top w:val="single" w:color="auto" w:sz="4" w:space="0"/>
              <w:left w:val="single" w:color="auto" w:sz="4" w:space="0"/>
              <w:right w:val="single" w:color="auto" w:sz="4" w:space="0"/>
            </w:tcBorders>
            <w:vAlign w:val="center"/>
          </w:tcPr>
          <w:p w14:paraId="049C5BE7">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0.00075</w:t>
            </w:r>
          </w:p>
        </w:tc>
        <w:tc>
          <w:tcPr>
            <w:tcW w:w="705" w:type="dxa"/>
            <w:vMerge w:val="continue"/>
            <w:tcBorders>
              <w:left w:val="single" w:color="auto" w:sz="4" w:space="0"/>
              <w:right w:val="single" w:color="auto" w:sz="4" w:space="0"/>
            </w:tcBorders>
            <w:vAlign w:val="center"/>
          </w:tcPr>
          <w:p w14:paraId="21DF5DE9">
            <w:pPr>
              <w:spacing w:line="240" w:lineRule="auto"/>
              <w:jc w:val="center"/>
              <w:rPr>
                <w:rFonts w:hint="default" w:ascii="Times New Roman" w:hAnsi="Times New Roman" w:eastAsia="宋体" w:cs="Times New Roman"/>
                <w:color w:val="auto"/>
                <w:kern w:val="0"/>
                <w:sz w:val="21"/>
              </w:rPr>
            </w:pPr>
          </w:p>
        </w:tc>
      </w:tr>
      <w:tr w14:paraId="21A0F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1017" w:type="dxa"/>
            <w:vMerge w:val="continue"/>
            <w:tcBorders>
              <w:left w:val="single" w:color="auto" w:sz="4" w:space="0"/>
              <w:right w:val="single" w:color="auto" w:sz="4" w:space="0"/>
            </w:tcBorders>
            <w:vAlign w:val="center"/>
          </w:tcPr>
          <w:p w14:paraId="75600508">
            <w:pPr>
              <w:spacing w:line="240" w:lineRule="auto"/>
              <w:jc w:val="center"/>
              <w:rPr>
                <w:rFonts w:hint="default" w:ascii="Times New Roman" w:hAnsi="Times New Roman" w:eastAsia="宋体" w:cs="Times New Roman"/>
                <w:color w:val="auto"/>
              </w:rPr>
            </w:pPr>
          </w:p>
        </w:tc>
        <w:tc>
          <w:tcPr>
            <w:tcW w:w="1308" w:type="dxa"/>
            <w:vMerge w:val="continue"/>
            <w:tcBorders>
              <w:left w:val="single" w:color="auto" w:sz="4" w:space="0"/>
              <w:right w:val="single" w:color="auto" w:sz="4" w:space="0"/>
            </w:tcBorders>
            <w:vAlign w:val="center"/>
          </w:tcPr>
          <w:p w14:paraId="44EAAFFA">
            <w:pPr>
              <w:spacing w:line="240" w:lineRule="auto"/>
              <w:jc w:val="center"/>
              <w:rPr>
                <w:rFonts w:hint="default" w:ascii="Times New Roman" w:hAnsi="Times New Roman" w:eastAsia="宋体" w:cs="Times New Roman"/>
                <w:color w:val="auto"/>
              </w:rPr>
            </w:pPr>
          </w:p>
        </w:tc>
        <w:tc>
          <w:tcPr>
            <w:tcW w:w="1129" w:type="dxa"/>
            <w:vMerge w:val="continue"/>
            <w:tcBorders>
              <w:left w:val="single" w:color="auto" w:sz="4" w:space="0"/>
              <w:right w:val="single" w:color="auto" w:sz="4" w:space="0"/>
            </w:tcBorders>
            <w:vAlign w:val="center"/>
          </w:tcPr>
          <w:p w14:paraId="48CE34E3">
            <w:pPr>
              <w:spacing w:line="240" w:lineRule="auto"/>
              <w:jc w:val="center"/>
              <w:rPr>
                <w:rFonts w:hint="default" w:ascii="Times New Roman" w:hAnsi="Times New Roman" w:eastAsia="宋体" w:cs="Times New Roman"/>
                <w:color w:val="auto"/>
              </w:rPr>
            </w:pPr>
          </w:p>
        </w:tc>
        <w:tc>
          <w:tcPr>
            <w:tcW w:w="879" w:type="dxa"/>
            <w:vMerge w:val="continue"/>
            <w:tcBorders>
              <w:left w:val="single" w:color="auto" w:sz="4" w:space="0"/>
              <w:right w:val="single" w:color="auto" w:sz="4" w:space="0"/>
            </w:tcBorders>
            <w:vAlign w:val="center"/>
          </w:tcPr>
          <w:p w14:paraId="4479645D">
            <w:pPr>
              <w:spacing w:line="240" w:lineRule="auto"/>
              <w:jc w:val="center"/>
              <w:rPr>
                <w:rFonts w:hint="default" w:ascii="Times New Roman" w:hAnsi="Times New Roman" w:eastAsia="宋体" w:cs="Times New Roman"/>
                <w:color w:val="auto"/>
              </w:rPr>
            </w:pPr>
          </w:p>
        </w:tc>
        <w:tc>
          <w:tcPr>
            <w:tcW w:w="799" w:type="dxa"/>
            <w:vMerge w:val="continue"/>
            <w:tcBorders>
              <w:left w:val="single" w:color="auto" w:sz="4" w:space="0"/>
              <w:right w:val="single" w:color="auto" w:sz="4" w:space="0"/>
            </w:tcBorders>
            <w:vAlign w:val="center"/>
          </w:tcPr>
          <w:p w14:paraId="37B97282">
            <w:pPr>
              <w:spacing w:line="240" w:lineRule="auto"/>
              <w:jc w:val="center"/>
              <w:rPr>
                <w:rFonts w:hint="default" w:ascii="Times New Roman" w:hAnsi="Times New Roman" w:eastAsia="宋体" w:cs="Times New Roman"/>
                <w:color w:val="auto"/>
              </w:rPr>
            </w:pPr>
          </w:p>
        </w:tc>
        <w:tc>
          <w:tcPr>
            <w:tcW w:w="729" w:type="dxa"/>
            <w:vMerge w:val="continue"/>
            <w:tcBorders>
              <w:left w:val="single" w:color="auto" w:sz="4" w:space="0"/>
              <w:right w:val="single" w:color="auto" w:sz="4" w:space="0"/>
            </w:tcBorders>
            <w:vAlign w:val="center"/>
          </w:tcPr>
          <w:p w14:paraId="59EDF27A">
            <w:pPr>
              <w:spacing w:line="240" w:lineRule="auto"/>
              <w:jc w:val="center"/>
              <w:rPr>
                <w:rFonts w:hint="default" w:ascii="Times New Roman" w:hAnsi="Times New Roman" w:eastAsia="宋体" w:cs="Times New Roman"/>
                <w:color w:val="auto"/>
              </w:rPr>
            </w:pPr>
          </w:p>
        </w:tc>
        <w:tc>
          <w:tcPr>
            <w:tcW w:w="640" w:type="dxa"/>
            <w:vMerge w:val="continue"/>
            <w:tcBorders>
              <w:left w:val="single" w:color="auto" w:sz="4" w:space="0"/>
              <w:right w:val="single" w:color="auto" w:sz="4" w:space="0"/>
            </w:tcBorders>
            <w:vAlign w:val="center"/>
          </w:tcPr>
          <w:p w14:paraId="3B262607">
            <w:pPr>
              <w:spacing w:line="240" w:lineRule="auto"/>
              <w:jc w:val="center"/>
              <w:rPr>
                <w:rFonts w:hint="default" w:ascii="Times New Roman" w:hAnsi="Times New Roman" w:eastAsia="宋体" w:cs="Times New Roman"/>
                <w:color w:val="auto"/>
              </w:rPr>
            </w:pPr>
          </w:p>
        </w:tc>
        <w:tc>
          <w:tcPr>
            <w:tcW w:w="849" w:type="dxa"/>
            <w:tcBorders>
              <w:top w:val="single" w:color="auto" w:sz="4" w:space="0"/>
              <w:left w:val="single" w:color="auto" w:sz="4" w:space="0"/>
              <w:right w:val="single" w:color="auto" w:sz="4" w:space="0"/>
            </w:tcBorders>
            <w:vAlign w:val="center"/>
          </w:tcPr>
          <w:p w14:paraId="3E44826C">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硫化氢</w:t>
            </w:r>
          </w:p>
        </w:tc>
        <w:tc>
          <w:tcPr>
            <w:tcW w:w="988" w:type="dxa"/>
            <w:tcBorders>
              <w:left w:val="single" w:color="auto" w:sz="4" w:space="0"/>
              <w:bottom w:val="single" w:color="auto" w:sz="4" w:space="0"/>
              <w:right w:val="single" w:color="auto" w:sz="4" w:space="0"/>
            </w:tcBorders>
            <w:vAlign w:val="center"/>
          </w:tcPr>
          <w:p w14:paraId="7F9C462B">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0.00007</w:t>
            </w:r>
          </w:p>
        </w:tc>
        <w:tc>
          <w:tcPr>
            <w:tcW w:w="705" w:type="dxa"/>
            <w:vMerge w:val="continue"/>
            <w:tcBorders>
              <w:left w:val="single" w:color="auto" w:sz="4" w:space="0"/>
              <w:right w:val="single" w:color="auto" w:sz="4" w:space="0"/>
            </w:tcBorders>
            <w:vAlign w:val="center"/>
          </w:tcPr>
          <w:p w14:paraId="2F3BA72F">
            <w:pPr>
              <w:spacing w:line="240" w:lineRule="auto"/>
              <w:jc w:val="center"/>
              <w:rPr>
                <w:rFonts w:hint="default" w:ascii="Times New Roman" w:hAnsi="Times New Roman" w:eastAsia="宋体" w:cs="Times New Roman"/>
                <w:color w:val="auto"/>
                <w:kern w:val="0"/>
                <w:sz w:val="21"/>
                <w:lang w:eastAsia="zh-CN"/>
              </w:rPr>
            </w:pPr>
          </w:p>
        </w:tc>
      </w:tr>
    </w:tbl>
    <w:p w14:paraId="484F97E8">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⑤估算模型参数</w:t>
      </w:r>
    </w:p>
    <w:p w14:paraId="125690C4">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本项目估算模型参数见下表：</w:t>
      </w:r>
    </w:p>
    <w:p w14:paraId="11411228">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eastAsia" w:ascii="Times New Roman" w:hAnsi="Times New Roman" w:cs="Times New Roman"/>
          <w:b/>
          <w:color w:val="auto"/>
          <w:lang w:val="en-US" w:eastAsia="zh-CN"/>
        </w:rPr>
        <w:t>1.6-4</w:t>
      </w:r>
      <w:r>
        <w:rPr>
          <w:rFonts w:hint="default" w:ascii="Times New Roman" w:hAnsi="Times New Roman" w:eastAsia="宋体" w:cs="Times New Roman"/>
          <w:b/>
          <w:color w:val="auto"/>
        </w:rPr>
        <w:t xml:space="preserve"> 估算模型参数表</w:t>
      </w:r>
    </w:p>
    <w:tbl>
      <w:tblPr>
        <w:tblStyle w:val="67"/>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7"/>
        <w:gridCol w:w="2957"/>
        <w:gridCol w:w="2958"/>
      </w:tblGrid>
      <w:tr w14:paraId="468A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463A7DF4">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eastAsia="zh-CN"/>
              </w:rPr>
              <w:t>参数</w:t>
            </w:r>
          </w:p>
        </w:tc>
        <w:tc>
          <w:tcPr>
            <w:tcW w:w="2958" w:type="dxa"/>
            <w:noWrap w:val="0"/>
            <w:vAlign w:val="top"/>
          </w:tcPr>
          <w:p w14:paraId="4AA73881">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eastAsia="zh-CN"/>
              </w:rPr>
              <w:t>取值</w:t>
            </w:r>
          </w:p>
        </w:tc>
      </w:tr>
      <w:tr w14:paraId="51AC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restart"/>
            <w:noWrap w:val="0"/>
            <w:vAlign w:val="center"/>
          </w:tcPr>
          <w:p w14:paraId="05495CD7">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城市</w:t>
            </w:r>
            <w:r>
              <w:rPr>
                <w:rFonts w:hint="default" w:ascii="Times New Roman" w:hAnsi="Times New Roman" w:eastAsia="宋体" w:cs="Times New Roman"/>
                <w:b w:val="0"/>
                <w:bCs/>
                <w:color w:val="auto"/>
                <w:sz w:val="21"/>
                <w:szCs w:val="21"/>
                <w:highlight w:val="none"/>
                <w:vertAlign w:val="baseline"/>
                <w:lang w:val="en-US" w:eastAsia="zh-CN"/>
              </w:rPr>
              <w:t>/农村选项</w:t>
            </w:r>
          </w:p>
        </w:tc>
        <w:tc>
          <w:tcPr>
            <w:tcW w:w="2957" w:type="dxa"/>
            <w:noWrap w:val="0"/>
            <w:vAlign w:val="top"/>
          </w:tcPr>
          <w:p w14:paraId="2E34F2E2">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城市</w:t>
            </w:r>
            <w:r>
              <w:rPr>
                <w:rFonts w:hint="default" w:ascii="Times New Roman" w:hAnsi="Times New Roman" w:eastAsia="宋体" w:cs="Times New Roman"/>
                <w:b w:val="0"/>
                <w:bCs/>
                <w:color w:val="auto"/>
                <w:sz w:val="21"/>
                <w:szCs w:val="21"/>
                <w:highlight w:val="none"/>
                <w:vertAlign w:val="baseline"/>
                <w:lang w:val="en-US" w:eastAsia="zh-CN"/>
              </w:rPr>
              <w:t>/农村</w:t>
            </w:r>
          </w:p>
        </w:tc>
        <w:tc>
          <w:tcPr>
            <w:tcW w:w="2958" w:type="dxa"/>
            <w:noWrap w:val="0"/>
            <w:vAlign w:val="center"/>
          </w:tcPr>
          <w:p w14:paraId="48069BD5">
            <w:pPr>
              <w:shd w:val="clear" w:color="auto" w:fill="auto"/>
              <w:jc w:val="center"/>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农村</w:t>
            </w:r>
          </w:p>
        </w:tc>
      </w:tr>
      <w:tr w14:paraId="79C01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continue"/>
            <w:noWrap w:val="0"/>
            <w:vAlign w:val="top"/>
          </w:tcPr>
          <w:p w14:paraId="4D49CB8D">
            <w:pPr>
              <w:shd w:val="clear" w:color="auto" w:fill="auto"/>
              <w:jc w:val="center"/>
              <w:rPr>
                <w:rFonts w:hint="default" w:ascii="Times New Roman" w:hAnsi="Times New Roman" w:eastAsia="宋体" w:cs="Times New Roman"/>
                <w:color w:val="auto"/>
                <w:sz w:val="21"/>
                <w:szCs w:val="21"/>
                <w:highlight w:val="none"/>
                <w:vertAlign w:val="baseline"/>
              </w:rPr>
            </w:pPr>
          </w:p>
        </w:tc>
        <w:tc>
          <w:tcPr>
            <w:tcW w:w="2957" w:type="dxa"/>
            <w:noWrap w:val="0"/>
            <w:vAlign w:val="top"/>
          </w:tcPr>
          <w:p w14:paraId="09E4A94A">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人口数（城市选项时）</w:t>
            </w:r>
          </w:p>
        </w:tc>
        <w:tc>
          <w:tcPr>
            <w:tcW w:w="2958" w:type="dxa"/>
            <w:noWrap w:val="0"/>
            <w:vAlign w:val="center"/>
          </w:tcPr>
          <w:p w14:paraId="152DDD8C">
            <w:pPr>
              <w:shd w:val="clear" w:color="auto" w:fill="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r>
      <w:tr w14:paraId="5737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2D1A7E67">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最高环境温度</w:t>
            </w:r>
            <w:r>
              <w:rPr>
                <w:rFonts w:hint="default" w:ascii="Times New Roman" w:hAnsi="Times New Roman" w:eastAsia="宋体" w:cs="Times New Roman"/>
                <w:b w:val="0"/>
                <w:bCs/>
                <w:color w:val="auto"/>
                <w:sz w:val="21"/>
                <w:szCs w:val="21"/>
                <w:highlight w:val="none"/>
                <w:vertAlign w:val="baseline"/>
                <w:lang w:val="en-US" w:eastAsia="zh-CN"/>
              </w:rPr>
              <w:t>/℃</w:t>
            </w:r>
          </w:p>
        </w:tc>
        <w:tc>
          <w:tcPr>
            <w:tcW w:w="2958" w:type="dxa"/>
            <w:noWrap w:val="0"/>
            <w:vAlign w:val="center"/>
          </w:tcPr>
          <w:p w14:paraId="33A11BC2">
            <w:pPr>
              <w:shd w:val="clear" w:color="auto" w:fill="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35.7</w:t>
            </w:r>
          </w:p>
        </w:tc>
      </w:tr>
      <w:tr w14:paraId="582F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083B437E">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最低环境温度</w:t>
            </w:r>
            <w:r>
              <w:rPr>
                <w:rFonts w:hint="default" w:ascii="Times New Roman" w:hAnsi="Times New Roman" w:eastAsia="宋体" w:cs="Times New Roman"/>
                <w:b w:val="0"/>
                <w:bCs/>
                <w:color w:val="auto"/>
                <w:sz w:val="21"/>
                <w:szCs w:val="21"/>
                <w:highlight w:val="none"/>
                <w:vertAlign w:val="baseline"/>
                <w:lang w:val="en-US" w:eastAsia="zh-CN"/>
              </w:rPr>
              <w:t>/℃</w:t>
            </w:r>
          </w:p>
        </w:tc>
        <w:tc>
          <w:tcPr>
            <w:tcW w:w="2958" w:type="dxa"/>
            <w:noWrap w:val="0"/>
            <w:vAlign w:val="center"/>
          </w:tcPr>
          <w:p w14:paraId="3DA16E5B">
            <w:pPr>
              <w:shd w:val="clear" w:color="auto" w:fill="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w:t>
            </w:r>
          </w:p>
        </w:tc>
      </w:tr>
      <w:tr w14:paraId="04C0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7A2B697C">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土地利用类型</w:t>
            </w:r>
          </w:p>
        </w:tc>
        <w:tc>
          <w:tcPr>
            <w:tcW w:w="2958" w:type="dxa"/>
            <w:noWrap w:val="0"/>
            <w:vAlign w:val="center"/>
          </w:tcPr>
          <w:p w14:paraId="1AE2A795">
            <w:pPr>
              <w:shd w:val="clear" w:color="auto" w:fill="auto"/>
              <w:jc w:val="center"/>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工业用地</w:t>
            </w:r>
          </w:p>
        </w:tc>
      </w:tr>
      <w:tr w14:paraId="755E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71F61903">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区域湿度条件</w:t>
            </w:r>
          </w:p>
        </w:tc>
        <w:tc>
          <w:tcPr>
            <w:tcW w:w="2958" w:type="dxa"/>
            <w:noWrap w:val="0"/>
            <w:vAlign w:val="center"/>
          </w:tcPr>
          <w:p w14:paraId="58C522A3">
            <w:pPr>
              <w:shd w:val="clear" w:color="auto" w:fill="auto"/>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潮湿气候</w:t>
            </w:r>
          </w:p>
        </w:tc>
      </w:tr>
      <w:tr w14:paraId="4204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restart"/>
            <w:noWrap w:val="0"/>
            <w:vAlign w:val="center"/>
          </w:tcPr>
          <w:p w14:paraId="7EF3568F">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是否考虑地形</w:t>
            </w:r>
          </w:p>
        </w:tc>
        <w:tc>
          <w:tcPr>
            <w:tcW w:w="2957" w:type="dxa"/>
            <w:noWrap w:val="0"/>
            <w:vAlign w:val="top"/>
          </w:tcPr>
          <w:p w14:paraId="26BBBC8A">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考虑地形</w:t>
            </w:r>
          </w:p>
        </w:tc>
        <w:tc>
          <w:tcPr>
            <w:tcW w:w="2958" w:type="dxa"/>
            <w:noWrap w:val="0"/>
            <w:vAlign w:val="top"/>
          </w:tcPr>
          <w:p w14:paraId="5202BB30">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lang w:eastAsia="zh-CN"/>
              </w:rPr>
              <w:t>是</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eastAsia="zh-CN"/>
              </w:rPr>
              <w:t>否</w:t>
            </w:r>
          </w:p>
        </w:tc>
      </w:tr>
      <w:tr w14:paraId="7F5C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continue"/>
            <w:noWrap w:val="0"/>
            <w:vAlign w:val="top"/>
          </w:tcPr>
          <w:p w14:paraId="6C1B40A0">
            <w:pPr>
              <w:shd w:val="clear" w:color="auto" w:fill="auto"/>
              <w:jc w:val="center"/>
              <w:rPr>
                <w:rFonts w:hint="default" w:ascii="Times New Roman" w:hAnsi="Times New Roman" w:eastAsia="宋体" w:cs="Times New Roman"/>
                <w:color w:val="auto"/>
                <w:sz w:val="21"/>
                <w:szCs w:val="21"/>
                <w:highlight w:val="none"/>
                <w:vertAlign w:val="baseline"/>
              </w:rPr>
            </w:pPr>
          </w:p>
        </w:tc>
        <w:tc>
          <w:tcPr>
            <w:tcW w:w="2957" w:type="dxa"/>
            <w:noWrap w:val="0"/>
            <w:vAlign w:val="top"/>
          </w:tcPr>
          <w:p w14:paraId="3D04DB52">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地形数据分辨率</w:t>
            </w:r>
            <w:r>
              <w:rPr>
                <w:rFonts w:hint="default" w:ascii="Times New Roman" w:hAnsi="Times New Roman" w:eastAsia="宋体" w:cs="Times New Roman"/>
                <w:b w:val="0"/>
                <w:bCs/>
                <w:color w:val="auto"/>
                <w:sz w:val="21"/>
                <w:szCs w:val="21"/>
                <w:highlight w:val="none"/>
                <w:vertAlign w:val="baseline"/>
                <w:lang w:val="en-US" w:eastAsia="zh-CN"/>
              </w:rPr>
              <w:t>/m</w:t>
            </w:r>
          </w:p>
        </w:tc>
        <w:tc>
          <w:tcPr>
            <w:tcW w:w="2958" w:type="dxa"/>
            <w:noWrap w:val="0"/>
            <w:vAlign w:val="top"/>
          </w:tcPr>
          <w:p w14:paraId="3AAC3143">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90</w:t>
            </w:r>
          </w:p>
        </w:tc>
      </w:tr>
      <w:tr w14:paraId="0DD1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restart"/>
            <w:noWrap w:val="0"/>
            <w:vAlign w:val="center"/>
          </w:tcPr>
          <w:p w14:paraId="7D7A1E76">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是否考虑岸线熏烟</w:t>
            </w:r>
          </w:p>
        </w:tc>
        <w:tc>
          <w:tcPr>
            <w:tcW w:w="2957" w:type="dxa"/>
            <w:noWrap w:val="0"/>
            <w:vAlign w:val="top"/>
          </w:tcPr>
          <w:p w14:paraId="5B4A1F8B">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考虑岸线熏烟</w:t>
            </w:r>
          </w:p>
        </w:tc>
        <w:tc>
          <w:tcPr>
            <w:tcW w:w="2958" w:type="dxa"/>
            <w:noWrap w:val="0"/>
            <w:vAlign w:val="top"/>
          </w:tcPr>
          <w:p w14:paraId="5E31A2E8">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lang w:eastAsia="zh-CN"/>
              </w:rPr>
              <w:t>是</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eastAsia="zh-CN"/>
              </w:rPr>
              <w:t>否</w:t>
            </w:r>
          </w:p>
        </w:tc>
      </w:tr>
      <w:tr w14:paraId="0D0F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continue"/>
            <w:noWrap w:val="0"/>
            <w:vAlign w:val="top"/>
          </w:tcPr>
          <w:p w14:paraId="12612596">
            <w:pPr>
              <w:shd w:val="clear" w:color="auto" w:fill="auto"/>
              <w:jc w:val="center"/>
              <w:rPr>
                <w:rFonts w:hint="default" w:ascii="Times New Roman" w:hAnsi="Times New Roman" w:eastAsia="宋体" w:cs="Times New Roman"/>
                <w:color w:val="auto"/>
                <w:sz w:val="21"/>
                <w:szCs w:val="21"/>
                <w:highlight w:val="none"/>
                <w:vertAlign w:val="baseline"/>
              </w:rPr>
            </w:pPr>
          </w:p>
        </w:tc>
        <w:tc>
          <w:tcPr>
            <w:tcW w:w="2957" w:type="dxa"/>
            <w:noWrap w:val="0"/>
            <w:vAlign w:val="top"/>
          </w:tcPr>
          <w:p w14:paraId="425F9760">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岸线距离</w:t>
            </w:r>
            <w:r>
              <w:rPr>
                <w:rFonts w:hint="default" w:ascii="Times New Roman" w:hAnsi="Times New Roman" w:eastAsia="宋体" w:cs="Times New Roman"/>
                <w:b w:val="0"/>
                <w:bCs/>
                <w:color w:val="auto"/>
                <w:sz w:val="21"/>
                <w:szCs w:val="21"/>
                <w:highlight w:val="none"/>
                <w:vertAlign w:val="baseline"/>
                <w:lang w:val="en-US" w:eastAsia="zh-CN"/>
              </w:rPr>
              <w:t>/m</w:t>
            </w:r>
          </w:p>
        </w:tc>
        <w:tc>
          <w:tcPr>
            <w:tcW w:w="2958" w:type="dxa"/>
            <w:noWrap w:val="0"/>
            <w:vAlign w:val="top"/>
          </w:tcPr>
          <w:p w14:paraId="7148D023">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val="en-US" w:eastAsia="zh-CN"/>
              </w:rPr>
              <w:t>/</w:t>
            </w:r>
          </w:p>
        </w:tc>
      </w:tr>
      <w:tr w14:paraId="4173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7" w:type="dxa"/>
            <w:vMerge w:val="continue"/>
            <w:noWrap w:val="0"/>
            <w:vAlign w:val="top"/>
          </w:tcPr>
          <w:p w14:paraId="1F250F88">
            <w:pPr>
              <w:shd w:val="clear" w:color="auto" w:fill="auto"/>
              <w:jc w:val="center"/>
              <w:rPr>
                <w:rFonts w:hint="default" w:ascii="Times New Roman" w:hAnsi="Times New Roman" w:eastAsia="宋体" w:cs="Times New Roman"/>
                <w:color w:val="auto"/>
                <w:sz w:val="21"/>
                <w:szCs w:val="21"/>
                <w:highlight w:val="none"/>
                <w:vertAlign w:val="baseline"/>
              </w:rPr>
            </w:pPr>
          </w:p>
        </w:tc>
        <w:tc>
          <w:tcPr>
            <w:tcW w:w="2957" w:type="dxa"/>
            <w:noWrap w:val="0"/>
            <w:vAlign w:val="top"/>
          </w:tcPr>
          <w:p w14:paraId="17D6F7E4">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岸方向线</w:t>
            </w:r>
            <w:r>
              <w:rPr>
                <w:rFonts w:hint="default" w:ascii="Times New Roman" w:hAnsi="Times New Roman" w:eastAsia="宋体" w:cs="Times New Roman"/>
                <w:b w:val="0"/>
                <w:bCs/>
                <w:color w:val="auto"/>
                <w:sz w:val="21"/>
                <w:szCs w:val="21"/>
                <w:highlight w:val="none"/>
                <w:vertAlign w:val="baseline"/>
                <w:lang w:val="en-US" w:eastAsia="zh-CN"/>
              </w:rPr>
              <w:t>/º</w:t>
            </w:r>
          </w:p>
        </w:tc>
        <w:tc>
          <w:tcPr>
            <w:tcW w:w="2958" w:type="dxa"/>
            <w:noWrap w:val="0"/>
            <w:vAlign w:val="top"/>
          </w:tcPr>
          <w:p w14:paraId="4E510643">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val="en-US" w:eastAsia="zh-CN"/>
              </w:rPr>
              <w:t>/</w:t>
            </w:r>
          </w:p>
        </w:tc>
      </w:tr>
    </w:tbl>
    <w:p w14:paraId="4CB7564F">
      <w:pPr>
        <w:spacing w:line="480" w:lineRule="exact"/>
        <w:jc w:val="left"/>
        <w:rPr>
          <w:rFonts w:hint="default" w:ascii="Times New Roman" w:hAnsi="Times New Roman" w:eastAsia="宋体" w:cs="Times New Roman"/>
          <w:b/>
          <w:color w:val="auto"/>
        </w:rPr>
      </w:pPr>
      <w:r>
        <w:rPr>
          <w:rFonts w:hint="default" w:ascii="Times New Roman" w:hAnsi="Times New Roman" w:eastAsia="宋体" w:cs="Times New Roman"/>
          <w:color w:val="auto"/>
        </w:rPr>
        <w:t>本项目所有污染源的正常排放的污染物的P</w:t>
      </w:r>
      <w:r>
        <w:rPr>
          <w:rFonts w:hint="default" w:ascii="Times New Roman" w:hAnsi="Times New Roman" w:eastAsia="宋体" w:cs="Times New Roman"/>
          <w:color w:val="auto"/>
          <w:vertAlign w:val="subscript"/>
        </w:rPr>
        <w:t>max</w:t>
      </w:r>
      <w:r>
        <w:rPr>
          <w:rFonts w:hint="default" w:ascii="Times New Roman" w:hAnsi="Times New Roman" w:eastAsia="宋体" w:cs="Times New Roman"/>
          <w:color w:val="auto"/>
        </w:rPr>
        <w:t>和D</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预测结果如下：</w:t>
      </w:r>
    </w:p>
    <w:p w14:paraId="347A2080">
      <w:pPr>
        <w:spacing w:line="480" w:lineRule="exact"/>
        <w:ind w:firstLine="422" w:firstLineChars="176"/>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eastAsia" w:ascii="Times New Roman" w:hAnsi="Times New Roman" w:cs="Times New Roman"/>
          <w:b/>
          <w:color w:val="auto"/>
          <w:lang w:val="en-US" w:eastAsia="zh-CN"/>
        </w:rPr>
        <w:t xml:space="preserve">1.6-5 </w:t>
      </w:r>
      <w:r>
        <w:rPr>
          <w:rFonts w:hint="default" w:ascii="Times New Roman" w:hAnsi="Times New Roman" w:eastAsia="宋体" w:cs="Times New Roman"/>
          <w:b/>
          <w:color w:val="auto"/>
        </w:rPr>
        <w:t xml:space="preserve"> P</w:t>
      </w:r>
      <w:r>
        <w:rPr>
          <w:rFonts w:hint="default" w:ascii="Times New Roman" w:hAnsi="Times New Roman" w:eastAsia="宋体" w:cs="Times New Roman"/>
          <w:b/>
          <w:color w:val="auto"/>
          <w:vertAlign w:val="subscript"/>
        </w:rPr>
        <w:t>max</w:t>
      </w:r>
      <w:r>
        <w:rPr>
          <w:rFonts w:hint="default" w:ascii="Times New Roman" w:hAnsi="Times New Roman" w:eastAsia="宋体" w:cs="Times New Roman"/>
          <w:b/>
          <w:color w:val="auto"/>
        </w:rPr>
        <w:t>和D</w:t>
      </w:r>
      <w:r>
        <w:rPr>
          <w:rFonts w:hint="default" w:ascii="Times New Roman" w:hAnsi="Times New Roman" w:eastAsia="宋体" w:cs="Times New Roman"/>
          <w:b/>
          <w:color w:val="auto"/>
          <w:vertAlign w:val="subscript"/>
        </w:rPr>
        <w:t>10%</w:t>
      </w:r>
      <w:r>
        <w:rPr>
          <w:rFonts w:hint="default" w:ascii="Times New Roman" w:hAnsi="Times New Roman" w:eastAsia="宋体" w:cs="Times New Roman"/>
          <w:b/>
          <w:color w:val="auto"/>
        </w:rPr>
        <w:t>预测和计算结果一览表</w:t>
      </w:r>
    </w:p>
    <w:tbl>
      <w:tblPr>
        <w:tblStyle w:val="6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49"/>
        <w:gridCol w:w="1549"/>
        <w:gridCol w:w="1547"/>
        <w:gridCol w:w="1549"/>
        <w:gridCol w:w="1545"/>
      </w:tblGrid>
      <w:tr w14:paraId="0DF4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547" w:type="dxa"/>
            <w:vAlign w:val="center"/>
          </w:tcPr>
          <w:p w14:paraId="345F8161">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污染源名称</w:t>
            </w:r>
          </w:p>
        </w:tc>
        <w:tc>
          <w:tcPr>
            <w:tcW w:w="1549" w:type="dxa"/>
            <w:vAlign w:val="center"/>
          </w:tcPr>
          <w:p w14:paraId="11A8376C">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评价因子</w:t>
            </w:r>
          </w:p>
        </w:tc>
        <w:tc>
          <w:tcPr>
            <w:tcW w:w="1549" w:type="dxa"/>
            <w:vAlign w:val="center"/>
          </w:tcPr>
          <w:p w14:paraId="23239A13">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评价标准</w:t>
            </w:r>
            <w:r>
              <w:rPr>
                <w:rFonts w:hint="eastAsia" w:ascii="Times New Roman" w:hAnsi="Times New Roman" w:eastAsia="宋体" w:cs="Times New Roman"/>
                <w:b/>
                <w:bCs/>
                <w:color w:val="auto"/>
                <w:sz w:val="21"/>
                <w:szCs w:val="21"/>
                <w:highlight w:val="none"/>
                <w:vertAlign w:val="baseline"/>
              </w:rPr>
              <w:t>(</w:t>
            </w:r>
            <w:r>
              <w:rPr>
                <w:rFonts w:hint="default" w:ascii="Times New Roman" w:hAnsi="Times New Roman" w:eastAsia="宋体" w:cs="Times New Roman"/>
                <w:b/>
                <w:bCs/>
                <w:color w:val="auto"/>
                <w:sz w:val="21"/>
                <w:szCs w:val="21"/>
                <w:highlight w:val="none"/>
                <w:vertAlign w:val="baseline"/>
              </w:rPr>
              <w:t>μg/m3</w:t>
            </w:r>
            <w:r>
              <w:rPr>
                <w:rFonts w:hint="eastAsia" w:ascii="Times New Roman" w:hAnsi="Times New Roman" w:eastAsia="宋体" w:cs="Times New Roman"/>
                <w:b/>
                <w:bCs/>
                <w:color w:val="auto"/>
                <w:sz w:val="21"/>
                <w:szCs w:val="21"/>
                <w:highlight w:val="none"/>
                <w:vertAlign w:val="baseline"/>
              </w:rPr>
              <w:t>)</w:t>
            </w:r>
          </w:p>
        </w:tc>
        <w:tc>
          <w:tcPr>
            <w:tcW w:w="1547" w:type="dxa"/>
            <w:vAlign w:val="center"/>
          </w:tcPr>
          <w:p w14:paraId="74BFC374">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C</w:t>
            </w:r>
            <w:r>
              <w:rPr>
                <w:rFonts w:hint="eastAsia" w:ascii="Times New Roman" w:hAnsi="Times New Roman" w:eastAsia="宋体" w:cs="Times New Roman"/>
                <w:b/>
                <w:bCs/>
                <w:color w:val="auto"/>
                <w:sz w:val="21"/>
                <w:szCs w:val="21"/>
                <w:highlight w:val="none"/>
                <w:vertAlign w:val="baseline"/>
              </w:rPr>
              <w:t>max</w:t>
            </w:r>
          </w:p>
          <w:p w14:paraId="76493A5D">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(μg/m3)</w:t>
            </w:r>
          </w:p>
        </w:tc>
        <w:tc>
          <w:tcPr>
            <w:tcW w:w="1549" w:type="dxa"/>
            <w:vAlign w:val="center"/>
          </w:tcPr>
          <w:p w14:paraId="6436F039">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P</w:t>
            </w:r>
            <w:r>
              <w:rPr>
                <w:rFonts w:hint="eastAsia" w:ascii="Times New Roman" w:hAnsi="Times New Roman" w:eastAsia="宋体" w:cs="Times New Roman"/>
                <w:b/>
                <w:bCs/>
                <w:color w:val="auto"/>
                <w:sz w:val="21"/>
                <w:szCs w:val="21"/>
                <w:highlight w:val="none"/>
                <w:vertAlign w:val="baseline"/>
              </w:rPr>
              <w:t>max</w:t>
            </w:r>
          </w:p>
          <w:p w14:paraId="797A3938">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w:t>
            </w:r>
          </w:p>
        </w:tc>
        <w:tc>
          <w:tcPr>
            <w:tcW w:w="1545" w:type="dxa"/>
            <w:vAlign w:val="center"/>
          </w:tcPr>
          <w:p w14:paraId="2E77C821">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D10%</w:t>
            </w:r>
          </w:p>
          <w:p w14:paraId="25619BCF">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(m)</w:t>
            </w:r>
          </w:p>
        </w:tc>
      </w:tr>
      <w:tr w14:paraId="3189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14:paraId="6410AD5B">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矩形面源</w:t>
            </w:r>
          </w:p>
        </w:tc>
        <w:tc>
          <w:tcPr>
            <w:tcW w:w="1549" w:type="dxa"/>
            <w:vAlign w:val="center"/>
          </w:tcPr>
          <w:p w14:paraId="09F32D3B">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TSP</w:t>
            </w:r>
          </w:p>
        </w:tc>
        <w:tc>
          <w:tcPr>
            <w:tcW w:w="1549" w:type="dxa"/>
            <w:vAlign w:val="center"/>
          </w:tcPr>
          <w:p w14:paraId="2CDBE9AD">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900.0</w:t>
            </w:r>
          </w:p>
        </w:tc>
        <w:tc>
          <w:tcPr>
            <w:tcW w:w="1547" w:type="dxa"/>
            <w:vAlign w:val="center"/>
          </w:tcPr>
          <w:p w14:paraId="559891BB">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0.0613</w:t>
            </w:r>
          </w:p>
        </w:tc>
        <w:tc>
          <w:tcPr>
            <w:tcW w:w="1549" w:type="dxa"/>
            <w:vAlign w:val="center"/>
          </w:tcPr>
          <w:p w14:paraId="75910F62">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0.007</w:t>
            </w:r>
          </w:p>
        </w:tc>
        <w:tc>
          <w:tcPr>
            <w:tcW w:w="1545" w:type="dxa"/>
            <w:vAlign w:val="center"/>
          </w:tcPr>
          <w:p w14:paraId="7E9F0A55">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w:t>
            </w:r>
          </w:p>
        </w:tc>
      </w:tr>
      <w:tr w14:paraId="16DC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14:paraId="7F8C6C4C">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矩形面源</w:t>
            </w:r>
          </w:p>
        </w:tc>
        <w:tc>
          <w:tcPr>
            <w:tcW w:w="1549" w:type="dxa"/>
            <w:vAlign w:val="center"/>
          </w:tcPr>
          <w:p w14:paraId="41B4B77D">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vertAlign w:val="baseline"/>
              </w:rPr>
              <w:t>S</w:t>
            </w:r>
          </w:p>
        </w:tc>
        <w:tc>
          <w:tcPr>
            <w:tcW w:w="1549" w:type="dxa"/>
            <w:vAlign w:val="center"/>
          </w:tcPr>
          <w:p w14:paraId="2B33CB98">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10.0</w:t>
            </w:r>
          </w:p>
        </w:tc>
        <w:tc>
          <w:tcPr>
            <w:tcW w:w="1547" w:type="dxa"/>
            <w:vAlign w:val="center"/>
          </w:tcPr>
          <w:p w14:paraId="5BA49ABC">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0.0753</w:t>
            </w:r>
          </w:p>
        </w:tc>
        <w:tc>
          <w:tcPr>
            <w:tcW w:w="1549" w:type="dxa"/>
            <w:vAlign w:val="center"/>
          </w:tcPr>
          <w:p w14:paraId="332D6568">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0.753</w:t>
            </w:r>
          </w:p>
        </w:tc>
        <w:tc>
          <w:tcPr>
            <w:tcW w:w="1545" w:type="dxa"/>
            <w:vAlign w:val="center"/>
          </w:tcPr>
          <w:p w14:paraId="49EDB780">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w:t>
            </w:r>
          </w:p>
        </w:tc>
      </w:tr>
      <w:tr w14:paraId="2B545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14:paraId="13D7A531">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矩形面源</w:t>
            </w:r>
          </w:p>
        </w:tc>
        <w:tc>
          <w:tcPr>
            <w:tcW w:w="1549" w:type="dxa"/>
            <w:vAlign w:val="center"/>
          </w:tcPr>
          <w:p w14:paraId="5E185417">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NH</w:t>
            </w:r>
            <w:r>
              <w:rPr>
                <w:rFonts w:hint="default" w:ascii="Times New Roman" w:hAnsi="Times New Roman" w:eastAsia="宋体" w:cs="Times New Roman"/>
                <w:color w:val="auto"/>
                <w:sz w:val="21"/>
                <w:szCs w:val="21"/>
                <w:highlight w:val="none"/>
                <w:vertAlign w:val="subscript"/>
              </w:rPr>
              <w:t>3</w:t>
            </w:r>
          </w:p>
        </w:tc>
        <w:tc>
          <w:tcPr>
            <w:tcW w:w="1549" w:type="dxa"/>
            <w:vAlign w:val="center"/>
          </w:tcPr>
          <w:p w14:paraId="025EBDD3">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200.0</w:t>
            </w:r>
          </w:p>
        </w:tc>
        <w:tc>
          <w:tcPr>
            <w:tcW w:w="1547" w:type="dxa"/>
            <w:vAlign w:val="center"/>
          </w:tcPr>
          <w:p w14:paraId="15C05D6E">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0.8063</w:t>
            </w:r>
          </w:p>
        </w:tc>
        <w:tc>
          <w:tcPr>
            <w:tcW w:w="1549" w:type="dxa"/>
            <w:vAlign w:val="center"/>
          </w:tcPr>
          <w:p w14:paraId="6F3ECFE8">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0.403</w:t>
            </w:r>
          </w:p>
        </w:tc>
        <w:tc>
          <w:tcPr>
            <w:tcW w:w="1545" w:type="dxa"/>
            <w:vAlign w:val="center"/>
          </w:tcPr>
          <w:p w14:paraId="3903AD7F">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w:t>
            </w:r>
          </w:p>
        </w:tc>
      </w:tr>
    </w:tbl>
    <w:p w14:paraId="7E62B971">
      <w:pPr>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评价等级判定：根据《环境影响评价技术导则 大气环境》(HJ2.2-2018)分级判据，确定本项目大气环境影响评价工作等级为</w:t>
      </w:r>
      <w:r>
        <w:rPr>
          <w:rFonts w:hint="eastAsia" w:ascii="Times New Roman" w:hAnsi="Times New Roman" w:cs="Times New Roman"/>
          <w:color w:val="auto"/>
          <w:lang w:eastAsia="zh-CN"/>
        </w:rPr>
        <w:t>三</w:t>
      </w:r>
      <w:r>
        <w:rPr>
          <w:rFonts w:hint="default" w:ascii="Times New Roman" w:hAnsi="Times New Roman" w:eastAsia="宋体" w:cs="Times New Roman"/>
          <w:color w:val="auto"/>
        </w:rPr>
        <w:t>级。</w:t>
      </w:r>
    </w:p>
    <w:p w14:paraId="13F27BFF">
      <w:pPr>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（2）地表水环境</w:t>
      </w:r>
      <w:bookmarkEnd w:id="163"/>
      <w:bookmarkEnd w:id="164"/>
    </w:p>
    <w:p w14:paraId="2199A7BF">
      <w:pPr>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eastAsia="zh-CN"/>
        </w:rPr>
        <w:t>《环境影响评价技术导则 地表水环境》（HJ2.3-2018）</w:t>
      </w:r>
      <w:r>
        <w:rPr>
          <w:rFonts w:hint="default" w:ascii="Times New Roman" w:hAnsi="Times New Roman" w:eastAsia="宋体" w:cs="Times New Roman"/>
          <w:color w:val="auto"/>
        </w:rPr>
        <w:t>的规定，地表水评价工作等级的划分是由建设项目的</w:t>
      </w:r>
      <w:r>
        <w:rPr>
          <w:rFonts w:hint="default" w:ascii="Times New Roman" w:hAnsi="Times New Roman" w:eastAsia="宋体" w:cs="Times New Roman"/>
          <w:color w:val="auto"/>
          <w:lang w:eastAsia="zh-CN"/>
        </w:rPr>
        <w:t>废水排放量</w:t>
      </w:r>
      <w:r>
        <w:rPr>
          <w:rFonts w:hint="default" w:ascii="Times New Roman" w:hAnsi="Times New Roman" w:eastAsia="宋体" w:cs="Times New Roman"/>
          <w:color w:val="auto"/>
          <w:lang w:val="en-US" w:eastAsia="zh-CN"/>
        </w:rPr>
        <w:t>Q及水污染当量数W</w:t>
      </w:r>
      <w:r>
        <w:rPr>
          <w:rFonts w:hint="default" w:ascii="Times New Roman" w:hAnsi="Times New Roman" w:eastAsia="宋体" w:cs="Times New Roman"/>
          <w:color w:val="auto"/>
        </w:rPr>
        <w:t>确定</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rPr>
        <w:t>地表水评价工作等级</w:t>
      </w:r>
      <w:r>
        <w:rPr>
          <w:rFonts w:hint="default" w:ascii="Times New Roman" w:hAnsi="Times New Roman" w:eastAsia="宋体" w:cs="Times New Roman"/>
          <w:color w:val="auto"/>
          <w:sz w:val="24"/>
          <w:lang w:eastAsia="zh-CN"/>
        </w:rPr>
        <w:t>判定依据，见表</w:t>
      </w:r>
      <w:r>
        <w:rPr>
          <w:rFonts w:hint="eastAsia" w:ascii="Times New Roman" w:hAnsi="Times New Roman" w:cs="Times New Roman"/>
          <w:color w:val="auto"/>
          <w:sz w:val="24"/>
          <w:lang w:val="en-US" w:eastAsia="zh-CN"/>
        </w:rPr>
        <w:t>1.6-6</w:t>
      </w:r>
      <w:r>
        <w:rPr>
          <w:rFonts w:hint="default" w:ascii="Times New Roman" w:hAnsi="Times New Roman" w:eastAsia="宋体" w:cs="Times New Roman"/>
          <w:color w:val="auto"/>
          <w:sz w:val="24"/>
        </w:rPr>
        <w:t>。</w:t>
      </w:r>
    </w:p>
    <w:p w14:paraId="2A627E6E">
      <w:pPr>
        <w:adjustRightInd w:val="0"/>
        <w:snapToGrid w:val="0"/>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b/>
          <w:color w:val="auto"/>
          <w:sz w:val="24"/>
        </w:rPr>
        <w:t>表</w:t>
      </w:r>
      <w:r>
        <w:rPr>
          <w:rFonts w:hint="eastAsia" w:ascii="Times New Roman" w:hAnsi="Times New Roman" w:cs="Times New Roman"/>
          <w:b/>
          <w:color w:val="auto"/>
          <w:sz w:val="24"/>
          <w:lang w:val="en-US" w:eastAsia="zh-CN"/>
        </w:rPr>
        <w:t>1.6-6</w:t>
      </w:r>
      <w:r>
        <w:rPr>
          <w:rFonts w:hint="default" w:ascii="Times New Roman" w:hAnsi="Times New Roman" w:eastAsia="宋体" w:cs="Times New Roman"/>
          <w:b/>
          <w:color w:val="auto"/>
          <w:sz w:val="24"/>
        </w:rPr>
        <w:t xml:space="preserve"> 地表水评价工作等级</w:t>
      </w:r>
      <w:r>
        <w:rPr>
          <w:rFonts w:hint="default" w:ascii="Times New Roman" w:hAnsi="Times New Roman" w:eastAsia="宋体" w:cs="Times New Roman"/>
          <w:b/>
          <w:color w:val="auto"/>
          <w:sz w:val="24"/>
          <w:lang w:eastAsia="zh-CN"/>
        </w:rPr>
        <w:t>判定依据</w:t>
      </w:r>
      <w:r>
        <w:rPr>
          <w:rFonts w:hint="default" w:ascii="Times New Roman" w:hAnsi="Times New Roman" w:eastAsia="宋体" w:cs="Times New Roman"/>
          <w:b/>
          <w:color w:val="auto"/>
          <w:sz w:val="24"/>
        </w:rPr>
        <w:t>一览表</w:t>
      </w:r>
    </w:p>
    <w:tbl>
      <w:tblPr>
        <w:tblStyle w:val="6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1145"/>
        <w:gridCol w:w="4541"/>
      </w:tblGrid>
      <w:tr w14:paraId="5447C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2" w:type="dxa"/>
            <w:vMerge w:val="restart"/>
            <w:noWrap w:val="0"/>
            <w:vAlign w:val="top"/>
          </w:tcPr>
          <w:p w14:paraId="49933869">
            <w:pPr>
              <w:pStyle w:val="2"/>
              <w:jc w:val="center"/>
              <w:rPr>
                <w:rFonts w:hint="default" w:ascii="Times New Roman" w:hAnsi="Times New Roman" w:eastAsia="宋体" w:cs="Times New Roman"/>
                <w:b/>
                <w:bCs/>
                <w:color w:val="auto"/>
                <w:vertAlign w:val="baseline"/>
                <w:lang w:eastAsia="zh-CN"/>
              </w:rPr>
            </w:pPr>
          </w:p>
          <w:p w14:paraId="7C7974F2">
            <w:pPr>
              <w:pStyle w:val="2"/>
              <w:jc w:val="center"/>
              <w:rPr>
                <w:rFonts w:hint="default" w:ascii="Times New Roman" w:hAnsi="Times New Roman" w:eastAsia="宋体" w:cs="Times New Roman"/>
                <w:b/>
                <w:bCs/>
                <w:color w:val="auto"/>
                <w:vertAlign w:val="baseline"/>
                <w:lang w:eastAsia="zh-CN"/>
              </w:rPr>
            </w:pPr>
            <w:r>
              <w:rPr>
                <w:rFonts w:hint="default" w:ascii="Times New Roman" w:hAnsi="Times New Roman" w:eastAsia="宋体" w:cs="Times New Roman"/>
                <w:b/>
                <w:bCs/>
                <w:color w:val="auto"/>
                <w:vertAlign w:val="baseline"/>
                <w:lang w:eastAsia="zh-CN"/>
              </w:rPr>
              <w:t>评价等级</w:t>
            </w:r>
          </w:p>
        </w:tc>
        <w:tc>
          <w:tcPr>
            <w:tcW w:w="5686" w:type="dxa"/>
            <w:gridSpan w:val="2"/>
            <w:noWrap w:val="0"/>
            <w:vAlign w:val="top"/>
          </w:tcPr>
          <w:p w14:paraId="15D3ADB4">
            <w:pPr>
              <w:pStyle w:val="2"/>
              <w:jc w:val="center"/>
              <w:rPr>
                <w:rFonts w:hint="default" w:ascii="Times New Roman" w:hAnsi="Times New Roman" w:eastAsia="宋体" w:cs="Times New Roman"/>
                <w:b/>
                <w:bCs/>
                <w:color w:val="auto"/>
                <w:vertAlign w:val="baseline"/>
                <w:lang w:eastAsia="zh-CN"/>
              </w:rPr>
            </w:pPr>
            <w:r>
              <w:rPr>
                <w:rFonts w:hint="default" w:ascii="Times New Roman" w:hAnsi="Times New Roman" w:eastAsia="宋体" w:cs="Times New Roman"/>
                <w:b/>
                <w:bCs/>
                <w:color w:val="auto"/>
                <w:vertAlign w:val="baseline"/>
                <w:lang w:eastAsia="zh-CN"/>
              </w:rPr>
              <w:t>判定依据</w:t>
            </w:r>
          </w:p>
        </w:tc>
      </w:tr>
      <w:tr w14:paraId="0648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2842" w:type="dxa"/>
            <w:vMerge w:val="continue"/>
            <w:noWrap w:val="0"/>
            <w:vAlign w:val="top"/>
          </w:tcPr>
          <w:p w14:paraId="4366367E">
            <w:pPr>
              <w:pStyle w:val="2"/>
              <w:rPr>
                <w:rFonts w:hint="default" w:ascii="Times New Roman" w:hAnsi="Times New Roman" w:eastAsia="宋体" w:cs="Times New Roman"/>
                <w:b/>
                <w:bCs/>
                <w:color w:val="auto"/>
                <w:vertAlign w:val="baseline"/>
              </w:rPr>
            </w:pPr>
          </w:p>
        </w:tc>
        <w:tc>
          <w:tcPr>
            <w:tcW w:w="1145" w:type="dxa"/>
            <w:noWrap w:val="0"/>
            <w:vAlign w:val="top"/>
          </w:tcPr>
          <w:p w14:paraId="6B2F9200">
            <w:pPr>
              <w:pStyle w:val="2"/>
              <w:jc w:val="center"/>
              <w:rPr>
                <w:rFonts w:hint="default" w:ascii="Times New Roman" w:hAnsi="Times New Roman" w:eastAsia="宋体" w:cs="Times New Roman"/>
                <w:b/>
                <w:bCs/>
                <w:color w:val="auto"/>
                <w:vertAlign w:val="baseline"/>
                <w:lang w:eastAsia="zh-CN"/>
              </w:rPr>
            </w:pPr>
            <w:r>
              <w:rPr>
                <w:rFonts w:hint="default" w:ascii="Times New Roman" w:hAnsi="Times New Roman" w:eastAsia="宋体" w:cs="Times New Roman"/>
                <w:b/>
                <w:bCs/>
                <w:color w:val="auto"/>
                <w:vertAlign w:val="baseline"/>
                <w:lang w:eastAsia="zh-CN"/>
              </w:rPr>
              <w:t>排放方式</w:t>
            </w:r>
          </w:p>
        </w:tc>
        <w:tc>
          <w:tcPr>
            <w:tcW w:w="4541" w:type="dxa"/>
            <w:noWrap w:val="0"/>
            <w:vAlign w:val="top"/>
          </w:tcPr>
          <w:p w14:paraId="09ED8F6C">
            <w:pPr>
              <w:pStyle w:val="2"/>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eastAsia="zh-CN"/>
              </w:rPr>
              <w:t>废水排放量Q</w:t>
            </w:r>
            <w:r>
              <w:rPr>
                <w:rFonts w:hint="default" w:ascii="Times New Roman" w:hAnsi="Times New Roman" w:eastAsia="宋体" w:cs="Times New Roman"/>
                <w:b/>
                <w:bCs/>
                <w:color w:val="auto"/>
                <w:vertAlign w:val="baseline"/>
                <w:lang w:val="en-US" w:eastAsia="zh-CN"/>
              </w:rPr>
              <w:t>/（m</w:t>
            </w:r>
            <w:r>
              <w:rPr>
                <w:rFonts w:hint="default" w:ascii="Times New Roman" w:hAnsi="Times New Roman" w:eastAsia="宋体" w:cs="Times New Roman"/>
                <w:b/>
                <w:bCs/>
                <w:color w:val="auto"/>
                <w:vertAlign w:val="superscript"/>
                <w:lang w:val="en-US" w:eastAsia="zh-CN"/>
              </w:rPr>
              <w:t>3</w:t>
            </w:r>
            <w:r>
              <w:rPr>
                <w:rFonts w:hint="default" w:ascii="Times New Roman" w:hAnsi="Times New Roman" w:eastAsia="宋体" w:cs="Times New Roman"/>
                <w:b/>
                <w:bCs/>
                <w:color w:val="auto"/>
                <w:vertAlign w:val="baseline"/>
                <w:lang w:val="en-US" w:eastAsia="zh-CN"/>
              </w:rPr>
              <w:t>/d）；水污染物当量数W/（无量纲）</w:t>
            </w:r>
          </w:p>
        </w:tc>
      </w:tr>
      <w:tr w14:paraId="7CDF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842" w:type="dxa"/>
            <w:noWrap w:val="0"/>
            <w:vAlign w:val="top"/>
          </w:tcPr>
          <w:p w14:paraId="04D361F1">
            <w:pPr>
              <w:pStyle w:val="2"/>
              <w:jc w:val="center"/>
              <w:rPr>
                <w:rFonts w:hint="default" w:ascii="Times New Roman" w:hAnsi="Times New Roman" w:eastAsia="宋体" w:cs="Times New Roman"/>
                <w:b/>
                <w:bCs/>
                <w:color w:val="auto"/>
                <w:vertAlign w:val="baseline"/>
                <w:lang w:eastAsia="zh-CN"/>
              </w:rPr>
            </w:pPr>
            <w:r>
              <w:rPr>
                <w:rFonts w:hint="default" w:ascii="Times New Roman" w:hAnsi="Times New Roman" w:eastAsia="宋体" w:cs="Times New Roman"/>
                <w:b/>
                <w:bCs/>
                <w:color w:val="auto"/>
                <w:vertAlign w:val="baseline"/>
                <w:lang w:eastAsia="zh-CN"/>
              </w:rPr>
              <w:t>一级</w:t>
            </w:r>
          </w:p>
        </w:tc>
        <w:tc>
          <w:tcPr>
            <w:tcW w:w="1145" w:type="dxa"/>
            <w:noWrap w:val="0"/>
            <w:vAlign w:val="top"/>
          </w:tcPr>
          <w:p w14:paraId="326A3401">
            <w:pPr>
              <w:pStyle w:val="2"/>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直接排放</w:t>
            </w:r>
          </w:p>
        </w:tc>
        <w:tc>
          <w:tcPr>
            <w:tcW w:w="4541" w:type="dxa"/>
            <w:noWrap w:val="0"/>
            <w:vAlign w:val="top"/>
          </w:tcPr>
          <w:p w14:paraId="090D8EF8">
            <w:pPr>
              <w:pStyle w:val="2"/>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Q≥20000或W≥600000</w:t>
            </w:r>
          </w:p>
        </w:tc>
      </w:tr>
      <w:tr w14:paraId="5BD1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noWrap w:val="0"/>
            <w:vAlign w:val="top"/>
          </w:tcPr>
          <w:p w14:paraId="42114028">
            <w:pPr>
              <w:pStyle w:val="2"/>
              <w:jc w:val="center"/>
              <w:rPr>
                <w:rFonts w:hint="default" w:ascii="Times New Roman" w:hAnsi="Times New Roman" w:eastAsia="宋体" w:cs="Times New Roman"/>
                <w:b/>
                <w:bCs/>
                <w:color w:val="auto"/>
                <w:vertAlign w:val="baseline"/>
                <w:lang w:eastAsia="zh-CN"/>
              </w:rPr>
            </w:pPr>
            <w:r>
              <w:rPr>
                <w:rFonts w:hint="default" w:ascii="Times New Roman" w:hAnsi="Times New Roman" w:eastAsia="宋体" w:cs="Times New Roman"/>
                <w:b/>
                <w:bCs/>
                <w:color w:val="auto"/>
                <w:vertAlign w:val="baseline"/>
                <w:lang w:eastAsia="zh-CN"/>
              </w:rPr>
              <w:t>二级</w:t>
            </w:r>
          </w:p>
        </w:tc>
        <w:tc>
          <w:tcPr>
            <w:tcW w:w="1145" w:type="dxa"/>
            <w:noWrap w:val="0"/>
            <w:vAlign w:val="top"/>
          </w:tcPr>
          <w:p w14:paraId="12BC5064">
            <w:pPr>
              <w:pStyle w:val="2"/>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直接排放</w:t>
            </w:r>
          </w:p>
        </w:tc>
        <w:tc>
          <w:tcPr>
            <w:tcW w:w="4541" w:type="dxa"/>
            <w:noWrap w:val="0"/>
            <w:vAlign w:val="top"/>
          </w:tcPr>
          <w:p w14:paraId="0FB2917A">
            <w:pPr>
              <w:pStyle w:val="2"/>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其他</w:t>
            </w:r>
          </w:p>
        </w:tc>
      </w:tr>
      <w:tr w14:paraId="64C1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noWrap w:val="0"/>
            <w:vAlign w:val="top"/>
          </w:tcPr>
          <w:p w14:paraId="156A54D5">
            <w:pPr>
              <w:pStyle w:val="2"/>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eastAsia="zh-CN"/>
              </w:rPr>
              <w:t>三级</w:t>
            </w:r>
            <w:r>
              <w:rPr>
                <w:rFonts w:hint="default" w:ascii="Times New Roman" w:hAnsi="Times New Roman" w:eastAsia="宋体" w:cs="Times New Roman"/>
                <w:b/>
                <w:bCs/>
                <w:color w:val="auto"/>
                <w:vertAlign w:val="baseline"/>
                <w:lang w:val="en-US" w:eastAsia="zh-CN"/>
              </w:rPr>
              <w:t>A</w:t>
            </w:r>
          </w:p>
        </w:tc>
        <w:tc>
          <w:tcPr>
            <w:tcW w:w="1145" w:type="dxa"/>
            <w:noWrap w:val="0"/>
            <w:vAlign w:val="top"/>
          </w:tcPr>
          <w:p w14:paraId="6F5A9B48">
            <w:pPr>
              <w:pStyle w:val="2"/>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直接排放</w:t>
            </w:r>
          </w:p>
        </w:tc>
        <w:tc>
          <w:tcPr>
            <w:tcW w:w="4541" w:type="dxa"/>
            <w:noWrap w:val="0"/>
            <w:vAlign w:val="top"/>
          </w:tcPr>
          <w:p w14:paraId="20B04B35">
            <w:pPr>
              <w:pStyle w:val="2"/>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Q＜200且W＜6000</w:t>
            </w:r>
          </w:p>
        </w:tc>
      </w:tr>
      <w:tr w14:paraId="44E6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2" w:type="dxa"/>
            <w:noWrap w:val="0"/>
            <w:vAlign w:val="top"/>
          </w:tcPr>
          <w:p w14:paraId="42E203AF">
            <w:pPr>
              <w:pStyle w:val="2"/>
              <w:jc w:val="center"/>
              <w:rPr>
                <w:rFonts w:hint="default" w:ascii="Times New Roman" w:hAnsi="Times New Roman" w:eastAsia="宋体" w:cs="Times New Roman"/>
                <w:b/>
                <w:bCs/>
                <w:color w:val="auto"/>
                <w:vertAlign w:val="baseline"/>
                <w:lang w:val="en-US" w:eastAsia="zh-CN"/>
              </w:rPr>
            </w:pPr>
            <w:r>
              <w:rPr>
                <w:rFonts w:hint="default" w:ascii="Times New Roman" w:hAnsi="Times New Roman" w:eastAsia="宋体" w:cs="Times New Roman"/>
                <w:b/>
                <w:bCs/>
                <w:color w:val="auto"/>
                <w:vertAlign w:val="baseline"/>
                <w:lang w:eastAsia="zh-CN"/>
              </w:rPr>
              <w:t>三级</w:t>
            </w:r>
            <w:r>
              <w:rPr>
                <w:rFonts w:hint="default" w:ascii="Times New Roman" w:hAnsi="Times New Roman" w:eastAsia="宋体" w:cs="Times New Roman"/>
                <w:b/>
                <w:bCs/>
                <w:color w:val="auto"/>
                <w:vertAlign w:val="baseline"/>
                <w:lang w:val="en-US" w:eastAsia="zh-CN"/>
              </w:rPr>
              <w:t>B</w:t>
            </w:r>
          </w:p>
        </w:tc>
        <w:tc>
          <w:tcPr>
            <w:tcW w:w="1145" w:type="dxa"/>
            <w:noWrap w:val="0"/>
            <w:vAlign w:val="top"/>
          </w:tcPr>
          <w:p w14:paraId="37C26E56">
            <w:pPr>
              <w:pStyle w:val="2"/>
              <w:jc w:val="center"/>
              <w:rPr>
                <w:rFonts w:hint="default" w:ascii="Times New Roman" w:hAnsi="Times New Roman" w:eastAsia="宋体" w:cs="Times New Roman"/>
                <w:color w:val="auto"/>
                <w:vertAlign w:val="baseline"/>
                <w:lang w:eastAsia="zh-CN"/>
              </w:rPr>
            </w:pPr>
            <w:r>
              <w:rPr>
                <w:rFonts w:hint="default" w:ascii="Times New Roman" w:hAnsi="Times New Roman" w:eastAsia="宋体" w:cs="Times New Roman"/>
                <w:color w:val="auto"/>
                <w:vertAlign w:val="baseline"/>
                <w:lang w:eastAsia="zh-CN"/>
              </w:rPr>
              <w:t>间接排放</w:t>
            </w:r>
          </w:p>
        </w:tc>
        <w:tc>
          <w:tcPr>
            <w:tcW w:w="4541" w:type="dxa"/>
            <w:noWrap w:val="0"/>
            <w:vAlign w:val="top"/>
          </w:tcPr>
          <w:p w14:paraId="783E636D">
            <w:pPr>
              <w:pStyle w:val="2"/>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w:t>
            </w:r>
          </w:p>
        </w:tc>
      </w:tr>
    </w:tbl>
    <w:p w14:paraId="2EDA1978">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运营期企业产生的生产废水</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lang w:eastAsia="zh-CN"/>
        </w:rPr>
        <w:t>，生活污水经隔油池化粪池处理后排入园区污水管网</w:t>
      </w:r>
      <w:r>
        <w:rPr>
          <w:rFonts w:hint="default" w:ascii="Times New Roman" w:hAnsi="Times New Roman" w:eastAsia="宋体" w:cs="Times New Roman"/>
          <w:color w:val="auto"/>
          <w:sz w:val="24"/>
        </w:rPr>
        <w:t>，外排废水执行</w:t>
      </w:r>
      <w:r>
        <w:rPr>
          <w:rFonts w:hint="default" w:ascii="Times New Roman" w:hAnsi="Times New Roman" w:eastAsia="宋体" w:cs="Times New Roman"/>
          <w:color w:val="auto"/>
          <w:kern w:val="10"/>
          <w:sz w:val="24"/>
        </w:rPr>
        <w:t>《污水综合排放标准》（GB8978-1996）中三级标准和《污水排入城镇下水道水质标准》（GB/T31962-2015）表1中B级标准</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根据《环境影响评价技术导则 地表水环境》（HJ2.3-2018）中的相关规定进行判定，项目废水间接排放</w:t>
      </w:r>
      <w:r>
        <w:rPr>
          <w:rFonts w:hint="default" w:ascii="Times New Roman" w:hAnsi="Times New Roman" w:eastAsia="宋体" w:cs="Times New Roman"/>
          <w:color w:val="auto"/>
          <w:lang w:val="en-US" w:eastAsia="zh-CN"/>
        </w:rPr>
        <w:t>，按三级B评价”，故本项目地表水评价等级为三级B</w:t>
      </w:r>
      <w:r>
        <w:rPr>
          <w:rFonts w:hint="default" w:ascii="Times New Roman" w:hAnsi="Times New Roman" w:eastAsia="宋体" w:cs="Times New Roman"/>
          <w:color w:val="auto"/>
        </w:rPr>
        <w:t>。</w:t>
      </w:r>
    </w:p>
    <w:p w14:paraId="55E85AB8">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（3）地下水环境</w:t>
      </w:r>
    </w:p>
    <w:p w14:paraId="001136F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 地下水环境》（HJ 610-2016），地下水环境评价工作等级的划分是由项目类别及地下水环境敏感程度确定，具体见表1.6-7。</w:t>
      </w:r>
    </w:p>
    <w:p w14:paraId="515DA939">
      <w:pPr>
        <w:adjustRightInd w:val="0"/>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rPr>
        <w:t>表1.6-7 地下水环境评价工作等级分级表</w:t>
      </w:r>
    </w:p>
    <w:tbl>
      <w:tblPr>
        <w:tblStyle w:val="66"/>
        <w:tblW w:w="85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36"/>
        <w:gridCol w:w="1565"/>
        <w:gridCol w:w="1765"/>
        <w:gridCol w:w="1962"/>
      </w:tblGrid>
      <w:tr w14:paraId="562C2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36" w:type="dxa"/>
            <w:tcBorders>
              <w:tl2br w:val="single" w:color="auto" w:sz="4" w:space="0"/>
            </w:tcBorders>
            <w:noWrap w:val="0"/>
            <w:vAlign w:val="center"/>
          </w:tcPr>
          <w:p w14:paraId="52937054">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项目类别</w:t>
            </w:r>
          </w:p>
          <w:p w14:paraId="7ABD2CEC">
            <w:pPr>
              <w:adjustRightInd w:val="0"/>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环境敏感程度</w:t>
            </w:r>
          </w:p>
        </w:tc>
        <w:tc>
          <w:tcPr>
            <w:tcW w:w="1565" w:type="dxa"/>
            <w:tcBorders>
              <w:right w:val="single" w:color="auto" w:sz="4" w:space="0"/>
            </w:tcBorders>
            <w:noWrap w:val="0"/>
            <w:vAlign w:val="center"/>
          </w:tcPr>
          <w:p w14:paraId="7F6ECA12">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I类</w:t>
            </w:r>
          </w:p>
        </w:tc>
        <w:tc>
          <w:tcPr>
            <w:tcW w:w="1765" w:type="dxa"/>
            <w:tcBorders>
              <w:left w:val="single" w:color="auto" w:sz="4" w:space="0"/>
              <w:right w:val="single" w:color="auto" w:sz="4" w:space="0"/>
            </w:tcBorders>
            <w:noWrap w:val="0"/>
            <w:vAlign w:val="center"/>
          </w:tcPr>
          <w:p w14:paraId="65D170E6">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II类</w:t>
            </w:r>
          </w:p>
        </w:tc>
        <w:tc>
          <w:tcPr>
            <w:tcW w:w="1962" w:type="dxa"/>
            <w:tcBorders>
              <w:left w:val="single" w:color="auto" w:sz="4" w:space="0"/>
            </w:tcBorders>
            <w:noWrap w:val="0"/>
            <w:vAlign w:val="center"/>
          </w:tcPr>
          <w:p w14:paraId="19FE9104">
            <w:pPr>
              <w:widowControl/>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III类</w:t>
            </w:r>
          </w:p>
        </w:tc>
      </w:tr>
      <w:tr w14:paraId="708884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36" w:type="dxa"/>
            <w:noWrap w:val="0"/>
            <w:vAlign w:val="center"/>
          </w:tcPr>
          <w:p w14:paraId="6597EE5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1565" w:type="dxa"/>
            <w:noWrap w:val="0"/>
            <w:vAlign w:val="center"/>
          </w:tcPr>
          <w:p w14:paraId="46F6A50C">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765" w:type="dxa"/>
            <w:noWrap w:val="0"/>
            <w:vAlign w:val="center"/>
          </w:tcPr>
          <w:p w14:paraId="358501C4">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962" w:type="dxa"/>
            <w:noWrap w:val="0"/>
            <w:vAlign w:val="center"/>
          </w:tcPr>
          <w:p w14:paraId="4F15A6F8">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r>
      <w:tr w14:paraId="4588F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36" w:type="dxa"/>
            <w:noWrap w:val="0"/>
            <w:vAlign w:val="center"/>
          </w:tcPr>
          <w:p w14:paraId="458AE605">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1565" w:type="dxa"/>
            <w:noWrap w:val="0"/>
            <w:vAlign w:val="center"/>
          </w:tcPr>
          <w:p w14:paraId="3B83B5B3">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765" w:type="dxa"/>
            <w:noWrap w:val="0"/>
            <w:vAlign w:val="center"/>
          </w:tcPr>
          <w:p w14:paraId="6DF49151">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962" w:type="dxa"/>
            <w:noWrap w:val="0"/>
            <w:vAlign w:val="center"/>
          </w:tcPr>
          <w:p w14:paraId="182C8D53">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r>
      <w:tr w14:paraId="21D56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36" w:type="dxa"/>
            <w:noWrap w:val="0"/>
            <w:vAlign w:val="center"/>
          </w:tcPr>
          <w:p w14:paraId="5A7BEE54">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1565" w:type="dxa"/>
            <w:noWrap w:val="0"/>
            <w:vAlign w:val="center"/>
          </w:tcPr>
          <w:p w14:paraId="0BF0FEE1">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765" w:type="dxa"/>
            <w:noWrap w:val="0"/>
            <w:vAlign w:val="center"/>
          </w:tcPr>
          <w:p w14:paraId="047D9A1C">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c>
          <w:tcPr>
            <w:tcW w:w="1962" w:type="dxa"/>
            <w:noWrap w:val="0"/>
            <w:vAlign w:val="center"/>
          </w:tcPr>
          <w:p w14:paraId="3AEDF7E5">
            <w:pPr>
              <w:widowControl/>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w:t>
            </w:r>
          </w:p>
        </w:tc>
      </w:tr>
    </w:tbl>
    <w:p w14:paraId="2FCEFD11">
      <w:pPr>
        <w:adjustRightInd w:val="0"/>
        <w:snapToGrid w:val="0"/>
        <w:ind w:firstLine="480" w:firstLineChars="200"/>
        <w:rPr>
          <w:rFonts w:hint="default" w:ascii="Times New Roman" w:hAnsi="Times New Roman" w:eastAsia="宋体" w:cs="Times New Roman"/>
          <w:color w:val="auto"/>
          <w:sz w:val="21"/>
        </w:rPr>
      </w:pPr>
      <w:r>
        <w:rPr>
          <w:rFonts w:hint="default" w:ascii="Times New Roman" w:hAnsi="Times New Roman" w:eastAsia="宋体" w:cs="Times New Roman"/>
          <w:color w:val="auto"/>
        </w:rPr>
        <w:t>注：</w:t>
      </w:r>
      <w:r>
        <w:rPr>
          <w:rFonts w:hint="default" w:ascii="Times New Roman" w:hAnsi="Times New Roman" w:eastAsia="宋体" w:cs="Times New Roman"/>
          <w:color w:val="auto"/>
          <w:lang w:val="en-US" w:eastAsia="zh-CN"/>
        </w:rPr>
        <w:t>IV</w:t>
      </w:r>
      <w:r>
        <w:rPr>
          <w:rFonts w:hint="default" w:ascii="Times New Roman" w:hAnsi="Times New Roman" w:eastAsia="宋体" w:cs="Times New Roman"/>
          <w:color w:val="auto"/>
        </w:rPr>
        <w:t>类建设项目不开展地下水环境影响评价。</w:t>
      </w:r>
    </w:p>
    <w:p w14:paraId="5B4C32E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本项目生产、生活供水由工业园区供给，不取用地下水，对区域地下水水位、水质、流场无影响。按HJ610-2016《环境影响评价技术导则 地下水环境》的规定，本项目属于Ⅲ类项目，项目位于工业园区，区域地下水不敏感。本项目地下水环境影响评价等级为三级。</w:t>
      </w:r>
    </w:p>
    <w:p w14:paraId="75A7050D">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（4）噪声</w:t>
      </w:r>
    </w:p>
    <w:p w14:paraId="581C84CB">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，所处的声环境功能区为《声环境质量标准》（GB3096-2008）规定的3类地区，项目周边200m范围内无居民集中点，</w:t>
      </w:r>
      <w:r>
        <w:rPr>
          <w:rFonts w:hint="default" w:ascii="Times New Roman" w:hAnsi="Times New Roman" w:eastAsia="宋体" w:cs="Times New Roman"/>
          <w:color w:val="auto"/>
          <w:kern w:val="0"/>
        </w:rPr>
        <w:t>项目建设前后评价范围内敏感目标噪声级增高量</w:t>
      </w:r>
      <w:r>
        <w:rPr>
          <w:rFonts w:hint="default" w:ascii="Times New Roman" w:hAnsi="Times New Roman" w:eastAsia="宋体" w:cs="Times New Roman"/>
          <w:color w:val="auto"/>
        </w:rPr>
        <w:t>在</w:t>
      </w:r>
      <w:r>
        <w:rPr>
          <w:rFonts w:hint="default" w:ascii="Times New Roman" w:hAnsi="Times New Roman" w:eastAsia="宋体" w:cs="Times New Roman"/>
          <w:color w:val="auto"/>
          <w:kern w:val="0"/>
        </w:rPr>
        <w:t>3dB(A)以下，受噪声影响人口数量变化不大</w:t>
      </w:r>
      <w:r>
        <w:rPr>
          <w:rFonts w:hint="default" w:ascii="Times New Roman" w:hAnsi="Times New Roman" w:eastAsia="宋体" w:cs="Times New Roman"/>
          <w:color w:val="auto"/>
        </w:rPr>
        <w:t>，根据《环境影响评价技术导则 声环境》（HJ2.4-2009）的评价等级划分依据判定，本项目声环境评价等级为三级。</w:t>
      </w:r>
    </w:p>
    <w:p w14:paraId="108F7A95">
      <w:pPr>
        <w:adjustRightInd w:val="0"/>
        <w:snapToGrid w:val="0"/>
        <w:ind w:firstLine="480" w:firstLineChars="200"/>
        <w:rPr>
          <w:rFonts w:hint="default" w:ascii="Times New Roman" w:hAnsi="Times New Roman" w:eastAsia="宋体" w:cs="Times New Roman"/>
          <w:b/>
          <w:color w:val="auto"/>
        </w:rPr>
      </w:pPr>
      <w:bookmarkStart w:id="165" w:name="_Toc289866107"/>
      <w:bookmarkStart w:id="166" w:name="_Toc286596853"/>
      <w:r>
        <w:rPr>
          <w:rFonts w:hint="default" w:ascii="Times New Roman" w:hAnsi="Times New Roman" w:eastAsia="宋体" w:cs="Times New Roman"/>
          <w:b/>
          <w:color w:val="auto"/>
        </w:rPr>
        <w:t>（5）生态环境</w:t>
      </w:r>
      <w:bookmarkEnd w:id="165"/>
      <w:bookmarkEnd w:id="166"/>
    </w:p>
    <w:p w14:paraId="58B7B693">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rPr>
        <w:t>根据《环境影响评价技术导则 生态影响》HJ19-2011，本项目生态影响评价等级划分见表1.6-8所示。</w:t>
      </w:r>
    </w:p>
    <w:p w14:paraId="4EE0310F">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表1.6-8 生态影响评价工作等级划分表</w:t>
      </w:r>
    </w:p>
    <w:tbl>
      <w:tblPr>
        <w:tblStyle w:val="66"/>
        <w:tblW w:w="82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921"/>
        <w:gridCol w:w="1865"/>
        <w:gridCol w:w="2619"/>
        <w:gridCol w:w="1850"/>
      </w:tblGrid>
      <w:tr w14:paraId="4FCE8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21" w:type="dxa"/>
            <w:vMerge w:val="restart"/>
            <w:tcBorders>
              <w:top w:val="single" w:color="auto" w:sz="6" w:space="0"/>
              <w:left w:val="single" w:color="auto" w:sz="6" w:space="0"/>
              <w:bottom w:val="single" w:color="auto" w:sz="6" w:space="0"/>
              <w:right w:val="single" w:color="auto" w:sz="6" w:space="0"/>
            </w:tcBorders>
            <w:vAlign w:val="center"/>
          </w:tcPr>
          <w:p w14:paraId="0508D1D9">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影响区域生态敏感性</w:t>
            </w:r>
          </w:p>
        </w:tc>
        <w:tc>
          <w:tcPr>
            <w:tcW w:w="6334" w:type="dxa"/>
            <w:gridSpan w:val="3"/>
            <w:tcBorders>
              <w:top w:val="single" w:color="auto" w:sz="6" w:space="0"/>
              <w:left w:val="single" w:color="auto" w:sz="6" w:space="0"/>
              <w:bottom w:val="single" w:color="auto" w:sz="6" w:space="0"/>
              <w:right w:val="single" w:color="auto" w:sz="6" w:space="0"/>
            </w:tcBorders>
            <w:vAlign w:val="center"/>
          </w:tcPr>
          <w:p w14:paraId="2A490B5B">
            <w:pPr>
              <w:widowControl/>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工程占地（水域）范围</w:t>
            </w:r>
          </w:p>
        </w:tc>
      </w:tr>
      <w:tr w14:paraId="4AB78B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21" w:type="dxa"/>
            <w:vMerge w:val="continue"/>
            <w:tcBorders>
              <w:top w:val="single" w:color="auto" w:sz="6" w:space="0"/>
              <w:left w:val="single" w:color="auto" w:sz="6" w:space="0"/>
              <w:bottom w:val="single" w:color="auto" w:sz="6" w:space="0"/>
              <w:right w:val="single" w:color="auto" w:sz="6" w:space="0"/>
            </w:tcBorders>
            <w:vAlign w:val="center"/>
          </w:tcPr>
          <w:p w14:paraId="45A9DE4B">
            <w:pPr>
              <w:widowControl/>
              <w:spacing w:line="240" w:lineRule="auto"/>
              <w:jc w:val="left"/>
              <w:rPr>
                <w:rFonts w:hint="default" w:ascii="Times New Roman" w:hAnsi="Times New Roman" w:eastAsia="宋体" w:cs="Times New Roman"/>
                <w:b/>
                <w:bCs/>
                <w:color w:val="auto"/>
                <w:sz w:val="21"/>
              </w:rPr>
            </w:pPr>
          </w:p>
        </w:tc>
        <w:tc>
          <w:tcPr>
            <w:tcW w:w="1865" w:type="dxa"/>
            <w:tcBorders>
              <w:top w:val="single" w:color="auto" w:sz="6" w:space="0"/>
              <w:left w:val="single" w:color="auto" w:sz="6" w:space="0"/>
              <w:bottom w:val="single" w:color="auto" w:sz="6" w:space="0"/>
              <w:right w:val="single" w:color="auto" w:sz="6" w:space="0"/>
            </w:tcBorders>
            <w:vAlign w:val="center"/>
          </w:tcPr>
          <w:p w14:paraId="6550A760">
            <w:pPr>
              <w:widowControl/>
              <w:adjustRightInd w:val="0"/>
              <w:snapToGrid w:val="0"/>
              <w:spacing w:line="240" w:lineRule="auto"/>
              <w:jc w:val="center"/>
              <w:rPr>
                <w:rFonts w:hint="default" w:ascii="Times New Roman" w:hAnsi="Times New Roman" w:eastAsia="宋体" w:cs="Times New Roman"/>
                <w:b/>
                <w:bCs/>
                <w:color w:val="auto"/>
                <w:sz w:val="21"/>
                <w:vertAlign w:val="superscript"/>
              </w:rPr>
            </w:pPr>
            <w:r>
              <w:rPr>
                <w:rFonts w:hint="default" w:ascii="Times New Roman" w:hAnsi="Times New Roman" w:eastAsia="宋体" w:cs="Times New Roman"/>
                <w:b/>
                <w:bCs/>
                <w:color w:val="auto"/>
                <w:sz w:val="21"/>
              </w:rPr>
              <w:t>面积≥20km</w:t>
            </w:r>
            <w:r>
              <w:rPr>
                <w:rFonts w:hint="default" w:ascii="Times New Roman" w:hAnsi="Times New Roman" w:eastAsia="宋体" w:cs="Times New Roman"/>
                <w:b/>
                <w:bCs/>
                <w:color w:val="auto"/>
                <w:sz w:val="21"/>
                <w:vertAlign w:val="superscript"/>
              </w:rPr>
              <w:t>2</w:t>
            </w:r>
          </w:p>
          <w:p w14:paraId="172D5DD1">
            <w:pPr>
              <w:widowControl/>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或长度≥100km</w:t>
            </w:r>
          </w:p>
        </w:tc>
        <w:tc>
          <w:tcPr>
            <w:tcW w:w="2619" w:type="dxa"/>
            <w:tcBorders>
              <w:top w:val="single" w:color="auto" w:sz="6" w:space="0"/>
              <w:left w:val="single" w:color="auto" w:sz="6" w:space="0"/>
              <w:bottom w:val="single" w:color="auto" w:sz="6" w:space="0"/>
              <w:right w:val="single" w:color="auto" w:sz="6" w:space="0"/>
            </w:tcBorders>
            <w:vAlign w:val="center"/>
          </w:tcPr>
          <w:p w14:paraId="005EB54A">
            <w:pPr>
              <w:widowControl/>
              <w:adjustRightInd w:val="0"/>
              <w:snapToGrid w:val="0"/>
              <w:spacing w:line="240" w:lineRule="auto"/>
              <w:jc w:val="center"/>
              <w:rPr>
                <w:rFonts w:hint="default" w:ascii="Times New Roman" w:hAnsi="Times New Roman" w:eastAsia="宋体" w:cs="Times New Roman"/>
                <w:b/>
                <w:bCs/>
                <w:color w:val="auto"/>
                <w:sz w:val="21"/>
                <w:vertAlign w:val="superscript"/>
              </w:rPr>
            </w:pPr>
            <w:r>
              <w:rPr>
                <w:rFonts w:hint="default" w:ascii="Times New Roman" w:hAnsi="Times New Roman" w:eastAsia="宋体" w:cs="Times New Roman"/>
                <w:b/>
                <w:bCs/>
                <w:color w:val="auto"/>
                <w:sz w:val="21"/>
              </w:rPr>
              <w:t>面积2km</w:t>
            </w:r>
            <w:r>
              <w:rPr>
                <w:rFonts w:hint="default" w:ascii="Times New Roman" w:hAnsi="Times New Roman" w:eastAsia="宋体" w:cs="Times New Roman"/>
                <w:b/>
                <w:bCs/>
                <w:color w:val="auto"/>
                <w:sz w:val="21"/>
                <w:vertAlign w:val="superscript"/>
              </w:rPr>
              <w:t>2</w:t>
            </w:r>
            <w:r>
              <w:rPr>
                <w:rFonts w:hint="default" w:ascii="Times New Roman" w:hAnsi="Times New Roman" w:eastAsia="宋体" w:cs="Times New Roman"/>
                <w:b/>
                <w:bCs/>
                <w:color w:val="auto"/>
                <w:sz w:val="21"/>
              </w:rPr>
              <w:t>～20km</w:t>
            </w:r>
            <w:r>
              <w:rPr>
                <w:rFonts w:hint="default" w:ascii="Times New Roman" w:hAnsi="Times New Roman" w:eastAsia="宋体" w:cs="Times New Roman"/>
                <w:b/>
                <w:bCs/>
                <w:color w:val="auto"/>
                <w:sz w:val="21"/>
                <w:vertAlign w:val="superscript"/>
              </w:rPr>
              <w:t>2</w:t>
            </w:r>
          </w:p>
          <w:p w14:paraId="79153D6F">
            <w:pPr>
              <w:widowControl/>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或长度≥50km～100km</w:t>
            </w:r>
          </w:p>
        </w:tc>
        <w:tc>
          <w:tcPr>
            <w:tcW w:w="1850" w:type="dxa"/>
            <w:tcBorders>
              <w:top w:val="single" w:color="auto" w:sz="6" w:space="0"/>
              <w:left w:val="single" w:color="auto" w:sz="6" w:space="0"/>
              <w:bottom w:val="single" w:color="auto" w:sz="6" w:space="0"/>
              <w:right w:val="single" w:color="auto" w:sz="6" w:space="0"/>
            </w:tcBorders>
            <w:vAlign w:val="center"/>
          </w:tcPr>
          <w:p w14:paraId="34508A34">
            <w:pPr>
              <w:widowControl/>
              <w:adjustRightInd w:val="0"/>
              <w:snapToGrid w:val="0"/>
              <w:spacing w:line="240" w:lineRule="auto"/>
              <w:jc w:val="center"/>
              <w:rPr>
                <w:rFonts w:hint="default" w:ascii="Times New Roman" w:hAnsi="Times New Roman" w:eastAsia="宋体" w:cs="Times New Roman"/>
                <w:b/>
                <w:bCs/>
                <w:color w:val="auto"/>
                <w:sz w:val="21"/>
                <w:vertAlign w:val="superscript"/>
              </w:rPr>
            </w:pPr>
            <w:r>
              <w:rPr>
                <w:rFonts w:hint="default" w:ascii="Times New Roman" w:hAnsi="Times New Roman" w:eastAsia="宋体" w:cs="Times New Roman"/>
                <w:b/>
                <w:bCs/>
                <w:color w:val="auto"/>
                <w:sz w:val="21"/>
              </w:rPr>
              <w:t>面积≤2km</w:t>
            </w:r>
            <w:r>
              <w:rPr>
                <w:rFonts w:hint="default" w:ascii="Times New Roman" w:hAnsi="Times New Roman" w:eastAsia="宋体" w:cs="Times New Roman"/>
                <w:b/>
                <w:bCs/>
                <w:color w:val="auto"/>
                <w:sz w:val="21"/>
                <w:vertAlign w:val="superscript"/>
              </w:rPr>
              <w:t>2</w:t>
            </w:r>
          </w:p>
          <w:p w14:paraId="18F5E4A6">
            <w:pPr>
              <w:widowControl/>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或长度≤50km</w:t>
            </w:r>
          </w:p>
        </w:tc>
      </w:tr>
      <w:tr w14:paraId="5C16C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21" w:type="dxa"/>
            <w:tcBorders>
              <w:top w:val="single" w:color="auto" w:sz="6" w:space="0"/>
              <w:left w:val="single" w:color="auto" w:sz="6" w:space="0"/>
              <w:bottom w:val="single" w:color="auto" w:sz="6" w:space="0"/>
              <w:right w:val="single" w:color="auto" w:sz="6" w:space="0"/>
            </w:tcBorders>
            <w:vAlign w:val="center"/>
          </w:tcPr>
          <w:p w14:paraId="26C6039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特殊生态敏感区</w:t>
            </w:r>
          </w:p>
        </w:tc>
        <w:tc>
          <w:tcPr>
            <w:tcW w:w="1865" w:type="dxa"/>
            <w:tcBorders>
              <w:top w:val="single" w:color="auto" w:sz="6" w:space="0"/>
              <w:left w:val="single" w:color="auto" w:sz="6" w:space="0"/>
              <w:bottom w:val="single" w:color="auto" w:sz="6" w:space="0"/>
              <w:right w:val="single" w:color="auto" w:sz="6" w:space="0"/>
            </w:tcBorders>
            <w:vAlign w:val="center"/>
          </w:tcPr>
          <w:p w14:paraId="6F640B4F">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一级</w:t>
            </w:r>
          </w:p>
        </w:tc>
        <w:tc>
          <w:tcPr>
            <w:tcW w:w="2619" w:type="dxa"/>
            <w:tcBorders>
              <w:top w:val="single" w:color="auto" w:sz="6" w:space="0"/>
              <w:left w:val="single" w:color="auto" w:sz="6" w:space="0"/>
              <w:bottom w:val="single" w:color="auto" w:sz="6" w:space="0"/>
              <w:right w:val="single" w:color="auto" w:sz="6" w:space="0"/>
            </w:tcBorders>
            <w:vAlign w:val="center"/>
          </w:tcPr>
          <w:p w14:paraId="31BCB48F">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一级</w:t>
            </w:r>
          </w:p>
        </w:tc>
        <w:tc>
          <w:tcPr>
            <w:tcW w:w="1850" w:type="dxa"/>
            <w:tcBorders>
              <w:top w:val="single" w:color="auto" w:sz="6" w:space="0"/>
              <w:left w:val="single" w:color="auto" w:sz="6" w:space="0"/>
              <w:bottom w:val="single" w:color="auto" w:sz="6" w:space="0"/>
              <w:right w:val="single" w:color="auto" w:sz="6" w:space="0"/>
            </w:tcBorders>
            <w:vAlign w:val="center"/>
          </w:tcPr>
          <w:p w14:paraId="1604C221">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一级</w:t>
            </w:r>
          </w:p>
        </w:tc>
      </w:tr>
      <w:tr w14:paraId="4CD6A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21" w:type="dxa"/>
            <w:tcBorders>
              <w:top w:val="single" w:color="auto" w:sz="6" w:space="0"/>
              <w:left w:val="single" w:color="auto" w:sz="6" w:space="0"/>
              <w:bottom w:val="single" w:color="auto" w:sz="6" w:space="0"/>
              <w:right w:val="single" w:color="auto" w:sz="6" w:space="0"/>
            </w:tcBorders>
            <w:vAlign w:val="center"/>
          </w:tcPr>
          <w:p w14:paraId="37B3B9C8">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重要生态敏感区</w:t>
            </w:r>
          </w:p>
        </w:tc>
        <w:tc>
          <w:tcPr>
            <w:tcW w:w="1865" w:type="dxa"/>
            <w:tcBorders>
              <w:top w:val="single" w:color="auto" w:sz="6" w:space="0"/>
              <w:left w:val="single" w:color="auto" w:sz="6" w:space="0"/>
              <w:bottom w:val="single" w:color="auto" w:sz="6" w:space="0"/>
              <w:right w:val="single" w:color="auto" w:sz="6" w:space="0"/>
            </w:tcBorders>
            <w:vAlign w:val="center"/>
          </w:tcPr>
          <w:p w14:paraId="4B342083">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一级</w:t>
            </w:r>
          </w:p>
        </w:tc>
        <w:tc>
          <w:tcPr>
            <w:tcW w:w="2619" w:type="dxa"/>
            <w:tcBorders>
              <w:top w:val="single" w:color="auto" w:sz="6" w:space="0"/>
              <w:left w:val="single" w:color="auto" w:sz="6" w:space="0"/>
              <w:bottom w:val="single" w:color="auto" w:sz="6" w:space="0"/>
              <w:right w:val="single" w:color="auto" w:sz="6" w:space="0"/>
            </w:tcBorders>
            <w:vAlign w:val="center"/>
          </w:tcPr>
          <w:p w14:paraId="3FA7DBF4">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二级</w:t>
            </w:r>
          </w:p>
        </w:tc>
        <w:tc>
          <w:tcPr>
            <w:tcW w:w="1850" w:type="dxa"/>
            <w:tcBorders>
              <w:top w:val="single" w:color="auto" w:sz="6" w:space="0"/>
              <w:left w:val="single" w:color="auto" w:sz="6" w:space="0"/>
              <w:bottom w:val="single" w:color="auto" w:sz="6" w:space="0"/>
              <w:right w:val="single" w:color="auto" w:sz="6" w:space="0"/>
            </w:tcBorders>
            <w:vAlign w:val="center"/>
          </w:tcPr>
          <w:p w14:paraId="1F7F0A40">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三级</w:t>
            </w:r>
          </w:p>
        </w:tc>
      </w:tr>
      <w:tr w14:paraId="4A3FB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21" w:type="dxa"/>
            <w:tcBorders>
              <w:top w:val="single" w:color="auto" w:sz="6" w:space="0"/>
              <w:left w:val="single" w:color="auto" w:sz="6" w:space="0"/>
              <w:bottom w:val="single" w:color="auto" w:sz="6" w:space="0"/>
              <w:right w:val="single" w:color="auto" w:sz="6" w:space="0"/>
            </w:tcBorders>
            <w:vAlign w:val="center"/>
          </w:tcPr>
          <w:p w14:paraId="6215661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一般区域</w:t>
            </w:r>
          </w:p>
        </w:tc>
        <w:tc>
          <w:tcPr>
            <w:tcW w:w="1865" w:type="dxa"/>
            <w:tcBorders>
              <w:top w:val="single" w:color="auto" w:sz="6" w:space="0"/>
              <w:left w:val="single" w:color="auto" w:sz="6" w:space="0"/>
              <w:bottom w:val="single" w:color="auto" w:sz="6" w:space="0"/>
              <w:right w:val="single" w:color="auto" w:sz="6" w:space="0"/>
            </w:tcBorders>
            <w:vAlign w:val="center"/>
          </w:tcPr>
          <w:p w14:paraId="407A4B79">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二级</w:t>
            </w:r>
          </w:p>
        </w:tc>
        <w:tc>
          <w:tcPr>
            <w:tcW w:w="2619" w:type="dxa"/>
            <w:tcBorders>
              <w:top w:val="single" w:color="auto" w:sz="6" w:space="0"/>
              <w:left w:val="single" w:color="auto" w:sz="6" w:space="0"/>
              <w:bottom w:val="single" w:color="auto" w:sz="6" w:space="0"/>
              <w:right w:val="single" w:color="auto" w:sz="6" w:space="0"/>
            </w:tcBorders>
            <w:vAlign w:val="center"/>
          </w:tcPr>
          <w:p w14:paraId="156E0E06">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三级</w:t>
            </w:r>
          </w:p>
        </w:tc>
        <w:tc>
          <w:tcPr>
            <w:tcW w:w="1850" w:type="dxa"/>
            <w:tcBorders>
              <w:top w:val="single" w:color="auto" w:sz="6" w:space="0"/>
              <w:left w:val="single" w:color="auto" w:sz="6" w:space="0"/>
              <w:bottom w:val="single" w:color="auto" w:sz="6" w:space="0"/>
              <w:right w:val="single" w:color="auto" w:sz="6" w:space="0"/>
            </w:tcBorders>
            <w:vAlign w:val="center"/>
          </w:tcPr>
          <w:p w14:paraId="760F67CA">
            <w:pPr>
              <w:widowControl/>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三级</w:t>
            </w:r>
          </w:p>
        </w:tc>
      </w:tr>
    </w:tbl>
    <w:p w14:paraId="7E7EA931">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本项目总占地面积约</w:t>
      </w:r>
      <w:r>
        <w:rPr>
          <w:rFonts w:hint="eastAsia" w:ascii="Times New Roman" w:hAnsi="Times New Roman" w:cs="Times New Roman"/>
          <w:color w:val="auto"/>
          <w:lang w:val="en-US" w:eastAsia="zh-CN"/>
        </w:rPr>
        <w:t>0.7</w:t>
      </w:r>
      <w:r>
        <w:rPr>
          <w:rFonts w:hint="default" w:ascii="Times New Roman" w:hAnsi="Times New Roman" w:eastAsia="宋体" w:cs="Times New Roman"/>
          <w:color w:val="auto"/>
          <w:szCs w:val="28"/>
        </w:rPr>
        <w:t>m</w:t>
      </w:r>
      <w:r>
        <w:rPr>
          <w:rFonts w:hint="default" w:ascii="Times New Roman" w:hAnsi="Times New Roman" w:eastAsia="宋体" w:cs="Times New Roman"/>
          <w:color w:val="auto"/>
          <w:szCs w:val="28"/>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项目位于芒市帕底工业园区</w:t>
      </w:r>
      <w:r>
        <w:rPr>
          <w:rFonts w:hint="default" w:ascii="Times New Roman" w:hAnsi="Times New Roman" w:eastAsia="宋体" w:cs="Times New Roman"/>
          <w:color w:val="auto"/>
        </w:rPr>
        <w:t>，生态敏感性为一般区域，故确定本项目生态影响评价工作等级为三级。</w:t>
      </w:r>
    </w:p>
    <w:p w14:paraId="5950DAFB">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（6）环境风险</w:t>
      </w:r>
    </w:p>
    <w:p w14:paraId="1DD3F039">
      <w:pPr>
        <w:adjustRightInd w:val="0"/>
        <w:snapToGrid w:val="0"/>
        <w:spacing w:line="360" w:lineRule="auto"/>
        <w:ind w:firstLine="482"/>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color w:val="auto"/>
          <w:sz w:val="24"/>
          <w:lang w:eastAsia="zh-CN"/>
        </w:rPr>
        <w:t>风险分析章节对项目使用的原辅材料、中间产物、产品等进行物质及生产单位风险识别，根据风险识别结果，按照《建设项目环境风险评价技术导则》（HJ169-2018）要求，本项目及各要素环境风险评价等级见下表。</w:t>
      </w:r>
    </w:p>
    <w:p w14:paraId="645C3096">
      <w:pPr>
        <w:adjustRightInd w:val="0"/>
        <w:snapToGrid w:val="0"/>
        <w:spacing w:line="36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eastAsia="zh-CN"/>
        </w:rPr>
        <w:t>表</w:t>
      </w:r>
      <w:r>
        <w:rPr>
          <w:rFonts w:hint="default" w:ascii="Times New Roman" w:hAnsi="Times New Roman" w:eastAsia="宋体" w:cs="Times New Roman"/>
          <w:b/>
          <w:bCs/>
          <w:color w:val="auto"/>
          <w:sz w:val="24"/>
          <w:lang w:val="en-US" w:eastAsia="zh-CN"/>
        </w:rPr>
        <w:t>1.6-9 评价工作等级划分</w:t>
      </w:r>
    </w:p>
    <w:tbl>
      <w:tblPr>
        <w:tblStyle w:val="66"/>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560"/>
        <w:gridCol w:w="1515"/>
        <w:gridCol w:w="2017"/>
        <w:gridCol w:w="1560"/>
      </w:tblGrid>
      <w:tr w14:paraId="5960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3954FE9B">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1560" w:type="dxa"/>
            <w:noWrap w:val="0"/>
            <w:vAlign w:val="center"/>
          </w:tcPr>
          <w:p w14:paraId="351072AB">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危险性等级</w:t>
            </w:r>
          </w:p>
        </w:tc>
        <w:tc>
          <w:tcPr>
            <w:tcW w:w="1515" w:type="dxa"/>
            <w:noWrap w:val="0"/>
            <w:vAlign w:val="center"/>
          </w:tcPr>
          <w:p w14:paraId="01D0E59D">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环境敏感程度</w:t>
            </w:r>
          </w:p>
        </w:tc>
        <w:tc>
          <w:tcPr>
            <w:tcW w:w="2017" w:type="dxa"/>
            <w:noWrap w:val="0"/>
            <w:vAlign w:val="center"/>
          </w:tcPr>
          <w:p w14:paraId="195E21CF">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环境风险潜势划分</w:t>
            </w:r>
          </w:p>
        </w:tc>
        <w:tc>
          <w:tcPr>
            <w:tcW w:w="1560" w:type="dxa"/>
            <w:noWrap w:val="0"/>
            <w:vAlign w:val="center"/>
          </w:tcPr>
          <w:p w14:paraId="2153F383">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评价等级确定</w:t>
            </w:r>
          </w:p>
        </w:tc>
      </w:tr>
      <w:tr w14:paraId="6151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5992DF01">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560" w:type="dxa"/>
            <w:noWrap w:val="0"/>
            <w:vAlign w:val="center"/>
          </w:tcPr>
          <w:p w14:paraId="70AA09F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c>
          <w:tcPr>
            <w:tcW w:w="1515" w:type="dxa"/>
            <w:noWrap w:val="0"/>
            <w:vAlign w:val="center"/>
          </w:tcPr>
          <w:p w14:paraId="475A6E4C">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E</w:t>
            </w:r>
            <w:r>
              <w:rPr>
                <w:rFonts w:hint="eastAsia" w:ascii="Times New Roman" w:hAnsi="Times New Roman" w:cs="Times New Roman"/>
                <w:color w:val="auto"/>
                <w:sz w:val="21"/>
                <w:szCs w:val="21"/>
                <w:lang w:val="en-US" w:eastAsia="zh-CN"/>
              </w:rPr>
              <w:t>3</w:t>
            </w:r>
          </w:p>
        </w:tc>
        <w:tc>
          <w:tcPr>
            <w:tcW w:w="2017" w:type="dxa"/>
            <w:noWrap w:val="0"/>
            <w:vAlign w:val="center"/>
          </w:tcPr>
          <w:p w14:paraId="3F66E23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c>
          <w:tcPr>
            <w:tcW w:w="1560" w:type="dxa"/>
            <w:noWrap w:val="0"/>
            <w:vAlign w:val="center"/>
          </w:tcPr>
          <w:p w14:paraId="58E94BE7">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简单分析</w:t>
            </w:r>
          </w:p>
        </w:tc>
      </w:tr>
      <w:tr w14:paraId="356E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4ADF8FF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560" w:type="dxa"/>
            <w:noWrap w:val="0"/>
            <w:vAlign w:val="center"/>
          </w:tcPr>
          <w:p w14:paraId="288B7E73">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c>
          <w:tcPr>
            <w:tcW w:w="1515" w:type="dxa"/>
            <w:noWrap w:val="0"/>
            <w:vAlign w:val="center"/>
          </w:tcPr>
          <w:p w14:paraId="16FCDEF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c>
          <w:tcPr>
            <w:tcW w:w="2017" w:type="dxa"/>
            <w:noWrap w:val="0"/>
            <w:vAlign w:val="center"/>
          </w:tcPr>
          <w:p w14:paraId="7B57FFF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c>
          <w:tcPr>
            <w:tcW w:w="1560" w:type="dxa"/>
            <w:noWrap w:val="0"/>
            <w:vAlign w:val="center"/>
          </w:tcPr>
          <w:p w14:paraId="5019C6F1">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w:t>
            </w:r>
          </w:p>
        </w:tc>
      </w:tr>
      <w:tr w14:paraId="6277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25A18B1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1560" w:type="dxa"/>
            <w:noWrap w:val="0"/>
            <w:vAlign w:val="center"/>
          </w:tcPr>
          <w:p w14:paraId="12A808B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c>
          <w:tcPr>
            <w:tcW w:w="1515" w:type="dxa"/>
            <w:noWrap w:val="0"/>
            <w:vAlign w:val="center"/>
          </w:tcPr>
          <w:p w14:paraId="67F62A7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c>
          <w:tcPr>
            <w:tcW w:w="2017" w:type="dxa"/>
            <w:noWrap w:val="0"/>
            <w:vAlign w:val="center"/>
          </w:tcPr>
          <w:p w14:paraId="009EC54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c>
          <w:tcPr>
            <w:tcW w:w="1560" w:type="dxa"/>
            <w:noWrap w:val="0"/>
            <w:vAlign w:val="center"/>
          </w:tcPr>
          <w:p w14:paraId="3F1127E4">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w:t>
            </w:r>
          </w:p>
        </w:tc>
      </w:tr>
      <w:tr w14:paraId="15EF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4FAF7995">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tc>
        <w:tc>
          <w:tcPr>
            <w:tcW w:w="1560" w:type="dxa"/>
            <w:noWrap w:val="0"/>
            <w:vAlign w:val="center"/>
          </w:tcPr>
          <w:p w14:paraId="6A719A8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15" w:type="dxa"/>
            <w:noWrap w:val="0"/>
            <w:vAlign w:val="center"/>
          </w:tcPr>
          <w:p w14:paraId="3315912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017" w:type="dxa"/>
            <w:noWrap w:val="0"/>
            <w:vAlign w:val="center"/>
          </w:tcPr>
          <w:p w14:paraId="68B114FE">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c>
          <w:tcPr>
            <w:tcW w:w="1560" w:type="dxa"/>
            <w:noWrap w:val="0"/>
            <w:vAlign w:val="center"/>
          </w:tcPr>
          <w:p w14:paraId="396D2817">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简单分析</w:t>
            </w:r>
          </w:p>
        </w:tc>
      </w:tr>
      <w:tr w14:paraId="2EBB3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1" w:type="dxa"/>
            <w:gridSpan w:val="5"/>
            <w:noWrap w:val="0"/>
            <w:vAlign w:val="center"/>
          </w:tcPr>
          <w:p w14:paraId="2437F58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注：建设项目环境风险潜势综合等级取各要素等级的相对高值。</w:t>
            </w:r>
          </w:p>
        </w:tc>
      </w:tr>
    </w:tbl>
    <w:p w14:paraId="51A6409B">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rPr>
        <w:t>综上分析，本项目环境风险评价工作等级为简单分析。其中，大气环境风险</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地表水和地下水环境风险均为简单分析。各要素按照确定的评价工作等级分别开展预测评价。</w:t>
      </w:r>
    </w:p>
    <w:p w14:paraId="1E4F134A">
      <w:pPr>
        <w:adjustRightInd w:val="0"/>
        <w:snapToGrid w:val="0"/>
        <w:ind w:firstLine="480" w:firstLineChars="200"/>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7</w:t>
      </w:r>
      <w:r>
        <w:rPr>
          <w:rFonts w:hint="default" w:ascii="Times New Roman" w:hAnsi="Times New Roman" w:eastAsia="宋体" w:cs="Times New Roman"/>
          <w:b/>
          <w:color w:val="auto"/>
        </w:rPr>
        <w:t>）</w:t>
      </w:r>
      <w:r>
        <w:rPr>
          <w:rFonts w:hint="default" w:ascii="Times New Roman" w:hAnsi="Times New Roman" w:eastAsia="宋体" w:cs="Times New Roman"/>
          <w:b/>
          <w:color w:val="auto"/>
          <w:lang w:eastAsia="zh-CN"/>
        </w:rPr>
        <w:t>土壤环境</w:t>
      </w:r>
    </w:p>
    <w:p w14:paraId="615B51B6">
      <w:pPr>
        <w:adjustRightInd w:val="0"/>
        <w:snapToGrid w:val="0"/>
        <w:spacing w:line="360" w:lineRule="auto"/>
        <w:ind w:firstLine="482"/>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color w:val="auto"/>
          <w:sz w:val="24"/>
          <w:lang w:eastAsia="zh-CN"/>
        </w:rPr>
        <w:t>根据《环境影响评价技术导则—土壤环境》（</w:t>
      </w:r>
      <w:r>
        <w:rPr>
          <w:rFonts w:hint="default" w:ascii="Times New Roman" w:hAnsi="Times New Roman" w:eastAsia="宋体" w:cs="Times New Roman"/>
          <w:color w:val="auto"/>
          <w:sz w:val="24"/>
          <w:lang w:val="en-US" w:eastAsia="zh-CN"/>
        </w:rPr>
        <w:t>HJ964-2018</w:t>
      </w:r>
      <w:r>
        <w:rPr>
          <w:rFonts w:hint="default" w:ascii="Times New Roman" w:hAnsi="Times New Roman" w:eastAsia="宋体" w:cs="Times New Roman"/>
          <w:color w:val="auto"/>
          <w:sz w:val="24"/>
          <w:lang w:eastAsia="zh-CN"/>
        </w:rPr>
        <w:t>），项目土壤评价等级划分见表</w:t>
      </w:r>
      <w:r>
        <w:rPr>
          <w:rFonts w:hint="default" w:ascii="Times New Roman" w:hAnsi="Times New Roman" w:eastAsia="宋体" w:cs="Times New Roman"/>
          <w:color w:val="auto"/>
          <w:sz w:val="24"/>
          <w:lang w:val="en-US" w:eastAsia="zh-CN"/>
        </w:rPr>
        <w:t>1.6-10</w:t>
      </w:r>
      <w:r>
        <w:rPr>
          <w:rFonts w:hint="default" w:ascii="Times New Roman" w:hAnsi="Times New Roman" w:eastAsia="宋体" w:cs="Times New Roman"/>
          <w:color w:val="auto"/>
          <w:sz w:val="24"/>
          <w:lang w:eastAsia="zh-CN"/>
        </w:rPr>
        <w:t>。</w:t>
      </w:r>
    </w:p>
    <w:p w14:paraId="0C51F22A">
      <w:pPr>
        <w:adjustRightInd w:val="0"/>
        <w:snapToGrid w:val="0"/>
        <w:spacing w:line="36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eastAsia="zh-CN"/>
        </w:rPr>
        <w:t>表</w:t>
      </w:r>
      <w:r>
        <w:rPr>
          <w:rFonts w:hint="default" w:ascii="Times New Roman" w:hAnsi="Times New Roman" w:eastAsia="宋体" w:cs="Times New Roman"/>
          <w:b/>
          <w:bCs/>
          <w:color w:val="auto"/>
          <w:sz w:val="24"/>
          <w:lang w:val="en-US" w:eastAsia="zh-CN"/>
        </w:rPr>
        <w:t>1.6-10 土壤影响评价工作等级划分表</w:t>
      </w:r>
    </w:p>
    <w:tbl>
      <w:tblPr>
        <w:tblStyle w:val="67"/>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705"/>
        <w:gridCol w:w="765"/>
        <w:gridCol w:w="767"/>
        <w:gridCol w:w="852"/>
        <w:gridCol w:w="852"/>
        <w:gridCol w:w="852"/>
        <w:gridCol w:w="852"/>
        <w:gridCol w:w="853"/>
        <w:gridCol w:w="853"/>
      </w:tblGrid>
      <w:tr w14:paraId="2081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1500" w:type="dxa"/>
            <w:vMerge w:val="restart"/>
            <w:vAlign w:val="center"/>
            <mc:AlternateContent>
              <mc:Choice Requires="wpsCustomData">
                <wpsCustomData:diagonals>
                  <wpsCustomData:diagonal from="30000" to="13200">
                    <wpsCustomData:border w:val="single" w:color="auto" w:sz="4" w:space="0"/>
                  </wpsCustomData:diagonal>
                  <wpsCustomData:diagonal from="30000" to="6500">
                    <wpsCustomData:border w:val="single" w:color="auto" w:sz="4" w:space="0"/>
                  </wpsCustomData:diagonal>
                </wpsCustomData:diagonals>
              </mc:Choice>
            </mc:AlternateContent>
          </w:tcPr>
          <w:p w14:paraId="43BE4F06">
            <w:pPr>
              <w:adjustRightInd w:val="0"/>
              <w:snapToGrid w:val="0"/>
              <w:spacing w:line="240" w:lineRule="auto"/>
              <w:jc w:val="both"/>
              <w:rPr>
                <w:rFonts w:hint="default" w:ascii="Times New Roman" w:hAnsi="Times New Roman" w:eastAsia="宋体" w:cs="Times New Roman"/>
                <w:b/>
                <w:bCs/>
                <w:color w:val="auto"/>
                <w:sz w:val="21"/>
                <w:szCs w:val="21"/>
                <w:lang w:eastAsia="zh-CN"/>
              </w:rPr>
            </w:pPr>
          </w:p>
          <w:p w14:paraId="6AEC33AC">
            <w:pPr>
              <w:adjustRightInd w:val="0"/>
              <w:snapToGrid w:val="0"/>
              <w:spacing w:line="240" w:lineRule="auto"/>
              <w:jc w:val="both"/>
              <mc:AlternateContent>
                <mc:Choice Requires="wpsCustomData">
                  <wpsCustomData:diagonalParaType/>
                </mc:Choice>
              </mc:AlternateConten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敏感程度</w:t>
            </w:r>
          </w:p>
          <w:p w14:paraId="3A60B7BD">
            <w:pPr>
              <w:adjustRightInd w:val="0"/>
              <w:snapToGrid w:val="0"/>
              <w:spacing w:line="240" w:lineRule="auto"/>
              <w:jc w:val="center"/>
              <w:rPr>
                <w:rFonts w:hint="default" w:ascii="Times New Roman" w:hAnsi="Times New Roman" w:eastAsia="宋体" w:cs="Times New Roman"/>
                <w:b/>
                <w:bCs/>
                <w:color w:val="auto"/>
                <w:sz w:val="21"/>
                <w:szCs w:val="21"/>
                <w:lang w:eastAsia="zh-CN"/>
              </w:rPr>
            </w:pPr>
          </w:p>
          <w:p w14:paraId="0A9EE410">
            <w:pPr>
              <w:adjustRightInd w:val="0"/>
              <w:snapToGrid w:val="0"/>
              <w:spacing w:line="240" w:lineRule="auto"/>
              <w:jc w:val="center"/>
              <mc:AlternateContent>
                <mc:Choice Requires="wpsCustomData">
                  <wpsCustomData:diagonalParaType/>
                </mc:Choice>
              </mc:AlternateConten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评价等级</w:t>
            </w:r>
          </w:p>
          <w:p w14:paraId="1827387D">
            <w:pPr>
              <w:adjustRightInd w:val="0"/>
              <w:snapToGri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 </w:t>
            </w:r>
          </w:p>
          <w:p w14:paraId="6ACD1536">
            <w:pPr>
              <w:adjustRightInd w:val="0"/>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占地规模</w:t>
            </w:r>
          </w:p>
        </w:tc>
        <w:tc>
          <w:tcPr>
            <w:tcW w:w="2237" w:type="dxa"/>
            <w:gridSpan w:val="3"/>
            <w:vAlign w:val="center"/>
          </w:tcPr>
          <w:p w14:paraId="471C1237">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I类</w:t>
            </w:r>
          </w:p>
        </w:tc>
        <w:tc>
          <w:tcPr>
            <w:tcW w:w="2556" w:type="dxa"/>
            <w:gridSpan w:val="3"/>
            <w:vAlign w:val="center"/>
          </w:tcPr>
          <w:p w14:paraId="738EC622">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II类</w:t>
            </w:r>
          </w:p>
        </w:tc>
        <w:tc>
          <w:tcPr>
            <w:tcW w:w="2558" w:type="dxa"/>
            <w:gridSpan w:val="3"/>
            <w:vAlign w:val="center"/>
          </w:tcPr>
          <w:p w14:paraId="21D7B71C">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III类</w:t>
            </w:r>
          </w:p>
        </w:tc>
      </w:tr>
      <w:tr w14:paraId="459D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Merge w:val="continue"/>
            <w:vAlign w:val="center"/>
          </w:tcPr>
          <w:p w14:paraId="3993145B">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p>
        </w:tc>
        <w:tc>
          <w:tcPr>
            <w:tcW w:w="705" w:type="dxa"/>
            <w:vAlign w:val="center"/>
          </w:tcPr>
          <w:p w14:paraId="1693A067">
            <w:pPr>
              <w:adjustRightInd w:val="0"/>
              <w:snapToGrid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大</w:t>
            </w:r>
          </w:p>
        </w:tc>
        <w:tc>
          <w:tcPr>
            <w:tcW w:w="765" w:type="dxa"/>
            <w:vAlign w:val="center"/>
          </w:tcPr>
          <w:p w14:paraId="3AD7176E">
            <w:pPr>
              <w:adjustRightInd w:val="0"/>
              <w:snapToGrid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中</w:t>
            </w:r>
          </w:p>
        </w:tc>
        <w:tc>
          <w:tcPr>
            <w:tcW w:w="767" w:type="dxa"/>
            <w:vAlign w:val="center"/>
          </w:tcPr>
          <w:p w14:paraId="7CB781DB">
            <w:pPr>
              <w:adjustRightInd w:val="0"/>
              <w:snapToGrid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小</w:t>
            </w:r>
          </w:p>
        </w:tc>
        <w:tc>
          <w:tcPr>
            <w:tcW w:w="852" w:type="dxa"/>
            <w:vAlign w:val="center"/>
          </w:tcPr>
          <w:p w14:paraId="4B39D458">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大</w:t>
            </w:r>
          </w:p>
        </w:tc>
        <w:tc>
          <w:tcPr>
            <w:tcW w:w="852" w:type="dxa"/>
            <w:vAlign w:val="center"/>
          </w:tcPr>
          <w:p w14:paraId="797D2181">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中</w:t>
            </w:r>
          </w:p>
        </w:tc>
        <w:tc>
          <w:tcPr>
            <w:tcW w:w="852" w:type="dxa"/>
            <w:vAlign w:val="center"/>
          </w:tcPr>
          <w:p w14:paraId="4666115F">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小</w:t>
            </w:r>
          </w:p>
        </w:tc>
        <w:tc>
          <w:tcPr>
            <w:tcW w:w="852" w:type="dxa"/>
            <w:vAlign w:val="center"/>
          </w:tcPr>
          <w:p w14:paraId="1F14554C">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大</w:t>
            </w:r>
          </w:p>
        </w:tc>
        <w:tc>
          <w:tcPr>
            <w:tcW w:w="853" w:type="dxa"/>
            <w:vAlign w:val="center"/>
          </w:tcPr>
          <w:p w14:paraId="161C0033">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中</w:t>
            </w:r>
          </w:p>
        </w:tc>
        <w:tc>
          <w:tcPr>
            <w:tcW w:w="853" w:type="dxa"/>
            <w:vAlign w:val="center"/>
          </w:tcPr>
          <w:p w14:paraId="5EBB9C0C">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小</w:t>
            </w:r>
          </w:p>
        </w:tc>
      </w:tr>
      <w:tr w14:paraId="0B51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14:paraId="1349F50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敏感</w:t>
            </w:r>
          </w:p>
        </w:tc>
        <w:tc>
          <w:tcPr>
            <w:tcW w:w="705" w:type="dxa"/>
            <w:vAlign w:val="center"/>
          </w:tcPr>
          <w:p w14:paraId="02DB4791">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一级</w:t>
            </w:r>
          </w:p>
        </w:tc>
        <w:tc>
          <w:tcPr>
            <w:tcW w:w="765" w:type="dxa"/>
            <w:vAlign w:val="center"/>
          </w:tcPr>
          <w:p w14:paraId="1098E1D9">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767" w:type="dxa"/>
            <w:vAlign w:val="center"/>
          </w:tcPr>
          <w:p w14:paraId="2CFA92F1">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852" w:type="dxa"/>
            <w:vAlign w:val="center"/>
          </w:tcPr>
          <w:p w14:paraId="571286D4">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4FA8883A">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0A232A19">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58715B66">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52E6F12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26C58607">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r>
      <w:tr w14:paraId="5E4DA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14:paraId="32BEEB7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较敏感</w:t>
            </w:r>
          </w:p>
        </w:tc>
        <w:tc>
          <w:tcPr>
            <w:tcW w:w="705" w:type="dxa"/>
            <w:vAlign w:val="center"/>
          </w:tcPr>
          <w:p w14:paraId="1668E37A">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765" w:type="dxa"/>
            <w:vAlign w:val="center"/>
          </w:tcPr>
          <w:p w14:paraId="3F84F97D">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767" w:type="dxa"/>
            <w:vAlign w:val="center"/>
          </w:tcPr>
          <w:p w14:paraId="1B46E4E9">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57C5BD46">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498C9A38">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7D8D43D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三级</w:t>
            </w:r>
          </w:p>
        </w:tc>
        <w:tc>
          <w:tcPr>
            <w:tcW w:w="852" w:type="dxa"/>
            <w:vAlign w:val="center"/>
          </w:tcPr>
          <w:p w14:paraId="3E33D912">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423D2308">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3A70B4B9">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w:t>
            </w:r>
          </w:p>
        </w:tc>
      </w:tr>
      <w:tr w14:paraId="38DF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14:paraId="5A756354">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不敏感</w:t>
            </w:r>
          </w:p>
        </w:tc>
        <w:tc>
          <w:tcPr>
            <w:tcW w:w="705" w:type="dxa"/>
            <w:vAlign w:val="center"/>
          </w:tcPr>
          <w:p w14:paraId="348A25B4">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765" w:type="dxa"/>
            <w:vAlign w:val="center"/>
          </w:tcPr>
          <w:p w14:paraId="02BD2111">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二级</w:t>
            </w:r>
          </w:p>
        </w:tc>
        <w:tc>
          <w:tcPr>
            <w:tcW w:w="767" w:type="dxa"/>
            <w:vAlign w:val="center"/>
          </w:tcPr>
          <w:p w14:paraId="76D87D11">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3A2DC93D">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577253C3">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三级</w:t>
            </w:r>
          </w:p>
        </w:tc>
        <w:tc>
          <w:tcPr>
            <w:tcW w:w="852" w:type="dxa"/>
            <w:vAlign w:val="center"/>
          </w:tcPr>
          <w:p w14:paraId="0D00C642">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三级</w:t>
            </w:r>
          </w:p>
        </w:tc>
        <w:tc>
          <w:tcPr>
            <w:tcW w:w="852" w:type="dxa"/>
            <w:vAlign w:val="center"/>
          </w:tcPr>
          <w:p w14:paraId="2E50EBE8">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6E2DD602">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w:t>
            </w:r>
          </w:p>
        </w:tc>
        <w:tc>
          <w:tcPr>
            <w:tcW w:w="853" w:type="dxa"/>
            <w:vAlign w:val="center"/>
          </w:tcPr>
          <w:p w14:paraId="2D0778CB">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w:t>
            </w:r>
          </w:p>
        </w:tc>
      </w:tr>
      <w:tr w14:paraId="213A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1" w:type="dxa"/>
            <w:gridSpan w:val="10"/>
            <w:vAlign w:val="center"/>
          </w:tcPr>
          <w:p w14:paraId="144CEA13">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注：“—”表示可不开展土壤环境影响评价工作</w:t>
            </w:r>
          </w:p>
        </w:tc>
      </w:tr>
    </w:tbl>
    <w:p w14:paraId="443E35C2">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本项目为</w:t>
      </w:r>
      <w:r>
        <w:rPr>
          <w:rFonts w:hint="default" w:ascii="Times New Roman" w:hAnsi="Times New Roman" w:eastAsia="宋体" w:cs="Times New Roman"/>
          <w:color w:val="auto"/>
          <w:sz w:val="24"/>
          <w:szCs w:val="24"/>
          <w:lang w:eastAsia="zh-CN"/>
        </w:rPr>
        <w:t>服装制造</w:t>
      </w:r>
      <w:r>
        <w:rPr>
          <w:rFonts w:hint="default" w:ascii="Times New Roman" w:hAnsi="Times New Roman" w:eastAsia="宋体" w:cs="Times New Roman"/>
          <w:color w:val="auto"/>
          <w:sz w:val="24"/>
          <w:szCs w:val="24"/>
        </w:rPr>
        <w:t>项目，根据项目建设内容及其对土壤环境可能产生的影响，不会造成土壤盐化、酸化、碱化，按污染影响型判断，判定本项目土壤影响类型为污染影响型。 依据附录A.1土壤环境影响评价项目类别可知：本项目为</w:t>
      </w:r>
      <w:r>
        <w:rPr>
          <w:rFonts w:hint="default" w:ascii="Times New Roman" w:hAnsi="Times New Roman" w:eastAsia="宋体" w:cs="Times New Roman"/>
          <w:color w:val="auto"/>
          <w:sz w:val="24"/>
          <w:szCs w:val="24"/>
          <w:lang w:eastAsia="zh-CN"/>
        </w:rPr>
        <w:t>服装制造</w:t>
      </w:r>
      <w:r>
        <w:rPr>
          <w:rFonts w:hint="default" w:ascii="Times New Roman" w:hAnsi="Times New Roman" w:eastAsia="宋体" w:cs="Times New Roman"/>
          <w:color w:val="auto"/>
          <w:sz w:val="24"/>
          <w:szCs w:val="24"/>
        </w:rPr>
        <w:t>，属“</w:t>
      </w:r>
      <w:r>
        <w:rPr>
          <w:rFonts w:hint="default" w:ascii="Times New Roman" w:hAnsi="Times New Roman" w:eastAsia="宋体" w:cs="Times New Roman"/>
          <w:color w:val="auto"/>
          <w:sz w:val="24"/>
          <w:szCs w:val="24"/>
          <w:lang w:val="en-US" w:eastAsia="zh-CN"/>
        </w:rPr>
        <w:t>III</w:t>
      </w:r>
      <w:r>
        <w:rPr>
          <w:rFonts w:hint="default" w:ascii="Times New Roman" w:hAnsi="Times New Roman" w:eastAsia="宋体" w:cs="Times New Roman"/>
          <w:color w:val="auto"/>
          <w:sz w:val="24"/>
          <w:szCs w:val="24"/>
        </w:rPr>
        <w:t>类”项目；项目占地面积为</w:t>
      </w:r>
      <w:r>
        <w:rPr>
          <w:rFonts w:hint="eastAsia" w:ascii="Times New Roman" w:hAnsi="Times New Roman" w:cs="Times New Roman"/>
          <w:color w:val="auto"/>
          <w:sz w:val="24"/>
          <w:szCs w:val="24"/>
          <w:lang w:val="en-US" w:eastAsia="zh-CN"/>
        </w:rPr>
        <w:t>0.7</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val="en-US" w:eastAsia="zh-CN"/>
        </w:rPr>
        <w:t>0.7</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，占地规模属于“</w:t>
      </w:r>
      <w:r>
        <w:rPr>
          <w:rFonts w:hint="default" w:ascii="Times New Roman" w:hAnsi="Times New Roman" w:eastAsia="宋体" w:cs="Times New Roman"/>
          <w:color w:val="auto"/>
          <w:sz w:val="24"/>
          <w:szCs w:val="24"/>
          <w:lang w:eastAsia="zh-CN"/>
        </w:rPr>
        <w:t>小</w:t>
      </w:r>
      <w:r>
        <w:rPr>
          <w:rFonts w:hint="default" w:ascii="Times New Roman" w:hAnsi="Times New Roman" w:eastAsia="宋体" w:cs="Times New Roman"/>
          <w:color w:val="auto"/>
          <w:sz w:val="24"/>
          <w:szCs w:val="24"/>
        </w:rPr>
        <w:t>型”；项目区占地周边不涉及园地、牧草地、饮用水水源地或学校、医院、疗养院、养老院等土壤环境敏感目标的，所在区域土壤环境敏感程度均为“不敏感”。</w:t>
      </w:r>
    </w:p>
    <w:p w14:paraId="14A4A684">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根据《环境影响评价技术导则-土壤环境》（HJ964-2018）附录A</w:t>
      </w:r>
      <w:r>
        <w:rPr>
          <w:rFonts w:hint="default" w:ascii="Times New Roman" w:hAnsi="Times New Roman" w:eastAsia="宋体" w:cs="Times New Roman"/>
          <w:color w:val="auto"/>
          <w:lang w:eastAsia="zh-CN"/>
        </w:rPr>
        <w:t>中要求进行判定，本项目可不开展土壤环境影响评价，本次</w:t>
      </w:r>
      <w:r>
        <w:rPr>
          <w:rFonts w:hint="default" w:ascii="Times New Roman" w:hAnsi="Times New Roman" w:eastAsia="宋体" w:cs="Times New Roman"/>
          <w:color w:val="auto"/>
        </w:rPr>
        <w:t>评价对土壤影响分析和评价进行定性描述</w:t>
      </w:r>
      <w:r>
        <w:rPr>
          <w:rFonts w:hint="default" w:ascii="Times New Roman" w:hAnsi="Times New Roman" w:eastAsia="宋体" w:cs="Times New Roman"/>
          <w:color w:val="auto"/>
          <w:lang w:eastAsia="zh-CN"/>
        </w:rPr>
        <w:t>。</w:t>
      </w:r>
    </w:p>
    <w:p w14:paraId="6995BACF">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167" w:name="_Toc299348871"/>
      <w:bookmarkStart w:id="168" w:name="_Toc307819476"/>
      <w:bookmarkStart w:id="169" w:name="_Toc26819"/>
      <w:r>
        <w:rPr>
          <w:rFonts w:hint="default" w:ascii="Times New Roman" w:hAnsi="Times New Roman" w:eastAsia="宋体" w:cs="Times New Roman"/>
          <w:color w:val="auto"/>
          <w:sz w:val="28"/>
          <w:szCs w:val="28"/>
        </w:rPr>
        <w:t>1.6.2评价范围</w:t>
      </w:r>
      <w:bookmarkEnd w:id="159"/>
      <w:bookmarkEnd w:id="160"/>
      <w:bookmarkEnd w:id="161"/>
      <w:bookmarkEnd w:id="162"/>
      <w:bookmarkEnd w:id="167"/>
      <w:bookmarkEnd w:id="168"/>
      <w:bookmarkEnd w:id="169"/>
    </w:p>
    <w:p w14:paraId="3A81B7A4">
      <w:pPr>
        <w:adjustRightInd w:val="0"/>
        <w:snapToGrid w:val="0"/>
        <w:ind w:firstLine="480"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（1）地表水环境评价范围</w:t>
      </w:r>
    </w:p>
    <w:p w14:paraId="1E96B222">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运营期企业产生的生产废水</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lang w:eastAsia="zh-CN"/>
        </w:rPr>
        <w:t>，生活污水经隔油池化粪池处理后排入园区污水管网</w:t>
      </w:r>
      <w:r>
        <w:rPr>
          <w:rFonts w:hint="default" w:ascii="Times New Roman" w:hAnsi="Times New Roman" w:eastAsia="宋体" w:cs="Times New Roman"/>
          <w:color w:val="auto"/>
          <w:sz w:val="24"/>
        </w:rPr>
        <w:t>，外排废水执行</w:t>
      </w:r>
      <w:r>
        <w:rPr>
          <w:rFonts w:hint="default" w:ascii="Times New Roman" w:hAnsi="Times New Roman" w:eastAsia="宋体" w:cs="Times New Roman"/>
          <w:color w:val="auto"/>
          <w:kern w:val="10"/>
          <w:sz w:val="24"/>
        </w:rPr>
        <w:t>《污水综合排放标准》（GB8978-1996）中三级标准和《污水排入城镇下水道水质标准》（GB/T31962-2015）表1中B级标准</w:t>
      </w:r>
      <w:r>
        <w:rPr>
          <w:rFonts w:hint="default" w:ascii="Times New Roman" w:hAnsi="Times New Roman" w:eastAsia="宋体" w:cs="Times New Roman"/>
          <w:color w:val="auto"/>
          <w:lang w:eastAsia="zh-CN"/>
        </w:rPr>
        <w:t>。同时根据《环境影响评价技术导则 地表水环境》（</w:t>
      </w:r>
      <w:r>
        <w:rPr>
          <w:rFonts w:hint="default" w:ascii="Times New Roman" w:hAnsi="Times New Roman" w:eastAsia="宋体" w:cs="Times New Roman"/>
          <w:color w:val="auto"/>
          <w:lang w:val="en-US" w:eastAsia="zh-CN"/>
        </w:rPr>
        <w:t>HJ2.3-2018</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相关要求，</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地表水环境影响评价范围确定为：厂区范围及周边地表水体</w:t>
      </w:r>
      <w:r>
        <w:rPr>
          <w:rFonts w:hint="default" w:ascii="Times New Roman" w:hAnsi="Times New Roman" w:eastAsia="宋体" w:cs="Times New Roman"/>
          <w:color w:val="auto"/>
          <w:lang w:eastAsia="zh-CN"/>
        </w:rPr>
        <w:t>芒市大河</w:t>
      </w:r>
      <w:r>
        <w:rPr>
          <w:rFonts w:hint="default" w:ascii="Times New Roman" w:hAnsi="Times New Roman" w:eastAsia="宋体" w:cs="Times New Roman"/>
          <w:color w:val="auto"/>
        </w:rPr>
        <w:t>。</w:t>
      </w:r>
    </w:p>
    <w:p w14:paraId="18A08C39">
      <w:pPr>
        <w:adjustRightInd w:val="0"/>
        <w:snapToGrid w:val="0"/>
        <w:ind w:firstLine="480"/>
        <w:rPr>
          <w:rFonts w:hint="default" w:ascii="Times New Roman" w:hAnsi="Times New Roman" w:eastAsia="宋体" w:cs="Times New Roman"/>
          <w:b/>
          <w:color w:val="auto"/>
        </w:rPr>
      </w:pPr>
      <w:r>
        <w:rPr>
          <w:rFonts w:hint="default" w:ascii="Times New Roman" w:hAnsi="Times New Roman" w:eastAsia="宋体" w:cs="Times New Roman"/>
          <w:b/>
          <w:color w:val="auto"/>
        </w:rPr>
        <w:t>（2）地下水环境评价范围</w:t>
      </w:r>
    </w:p>
    <w:p w14:paraId="68250D4D">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依据《环境影响评价技术导则地下水环境》（HJ610-2016）的要求，</w:t>
      </w:r>
      <w:r>
        <w:rPr>
          <w:rFonts w:hint="default" w:ascii="Times New Roman" w:hAnsi="Times New Roman" w:eastAsia="宋体" w:cs="Times New Roman"/>
          <w:color w:val="auto"/>
          <w:lang w:eastAsia="zh-CN"/>
        </w:rPr>
        <w:t>项目地下水评价等级为三级评价。</w:t>
      </w:r>
      <w:r>
        <w:rPr>
          <w:rFonts w:hint="default" w:ascii="Times New Roman" w:hAnsi="Times New Roman" w:eastAsia="宋体" w:cs="Times New Roman"/>
          <w:color w:val="auto"/>
        </w:rPr>
        <w:t>根据本</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区域的地质条件、水文地质条件、地形地貌特征和地下水保护目标，结合</w:t>
      </w:r>
      <w:r>
        <w:rPr>
          <w:rFonts w:hint="default" w:ascii="Times New Roman" w:hAnsi="Times New Roman" w:eastAsia="宋体" w:cs="Times New Roman"/>
          <w:color w:val="auto"/>
          <w:lang w:eastAsia="zh-CN"/>
        </w:rPr>
        <w:t>项目地层含水性、地下水类型、地下水的补径排条件以及地下水流向</w:t>
      </w:r>
      <w:r>
        <w:rPr>
          <w:rFonts w:hint="default" w:ascii="Times New Roman" w:hAnsi="Times New Roman" w:eastAsia="宋体" w:cs="Times New Roman"/>
          <w:color w:val="auto"/>
        </w:rPr>
        <w:t>，确定地下水评价范围为厂址上游1km，下游2km，两侧各1km，总面积约6km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14:paraId="6786DBF9">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（3）环境空气评价范围</w:t>
      </w:r>
    </w:p>
    <w:p w14:paraId="5A88C13F">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rPr>
        <w:t>根据HJ2.2-2018导则要求，结合本项目大气污染排放特征与该地区主导风向和项目周围敏感点的分布，确定运营期大气环境影响评价范围以本项目区为中心，向南北各延伸2.5km，向东西各延伸2.5km，共约25km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的范围内进行。</w:t>
      </w:r>
    </w:p>
    <w:p w14:paraId="7FE46EBD">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（4）声环境的评价范围</w:t>
      </w:r>
    </w:p>
    <w:p w14:paraId="4D3CA548">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声环境的评价范围为项目场址区域及四周场界外延200m区域范围。</w:t>
      </w:r>
    </w:p>
    <w:p w14:paraId="2160AB72">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（5）生态环境评价范围</w:t>
      </w:r>
    </w:p>
    <w:p w14:paraId="32754EC6">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项目场址区域及四周场界外延200m区域范围。</w:t>
      </w:r>
    </w:p>
    <w:p w14:paraId="04840A64">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（6）风险评价范围</w:t>
      </w:r>
    </w:p>
    <w:p w14:paraId="3C06784D">
      <w:pPr>
        <w:numPr>
          <w:ilvl w:val="0"/>
          <w:numId w:val="0"/>
        </w:num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根据</w:t>
      </w:r>
      <w:r>
        <w:rPr>
          <w:rFonts w:hint="default" w:ascii="Times New Roman" w:hAnsi="Times New Roman" w:eastAsia="宋体" w:cs="Times New Roman"/>
          <w:color w:val="auto"/>
          <w:lang w:eastAsia="zh-CN"/>
        </w:rPr>
        <w:t>评价等级风险评价章节中</w:t>
      </w:r>
      <w:r>
        <w:rPr>
          <w:rFonts w:hint="default" w:ascii="Times New Roman" w:hAnsi="Times New Roman" w:eastAsia="宋体" w:cs="Times New Roman"/>
          <w:color w:val="auto"/>
        </w:rPr>
        <w:t>关于项目环境风险评价等级判定结果，</w:t>
      </w:r>
      <w:r>
        <w:rPr>
          <w:rFonts w:hint="default" w:ascii="Times New Roman" w:hAnsi="Times New Roman" w:eastAsia="宋体" w:cs="Times New Roman"/>
          <w:b w:val="0"/>
          <w:bCs/>
          <w:color w:val="auto"/>
          <w:kern w:val="0"/>
          <w:sz w:val="24"/>
          <w:lang w:val="en-US" w:eastAsia="zh-CN"/>
        </w:rPr>
        <w:t>经判定项目环境风险潜势为Ⅰ级，确定本项目环境风险评价为简单分析，评价范围为距离项目边界 3km 范围的区域</w:t>
      </w:r>
      <w:r>
        <w:rPr>
          <w:rFonts w:hint="default" w:ascii="Times New Roman" w:hAnsi="Times New Roman" w:eastAsia="宋体" w:cs="Times New Roman"/>
          <w:color w:val="auto"/>
        </w:rPr>
        <w:t>。</w:t>
      </w:r>
    </w:p>
    <w:p w14:paraId="54A95B36">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7</w:t>
      </w:r>
      <w:r>
        <w:rPr>
          <w:rFonts w:hint="default" w:ascii="Times New Roman" w:hAnsi="Times New Roman" w:eastAsia="宋体" w:cs="Times New Roman"/>
          <w:b/>
          <w:color w:val="auto"/>
        </w:rPr>
        <w:t>）</w:t>
      </w:r>
      <w:r>
        <w:rPr>
          <w:rFonts w:hint="default" w:ascii="Times New Roman" w:hAnsi="Times New Roman" w:eastAsia="宋体" w:cs="Times New Roman"/>
          <w:b/>
          <w:color w:val="auto"/>
          <w:lang w:eastAsia="zh-CN"/>
        </w:rPr>
        <w:t>土壤环境</w:t>
      </w:r>
      <w:r>
        <w:rPr>
          <w:rFonts w:hint="default" w:ascii="Times New Roman" w:hAnsi="Times New Roman" w:eastAsia="宋体" w:cs="Times New Roman"/>
          <w:b/>
          <w:color w:val="auto"/>
        </w:rPr>
        <w:t>评价范围</w:t>
      </w:r>
    </w:p>
    <w:p w14:paraId="22545CCC">
      <w:pPr>
        <w:adjustRightInd w:val="0"/>
        <w:snapToGrid w:val="0"/>
        <w:ind w:firstLine="480" w:firstLineChars="200"/>
        <w:rPr>
          <w:rFonts w:hint="default" w:ascii="Times New Roman" w:hAnsi="Times New Roman" w:eastAsia="宋体" w:cs="Times New Roman"/>
          <w:color w:val="auto"/>
          <w:lang w:eastAsia="zh-CN"/>
        </w:rPr>
      </w:pPr>
      <w:bookmarkStart w:id="170" w:name="_Toc16400"/>
      <w:r>
        <w:rPr>
          <w:rFonts w:hint="default" w:ascii="Times New Roman" w:hAnsi="Times New Roman" w:eastAsia="宋体" w:cs="Times New Roman"/>
          <w:color w:val="auto"/>
        </w:rPr>
        <w:t>根据《环境影响评价技术导则-土壤环境》（HJ964-2018）附录A</w:t>
      </w:r>
      <w:r>
        <w:rPr>
          <w:rFonts w:hint="default" w:ascii="Times New Roman" w:hAnsi="Times New Roman" w:eastAsia="宋体" w:cs="Times New Roman"/>
          <w:color w:val="auto"/>
          <w:lang w:eastAsia="zh-CN"/>
        </w:rPr>
        <w:t>中要求进行判定，本项目可不开展土壤环境影响评价，本次</w:t>
      </w:r>
      <w:r>
        <w:rPr>
          <w:rFonts w:hint="default" w:ascii="Times New Roman" w:hAnsi="Times New Roman" w:eastAsia="宋体" w:cs="Times New Roman"/>
          <w:color w:val="auto"/>
        </w:rPr>
        <w:t>评价对土壤影响分析和评价进行定性描述</w:t>
      </w:r>
      <w:r>
        <w:rPr>
          <w:rFonts w:hint="default" w:ascii="Times New Roman" w:hAnsi="Times New Roman" w:eastAsia="宋体" w:cs="Times New Roman"/>
          <w:color w:val="auto"/>
          <w:lang w:eastAsia="zh-CN"/>
        </w:rPr>
        <w:t>。</w:t>
      </w:r>
    </w:p>
    <w:p w14:paraId="7307BAEB">
      <w:pPr>
        <w:adjustRightInd w:val="0"/>
        <w:snapToGrid w:val="0"/>
        <w:spacing w:beforeLines="50"/>
        <w:outlineLvl w:val="1"/>
        <w:rPr>
          <w:rFonts w:hint="default" w:ascii="Times New Roman" w:hAnsi="Times New Roman" w:eastAsia="宋体" w:cs="Times New Roman"/>
          <w:b/>
          <w:color w:val="auto"/>
          <w:sz w:val="32"/>
          <w:szCs w:val="32"/>
        </w:rPr>
      </w:pPr>
      <w:bookmarkStart w:id="171" w:name="_Toc1320"/>
      <w:r>
        <w:rPr>
          <w:rFonts w:hint="default" w:ascii="Times New Roman" w:hAnsi="Times New Roman" w:eastAsia="宋体" w:cs="Times New Roman"/>
          <w:b/>
          <w:color w:val="auto"/>
          <w:sz w:val="32"/>
          <w:szCs w:val="32"/>
        </w:rPr>
        <w:t>1.7评价内容</w:t>
      </w:r>
      <w:bookmarkEnd w:id="145"/>
      <w:bookmarkEnd w:id="146"/>
      <w:bookmarkEnd w:id="147"/>
      <w:bookmarkEnd w:id="148"/>
      <w:bookmarkEnd w:id="170"/>
      <w:bookmarkEnd w:id="171"/>
    </w:p>
    <w:p w14:paraId="216BA95F">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（1）对拟建项目所在区域内环境质量现状进行调查、监测，根据所得的资料、数据，对评价范围内环境质量现状进行分析评价，掌握新建项目所在区域的污染现状、环境质量现状；</w:t>
      </w:r>
    </w:p>
    <w:p w14:paraId="0BD0F1C2">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（2）对拟建项目进行工程分析，确定项目建设的工艺流程及产污节点情况、项目建设施工期和营运期可能造成的环境影响、核算污染物排放量；</w:t>
      </w:r>
    </w:p>
    <w:p w14:paraId="11FB91CD">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（3）根据项目工程分析，选择对环境危害大、不利影响较为突出的环境影响因子进行评价，预测项目建设对环境的影响范围和程度，并提出相应的污染防治措施；</w:t>
      </w:r>
    </w:p>
    <w:p w14:paraId="714CFAE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（4）进行环境影响经济损益分析，对建设项目的环境影响后果（包括直接和间接影响、不利和有利影响）进行货币化经济损益核算，估算建设项目环境影响的经济价值。</w:t>
      </w:r>
    </w:p>
    <w:p w14:paraId="19E3882D">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（5）根据项目建设的实际情况，提出项目环境管理与环境监测要求；</w:t>
      </w:r>
    </w:p>
    <w:p w14:paraId="737B12B7">
      <w:pPr>
        <w:adjustRightInd w:val="0"/>
        <w:snapToGrid w:val="0"/>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（6）通过以上评价，给出项目建设是否可行的结论，并提出合理的建议。</w:t>
      </w:r>
    </w:p>
    <w:p w14:paraId="5D2CB457">
      <w:pPr>
        <w:adjustRightInd w:val="0"/>
        <w:snapToGrid w:val="0"/>
        <w:spacing w:beforeLines="50"/>
        <w:outlineLvl w:val="1"/>
        <w:rPr>
          <w:rFonts w:hint="default" w:ascii="Times New Roman" w:hAnsi="Times New Roman" w:eastAsia="宋体" w:cs="Times New Roman"/>
          <w:b/>
          <w:color w:val="auto"/>
          <w:sz w:val="32"/>
          <w:szCs w:val="32"/>
        </w:rPr>
      </w:pPr>
      <w:bookmarkStart w:id="172" w:name="_Toc523199386"/>
      <w:bookmarkStart w:id="173" w:name="_Toc23916"/>
      <w:bookmarkStart w:id="174" w:name="_Toc23375"/>
      <w:bookmarkStart w:id="175" w:name="_Toc50801623"/>
      <w:bookmarkStart w:id="176" w:name="_Toc222464659"/>
      <w:bookmarkStart w:id="177" w:name="_Toc136923524"/>
      <w:bookmarkStart w:id="178" w:name="_Toc67386701"/>
      <w:bookmarkStart w:id="179" w:name="_Toc100736871"/>
      <w:bookmarkStart w:id="180" w:name="_Toc291196004"/>
      <w:bookmarkStart w:id="181" w:name="_Toc527359033"/>
      <w:bookmarkStart w:id="182" w:name="_Toc112990459"/>
      <w:bookmarkStart w:id="183" w:name="_Toc68323356"/>
      <w:bookmarkStart w:id="184" w:name="_Toc48038964"/>
      <w:bookmarkStart w:id="185" w:name="_Toc143012192"/>
      <w:bookmarkStart w:id="186" w:name="_Toc48038939"/>
      <w:bookmarkStart w:id="187" w:name="_Toc521900346"/>
      <w:bookmarkStart w:id="188" w:name="_Toc521899367"/>
      <w:bookmarkStart w:id="189" w:name="_Toc174898457"/>
      <w:bookmarkStart w:id="190" w:name="_Toc42057897"/>
      <w:bookmarkStart w:id="191" w:name="_Toc68323275"/>
      <w:bookmarkStart w:id="192" w:name="_Toc162454430"/>
      <w:bookmarkStart w:id="193" w:name="_Toc521312535"/>
      <w:bookmarkStart w:id="194" w:name="_Toc185918308"/>
      <w:bookmarkStart w:id="195" w:name="_Toc176518443"/>
      <w:bookmarkStart w:id="196" w:name="_Toc50797164"/>
      <w:bookmarkStart w:id="197" w:name="_Toc299348877"/>
      <w:bookmarkStart w:id="198" w:name="_Toc307819482"/>
      <w:r>
        <w:rPr>
          <w:rFonts w:hint="default" w:ascii="Times New Roman" w:hAnsi="Times New Roman" w:eastAsia="宋体" w:cs="Times New Roman"/>
          <w:b/>
          <w:color w:val="auto"/>
          <w:sz w:val="32"/>
          <w:szCs w:val="32"/>
        </w:rPr>
        <w:t>1.</w:t>
      </w:r>
      <w:r>
        <w:rPr>
          <w:rFonts w:hint="eastAsia" w:ascii="Times New Roman" w:hAnsi="Times New Roman" w:cs="Times New Roman"/>
          <w:b/>
          <w:color w:val="auto"/>
          <w:sz w:val="32"/>
          <w:szCs w:val="32"/>
          <w:lang w:val="en-US" w:eastAsia="zh-CN"/>
        </w:rPr>
        <w:t>8</w:t>
      </w:r>
      <w:r>
        <w:rPr>
          <w:rFonts w:hint="default" w:ascii="Times New Roman" w:hAnsi="Times New Roman" w:eastAsia="宋体" w:cs="Times New Roman"/>
          <w:b/>
          <w:color w:val="auto"/>
          <w:sz w:val="32"/>
          <w:szCs w:val="32"/>
        </w:rPr>
        <w:t>环境保护目标</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2A2DED4B">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本项目主要控制对象为废水污染、废气污染。根据项目拟定厂址周围自然和社会环境情况以及本项目环境污染特征</w:t>
      </w:r>
      <w:r>
        <w:rPr>
          <w:rFonts w:hint="default" w:ascii="Times New Roman" w:hAnsi="Times New Roman" w:eastAsia="宋体" w:cs="Times New Roman"/>
          <w:color w:val="auto"/>
          <w:lang w:eastAsia="zh-CN"/>
        </w:rPr>
        <w:t>及项目评价范围</w:t>
      </w:r>
      <w:r>
        <w:rPr>
          <w:rFonts w:hint="default" w:ascii="Times New Roman" w:hAnsi="Times New Roman" w:eastAsia="宋体" w:cs="Times New Roman"/>
          <w:color w:val="auto"/>
        </w:rPr>
        <w:t>确定的环境保护目标，从现场踏勘情况看，项目周边保护目标见表1.</w:t>
      </w:r>
      <w:r>
        <w:rPr>
          <w:rFonts w:hint="eastAsia" w:ascii="Times New Roman" w:hAnsi="Times New Roman" w:cs="Times New Roman"/>
          <w:color w:val="auto"/>
          <w:lang w:val="en-US" w:eastAsia="zh-CN"/>
        </w:rPr>
        <w:t>8</w:t>
      </w:r>
      <w:r>
        <w:rPr>
          <w:rFonts w:hint="default" w:ascii="Times New Roman" w:hAnsi="Times New Roman" w:eastAsia="宋体" w:cs="Times New Roman"/>
          <w:color w:val="auto"/>
        </w:rPr>
        <w:t>-1。</w:t>
      </w:r>
    </w:p>
    <w:p w14:paraId="1F23E0C4">
      <w:pPr>
        <w:autoSpaceDE w:val="0"/>
        <w:autoSpaceDN w:val="0"/>
        <w:adjustRightInd w:val="0"/>
        <w:snapToGrid w:val="0"/>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rPr>
        <w:t>表1.</w:t>
      </w:r>
      <w:r>
        <w:rPr>
          <w:rFonts w:hint="eastAsia" w:ascii="Times New Roman" w:hAnsi="Times New Roman" w:cs="Times New Roman"/>
          <w:b/>
          <w:color w:val="auto"/>
          <w:lang w:val="en-US" w:eastAsia="zh-CN"/>
        </w:rPr>
        <w:t>8</w:t>
      </w:r>
      <w:r>
        <w:rPr>
          <w:rFonts w:hint="default" w:ascii="Times New Roman" w:hAnsi="Times New Roman" w:eastAsia="宋体" w:cs="Times New Roman"/>
          <w:b/>
          <w:color w:val="auto"/>
        </w:rPr>
        <w:t>-1 项目环境保护目标一览表</w:t>
      </w:r>
    </w:p>
    <w:tbl>
      <w:tblPr>
        <w:tblStyle w:val="6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272"/>
        <w:gridCol w:w="613"/>
        <w:gridCol w:w="481"/>
        <w:gridCol w:w="749"/>
        <w:gridCol w:w="1133"/>
        <w:gridCol w:w="848"/>
        <w:gridCol w:w="2697"/>
      </w:tblGrid>
      <w:tr w14:paraId="2ECD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387" w:type="dxa"/>
            <w:shd w:val="clear" w:color="auto" w:fill="auto"/>
            <w:noWrap w:val="0"/>
            <w:vAlign w:val="center"/>
          </w:tcPr>
          <w:p w14:paraId="7027D39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保护目标</w:t>
            </w:r>
          </w:p>
        </w:tc>
        <w:tc>
          <w:tcPr>
            <w:tcW w:w="1272" w:type="dxa"/>
            <w:shd w:val="clear" w:color="auto" w:fill="auto"/>
            <w:noWrap w:val="0"/>
            <w:vAlign w:val="center"/>
          </w:tcPr>
          <w:p w14:paraId="25F6A1B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敏感目标</w:t>
            </w:r>
          </w:p>
        </w:tc>
        <w:tc>
          <w:tcPr>
            <w:tcW w:w="1094" w:type="dxa"/>
            <w:gridSpan w:val="2"/>
            <w:shd w:val="clear" w:color="auto" w:fill="auto"/>
            <w:noWrap w:val="0"/>
            <w:vAlign w:val="center"/>
          </w:tcPr>
          <w:p w14:paraId="3D76D5B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基本情况</w:t>
            </w:r>
          </w:p>
        </w:tc>
        <w:tc>
          <w:tcPr>
            <w:tcW w:w="749" w:type="dxa"/>
            <w:shd w:val="clear" w:color="auto" w:fill="auto"/>
            <w:noWrap w:val="0"/>
            <w:vAlign w:val="center"/>
          </w:tcPr>
          <w:p w14:paraId="787DEE7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方向</w:t>
            </w:r>
          </w:p>
        </w:tc>
        <w:tc>
          <w:tcPr>
            <w:tcW w:w="1133" w:type="dxa"/>
            <w:shd w:val="clear" w:color="auto" w:fill="auto"/>
            <w:noWrap w:val="0"/>
            <w:vAlign w:val="center"/>
          </w:tcPr>
          <w:p w14:paraId="6823009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距厂界直线距离</w:t>
            </w:r>
          </w:p>
        </w:tc>
        <w:tc>
          <w:tcPr>
            <w:tcW w:w="848" w:type="dxa"/>
            <w:shd w:val="clear" w:color="auto" w:fill="auto"/>
            <w:noWrap w:val="0"/>
            <w:vAlign w:val="center"/>
          </w:tcPr>
          <w:p w14:paraId="07DC73F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697" w:type="dxa"/>
            <w:shd w:val="clear" w:color="auto" w:fill="auto"/>
            <w:noWrap w:val="0"/>
            <w:vAlign w:val="center"/>
          </w:tcPr>
          <w:p w14:paraId="47E148D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保护级别</w:t>
            </w:r>
          </w:p>
        </w:tc>
      </w:tr>
      <w:tr w14:paraId="07F7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87" w:type="dxa"/>
            <w:vMerge w:val="restart"/>
            <w:shd w:val="clear" w:color="auto" w:fill="auto"/>
            <w:noWrap w:val="0"/>
            <w:vAlign w:val="center"/>
          </w:tcPr>
          <w:p w14:paraId="662942A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环境空气</w:t>
            </w:r>
          </w:p>
        </w:tc>
        <w:tc>
          <w:tcPr>
            <w:tcW w:w="1272" w:type="dxa"/>
            <w:shd w:val="clear" w:color="auto" w:fill="auto"/>
            <w:noWrap w:val="0"/>
            <w:vAlign w:val="center"/>
          </w:tcPr>
          <w:p w14:paraId="107948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帕底村</w:t>
            </w:r>
          </w:p>
        </w:tc>
        <w:tc>
          <w:tcPr>
            <w:tcW w:w="1094" w:type="dxa"/>
            <w:gridSpan w:val="2"/>
            <w:shd w:val="clear" w:color="auto" w:fill="auto"/>
            <w:noWrap w:val="0"/>
            <w:vAlign w:val="center"/>
          </w:tcPr>
          <w:p w14:paraId="374F86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324户，1380人</w:t>
            </w:r>
          </w:p>
        </w:tc>
        <w:tc>
          <w:tcPr>
            <w:tcW w:w="749" w:type="dxa"/>
            <w:shd w:val="clear" w:color="auto" w:fill="auto"/>
            <w:noWrap w:val="0"/>
            <w:vAlign w:val="center"/>
          </w:tcPr>
          <w:p w14:paraId="105C2B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w:t>
            </w:r>
          </w:p>
        </w:tc>
        <w:tc>
          <w:tcPr>
            <w:tcW w:w="1133" w:type="dxa"/>
            <w:shd w:val="clear" w:color="auto" w:fill="auto"/>
            <w:noWrap w:val="0"/>
            <w:vAlign w:val="center"/>
          </w:tcPr>
          <w:p w14:paraId="64F17E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2220</w:t>
            </w:r>
            <w:r>
              <w:rPr>
                <w:rFonts w:hint="default" w:ascii="Times New Roman" w:hAnsi="Times New Roman" w:eastAsia="宋体" w:cs="Times New Roman"/>
                <w:color w:val="auto"/>
                <w:sz w:val="21"/>
                <w:szCs w:val="21"/>
              </w:rPr>
              <w:t>m</w:t>
            </w:r>
          </w:p>
        </w:tc>
        <w:tc>
          <w:tcPr>
            <w:tcW w:w="848" w:type="dxa"/>
            <w:vMerge w:val="restart"/>
            <w:shd w:val="clear" w:color="auto" w:fill="auto"/>
            <w:noWrap w:val="0"/>
            <w:vAlign w:val="center"/>
          </w:tcPr>
          <w:p w14:paraId="405D223E">
            <w:pPr>
              <w:jc w:val="center"/>
              <w:rPr>
                <w:rFonts w:hint="default" w:ascii="Times New Roman" w:hAnsi="Times New Roman" w:eastAsia="宋体" w:cs="Times New Roman"/>
                <w:color w:val="auto"/>
                <w:sz w:val="21"/>
                <w:szCs w:val="21"/>
              </w:rPr>
            </w:pPr>
          </w:p>
          <w:p w14:paraId="4962604A">
            <w:pPr>
              <w:jc w:val="center"/>
              <w:rPr>
                <w:rFonts w:hint="default" w:ascii="Times New Roman" w:hAnsi="Times New Roman" w:eastAsia="宋体" w:cs="Times New Roman"/>
                <w:color w:val="auto"/>
                <w:sz w:val="21"/>
                <w:szCs w:val="21"/>
              </w:rPr>
            </w:pPr>
          </w:p>
          <w:p w14:paraId="27FF1914">
            <w:pPr>
              <w:jc w:val="center"/>
              <w:rPr>
                <w:rFonts w:hint="default" w:ascii="Times New Roman" w:hAnsi="Times New Roman" w:eastAsia="宋体" w:cs="Times New Roman"/>
                <w:color w:val="auto"/>
                <w:sz w:val="21"/>
                <w:szCs w:val="21"/>
              </w:rPr>
            </w:pPr>
          </w:p>
          <w:p w14:paraId="65470367">
            <w:pPr>
              <w:jc w:val="center"/>
              <w:rPr>
                <w:rFonts w:hint="default" w:ascii="Times New Roman" w:hAnsi="Times New Roman" w:eastAsia="宋体" w:cs="Times New Roman"/>
                <w:color w:val="auto"/>
                <w:sz w:val="21"/>
                <w:szCs w:val="21"/>
              </w:rPr>
            </w:pPr>
          </w:p>
          <w:p w14:paraId="7A495567">
            <w:pPr>
              <w:jc w:val="center"/>
              <w:rPr>
                <w:rFonts w:hint="default" w:ascii="Times New Roman" w:hAnsi="Times New Roman" w:eastAsia="宋体" w:cs="Times New Roman"/>
                <w:color w:val="auto"/>
                <w:sz w:val="21"/>
                <w:szCs w:val="21"/>
              </w:rPr>
            </w:pPr>
          </w:p>
          <w:p w14:paraId="3FA72616">
            <w:pPr>
              <w:jc w:val="center"/>
              <w:rPr>
                <w:rFonts w:hint="default" w:ascii="Times New Roman" w:hAnsi="Times New Roman" w:eastAsia="宋体" w:cs="Times New Roman"/>
                <w:color w:val="auto"/>
                <w:sz w:val="21"/>
                <w:szCs w:val="21"/>
              </w:rPr>
            </w:pPr>
          </w:p>
          <w:p w14:paraId="1C72A486">
            <w:pPr>
              <w:jc w:val="center"/>
              <w:rPr>
                <w:rFonts w:hint="default" w:ascii="Times New Roman" w:hAnsi="Times New Roman" w:eastAsia="宋体" w:cs="Times New Roman"/>
                <w:color w:val="auto"/>
                <w:sz w:val="21"/>
                <w:szCs w:val="21"/>
              </w:rPr>
            </w:pPr>
          </w:p>
          <w:p w14:paraId="002604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w:t>
            </w:r>
          </w:p>
        </w:tc>
        <w:tc>
          <w:tcPr>
            <w:tcW w:w="2697" w:type="dxa"/>
            <w:vMerge w:val="restart"/>
            <w:shd w:val="clear" w:color="auto" w:fill="auto"/>
            <w:noWrap w:val="0"/>
            <w:vAlign w:val="center"/>
          </w:tcPr>
          <w:p w14:paraId="06A7D6C4">
            <w:pPr>
              <w:rPr>
                <w:rFonts w:hint="default" w:ascii="Times New Roman" w:hAnsi="Times New Roman" w:eastAsia="宋体" w:cs="Times New Roman"/>
                <w:color w:val="auto"/>
                <w:sz w:val="21"/>
                <w:szCs w:val="21"/>
              </w:rPr>
            </w:pPr>
          </w:p>
          <w:p w14:paraId="2BD44C1C">
            <w:pPr>
              <w:rPr>
                <w:rFonts w:hint="default" w:ascii="Times New Roman" w:hAnsi="Times New Roman" w:eastAsia="宋体" w:cs="Times New Roman"/>
                <w:color w:val="auto"/>
                <w:sz w:val="21"/>
                <w:szCs w:val="21"/>
              </w:rPr>
            </w:pPr>
          </w:p>
          <w:p w14:paraId="200F868E">
            <w:pPr>
              <w:rPr>
                <w:rFonts w:hint="default" w:ascii="Times New Roman" w:hAnsi="Times New Roman" w:eastAsia="宋体" w:cs="Times New Roman"/>
                <w:color w:val="auto"/>
                <w:sz w:val="21"/>
                <w:szCs w:val="21"/>
              </w:rPr>
            </w:pPr>
          </w:p>
          <w:p w14:paraId="3074EF67">
            <w:pPr>
              <w:rPr>
                <w:rFonts w:hint="default" w:ascii="Times New Roman" w:hAnsi="Times New Roman" w:eastAsia="宋体" w:cs="Times New Roman"/>
                <w:color w:val="auto"/>
                <w:sz w:val="21"/>
                <w:szCs w:val="21"/>
              </w:rPr>
            </w:pPr>
          </w:p>
          <w:p w14:paraId="5D201927">
            <w:pPr>
              <w:rPr>
                <w:rFonts w:hint="default" w:ascii="Times New Roman" w:hAnsi="Times New Roman" w:eastAsia="宋体" w:cs="Times New Roman"/>
                <w:color w:val="auto"/>
                <w:sz w:val="21"/>
                <w:szCs w:val="21"/>
              </w:rPr>
            </w:pPr>
          </w:p>
          <w:p w14:paraId="3B2946DE">
            <w:pPr>
              <w:rPr>
                <w:rFonts w:hint="default" w:ascii="Times New Roman" w:hAnsi="Times New Roman" w:eastAsia="宋体" w:cs="Times New Roman"/>
                <w:color w:val="auto"/>
                <w:sz w:val="21"/>
                <w:szCs w:val="21"/>
              </w:rPr>
            </w:pPr>
          </w:p>
          <w:p w14:paraId="1A2BF47C">
            <w:pPr>
              <w:rPr>
                <w:rFonts w:hint="default" w:ascii="Times New Roman" w:hAnsi="Times New Roman" w:eastAsia="宋体" w:cs="Times New Roman"/>
                <w:color w:val="auto"/>
                <w:sz w:val="21"/>
                <w:szCs w:val="21"/>
              </w:rPr>
            </w:pPr>
          </w:p>
          <w:p w14:paraId="187A8B35">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GB3095-2012《环境空气质量标准》二级标准； </w:t>
            </w:r>
          </w:p>
        </w:tc>
      </w:tr>
      <w:tr w14:paraId="79D80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87" w:type="dxa"/>
            <w:vMerge w:val="continue"/>
            <w:shd w:val="clear" w:color="auto" w:fill="auto"/>
            <w:noWrap w:val="0"/>
            <w:vAlign w:val="center"/>
          </w:tcPr>
          <w:p w14:paraId="52195475">
            <w:pPr>
              <w:jc w:val="center"/>
              <w:rPr>
                <w:rFonts w:hint="default" w:ascii="Times New Roman" w:hAnsi="Times New Roman" w:eastAsia="宋体" w:cs="Times New Roman"/>
                <w:b/>
                <w:bCs/>
                <w:color w:val="auto"/>
                <w:sz w:val="21"/>
                <w:szCs w:val="21"/>
              </w:rPr>
            </w:pPr>
          </w:p>
        </w:tc>
        <w:tc>
          <w:tcPr>
            <w:tcW w:w="1272" w:type="dxa"/>
            <w:shd w:val="clear" w:color="auto" w:fill="auto"/>
            <w:noWrap w:val="0"/>
            <w:vAlign w:val="center"/>
          </w:tcPr>
          <w:p w14:paraId="52A4C8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界桃村</w:t>
            </w:r>
          </w:p>
        </w:tc>
        <w:tc>
          <w:tcPr>
            <w:tcW w:w="1094" w:type="dxa"/>
            <w:gridSpan w:val="2"/>
            <w:shd w:val="clear" w:color="auto" w:fill="auto"/>
            <w:noWrap w:val="0"/>
            <w:vAlign w:val="center"/>
          </w:tcPr>
          <w:p w14:paraId="3B5A6553">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61户，271人</w:t>
            </w:r>
          </w:p>
        </w:tc>
        <w:tc>
          <w:tcPr>
            <w:tcW w:w="749" w:type="dxa"/>
            <w:shd w:val="clear" w:color="auto" w:fill="auto"/>
            <w:noWrap w:val="0"/>
            <w:vAlign w:val="center"/>
          </w:tcPr>
          <w:p w14:paraId="18BEE4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1133" w:type="dxa"/>
            <w:shd w:val="clear" w:color="auto" w:fill="auto"/>
            <w:noWrap w:val="0"/>
            <w:vAlign w:val="center"/>
          </w:tcPr>
          <w:p w14:paraId="37854E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520</w:t>
            </w:r>
            <w:r>
              <w:rPr>
                <w:rFonts w:hint="default" w:ascii="Times New Roman" w:hAnsi="Times New Roman" w:eastAsia="宋体" w:cs="Times New Roman"/>
                <w:color w:val="auto"/>
                <w:sz w:val="21"/>
                <w:szCs w:val="21"/>
              </w:rPr>
              <w:t>m</w:t>
            </w:r>
          </w:p>
        </w:tc>
        <w:tc>
          <w:tcPr>
            <w:tcW w:w="848" w:type="dxa"/>
            <w:vMerge w:val="continue"/>
            <w:shd w:val="clear" w:color="auto" w:fill="auto"/>
            <w:noWrap w:val="0"/>
            <w:vAlign w:val="center"/>
          </w:tcPr>
          <w:p w14:paraId="4BE826AC">
            <w:pPr>
              <w:jc w:val="center"/>
              <w:rPr>
                <w:rFonts w:hint="default" w:ascii="Times New Roman" w:hAnsi="Times New Roman" w:eastAsia="宋体" w:cs="Times New Roman"/>
                <w:color w:val="auto"/>
                <w:sz w:val="21"/>
                <w:szCs w:val="21"/>
              </w:rPr>
            </w:pPr>
          </w:p>
        </w:tc>
        <w:tc>
          <w:tcPr>
            <w:tcW w:w="2697" w:type="dxa"/>
            <w:vMerge w:val="continue"/>
            <w:shd w:val="clear" w:color="auto" w:fill="auto"/>
            <w:noWrap w:val="0"/>
            <w:vAlign w:val="center"/>
          </w:tcPr>
          <w:p w14:paraId="19ADF202">
            <w:pPr>
              <w:jc w:val="center"/>
              <w:rPr>
                <w:rFonts w:hint="default" w:ascii="Times New Roman" w:hAnsi="Times New Roman" w:eastAsia="宋体" w:cs="Times New Roman"/>
                <w:color w:val="auto"/>
                <w:sz w:val="21"/>
                <w:szCs w:val="21"/>
              </w:rPr>
            </w:pPr>
          </w:p>
        </w:tc>
      </w:tr>
      <w:tr w14:paraId="785F8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87" w:type="dxa"/>
            <w:vMerge w:val="continue"/>
            <w:shd w:val="clear" w:color="auto" w:fill="auto"/>
            <w:noWrap w:val="0"/>
            <w:vAlign w:val="center"/>
          </w:tcPr>
          <w:p w14:paraId="2F40C20A">
            <w:pPr>
              <w:jc w:val="center"/>
              <w:rPr>
                <w:rFonts w:hint="default" w:ascii="Times New Roman" w:hAnsi="Times New Roman" w:eastAsia="宋体" w:cs="Times New Roman"/>
                <w:b/>
                <w:bCs/>
                <w:color w:val="auto"/>
                <w:sz w:val="21"/>
                <w:szCs w:val="21"/>
              </w:rPr>
            </w:pPr>
          </w:p>
        </w:tc>
        <w:tc>
          <w:tcPr>
            <w:tcW w:w="1272" w:type="dxa"/>
            <w:shd w:val="clear" w:color="auto" w:fill="auto"/>
            <w:noWrap w:val="0"/>
            <w:vAlign w:val="center"/>
          </w:tcPr>
          <w:p w14:paraId="777F33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南相章</w:t>
            </w:r>
          </w:p>
        </w:tc>
        <w:tc>
          <w:tcPr>
            <w:tcW w:w="1094" w:type="dxa"/>
            <w:gridSpan w:val="2"/>
            <w:shd w:val="clear" w:color="auto" w:fill="auto"/>
            <w:noWrap w:val="0"/>
            <w:vAlign w:val="center"/>
          </w:tcPr>
          <w:p w14:paraId="44A91DDE">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122户，1210人</w:t>
            </w:r>
          </w:p>
        </w:tc>
        <w:tc>
          <w:tcPr>
            <w:tcW w:w="749" w:type="dxa"/>
            <w:shd w:val="clear" w:color="auto" w:fill="auto"/>
            <w:noWrap w:val="0"/>
            <w:vAlign w:val="center"/>
          </w:tcPr>
          <w:p w14:paraId="3C17C5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w:t>
            </w:r>
          </w:p>
        </w:tc>
        <w:tc>
          <w:tcPr>
            <w:tcW w:w="1133" w:type="dxa"/>
            <w:shd w:val="clear" w:color="auto" w:fill="auto"/>
            <w:noWrap w:val="0"/>
            <w:vAlign w:val="center"/>
          </w:tcPr>
          <w:p w14:paraId="034CC9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1809</w:t>
            </w:r>
            <w:r>
              <w:rPr>
                <w:rFonts w:hint="default" w:ascii="Times New Roman" w:hAnsi="Times New Roman" w:eastAsia="宋体" w:cs="Times New Roman"/>
                <w:color w:val="auto"/>
                <w:sz w:val="21"/>
                <w:szCs w:val="21"/>
              </w:rPr>
              <w:t>m</w:t>
            </w:r>
          </w:p>
        </w:tc>
        <w:tc>
          <w:tcPr>
            <w:tcW w:w="848" w:type="dxa"/>
            <w:vMerge w:val="continue"/>
            <w:shd w:val="clear" w:color="auto" w:fill="auto"/>
            <w:noWrap w:val="0"/>
            <w:vAlign w:val="center"/>
          </w:tcPr>
          <w:p w14:paraId="6DDA5B2D">
            <w:pPr>
              <w:jc w:val="center"/>
              <w:rPr>
                <w:rFonts w:hint="default" w:ascii="Times New Roman" w:hAnsi="Times New Roman" w:eastAsia="宋体" w:cs="Times New Roman"/>
                <w:color w:val="auto"/>
                <w:sz w:val="21"/>
                <w:szCs w:val="21"/>
              </w:rPr>
            </w:pPr>
          </w:p>
        </w:tc>
        <w:tc>
          <w:tcPr>
            <w:tcW w:w="2697" w:type="dxa"/>
            <w:vMerge w:val="continue"/>
            <w:shd w:val="clear" w:color="auto" w:fill="auto"/>
            <w:noWrap w:val="0"/>
            <w:vAlign w:val="center"/>
          </w:tcPr>
          <w:p w14:paraId="66896895">
            <w:pPr>
              <w:jc w:val="center"/>
              <w:rPr>
                <w:rFonts w:hint="default" w:ascii="Times New Roman" w:hAnsi="Times New Roman" w:eastAsia="宋体" w:cs="Times New Roman"/>
                <w:color w:val="auto"/>
                <w:sz w:val="21"/>
                <w:szCs w:val="21"/>
              </w:rPr>
            </w:pPr>
          </w:p>
        </w:tc>
      </w:tr>
      <w:tr w14:paraId="5CAC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87" w:type="dxa"/>
            <w:vMerge w:val="continue"/>
            <w:shd w:val="clear" w:color="auto" w:fill="auto"/>
            <w:noWrap w:val="0"/>
            <w:vAlign w:val="center"/>
          </w:tcPr>
          <w:p w14:paraId="77036BDE">
            <w:pPr>
              <w:jc w:val="center"/>
              <w:rPr>
                <w:rFonts w:hint="default" w:ascii="Times New Roman" w:hAnsi="Times New Roman" w:eastAsia="宋体" w:cs="Times New Roman"/>
                <w:b/>
                <w:bCs/>
                <w:color w:val="auto"/>
                <w:sz w:val="21"/>
                <w:szCs w:val="21"/>
              </w:rPr>
            </w:pPr>
          </w:p>
        </w:tc>
        <w:tc>
          <w:tcPr>
            <w:tcW w:w="1272" w:type="dxa"/>
            <w:shd w:val="clear" w:color="auto" w:fill="auto"/>
            <w:noWrap w:val="0"/>
            <w:vAlign w:val="center"/>
          </w:tcPr>
          <w:p w14:paraId="487987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农场八队</w:t>
            </w:r>
          </w:p>
        </w:tc>
        <w:tc>
          <w:tcPr>
            <w:tcW w:w="1094" w:type="dxa"/>
            <w:gridSpan w:val="2"/>
            <w:shd w:val="clear" w:color="auto" w:fill="auto"/>
            <w:noWrap w:val="0"/>
            <w:vAlign w:val="center"/>
          </w:tcPr>
          <w:p w14:paraId="63A126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65户，260人</w:t>
            </w:r>
          </w:p>
        </w:tc>
        <w:tc>
          <w:tcPr>
            <w:tcW w:w="749" w:type="dxa"/>
            <w:shd w:val="clear" w:color="auto" w:fill="auto"/>
            <w:noWrap w:val="0"/>
            <w:vAlign w:val="center"/>
          </w:tcPr>
          <w:p w14:paraId="703BC839">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西</w:t>
            </w:r>
            <w:r>
              <w:rPr>
                <w:rFonts w:hint="default" w:ascii="Times New Roman" w:hAnsi="Times New Roman" w:eastAsia="宋体" w:cs="Times New Roman"/>
                <w:color w:val="auto"/>
                <w:sz w:val="21"/>
                <w:szCs w:val="21"/>
                <w:lang w:eastAsia="zh-CN"/>
              </w:rPr>
              <w:t>北</w:t>
            </w:r>
          </w:p>
        </w:tc>
        <w:tc>
          <w:tcPr>
            <w:tcW w:w="1133" w:type="dxa"/>
            <w:shd w:val="clear" w:color="auto" w:fill="auto"/>
            <w:noWrap w:val="0"/>
            <w:vAlign w:val="center"/>
          </w:tcPr>
          <w:p w14:paraId="435991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1872</w:t>
            </w:r>
            <w:r>
              <w:rPr>
                <w:rFonts w:hint="default" w:ascii="Times New Roman" w:hAnsi="Times New Roman" w:eastAsia="宋体" w:cs="Times New Roman"/>
                <w:color w:val="auto"/>
                <w:sz w:val="21"/>
                <w:szCs w:val="21"/>
              </w:rPr>
              <w:t>m</w:t>
            </w:r>
          </w:p>
        </w:tc>
        <w:tc>
          <w:tcPr>
            <w:tcW w:w="848" w:type="dxa"/>
            <w:vMerge w:val="continue"/>
            <w:shd w:val="clear" w:color="auto" w:fill="auto"/>
            <w:noWrap w:val="0"/>
            <w:vAlign w:val="center"/>
          </w:tcPr>
          <w:p w14:paraId="01974724">
            <w:pPr>
              <w:jc w:val="center"/>
              <w:rPr>
                <w:rFonts w:hint="default" w:ascii="Times New Roman" w:hAnsi="Times New Roman" w:eastAsia="宋体" w:cs="Times New Roman"/>
                <w:color w:val="auto"/>
                <w:sz w:val="21"/>
                <w:szCs w:val="21"/>
              </w:rPr>
            </w:pPr>
          </w:p>
        </w:tc>
        <w:tc>
          <w:tcPr>
            <w:tcW w:w="2697" w:type="dxa"/>
            <w:vMerge w:val="continue"/>
            <w:shd w:val="clear" w:color="auto" w:fill="auto"/>
            <w:noWrap w:val="0"/>
            <w:vAlign w:val="center"/>
          </w:tcPr>
          <w:p w14:paraId="16476763">
            <w:pPr>
              <w:jc w:val="center"/>
              <w:rPr>
                <w:rFonts w:hint="default" w:ascii="Times New Roman" w:hAnsi="Times New Roman" w:eastAsia="宋体" w:cs="Times New Roman"/>
                <w:color w:val="auto"/>
                <w:sz w:val="21"/>
                <w:szCs w:val="21"/>
              </w:rPr>
            </w:pPr>
          </w:p>
        </w:tc>
      </w:tr>
      <w:tr w14:paraId="3052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87" w:type="dxa"/>
            <w:vMerge w:val="continue"/>
            <w:shd w:val="clear" w:color="auto" w:fill="auto"/>
            <w:noWrap w:val="0"/>
            <w:vAlign w:val="center"/>
          </w:tcPr>
          <w:p w14:paraId="5B858447">
            <w:pPr>
              <w:jc w:val="center"/>
              <w:rPr>
                <w:rFonts w:hint="default" w:ascii="Times New Roman" w:hAnsi="Times New Roman" w:eastAsia="宋体" w:cs="Times New Roman"/>
                <w:b/>
                <w:bCs/>
                <w:color w:val="auto"/>
                <w:sz w:val="21"/>
                <w:szCs w:val="21"/>
              </w:rPr>
            </w:pPr>
          </w:p>
        </w:tc>
        <w:tc>
          <w:tcPr>
            <w:tcW w:w="1272" w:type="dxa"/>
            <w:shd w:val="clear" w:color="auto" w:fill="auto"/>
            <w:noWrap w:val="0"/>
            <w:vAlign w:val="center"/>
          </w:tcPr>
          <w:p w14:paraId="363A08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弄转村</w:t>
            </w:r>
          </w:p>
        </w:tc>
        <w:tc>
          <w:tcPr>
            <w:tcW w:w="1094" w:type="dxa"/>
            <w:gridSpan w:val="2"/>
            <w:shd w:val="clear" w:color="auto" w:fill="auto"/>
            <w:noWrap w:val="0"/>
            <w:vAlign w:val="center"/>
          </w:tcPr>
          <w:p w14:paraId="6AC79C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210户，1476人</w:t>
            </w:r>
          </w:p>
        </w:tc>
        <w:tc>
          <w:tcPr>
            <w:tcW w:w="749" w:type="dxa"/>
            <w:shd w:val="clear" w:color="auto" w:fill="auto"/>
            <w:noWrap w:val="0"/>
            <w:vAlign w:val="center"/>
          </w:tcPr>
          <w:p w14:paraId="260EEE6D">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东北</w:t>
            </w:r>
          </w:p>
        </w:tc>
        <w:tc>
          <w:tcPr>
            <w:tcW w:w="1133" w:type="dxa"/>
            <w:shd w:val="clear" w:color="auto" w:fill="auto"/>
            <w:noWrap w:val="0"/>
            <w:vAlign w:val="center"/>
          </w:tcPr>
          <w:p w14:paraId="143002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958</w:t>
            </w:r>
            <w:r>
              <w:rPr>
                <w:rFonts w:hint="default" w:ascii="Times New Roman" w:hAnsi="Times New Roman" w:eastAsia="宋体" w:cs="Times New Roman"/>
                <w:color w:val="auto"/>
                <w:sz w:val="21"/>
                <w:szCs w:val="21"/>
              </w:rPr>
              <w:t>m</w:t>
            </w:r>
          </w:p>
        </w:tc>
        <w:tc>
          <w:tcPr>
            <w:tcW w:w="848" w:type="dxa"/>
            <w:vMerge w:val="continue"/>
            <w:shd w:val="clear" w:color="auto" w:fill="auto"/>
            <w:noWrap w:val="0"/>
            <w:vAlign w:val="center"/>
          </w:tcPr>
          <w:p w14:paraId="618E112E">
            <w:pPr>
              <w:jc w:val="center"/>
              <w:rPr>
                <w:rFonts w:hint="default" w:ascii="Times New Roman" w:hAnsi="Times New Roman" w:eastAsia="宋体" w:cs="Times New Roman"/>
                <w:color w:val="auto"/>
                <w:sz w:val="21"/>
                <w:szCs w:val="21"/>
              </w:rPr>
            </w:pPr>
          </w:p>
        </w:tc>
        <w:tc>
          <w:tcPr>
            <w:tcW w:w="2697" w:type="dxa"/>
            <w:vMerge w:val="continue"/>
            <w:shd w:val="clear" w:color="auto" w:fill="auto"/>
            <w:noWrap w:val="0"/>
            <w:vAlign w:val="center"/>
          </w:tcPr>
          <w:p w14:paraId="46446437">
            <w:pPr>
              <w:jc w:val="center"/>
              <w:rPr>
                <w:rFonts w:hint="default" w:ascii="Times New Roman" w:hAnsi="Times New Roman" w:eastAsia="宋体" w:cs="Times New Roman"/>
                <w:color w:val="auto"/>
                <w:sz w:val="21"/>
                <w:szCs w:val="21"/>
              </w:rPr>
            </w:pPr>
          </w:p>
        </w:tc>
      </w:tr>
      <w:tr w14:paraId="6AEA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87" w:type="dxa"/>
            <w:vMerge w:val="continue"/>
            <w:shd w:val="clear" w:color="auto" w:fill="auto"/>
            <w:noWrap w:val="0"/>
            <w:vAlign w:val="center"/>
          </w:tcPr>
          <w:p w14:paraId="1F23D4B6">
            <w:pPr>
              <w:jc w:val="center"/>
              <w:rPr>
                <w:rFonts w:hint="default" w:ascii="Times New Roman" w:hAnsi="Times New Roman" w:eastAsia="宋体" w:cs="Times New Roman"/>
                <w:b/>
                <w:bCs/>
                <w:color w:val="auto"/>
                <w:sz w:val="21"/>
                <w:szCs w:val="21"/>
              </w:rPr>
            </w:pPr>
          </w:p>
        </w:tc>
        <w:tc>
          <w:tcPr>
            <w:tcW w:w="1272" w:type="dxa"/>
            <w:shd w:val="clear" w:color="auto" w:fill="auto"/>
            <w:noWrap w:val="0"/>
            <w:vAlign w:val="center"/>
          </w:tcPr>
          <w:p w14:paraId="0FA87D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那目新寨</w:t>
            </w:r>
          </w:p>
        </w:tc>
        <w:tc>
          <w:tcPr>
            <w:tcW w:w="1094" w:type="dxa"/>
            <w:gridSpan w:val="2"/>
            <w:shd w:val="clear" w:color="auto" w:fill="auto"/>
            <w:noWrap w:val="0"/>
            <w:vAlign w:val="center"/>
          </w:tcPr>
          <w:p w14:paraId="69E74F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162，1274人</w:t>
            </w:r>
          </w:p>
        </w:tc>
        <w:tc>
          <w:tcPr>
            <w:tcW w:w="749" w:type="dxa"/>
            <w:shd w:val="clear" w:color="auto" w:fill="auto"/>
            <w:noWrap w:val="0"/>
            <w:vAlign w:val="center"/>
          </w:tcPr>
          <w:p w14:paraId="027251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1133" w:type="dxa"/>
            <w:shd w:val="clear" w:color="auto" w:fill="auto"/>
            <w:noWrap w:val="0"/>
            <w:vAlign w:val="center"/>
          </w:tcPr>
          <w:p w14:paraId="588F1A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2500</w:t>
            </w:r>
            <w:r>
              <w:rPr>
                <w:rFonts w:hint="default" w:ascii="Times New Roman" w:hAnsi="Times New Roman" w:eastAsia="宋体" w:cs="Times New Roman"/>
                <w:color w:val="auto"/>
                <w:sz w:val="21"/>
                <w:szCs w:val="21"/>
              </w:rPr>
              <w:t>m</w:t>
            </w:r>
          </w:p>
        </w:tc>
        <w:tc>
          <w:tcPr>
            <w:tcW w:w="848" w:type="dxa"/>
            <w:vMerge w:val="continue"/>
            <w:shd w:val="clear" w:color="auto" w:fill="auto"/>
            <w:noWrap w:val="0"/>
            <w:vAlign w:val="center"/>
          </w:tcPr>
          <w:p w14:paraId="4CFA09B5">
            <w:pPr>
              <w:jc w:val="center"/>
              <w:rPr>
                <w:rFonts w:hint="default" w:ascii="Times New Roman" w:hAnsi="Times New Roman" w:eastAsia="宋体" w:cs="Times New Roman"/>
                <w:color w:val="auto"/>
                <w:sz w:val="21"/>
                <w:szCs w:val="21"/>
              </w:rPr>
            </w:pPr>
          </w:p>
        </w:tc>
        <w:tc>
          <w:tcPr>
            <w:tcW w:w="2697" w:type="dxa"/>
            <w:vMerge w:val="continue"/>
            <w:shd w:val="clear" w:color="auto" w:fill="auto"/>
            <w:noWrap w:val="0"/>
            <w:vAlign w:val="center"/>
          </w:tcPr>
          <w:p w14:paraId="3BA45282">
            <w:pPr>
              <w:jc w:val="center"/>
              <w:rPr>
                <w:rFonts w:hint="default" w:ascii="Times New Roman" w:hAnsi="Times New Roman" w:eastAsia="宋体" w:cs="Times New Roman"/>
                <w:color w:val="auto"/>
                <w:sz w:val="21"/>
                <w:szCs w:val="21"/>
              </w:rPr>
            </w:pPr>
          </w:p>
        </w:tc>
      </w:tr>
      <w:tr w14:paraId="4BC4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87" w:type="dxa"/>
            <w:vMerge w:val="continue"/>
            <w:shd w:val="clear" w:color="auto" w:fill="auto"/>
            <w:noWrap w:val="0"/>
            <w:vAlign w:val="center"/>
          </w:tcPr>
          <w:p w14:paraId="73AF8D86">
            <w:pPr>
              <w:jc w:val="center"/>
              <w:rPr>
                <w:rFonts w:hint="default" w:ascii="Times New Roman" w:hAnsi="Times New Roman" w:eastAsia="宋体" w:cs="Times New Roman"/>
                <w:b/>
                <w:bCs/>
                <w:color w:val="auto"/>
                <w:sz w:val="21"/>
                <w:szCs w:val="21"/>
              </w:rPr>
            </w:pPr>
          </w:p>
        </w:tc>
        <w:tc>
          <w:tcPr>
            <w:tcW w:w="1272" w:type="dxa"/>
            <w:shd w:val="clear" w:color="auto" w:fill="auto"/>
            <w:noWrap w:val="0"/>
            <w:vAlign w:val="center"/>
          </w:tcPr>
          <w:p w14:paraId="1B7519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工业园区公租房</w:t>
            </w:r>
          </w:p>
        </w:tc>
        <w:tc>
          <w:tcPr>
            <w:tcW w:w="1094" w:type="dxa"/>
            <w:gridSpan w:val="2"/>
            <w:shd w:val="clear" w:color="auto" w:fill="auto"/>
            <w:noWrap w:val="0"/>
            <w:vAlign w:val="center"/>
          </w:tcPr>
          <w:p w14:paraId="69ACFA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450户，1100人</w:t>
            </w:r>
          </w:p>
        </w:tc>
        <w:tc>
          <w:tcPr>
            <w:tcW w:w="749" w:type="dxa"/>
            <w:shd w:val="clear" w:color="auto" w:fill="auto"/>
            <w:noWrap w:val="0"/>
            <w:vAlign w:val="center"/>
          </w:tcPr>
          <w:p w14:paraId="5F6C08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北</w:t>
            </w:r>
            <w:r>
              <w:rPr>
                <w:rFonts w:hint="default" w:ascii="Times New Roman" w:hAnsi="Times New Roman" w:eastAsia="宋体" w:cs="Times New Roman"/>
                <w:color w:val="auto"/>
                <w:sz w:val="21"/>
                <w:szCs w:val="21"/>
              </w:rPr>
              <w:t>面</w:t>
            </w:r>
          </w:p>
        </w:tc>
        <w:tc>
          <w:tcPr>
            <w:tcW w:w="1133" w:type="dxa"/>
            <w:shd w:val="clear" w:color="auto" w:fill="auto"/>
            <w:noWrap w:val="0"/>
            <w:vAlign w:val="center"/>
          </w:tcPr>
          <w:p w14:paraId="267B44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725</w:t>
            </w:r>
            <w:r>
              <w:rPr>
                <w:rFonts w:hint="default" w:ascii="Times New Roman" w:hAnsi="Times New Roman" w:eastAsia="宋体" w:cs="Times New Roman"/>
                <w:color w:val="auto"/>
                <w:sz w:val="21"/>
                <w:szCs w:val="21"/>
              </w:rPr>
              <w:t>m</w:t>
            </w:r>
          </w:p>
        </w:tc>
        <w:tc>
          <w:tcPr>
            <w:tcW w:w="848" w:type="dxa"/>
            <w:vMerge w:val="continue"/>
            <w:shd w:val="clear" w:color="auto" w:fill="auto"/>
            <w:noWrap w:val="0"/>
            <w:vAlign w:val="center"/>
          </w:tcPr>
          <w:p w14:paraId="09E8FE18">
            <w:pPr>
              <w:jc w:val="center"/>
              <w:rPr>
                <w:rFonts w:hint="default" w:ascii="Times New Roman" w:hAnsi="Times New Roman" w:eastAsia="宋体" w:cs="Times New Roman"/>
                <w:color w:val="auto"/>
                <w:sz w:val="21"/>
                <w:szCs w:val="21"/>
              </w:rPr>
            </w:pPr>
          </w:p>
        </w:tc>
        <w:tc>
          <w:tcPr>
            <w:tcW w:w="2697" w:type="dxa"/>
            <w:vMerge w:val="continue"/>
            <w:shd w:val="clear" w:color="auto" w:fill="auto"/>
            <w:noWrap w:val="0"/>
            <w:vAlign w:val="center"/>
          </w:tcPr>
          <w:p w14:paraId="64AC51FA">
            <w:pPr>
              <w:jc w:val="center"/>
              <w:rPr>
                <w:rFonts w:hint="default" w:ascii="Times New Roman" w:hAnsi="Times New Roman" w:eastAsia="宋体" w:cs="Times New Roman"/>
                <w:color w:val="auto"/>
                <w:sz w:val="21"/>
                <w:szCs w:val="21"/>
              </w:rPr>
            </w:pPr>
          </w:p>
        </w:tc>
      </w:tr>
      <w:tr w14:paraId="6669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87" w:type="dxa"/>
            <w:vMerge w:val="restart"/>
            <w:shd w:val="clear" w:color="auto" w:fill="auto"/>
            <w:noWrap w:val="0"/>
            <w:vAlign w:val="center"/>
          </w:tcPr>
          <w:p w14:paraId="59D7DAC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地表水环境</w:t>
            </w:r>
          </w:p>
        </w:tc>
        <w:tc>
          <w:tcPr>
            <w:tcW w:w="1272" w:type="dxa"/>
            <w:shd w:val="clear" w:color="auto" w:fill="auto"/>
            <w:noWrap w:val="0"/>
            <w:vAlign w:val="center"/>
          </w:tcPr>
          <w:p w14:paraId="39F84C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芒市河</w:t>
            </w:r>
          </w:p>
        </w:tc>
        <w:tc>
          <w:tcPr>
            <w:tcW w:w="1094" w:type="dxa"/>
            <w:gridSpan w:val="2"/>
            <w:shd w:val="clear" w:color="auto" w:fill="auto"/>
            <w:noWrap w:val="0"/>
            <w:vAlign w:val="center"/>
          </w:tcPr>
          <w:p w14:paraId="3A647A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49" w:type="dxa"/>
            <w:shd w:val="clear" w:color="auto" w:fill="auto"/>
            <w:noWrap w:val="0"/>
            <w:vAlign w:val="center"/>
          </w:tcPr>
          <w:p w14:paraId="4920CE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w:t>
            </w:r>
          </w:p>
        </w:tc>
        <w:tc>
          <w:tcPr>
            <w:tcW w:w="1133" w:type="dxa"/>
            <w:shd w:val="clear" w:color="auto" w:fill="auto"/>
            <w:noWrap w:val="0"/>
            <w:vAlign w:val="center"/>
          </w:tcPr>
          <w:p w14:paraId="2C9DA7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2913</w:t>
            </w:r>
            <w:r>
              <w:rPr>
                <w:rFonts w:hint="default" w:ascii="Times New Roman" w:hAnsi="Times New Roman" w:eastAsia="宋体" w:cs="Times New Roman"/>
                <w:color w:val="auto"/>
                <w:sz w:val="21"/>
                <w:szCs w:val="21"/>
              </w:rPr>
              <w:t>m</w:t>
            </w:r>
          </w:p>
        </w:tc>
        <w:tc>
          <w:tcPr>
            <w:tcW w:w="848" w:type="dxa"/>
            <w:vMerge w:val="restart"/>
            <w:shd w:val="clear" w:color="auto" w:fill="auto"/>
            <w:noWrap w:val="0"/>
            <w:vAlign w:val="center"/>
          </w:tcPr>
          <w:p w14:paraId="16000D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2697" w:type="dxa"/>
            <w:vMerge w:val="restart"/>
            <w:shd w:val="clear" w:color="auto" w:fill="auto"/>
            <w:noWrap w:val="0"/>
            <w:vAlign w:val="center"/>
          </w:tcPr>
          <w:p w14:paraId="5C81B6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GB3838-2002《地表水环境质量标准》Ⅲ类标准</w:t>
            </w:r>
          </w:p>
        </w:tc>
      </w:tr>
      <w:tr w14:paraId="5666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87" w:type="dxa"/>
            <w:vMerge w:val="continue"/>
            <w:shd w:val="clear" w:color="auto" w:fill="auto"/>
            <w:noWrap w:val="0"/>
            <w:vAlign w:val="center"/>
          </w:tcPr>
          <w:p w14:paraId="2DE170EA">
            <w:pPr>
              <w:jc w:val="center"/>
              <w:rPr>
                <w:rFonts w:hint="default" w:ascii="Times New Roman" w:hAnsi="Times New Roman" w:eastAsia="宋体" w:cs="Times New Roman"/>
                <w:b/>
                <w:bCs/>
                <w:color w:val="auto"/>
                <w:sz w:val="21"/>
                <w:szCs w:val="21"/>
              </w:rPr>
            </w:pPr>
          </w:p>
        </w:tc>
        <w:tc>
          <w:tcPr>
            <w:tcW w:w="1272" w:type="dxa"/>
            <w:shd w:val="clear" w:color="auto" w:fill="auto"/>
            <w:noWrap w:val="0"/>
            <w:vAlign w:val="center"/>
          </w:tcPr>
          <w:p w14:paraId="72590D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戈朗河</w:t>
            </w:r>
          </w:p>
        </w:tc>
        <w:tc>
          <w:tcPr>
            <w:tcW w:w="1094" w:type="dxa"/>
            <w:gridSpan w:val="2"/>
            <w:shd w:val="clear" w:color="auto" w:fill="auto"/>
            <w:noWrap w:val="0"/>
            <w:vAlign w:val="center"/>
          </w:tcPr>
          <w:p w14:paraId="0B02C9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49" w:type="dxa"/>
            <w:shd w:val="clear" w:color="auto" w:fill="auto"/>
            <w:noWrap w:val="0"/>
            <w:vAlign w:val="center"/>
          </w:tcPr>
          <w:p w14:paraId="352F14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东北</w:t>
            </w:r>
          </w:p>
        </w:tc>
        <w:tc>
          <w:tcPr>
            <w:tcW w:w="1133" w:type="dxa"/>
            <w:shd w:val="clear" w:color="auto" w:fill="auto"/>
            <w:noWrap w:val="0"/>
            <w:vAlign w:val="center"/>
          </w:tcPr>
          <w:p w14:paraId="75D0FD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2805</w:t>
            </w:r>
            <w:r>
              <w:rPr>
                <w:rFonts w:hint="default" w:ascii="Times New Roman" w:hAnsi="Times New Roman" w:eastAsia="宋体" w:cs="Times New Roman"/>
                <w:color w:val="auto"/>
                <w:sz w:val="21"/>
                <w:szCs w:val="21"/>
              </w:rPr>
              <w:t>m</w:t>
            </w:r>
          </w:p>
        </w:tc>
        <w:tc>
          <w:tcPr>
            <w:tcW w:w="848" w:type="dxa"/>
            <w:vMerge w:val="continue"/>
            <w:shd w:val="clear" w:color="auto" w:fill="auto"/>
            <w:noWrap w:val="0"/>
            <w:vAlign w:val="center"/>
          </w:tcPr>
          <w:p w14:paraId="7F0624C0">
            <w:pPr>
              <w:jc w:val="center"/>
              <w:rPr>
                <w:rFonts w:hint="default" w:ascii="Times New Roman" w:hAnsi="Times New Roman" w:eastAsia="宋体" w:cs="Times New Roman"/>
                <w:color w:val="auto"/>
                <w:sz w:val="21"/>
                <w:szCs w:val="21"/>
              </w:rPr>
            </w:pPr>
          </w:p>
        </w:tc>
        <w:tc>
          <w:tcPr>
            <w:tcW w:w="2697" w:type="dxa"/>
            <w:vMerge w:val="continue"/>
            <w:shd w:val="clear" w:color="auto" w:fill="auto"/>
            <w:noWrap w:val="0"/>
            <w:vAlign w:val="center"/>
          </w:tcPr>
          <w:p w14:paraId="15B1C2A6">
            <w:pPr>
              <w:jc w:val="center"/>
              <w:rPr>
                <w:rFonts w:hint="default" w:ascii="Times New Roman" w:hAnsi="Times New Roman" w:eastAsia="宋体" w:cs="Times New Roman"/>
                <w:color w:val="auto"/>
                <w:sz w:val="21"/>
                <w:szCs w:val="21"/>
              </w:rPr>
            </w:pPr>
          </w:p>
        </w:tc>
      </w:tr>
      <w:tr w14:paraId="4A2F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87" w:type="dxa"/>
            <w:shd w:val="clear" w:color="auto" w:fill="auto"/>
            <w:noWrap w:val="0"/>
            <w:vAlign w:val="center"/>
          </w:tcPr>
          <w:p w14:paraId="0335958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地下水环境</w:t>
            </w:r>
          </w:p>
        </w:tc>
        <w:tc>
          <w:tcPr>
            <w:tcW w:w="3115" w:type="dxa"/>
            <w:gridSpan w:val="4"/>
            <w:shd w:val="clear" w:color="auto" w:fill="auto"/>
            <w:noWrap w:val="0"/>
            <w:vAlign w:val="center"/>
          </w:tcPr>
          <w:p w14:paraId="54BD0E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项目区所在地水文地质单元内的地下水</w:t>
            </w:r>
          </w:p>
        </w:tc>
        <w:tc>
          <w:tcPr>
            <w:tcW w:w="4678" w:type="dxa"/>
            <w:gridSpan w:val="3"/>
            <w:shd w:val="clear" w:color="auto" w:fill="auto"/>
            <w:noWrap w:val="0"/>
            <w:vAlign w:val="center"/>
          </w:tcPr>
          <w:p w14:paraId="5B96ED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（GB/T14848－1993）《地下水质量标准》Ⅲ类标准</w:t>
            </w:r>
          </w:p>
        </w:tc>
      </w:tr>
      <w:tr w14:paraId="583C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87" w:type="dxa"/>
            <w:shd w:val="clear" w:color="auto" w:fill="auto"/>
            <w:noWrap w:val="0"/>
            <w:vAlign w:val="center"/>
          </w:tcPr>
          <w:p w14:paraId="62D592C7">
            <w:pPr>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生态</w:t>
            </w:r>
          </w:p>
          <w:p w14:paraId="525FE99F">
            <w:pPr>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环境</w:t>
            </w:r>
          </w:p>
        </w:tc>
        <w:tc>
          <w:tcPr>
            <w:tcW w:w="3115" w:type="dxa"/>
            <w:gridSpan w:val="4"/>
            <w:shd w:val="clear" w:color="auto" w:fill="auto"/>
            <w:noWrap w:val="0"/>
            <w:vAlign w:val="center"/>
          </w:tcPr>
          <w:p w14:paraId="71F81DB7">
            <w:pPr>
              <w:pStyle w:val="52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水土流失</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rPr>
              <w:t>项目周边200m范围内</w:t>
            </w:r>
            <w:r>
              <w:rPr>
                <w:rFonts w:hint="default" w:ascii="Times New Roman" w:hAnsi="Times New Roman" w:eastAsia="宋体" w:cs="Times New Roman"/>
                <w:color w:val="auto"/>
                <w:sz w:val="21"/>
                <w:szCs w:val="21"/>
                <w:lang w:val="en-US" w:eastAsia="zh-CN"/>
              </w:rPr>
              <w:t>植被</w:t>
            </w:r>
          </w:p>
        </w:tc>
        <w:tc>
          <w:tcPr>
            <w:tcW w:w="4678" w:type="dxa"/>
            <w:gridSpan w:val="3"/>
            <w:shd w:val="clear" w:color="auto" w:fill="auto"/>
            <w:noWrap w:val="0"/>
            <w:vAlign w:val="center"/>
          </w:tcPr>
          <w:p w14:paraId="4D2F43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EF2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387" w:type="dxa"/>
            <w:shd w:val="clear" w:color="auto" w:fill="auto"/>
            <w:noWrap w:val="0"/>
            <w:vAlign w:val="center"/>
          </w:tcPr>
          <w:p w14:paraId="21B5C76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其他</w:t>
            </w:r>
          </w:p>
        </w:tc>
        <w:tc>
          <w:tcPr>
            <w:tcW w:w="1272" w:type="dxa"/>
            <w:shd w:val="clear" w:color="auto" w:fill="auto"/>
            <w:noWrap w:val="0"/>
            <w:vAlign w:val="center"/>
          </w:tcPr>
          <w:p w14:paraId="0D6EB0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芒市机场</w:t>
            </w:r>
          </w:p>
        </w:tc>
        <w:tc>
          <w:tcPr>
            <w:tcW w:w="613" w:type="dxa"/>
            <w:shd w:val="clear" w:color="auto" w:fill="auto"/>
            <w:noWrap w:val="0"/>
            <w:vAlign w:val="center"/>
          </w:tcPr>
          <w:p w14:paraId="160150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C级机场</w:t>
            </w:r>
          </w:p>
        </w:tc>
        <w:tc>
          <w:tcPr>
            <w:tcW w:w="481" w:type="dxa"/>
            <w:shd w:val="clear" w:color="auto" w:fill="auto"/>
            <w:noWrap w:val="0"/>
            <w:vAlign w:val="center"/>
          </w:tcPr>
          <w:p w14:paraId="59D50D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东北面</w:t>
            </w:r>
          </w:p>
        </w:tc>
        <w:tc>
          <w:tcPr>
            <w:tcW w:w="1882" w:type="dxa"/>
            <w:gridSpan w:val="2"/>
            <w:shd w:val="clear" w:color="auto" w:fill="auto"/>
            <w:noWrap w:val="0"/>
            <w:vAlign w:val="center"/>
          </w:tcPr>
          <w:p w14:paraId="7479F5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5720</w:t>
            </w:r>
            <w:r>
              <w:rPr>
                <w:rFonts w:hint="default" w:ascii="Times New Roman" w:hAnsi="Times New Roman" w:eastAsia="宋体" w:cs="Times New Roman"/>
                <w:color w:val="auto"/>
                <w:sz w:val="21"/>
                <w:szCs w:val="21"/>
              </w:rPr>
              <w:t>m</w:t>
            </w:r>
          </w:p>
          <w:p w14:paraId="106463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848" w:type="dxa"/>
            <w:shd w:val="clear" w:color="auto" w:fill="auto"/>
            <w:noWrap w:val="0"/>
            <w:vAlign w:val="center"/>
          </w:tcPr>
          <w:p w14:paraId="5DC113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飞行安全</w:t>
            </w:r>
          </w:p>
        </w:tc>
        <w:tc>
          <w:tcPr>
            <w:tcW w:w="2697" w:type="dxa"/>
            <w:shd w:val="clear" w:color="auto" w:fill="auto"/>
            <w:noWrap w:val="0"/>
            <w:vAlign w:val="center"/>
          </w:tcPr>
          <w:p w14:paraId="27B128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建筑物高度和电磁辐射不影响飞行安全</w:t>
            </w:r>
          </w:p>
        </w:tc>
      </w:tr>
    </w:tbl>
    <w:p w14:paraId="5AB50A33">
      <w:pPr>
        <w:adjustRightInd w:val="0"/>
        <w:snapToGrid w:val="0"/>
        <w:spacing w:beforeLines="50"/>
        <w:jc w:val="left"/>
        <w:rPr>
          <w:rFonts w:hint="default" w:ascii="Times New Roman" w:hAnsi="Times New Roman" w:eastAsia="宋体" w:cs="Times New Roman"/>
          <w:color w:val="auto"/>
        </w:rPr>
      </w:pPr>
      <w:r>
        <w:rPr>
          <w:rFonts w:hint="default" w:ascii="Times New Roman" w:hAnsi="Times New Roman" w:eastAsia="宋体" w:cs="Times New Roman"/>
          <w:color w:val="auto"/>
        </w:rPr>
        <w:t>注：表中距离表示周边保护目标距离厂界最近距离。</w:t>
      </w:r>
    </w:p>
    <w:p w14:paraId="41B7F9D8">
      <w:pPr>
        <w:adjustRightInd w:val="0"/>
        <w:snapToGrid w:val="0"/>
        <w:spacing w:beforeLines="50"/>
        <w:jc w:val="left"/>
        <w:rPr>
          <w:rFonts w:hint="default" w:ascii="Times New Roman" w:hAnsi="Times New Roman" w:eastAsia="宋体" w:cs="Times New Roman"/>
          <w:color w:val="auto"/>
        </w:rPr>
      </w:pPr>
      <w:r>
        <w:rPr>
          <w:rFonts w:hint="default" w:ascii="Times New Roman" w:hAnsi="Times New Roman" w:eastAsia="宋体" w:cs="Times New Roman"/>
          <w:color w:val="auto"/>
        </w:rPr>
        <w:br w:type="page"/>
      </w:r>
    </w:p>
    <w:p w14:paraId="074A4E95">
      <w:pPr>
        <w:adjustRightInd w:val="0"/>
        <w:snapToGrid w:val="0"/>
        <w:spacing w:beforeLines="50"/>
        <w:jc w:val="center"/>
        <w:outlineLvl w:val="0"/>
        <w:rPr>
          <w:rFonts w:hint="default" w:ascii="Times New Roman" w:hAnsi="Times New Roman" w:eastAsia="宋体" w:cs="Times New Roman"/>
          <w:b/>
          <w:color w:val="auto"/>
          <w:sz w:val="36"/>
          <w:szCs w:val="36"/>
        </w:rPr>
      </w:pPr>
      <w:bookmarkStart w:id="199" w:name="_Toc30392"/>
      <w:r>
        <w:rPr>
          <w:rFonts w:hint="default" w:ascii="Times New Roman" w:hAnsi="Times New Roman" w:eastAsia="宋体" w:cs="Times New Roman"/>
          <w:b/>
          <w:color w:val="auto"/>
          <w:sz w:val="36"/>
          <w:szCs w:val="36"/>
        </w:rPr>
        <w:t>2.建设项目概况</w:t>
      </w:r>
      <w:bookmarkEnd w:id="1"/>
      <w:bookmarkEnd w:id="199"/>
    </w:p>
    <w:p w14:paraId="29C965AB">
      <w:pPr>
        <w:pStyle w:val="10"/>
        <w:adjustRightInd w:val="0"/>
        <w:snapToGrid w:val="0"/>
        <w:spacing w:beforeLines="50" w:after="0" w:line="360" w:lineRule="auto"/>
        <w:rPr>
          <w:rFonts w:hint="default" w:ascii="Times New Roman" w:hAnsi="Times New Roman" w:eastAsia="宋体" w:cs="Times New Roman"/>
          <w:color w:val="auto"/>
        </w:rPr>
      </w:pPr>
      <w:bookmarkStart w:id="200" w:name="_Toc19794"/>
      <w:bookmarkStart w:id="201" w:name="_Toc4292"/>
      <w:r>
        <w:rPr>
          <w:rFonts w:hint="default" w:ascii="Times New Roman" w:hAnsi="Times New Roman" w:eastAsia="宋体" w:cs="Times New Roman"/>
          <w:color w:val="auto"/>
        </w:rPr>
        <w:t>2.</w:t>
      </w:r>
      <w:r>
        <w:rPr>
          <w:rFonts w:hint="eastAsia" w:ascii="Times New Roman" w:hAnsi="Times New Roman" w:eastAsia="宋体" w:cs="Times New Roman"/>
          <w:color w:val="auto"/>
          <w:lang w:val="en-US" w:eastAsia="zh-CN"/>
        </w:rPr>
        <w:t>1现有</w:t>
      </w:r>
      <w:r>
        <w:rPr>
          <w:rFonts w:hint="default" w:ascii="Times New Roman" w:hAnsi="Times New Roman" w:eastAsia="宋体" w:cs="Times New Roman"/>
          <w:color w:val="auto"/>
        </w:rPr>
        <w:t>项目建设内容</w:t>
      </w:r>
      <w:bookmarkEnd w:id="200"/>
    </w:p>
    <w:p w14:paraId="347FF943">
      <w:pPr>
        <w:adjustRightInd w:val="0"/>
        <w:snapToGrid w:val="0"/>
        <w:ind w:firstLine="480" w:firstLineChars="200"/>
        <w:rPr>
          <w:rFonts w:hint="default" w:ascii="Times New Roman" w:hAnsi="Times New Roman" w:eastAsia="宋体" w:cs="Times New Roman"/>
          <w:color w:val="auto"/>
          <w:szCs w:val="28"/>
        </w:rPr>
      </w:pPr>
      <w:r>
        <w:rPr>
          <w:rFonts w:hint="eastAsia" w:ascii="Times New Roman" w:hAnsi="Times New Roman" w:cs="Times New Roman"/>
          <w:color w:val="auto"/>
          <w:szCs w:val="28"/>
          <w:lang w:eastAsia="zh-CN"/>
        </w:rPr>
        <w:t>现有</w:t>
      </w:r>
      <w:r>
        <w:rPr>
          <w:rFonts w:hint="default" w:ascii="Times New Roman" w:hAnsi="Times New Roman" w:eastAsia="宋体" w:cs="Times New Roman"/>
          <w:color w:val="auto"/>
          <w:szCs w:val="28"/>
        </w:rPr>
        <w:t>项目建设地点位于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占地</w:t>
      </w:r>
      <w:r>
        <w:rPr>
          <w:rFonts w:hint="default" w:ascii="Times New Roman" w:hAnsi="Times New Roman" w:eastAsia="宋体" w:cs="Times New Roman"/>
          <w:color w:val="auto"/>
          <w:szCs w:val="28"/>
        </w:rPr>
        <w:t>面积</w:t>
      </w:r>
      <w:r>
        <w:rPr>
          <w:rFonts w:hint="default" w:ascii="Times New Roman" w:hAnsi="Times New Roman" w:eastAsia="宋体" w:cs="Times New Roman"/>
          <w:color w:val="auto"/>
          <w:szCs w:val="28"/>
          <w:lang w:eastAsia="zh-CN"/>
        </w:rPr>
        <w:t>约</w:t>
      </w:r>
      <w:r>
        <w:rPr>
          <w:rFonts w:hint="eastAsia" w:ascii="Times New Roman" w:hAnsi="Times New Roman" w:cs="Times New Roman"/>
          <w:color w:val="auto"/>
          <w:szCs w:val="28"/>
          <w:lang w:val="en-US" w:eastAsia="zh-CN"/>
        </w:rPr>
        <w:t>6507</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2</w:t>
      </w:r>
      <w:r>
        <w:rPr>
          <w:rFonts w:hint="default" w:ascii="Times New Roman" w:hAnsi="Times New Roman" w:eastAsia="宋体" w:cs="Times New Roman"/>
          <w:color w:val="auto"/>
          <w:szCs w:val="28"/>
        </w:rPr>
        <w:t>，</w:t>
      </w:r>
      <w:r>
        <w:rPr>
          <w:rFonts w:hint="eastAsia" w:ascii="Times New Roman" w:hAnsi="Times New Roman" w:cs="Times New Roman"/>
          <w:color w:val="auto"/>
          <w:szCs w:val="28"/>
          <w:lang w:eastAsia="zh-CN"/>
        </w:rPr>
        <w:t>建筑面积为</w:t>
      </w:r>
      <w:r>
        <w:rPr>
          <w:rFonts w:hint="eastAsia" w:ascii="Times New Roman" w:hAnsi="Times New Roman" w:cs="Times New Roman"/>
          <w:color w:val="auto"/>
          <w:szCs w:val="28"/>
          <w:lang w:val="en-US" w:eastAsia="zh-CN"/>
        </w:rPr>
        <w:t>5500m</w:t>
      </w:r>
      <w:r>
        <w:rPr>
          <w:rFonts w:hint="eastAsia" w:ascii="Times New Roman" w:hAnsi="Times New Roman" w:cs="Times New Roman"/>
          <w:color w:val="auto"/>
          <w:szCs w:val="28"/>
          <w:vertAlign w:val="superscript"/>
          <w:lang w:val="en-US" w:eastAsia="zh-CN"/>
        </w:rPr>
        <w:t>2</w:t>
      </w:r>
      <w:r>
        <w:rPr>
          <w:rFonts w:hint="eastAsia" w:ascii="Times New Roman" w:hAnsi="Times New Roman" w:cs="Times New Roman"/>
          <w:color w:val="auto"/>
          <w:szCs w:val="28"/>
          <w:lang w:val="en-US" w:eastAsia="zh-CN"/>
        </w:rPr>
        <w:t>，</w:t>
      </w:r>
      <w:r>
        <w:rPr>
          <w:rFonts w:hint="default" w:ascii="Times New Roman" w:hAnsi="Times New Roman" w:eastAsia="宋体" w:cs="Times New Roman"/>
          <w:color w:val="auto"/>
        </w:rPr>
        <w:t>技术指标见表2.</w:t>
      </w:r>
      <w:r>
        <w:rPr>
          <w:rFonts w:hint="eastAsia" w:ascii="Times New Roman" w:hAnsi="Times New Roman" w:cs="Times New Roman"/>
          <w:color w:val="auto"/>
          <w:lang w:val="en-US" w:eastAsia="zh-CN"/>
        </w:rPr>
        <w:t>1</w:t>
      </w:r>
      <w:r>
        <w:rPr>
          <w:rFonts w:hint="default" w:ascii="Times New Roman" w:hAnsi="Times New Roman" w:eastAsia="宋体" w:cs="Times New Roman"/>
          <w:color w:val="auto"/>
        </w:rPr>
        <w:t>-1。</w:t>
      </w:r>
    </w:p>
    <w:p w14:paraId="4BD0C56A">
      <w:pPr>
        <w:autoSpaceDE w:val="0"/>
        <w:autoSpaceDN w:val="0"/>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w:t>
      </w:r>
      <w:r>
        <w:rPr>
          <w:rFonts w:hint="eastAsia" w:ascii="Times New Roman" w:hAnsi="Times New Roman" w:cs="Times New Roman"/>
          <w:b/>
          <w:color w:val="auto"/>
          <w:lang w:val="en-US" w:eastAsia="zh-CN"/>
        </w:rPr>
        <w:t>1</w:t>
      </w:r>
      <w:r>
        <w:rPr>
          <w:rFonts w:hint="default" w:ascii="Times New Roman" w:hAnsi="Times New Roman" w:eastAsia="宋体" w:cs="Times New Roman"/>
          <w:b/>
          <w:color w:val="auto"/>
        </w:rPr>
        <w:t>-1  工程土建技术指标一览表</w:t>
      </w:r>
    </w:p>
    <w:tbl>
      <w:tblPr>
        <w:tblStyle w:val="6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704"/>
        <w:gridCol w:w="1055"/>
        <w:gridCol w:w="1983"/>
        <w:gridCol w:w="2039"/>
      </w:tblGrid>
      <w:tr w14:paraId="3431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7333F3E2">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2704" w:type="dxa"/>
            <w:tcBorders>
              <w:top w:val="single" w:color="auto" w:sz="4" w:space="0"/>
              <w:left w:val="single" w:color="auto" w:sz="4" w:space="0"/>
              <w:bottom w:val="single" w:color="auto" w:sz="4" w:space="0"/>
              <w:right w:val="single" w:color="auto" w:sz="4" w:space="0"/>
            </w:tcBorders>
            <w:vAlign w:val="center"/>
          </w:tcPr>
          <w:p w14:paraId="79C0CE78">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名称</w:t>
            </w:r>
          </w:p>
        </w:tc>
        <w:tc>
          <w:tcPr>
            <w:tcW w:w="1055" w:type="dxa"/>
            <w:tcBorders>
              <w:top w:val="single" w:color="auto" w:sz="4" w:space="0"/>
              <w:left w:val="single" w:color="auto" w:sz="4" w:space="0"/>
              <w:bottom w:val="single" w:color="auto" w:sz="4" w:space="0"/>
              <w:right w:val="single" w:color="auto" w:sz="4" w:space="0"/>
            </w:tcBorders>
            <w:vAlign w:val="center"/>
          </w:tcPr>
          <w:p w14:paraId="2B72555C">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单位</w:t>
            </w:r>
          </w:p>
        </w:tc>
        <w:tc>
          <w:tcPr>
            <w:tcW w:w="1983" w:type="dxa"/>
            <w:tcBorders>
              <w:top w:val="single" w:color="auto" w:sz="4" w:space="0"/>
              <w:left w:val="single" w:color="auto" w:sz="4" w:space="0"/>
              <w:bottom w:val="single" w:color="auto" w:sz="4" w:space="0"/>
              <w:right w:val="single" w:color="auto" w:sz="4" w:space="0"/>
            </w:tcBorders>
            <w:vAlign w:val="center"/>
          </w:tcPr>
          <w:p w14:paraId="47BEDB65">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数量</w:t>
            </w:r>
          </w:p>
        </w:tc>
        <w:tc>
          <w:tcPr>
            <w:tcW w:w="2039" w:type="dxa"/>
            <w:tcBorders>
              <w:top w:val="single" w:color="auto" w:sz="4" w:space="0"/>
              <w:left w:val="single" w:color="auto" w:sz="4" w:space="0"/>
              <w:bottom w:val="single" w:color="auto" w:sz="4" w:space="0"/>
              <w:right w:val="single" w:color="auto" w:sz="4" w:space="0"/>
            </w:tcBorders>
            <w:vAlign w:val="center"/>
          </w:tcPr>
          <w:p w14:paraId="393FF07F">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备注</w:t>
            </w:r>
          </w:p>
        </w:tc>
      </w:tr>
      <w:tr w14:paraId="3E5C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1" w:type="dxa"/>
            <w:tcBorders>
              <w:top w:val="single" w:color="auto" w:sz="4" w:space="0"/>
              <w:left w:val="single" w:color="auto" w:sz="4" w:space="0"/>
              <w:bottom w:val="single" w:color="auto" w:sz="4" w:space="0"/>
              <w:right w:val="single" w:color="auto" w:sz="4" w:space="0"/>
            </w:tcBorders>
            <w:vAlign w:val="center"/>
          </w:tcPr>
          <w:p w14:paraId="5AD0F687">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1</w:t>
            </w:r>
          </w:p>
        </w:tc>
        <w:tc>
          <w:tcPr>
            <w:tcW w:w="2704" w:type="dxa"/>
            <w:tcBorders>
              <w:top w:val="single" w:color="auto" w:sz="4" w:space="0"/>
              <w:left w:val="single" w:color="auto" w:sz="4" w:space="0"/>
              <w:bottom w:val="single" w:color="auto" w:sz="4" w:space="0"/>
              <w:right w:val="single" w:color="auto" w:sz="4" w:space="0"/>
            </w:tcBorders>
            <w:vAlign w:val="center"/>
          </w:tcPr>
          <w:p w14:paraId="7986A6A1">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总用地面积</w:t>
            </w:r>
          </w:p>
        </w:tc>
        <w:tc>
          <w:tcPr>
            <w:tcW w:w="1055" w:type="dxa"/>
            <w:tcBorders>
              <w:top w:val="single" w:color="auto" w:sz="4" w:space="0"/>
              <w:left w:val="single" w:color="auto" w:sz="4" w:space="0"/>
              <w:bottom w:val="single" w:color="auto" w:sz="4" w:space="0"/>
              <w:right w:val="single" w:color="auto" w:sz="4" w:space="0"/>
            </w:tcBorders>
            <w:vAlign w:val="center"/>
          </w:tcPr>
          <w:p w14:paraId="3A98A7BF">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1BE3F222">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6507</w:t>
            </w:r>
          </w:p>
        </w:tc>
        <w:tc>
          <w:tcPr>
            <w:tcW w:w="2039" w:type="dxa"/>
            <w:tcBorders>
              <w:top w:val="single" w:color="auto" w:sz="4" w:space="0"/>
              <w:left w:val="single" w:color="auto" w:sz="4" w:space="0"/>
              <w:bottom w:val="single" w:color="auto" w:sz="4" w:space="0"/>
              <w:right w:val="single" w:color="auto" w:sz="4" w:space="0"/>
            </w:tcBorders>
            <w:vAlign w:val="center"/>
          </w:tcPr>
          <w:p w14:paraId="72927CB5">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w:t>
            </w:r>
          </w:p>
        </w:tc>
      </w:tr>
      <w:tr w14:paraId="6F6A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3C63A131">
            <w:pPr>
              <w:autoSpaceDE w:val="0"/>
              <w:autoSpaceDN w:val="0"/>
              <w:adjustRightInd w:val="0"/>
              <w:snapToGrid w:val="0"/>
              <w:spacing w:line="240" w:lineRule="auto"/>
              <w:jc w:val="center"/>
              <w:rPr>
                <w:rFonts w:hint="eastAsia" w:ascii="Times New Roman" w:hAnsi="Times New Roman" w:eastAsia="宋体" w:cs="Times New Roman"/>
                <w:b/>
                <w:bCs/>
                <w:color w:val="auto"/>
                <w:sz w:val="21"/>
                <w:lang w:val="en-US" w:eastAsia="zh-CN"/>
              </w:rPr>
            </w:pPr>
            <w:r>
              <w:rPr>
                <w:rFonts w:hint="eastAsia" w:ascii="Times New Roman" w:hAnsi="Times New Roman" w:cs="Times New Roman"/>
                <w:b/>
                <w:bCs/>
                <w:color w:val="auto"/>
                <w:sz w:val="21"/>
                <w:lang w:val="en-US" w:eastAsia="zh-CN"/>
              </w:rPr>
              <w:t>2</w:t>
            </w:r>
          </w:p>
        </w:tc>
        <w:tc>
          <w:tcPr>
            <w:tcW w:w="2704" w:type="dxa"/>
            <w:tcBorders>
              <w:top w:val="single" w:color="auto" w:sz="4" w:space="0"/>
              <w:left w:val="single" w:color="auto" w:sz="4" w:space="0"/>
              <w:bottom w:val="single" w:color="auto" w:sz="4" w:space="0"/>
              <w:right w:val="single" w:color="auto" w:sz="4" w:space="0"/>
            </w:tcBorders>
            <w:vAlign w:val="center"/>
          </w:tcPr>
          <w:p w14:paraId="239C3615">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建筑面积</w:t>
            </w:r>
          </w:p>
        </w:tc>
        <w:tc>
          <w:tcPr>
            <w:tcW w:w="1055" w:type="dxa"/>
            <w:tcBorders>
              <w:top w:val="single" w:color="auto" w:sz="4" w:space="0"/>
              <w:left w:val="single" w:color="auto" w:sz="4" w:space="0"/>
              <w:bottom w:val="single" w:color="auto" w:sz="4" w:space="0"/>
              <w:right w:val="single" w:color="auto" w:sz="4" w:space="0"/>
            </w:tcBorders>
            <w:vAlign w:val="center"/>
          </w:tcPr>
          <w:p w14:paraId="096DB942">
            <w:pPr>
              <w:autoSpaceDE w:val="0"/>
              <w:autoSpaceDN w:val="0"/>
              <w:adjustRightInd w:val="0"/>
              <w:snapToGrid w:val="0"/>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621799B8">
            <w:pPr>
              <w:autoSpaceDE w:val="0"/>
              <w:autoSpaceDN w:val="0"/>
              <w:adjustRightInd w:val="0"/>
              <w:snapToGrid w:val="0"/>
              <w:spacing w:line="240" w:lineRule="auto"/>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5993</w:t>
            </w:r>
          </w:p>
        </w:tc>
        <w:tc>
          <w:tcPr>
            <w:tcW w:w="2039" w:type="dxa"/>
            <w:tcBorders>
              <w:top w:val="single" w:color="auto" w:sz="4" w:space="0"/>
              <w:left w:val="single" w:color="auto" w:sz="4" w:space="0"/>
              <w:bottom w:val="single" w:color="auto" w:sz="4" w:space="0"/>
              <w:right w:val="single" w:color="auto" w:sz="4" w:space="0"/>
            </w:tcBorders>
            <w:vAlign w:val="center"/>
          </w:tcPr>
          <w:p w14:paraId="43711C2B">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r>
      <w:tr w14:paraId="0C62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68FE04D8">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3</w:t>
            </w:r>
          </w:p>
        </w:tc>
        <w:tc>
          <w:tcPr>
            <w:tcW w:w="2704" w:type="dxa"/>
            <w:tcBorders>
              <w:top w:val="single" w:color="auto" w:sz="4" w:space="0"/>
              <w:left w:val="single" w:color="auto" w:sz="4" w:space="0"/>
              <w:bottom w:val="single" w:color="auto" w:sz="4" w:space="0"/>
              <w:right w:val="single" w:color="auto" w:sz="4" w:space="0"/>
            </w:tcBorders>
            <w:vAlign w:val="center"/>
          </w:tcPr>
          <w:p w14:paraId="5AC84631">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建筑占地总面积</w:t>
            </w:r>
          </w:p>
        </w:tc>
        <w:tc>
          <w:tcPr>
            <w:tcW w:w="1055" w:type="dxa"/>
            <w:tcBorders>
              <w:top w:val="single" w:color="auto" w:sz="4" w:space="0"/>
              <w:left w:val="single" w:color="auto" w:sz="4" w:space="0"/>
              <w:bottom w:val="single" w:color="auto" w:sz="4" w:space="0"/>
              <w:right w:val="single" w:color="auto" w:sz="4" w:space="0"/>
            </w:tcBorders>
            <w:vAlign w:val="center"/>
          </w:tcPr>
          <w:p w14:paraId="294B1DF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794B4F9D">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5993</w:t>
            </w:r>
          </w:p>
        </w:tc>
        <w:tc>
          <w:tcPr>
            <w:tcW w:w="2039" w:type="dxa"/>
            <w:tcBorders>
              <w:top w:val="single" w:color="auto" w:sz="4" w:space="0"/>
              <w:left w:val="single" w:color="auto" w:sz="4" w:space="0"/>
              <w:bottom w:val="single" w:color="auto" w:sz="4" w:space="0"/>
              <w:right w:val="single" w:color="auto" w:sz="4" w:space="0"/>
            </w:tcBorders>
            <w:vAlign w:val="center"/>
          </w:tcPr>
          <w:p w14:paraId="1CA66C56">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6A64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63A5D2E5">
            <w:pPr>
              <w:autoSpaceDE w:val="0"/>
              <w:autoSpaceDN w:val="0"/>
              <w:adjustRightInd w:val="0"/>
              <w:snapToGrid w:val="0"/>
              <w:spacing w:line="240" w:lineRule="auto"/>
              <w:jc w:val="center"/>
              <w:rPr>
                <w:rFonts w:hint="eastAsia" w:ascii="Times New Roman" w:hAnsi="Times New Roman" w:eastAsia="宋体" w:cs="Times New Roman"/>
                <w:b/>
                <w:bCs/>
                <w:color w:val="auto"/>
                <w:sz w:val="21"/>
                <w:lang w:eastAsia="zh-CN"/>
              </w:rPr>
            </w:pPr>
            <w:r>
              <w:rPr>
                <w:rFonts w:hint="eastAsia" w:ascii="Times New Roman" w:hAnsi="Times New Roman" w:cs="Times New Roman"/>
                <w:b/>
                <w:bCs/>
                <w:color w:val="auto"/>
                <w:sz w:val="21"/>
                <w:lang w:val="en-US" w:eastAsia="zh-CN"/>
              </w:rPr>
              <w:t>4</w:t>
            </w:r>
          </w:p>
        </w:tc>
        <w:tc>
          <w:tcPr>
            <w:tcW w:w="2704" w:type="dxa"/>
            <w:tcBorders>
              <w:top w:val="single" w:color="auto" w:sz="4" w:space="0"/>
              <w:left w:val="single" w:color="auto" w:sz="4" w:space="0"/>
              <w:bottom w:val="single" w:color="auto" w:sz="4" w:space="0"/>
              <w:right w:val="single" w:color="auto" w:sz="4" w:space="0"/>
            </w:tcBorders>
            <w:vAlign w:val="center"/>
          </w:tcPr>
          <w:p w14:paraId="3F5FB096">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生产厂房</w:t>
            </w:r>
          </w:p>
        </w:tc>
        <w:tc>
          <w:tcPr>
            <w:tcW w:w="1055" w:type="dxa"/>
            <w:tcBorders>
              <w:top w:val="single" w:color="auto" w:sz="4" w:space="0"/>
              <w:left w:val="single" w:color="auto" w:sz="4" w:space="0"/>
              <w:bottom w:val="single" w:color="auto" w:sz="4" w:space="0"/>
              <w:right w:val="single" w:color="auto" w:sz="4" w:space="0"/>
            </w:tcBorders>
            <w:vAlign w:val="center"/>
          </w:tcPr>
          <w:p w14:paraId="3352AA50">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436D0F45">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4500</w:t>
            </w:r>
          </w:p>
        </w:tc>
        <w:tc>
          <w:tcPr>
            <w:tcW w:w="2039" w:type="dxa"/>
            <w:tcBorders>
              <w:top w:val="single" w:color="auto" w:sz="4" w:space="0"/>
              <w:left w:val="single" w:color="auto" w:sz="4" w:space="0"/>
              <w:bottom w:val="single" w:color="auto" w:sz="4" w:space="0"/>
              <w:right w:val="single" w:color="auto" w:sz="4" w:space="0"/>
            </w:tcBorders>
            <w:vAlign w:val="center"/>
          </w:tcPr>
          <w:p w14:paraId="779A3376">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60A72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06F7B1CC">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w:t>
            </w:r>
            <w:r>
              <w:rPr>
                <w:rFonts w:hint="eastAsia" w:ascii="Times New Roman" w:hAnsi="Times New Roman" w:cs="Times New Roman"/>
                <w:b/>
                <w:bCs/>
                <w:color w:val="auto"/>
                <w:sz w:val="21"/>
                <w:lang w:val="en-US" w:eastAsia="zh-CN"/>
              </w:rPr>
              <w:t>1</w:t>
            </w:r>
            <w:r>
              <w:rPr>
                <w:rFonts w:hint="default" w:ascii="Times New Roman" w:hAnsi="Times New Roman" w:eastAsia="宋体" w:cs="Times New Roman"/>
                <w:b/>
                <w:bCs/>
                <w:color w:val="auto"/>
                <w:sz w:val="21"/>
              </w:rPr>
              <w:t>）</w:t>
            </w:r>
          </w:p>
        </w:tc>
        <w:tc>
          <w:tcPr>
            <w:tcW w:w="2704" w:type="dxa"/>
            <w:tcBorders>
              <w:top w:val="single" w:color="auto" w:sz="4" w:space="0"/>
              <w:left w:val="single" w:color="auto" w:sz="4" w:space="0"/>
              <w:bottom w:val="single" w:color="auto" w:sz="4" w:space="0"/>
              <w:right w:val="single" w:color="auto" w:sz="4" w:space="0"/>
            </w:tcBorders>
            <w:vAlign w:val="center"/>
          </w:tcPr>
          <w:p w14:paraId="2CFF64B7">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裁剪区</w:t>
            </w:r>
          </w:p>
        </w:tc>
        <w:tc>
          <w:tcPr>
            <w:tcW w:w="1055" w:type="dxa"/>
            <w:tcBorders>
              <w:top w:val="single" w:color="auto" w:sz="4" w:space="0"/>
              <w:left w:val="single" w:color="auto" w:sz="4" w:space="0"/>
              <w:bottom w:val="single" w:color="auto" w:sz="4" w:space="0"/>
              <w:right w:val="single" w:color="auto" w:sz="4" w:space="0"/>
            </w:tcBorders>
            <w:vAlign w:val="center"/>
          </w:tcPr>
          <w:p w14:paraId="38DB1754">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286D2246">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750</w:t>
            </w:r>
          </w:p>
        </w:tc>
        <w:tc>
          <w:tcPr>
            <w:tcW w:w="2039" w:type="dxa"/>
            <w:tcBorders>
              <w:top w:val="single" w:color="auto" w:sz="4" w:space="0"/>
              <w:left w:val="single" w:color="auto" w:sz="4" w:space="0"/>
              <w:bottom w:val="single" w:color="auto" w:sz="4" w:space="0"/>
              <w:right w:val="single" w:color="auto" w:sz="4" w:space="0"/>
            </w:tcBorders>
            <w:vAlign w:val="center"/>
          </w:tcPr>
          <w:p w14:paraId="7DCA9BC3">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1F32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39AD15DC">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（3）</w:t>
            </w:r>
          </w:p>
        </w:tc>
        <w:tc>
          <w:tcPr>
            <w:tcW w:w="2704" w:type="dxa"/>
            <w:tcBorders>
              <w:top w:val="single" w:color="auto" w:sz="4" w:space="0"/>
              <w:left w:val="single" w:color="auto" w:sz="4" w:space="0"/>
              <w:bottom w:val="single" w:color="auto" w:sz="4" w:space="0"/>
              <w:right w:val="single" w:color="auto" w:sz="4" w:space="0"/>
            </w:tcBorders>
            <w:vAlign w:val="center"/>
          </w:tcPr>
          <w:p w14:paraId="7C4845C5">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缝制区</w:t>
            </w:r>
          </w:p>
        </w:tc>
        <w:tc>
          <w:tcPr>
            <w:tcW w:w="1055" w:type="dxa"/>
            <w:tcBorders>
              <w:top w:val="single" w:color="auto" w:sz="4" w:space="0"/>
              <w:left w:val="single" w:color="auto" w:sz="4" w:space="0"/>
              <w:bottom w:val="single" w:color="auto" w:sz="4" w:space="0"/>
              <w:right w:val="single" w:color="auto" w:sz="4" w:space="0"/>
            </w:tcBorders>
            <w:vAlign w:val="center"/>
          </w:tcPr>
          <w:p w14:paraId="124D4F1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76D9BA84">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1800</w:t>
            </w:r>
          </w:p>
        </w:tc>
        <w:tc>
          <w:tcPr>
            <w:tcW w:w="2039" w:type="dxa"/>
            <w:tcBorders>
              <w:top w:val="single" w:color="auto" w:sz="4" w:space="0"/>
              <w:left w:val="single" w:color="auto" w:sz="4" w:space="0"/>
              <w:bottom w:val="single" w:color="auto" w:sz="4" w:space="0"/>
              <w:right w:val="single" w:color="auto" w:sz="4" w:space="0"/>
            </w:tcBorders>
            <w:vAlign w:val="center"/>
          </w:tcPr>
          <w:p w14:paraId="4CEE42C2">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1833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3FA52819">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（4）</w:t>
            </w:r>
          </w:p>
        </w:tc>
        <w:tc>
          <w:tcPr>
            <w:tcW w:w="2704" w:type="dxa"/>
            <w:tcBorders>
              <w:top w:val="single" w:color="auto" w:sz="4" w:space="0"/>
              <w:left w:val="single" w:color="auto" w:sz="4" w:space="0"/>
              <w:bottom w:val="single" w:color="auto" w:sz="4" w:space="0"/>
              <w:right w:val="single" w:color="auto" w:sz="4" w:space="0"/>
            </w:tcBorders>
            <w:vAlign w:val="center"/>
          </w:tcPr>
          <w:p w14:paraId="21893871">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整烫包装车间</w:t>
            </w:r>
          </w:p>
        </w:tc>
        <w:tc>
          <w:tcPr>
            <w:tcW w:w="1055" w:type="dxa"/>
            <w:tcBorders>
              <w:top w:val="single" w:color="auto" w:sz="4" w:space="0"/>
              <w:left w:val="single" w:color="auto" w:sz="4" w:space="0"/>
              <w:bottom w:val="single" w:color="auto" w:sz="4" w:space="0"/>
              <w:right w:val="single" w:color="auto" w:sz="4" w:space="0"/>
            </w:tcBorders>
            <w:vAlign w:val="center"/>
          </w:tcPr>
          <w:p w14:paraId="59C38191">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785167BE">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800</w:t>
            </w:r>
          </w:p>
        </w:tc>
        <w:tc>
          <w:tcPr>
            <w:tcW w:w="2039" w:type="dxa"/>
            <w:tcBorders>
              <w:top w:val="single" w:color="auto" w:sz="4" w:space="0"/>
              <w:left w:val="single" w:color="auto" w:sz="4" w:space="0"/>
              <w:bottom w:val="single" w:color="auto" w:sz="4" w:space="0"/>
              <w:right w:val="single" w:color="auto" w:sz="4" w:space="0"/>
            </w:tcBorders>
            <w:vAlign w:val="center"/>
          </w:tcPr>
          <w:p w14:paraId="5A70816D">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14:paraId="16DF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2C614E03">
            <w:pPr>
              <w:autoSpaceDE w:val="0"/>
              <w:autoSpaceDN w:val="0"/>
              <w:adjustRightInd w:val="0"/>
              <w:snapToGrid w:val="0"/>
              <w:spacing w:line="240" w:lineRule="auto"/>
              <w:jc w:val="center"/>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w:t>
            </w:r>
            <w:r>
              <w:rPr>
                <w:rFonts w:hint="default" w:ascii="Times New Roman" w:hAnsi="Times New Roman" w:eastAsia="宋体" w:cs="Times New Roman"/>
                <w:b/>
                <w:bCs/>
                <w:color w:val="auto"/>
                <w:sz w:val="21"/>
                <w:lang w:val="en-US" w:eastAsia="zh-CN"/>
              </w:rPr>
              <w:t>5</w:t>
            </w:r>
            <w:r>
              <w:rPr>
                <w:rFonts w:hint="default" w:ascii="Times New Roman" w:hAnsi="Times New Roman" w:eastAsia="宋体" w:cs="Times New Roman"/>
                <w:b/>
                <w:bCs/>
                <w:color w:val="auto"/>
                <w:sz w:val="21"/>
                <w:lang w:eastAsia="zh-CN"/>
              </w:rPr>
              <w:t>）</w:t>
            </w:r>
          </w:p>
        </w:tc>
        <w:tc>
          <w:tcPr>
            <w:tcW w:w="2704" w:type="dxa"/>
            <w:tcBorders>
              <w:top w:val="single" w:color="auto" w:sz="4" w:space="0"/>
              <w:left w:val="single" w:color="auto" w:sz="4" w:space="0"/>
              <w:bottom w:val="single" w:color="auto" w:sz="4" w:space="0"/>
              <w:right w:val="single" w:color="auto" w:sz="4" w:space="0"/>
            </w:tcBorders>
            <w:vAlign w:val="center"/>
          </w:tcPr>
          <w:p w14:paraId="0C81E3B6">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成品仓库</w:t>
            </w:r>
          </w:p>
        </w:tc>
        <w:tc>
          <w:tcPr>
            <w:tcW w:w="1055" w:type="dxa"/>
            <w:tcBorders>
              <w:top w:val="single" w:color="auto" w:sz="4" w:space="0"/>
              <w:left w:val="single" w:color="auto" w:sz="4" w:space="0"/>
              <w:bottom w:val="single" w:color="auto" w:sz="4" w:space="0"/>
              <w:right w:val="single" w:color="auto" w:sz="4" w:space="0"/>
            </w:tcBorders>
            <w:vAlign w:val="center"/>
          </w:tcPr>
          <w:p w14:paraId="36BEB709">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0DE5A708">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500</w:t>
            </w:r>
          </w:p>
        </w:tc>
        <w:tc>
          <w:tcPr>
            <w:tcW w:w="2039" w:type="dxa"/>
            <w:tcBorders>
              <w:top w:val="single" w:color="auto" w:sz="4" w:space="0"/>
              <w:left w:val="single" w:color="auto" w:sz="4" w:space="0"/>
              <w:bottom w:val="single" w:color="auto" w:sz="4" w:space="0"/>
              <w:right w:val="single" w:color="auto" w:sz="4" w:space="0"/>
            </w:tcBorders>
            <w:vAlign w:val="center"/>
          </w:tcPr>
          <w:p w14:paraId="4CC455A6">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14:paraId="5195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273D457F">
            <w:pPr>
              <w:autoSpaceDE w:val="0"/>
              <w:autoSpaceDN w:val="0"/>
              <w:adjustRightInd w:val="0"/>
              <w:snapToGrid w:val="0"/>
              <w:spacing w:line="240" w:lineRule="auto"/>
              <w:jc w:val="center"/>
              <w:rPr>
                <w:rFonts w:hint="default" w:ascii="Times New Roman" w:hAnsi="Times New Roman" w:eastAsia="宋体" w:cs="Times New Roman"/>
                <w:b/>
                <w:bCs/>
                <w:color w:val="auto"/>
                <w:sz w:val="21"/>
                <w:lang w:eastAsia="zh-CN"/>
              </w:rPr>
            </w:pPr>
            <w:r>
              <w:rPr>
                <w:rFonts w:hint="default" w:ascii="Times New Roman" w:hAnsi="Times New Roman" w:eastAsia="宋体" w:cs="Times New Roman"/>
                <w:b/>
                <w:bCs/>
                <w:color w:val="auto"/>
                <w:sz w:val="21"/>
                <w:lang w:eastAsia="zh-CN"/>
              </w:rPr>
              <w:t>（</w:t>
            </w:r>
            <w:r>
              <w:rPr>
                <w:rFonts w:hint="default" w:ascii="Times New Roman" w:hAnsi="Times New Roman" w:eastAsia="宋体" w:cs="Times New Roman"/>
                <w:b/>
                <w:bCs/>
                <w:color w:val="auto"/>
                <w:sz w:val="21"/>
                <w:lang w:val="en-US" w:eastAsia="zh-CN"/>
              </w:rPr>
              <w:t>6</w:t>
            </w:r>
            <w:r>
              <w:rPr>
                <w:rFonts w:hint="default" w:ascii="Times New Roman" w:hAnsi="Times New Roman" w:eastAsia="宋体" w:cs="Times New Roman"/>
                <w:b/>
                <w:bCs/>
                <w:color w:val="auto"/>
                <w:sz w:val="21"/>
                <w:lang w:eastAsia="zh-CN"/>
              </w:rPr>
              <w:t>）</w:t>
            </w:r>
          </w:p>
        </w:tc>
        <w:tc>
          <w:tcPr>
            <w:tcW w:w="2704" w:type="dxa"/>
            <w:tcBorders>
              <w:top w:val="single" w:color="auto" w:sz="4" w:space="0"/>
              <w:left w:val="single" w:color="auto" w:sz="4" w:space="0"/>
              <w:bottom w:val="single" w:color="auto" w:sz="4" w:space="0"/>
              <w:right w:val="single" w:color="auto" w:sz="4" w:space="0"/>
            </w:tcBorders>
            <w:vAlign w:val="center"/>
          </w:tcPr>
          <w:p w14:paraId="05FF939A">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原料仓库</w:t>
            </w:r>
          </w:p>
        </w:tc>
        <w:tc>
          <w:tcPr>
            <w:tcW w:w="1055" w:type="dxa"/>
            <w:tcBorders>
              <w:top w:val="single" w:color="auto" w:sz="4" w:space="0"/>
              <w:left w:val="single" w:color="auto" w:sz="4" w:space="0"/>
              <w:bottom w:val="single" w:color="auto" w:sz="4" w:space="0"/>
              <w:right w:val="single" w:color="auto" w:sz="4" w:space="0"/>
            </w:tcBorders>
            <w:vAlign w:val="center"/>
          </w:tcPr>
          <w:p w14:paraId="5F39CBF5">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5D7B75CB">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570</w:t>
            </w:r>
          </w:p>
        </w:tc>
        <w:tc>
          <w:tcPr>
            <w:tcW w:w="2039" w:type="dxa"/>
            <w:tcBorders>
              <w:top w:val="single" w:color="auto" w:sz="4" w:space="0"/>
              <w:left w:val="single" w:color="auto" w:sz="4" w:space="0"/>
              <w:bottom w:val="single" w:color="auto" w:sz="4" w:space="0"/>
              <w:right w:val="single" w:color="auto" w:sz="4" w:space="0"/>
            </w:tcBorders>
            <w:vAlign w:val="center"/>
          </w:tcPr>
          <w:p w14:paraId="7C4C11AC">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14:paraId="3780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5D2129DB">
            <w:pPr>
              <w:autoSpaceDE w:val="0"/>
              <w:autoSpaceDN w:val="0"/>
              <w:adjustRightInd w:val="0"/>
              <w:snapToGrid w:val="0"/>
              <w:spacing w:line="240" w:lineRule="auto"/>
              <w:jc w:val="center"/>
              <w:rPr>
                <w:rFonts w:hint="default" w:ascii="Times New Roman" w:hAnsi="Times New Roman" w:eastAsia="宋体" w:cs="Times New Roman"/>
                <w:b/>
                <w:bCs/>
                <w:color w:val="auto"/>
                <w:sz w:val="21"/>
                <w:lang w:eastAsia="zh-CN"/>
              </w:rPr>
            </w:pPr>
            <w:r>
              <w:rPr>
                <w:rFonts w:hint="eastAsia" w:ascii="Times New Roman" w:hAnsi="Times New Roman" w:cs="Times New Roman"/>
                <w:b/>
                <w:bCs/>
                <w:color w:val="auto"/>
                <w:sz w:val="21"/>
                <w:lang w:eastAsia="zh-CN"/>
              </w:rPr>
              <w:t>（</w:t>
            </w:r>
            <w:r>
              <w:rPr>
                <w:rFonts w:hint="eastAsia" w:ascii="Times New Roman" w:hAnsi="Times New Roman" w:cs="Times New Roman"/>
                <w:b/>
                <w:bCs/>
                <w:color w:val="auto"/>
                <w:sz w:val="21"/>
                <w:lang w:val="en-US" w:eastAsia="zh-CN"/>
              </w:rPr>
              <w:t>7</w:t>
            </w:r>
            <w:r>
              <w:rPr>
                <w:rFonts w:hint="eastAsia" w:ascii="Times New Roman" w:hAnsi="Times New Roman" w:cs="Times New Roman"/>
                <w:b/>
                <w:bCs/>
                <w:color w:val="auto"/>
                <w:sz w:val="21"/>
                <w:lang w:eastAsia="zh-CN"/>
              </w:rPr>
              <w:t>）</w:t>
            </w:r>
          </w:p>
        </w:tc>
        <w:tc>
          <w:tcPr>
            <w:tcW w:w="2704" w:type="dxa"/>
            <w:tcBorders>
              <w:top w:val="single" w:color="auto" w:sz="4" w:space="0"/>
              <w:left w:val="single" w:color="auto" w:sz="4" w:space="0"/>
              <w:bottom w:val="single" w:color="auto" w:sz="4" w:space="0"/>
              <w:right w:val="single" w:color="auto" w:sz="4" w:space="0"/>
            </w:tcBorders>
            <w:vAlign w:val="center"/>
          </w:tcPr>
          <w:p w14:paraId="7D95F047">
            <w:pPr>
              <w:autoSpaceDE w:val="0"/>
              <w:autoSpaceDN w:val="0"/>
              <w:adjustRightInd w:val="0"/>
              <w:snapToGrid w:val="0"/>
              <w:spacing w:line="240" w:lineRule="auto"/>
              <w:jc w:val="center"/>
              <w:rPr>
                <w:rFonts w:hint="eastAsia" w:ascii="Times New Roman" w:hAnsi="Times New Roman" w:cs="Times New Roman"/>
                <w:color w:val="auto"/>
                <w:sz w:val="21"/>
                <w:lang w:eastAsia="zh-CN"/>
              </w:rPr>
            </w:pPr>
            <w:r>
              <w:rPr>
                <w:rFonts w:hint="eastAsia" w:ascii="Times New Roman" w:hAnsi="Times New Roman" w:cs="Times New Roman"/>
                <w:color w:val="auto"/>
                <w:sz w:val="21"/>
                <w:lang w:eastAsia="zh-CN"/>
              </w:rPr>
              <w:t>机修车间</w:t>
            </w:r>
          </w:p>
        </w:tc>
        <w:tc>
          <w:tcPr>
            <w:tcW w:w="1055" w:type="dxa"/>
            <w:tcBorders>
              <w:top w:val="single" w:color="auto" w:sz="4" w:space="0"/>
              <w:left w:val="single" w:color="auto" w:sz="4" w:space="0"/>
              <w:bottom w:val="single" w:color="auto" w:sz="4" w:space="0"/>
              <w:right w:val="single" w:color="auto" w:sz="4" w:space="0"/>
            </w:tcBorders>
            <w:vAlign w:val="center"/>
          </w:tcPr>
          <w:p w14:paraId="0725BCD1">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57EE2316">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50</w:t>
            </w:r>
          </w:p>
        </w:tc>
        <w:tc>
          <w:tcPr>
            <w:tcW w:w="2039" w:type="dxa"/>
            <w:tcBorders>
              <w:top w:val="single" w:color="auto" w:sz="4" w:space="0"/>
              <w:left w:val="single" w:color="auto" w:sz="4" w:space="0"/>
              <w:bottom w:val="single" w:color="auto" w:sz="4" w:space="0"/>
              <w:right w:val="single" w:color="auto" w:sz="4" w:space="0"/>
            </w:tcBorders>
            <w:vAlign w:val="center"/>
          </w:tcPr>
          <w:p w14:paraId="26BF4327">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r>
      <w:tr w14:paraId="40DB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064EA50E">
            <w:pPr>
              <w:autoSpaceDE w:val="0"/>
              <w:autoSpaceDN w:val="0"/>
              <w:adjustRightInd w:val="0"/>
              <w:snapToGrid w:val="0"/>
              <w:spacing w:line="240" w:lineRule="auto"/>
              <w:jc w:val="center"/>
              <w:rPr>
                <w:rFonts w:hint="default" w:ascii="Times New Roman" w:hAnsi="Times New Roman" w:eastAsia="宋体" w:cs="Times New Roman"/>
                <w:b/>
                <w:bCs/>
                <w:color w:val="auto"/>
                <w:sz w:val="21"/>
                <w:lang w:eastAsia="zh-CN"/>
              </w:rPr>
            </w:pPr>
            <w:r>
              <w:rPr>
                <w:rFonts w:hint="eastAsia" w:ascii="Times New Roman" w:hAnsi="Times New Roman" w:cs="Times New Roman"/>
                <w:b/>
                <w:bCs/>
                <w:color w:val="auto"/>
                <w:sz w:val="21"/>
                <w:lang w:eastAsia="zh-CN"/>
              </w:rPr>
              <w:t>（</w:t>
            </w:r>
            <w:r>
              <w:rPr>
                <w:rFonts w:hint="eastAsia" w:ascii="Times New Roman" w:hAnsi="Times New Roman" w:cs="Times New Roman"/>
                <w:b/>
                <w:bCs/>
                <w:color w:val="auto"/>
                <w:sz w:val="21"/>
                <w:lang w:val="en-US" w:eastAsia="zh-CN"/>
              </w:rPr>
              <w:t>9</w:t>
            </w:r>
            <w:r>
              <w:rPr>
                <w:rFonts w:hint="eastAsia" w:ascii="Times New Roman" w:hAnsi="Times New Roman" w:cs="Times New Roman"/>
                <w:b/>
                <w:bCs/>
                <w:color w:val="auto"/>
                <w:sz w:val="21"/>
                <w:lang w:eastAsia="zh-CN"/>
              </w:rPr>
              <w:t>）</w:t>
            </w:r>
          </w:p>
        </w:tc>
        <w:tc>
          <w:tcPr>
            <w:tcW w:w="2704" w:type="dxa"/>
            <w:tcBorders>
              <w:top w:val="single" w:color="auto" w:sz="4" w:space="0"/>
              <w:left w:val="single" w:color="auto" w:sz="4" w:space="0"/>
              <w:bottom w:val="single" w:color="auto" w:sz="4" w:space="0"/>
              <w:right w:val="single" w:color="auto" w:sz="4" w:space="0"/>
            </w:tcBorders>
            <w:vAlign w:val="center"/>
          </w:tcPr>
          <w:p w14:paraId="26FCA5DE">
            <w:pPr>
              <w:autoSpaceDE w:val="0"/>
              <w:autoSpaceDN w:val="0"/>
              <w:adjustRightInd w:val="0"/>
              <w:snapToGrid w:val="0"/>
              <w:spacing w:line="240" w:lineRule="auto"/>
              <w:jc w:val="center"/>
              <w:rPr>
                <w:rFonts w:hint="eastAsia" w:ascii="Times New Roman" w:hAnsi="Times New Roman" w:cs="Times New Roman"/>
                <w:color w:val="auto"/>
                <w:sz w:val="21"/>
                <w:lang w:eastAsia="zh-CN"/>
              </w:rPr>
            </w:pPr>
            <w:r>
              <w:rPr>
                <w:rFonts w:hint="eastAsia" w:ascii="Times New Roman" w:hAnsi="Times New Roman" w:cs="Times New Roman"/>
                <w:color w:val="auto"/>
                <w:sz w:val="21"/>
                <w:lang w:eastAsia="zh-CN"/>
              </w:rPr>
              <w:t>卫生间</w:t>
            </w:r>
          </w:p>
        </w:tc>
        <w:tc>
          <w:tcPr>
            <w:tcW w:w="1055" w:type="dxa"/>
            <w:tcBorders>
              <w:top w:val="single" w:color="auto" w:sz="4" w:space="0"/>
              <w:left w:val="single" w:color="auto" w:sz="4" w:space="0"/>
              <w:bottom w:val="single" w:color="auto" w:sz="4" w:space="0"/>
              <w:right w:val="single" w:color="auto" w:sz="4" w:space="0"/>
            </w:tcBorders>
            <w:vAlign w:val="center"/>
          </w:tcPr>
          <w:p w14:paraId="7D5098A6">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707D71D3">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20</w:t>
            </w:r>
          </w:p>
        </w:tc>
        <w:tc>
          <w:tcPr>
            <w:tcW w:w="2039" w:type="dxa"/>
            <w:tcBorders>
              <w:top w:val="single" w:color="auto" w:sz="4" w:space="0"/>
              <w:left w:val="single" w:color="auto" w:sz="4" w:space="0"/>
              <w:bottom w:val="single" w:color="auto" w:sz="4" w:space="0"/>
              <w:right w:val="single" w:color="auto" w:sz="4" w:space="0"/>
            </w:tcBorders>
            <w:vAlign w:val="center"/>
          </w:tcPr>
          <w:p w14:paraId="122540CE">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r>
      <w:tr w14:paraId="4E95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3D3897A8">
            <w:pPr>
              <w:autoSpaceDE w:val="0"/>
              <w:autoSpaceDN w:val="0"/>
              <w:adjustRightInd w:val="0"/>
              <w:snapToGrid w:val="0"/>
              <w:spacing w:line="240" w:lineRule="auto"/>
              <w:jc w:val="center"/>
              <w:rPr>
                <w:rFonts w:hint="eastAsia" w:ascii="Times New Roman" w:hAnsi="Times New Roman" w:eastAsia="宋体" w:cs="Times New Roman"/>
                <w:b/>
                <w:bCs/>
                <w:color w:val="auto"/>
                <w:sz w:val="21"/>
                <w:lang w:eastAsia="zh-CN"/>
              </w:rPr>
            </w:pPr>
            <w:r>
              <w:rPr>
                <w:rFonts w:hint="eastAsia" w:ascii="Times New Roman" w:hAnsi="Times New Roman" w:cs="Times New Roman"/>
                <w:b/>
                <w:bCs/>
                <w:color w:val="auto"/>
                <w:sz w:val="21"/>
                <w:lang w:val="en-US" w:eastAsia="zh-CN"/>
              </w:rPr>
              <w:t>5</w:t>
            </w:r>
          </w:p>
        </w:tc>
        <w:tc>
          <w:tcPr>
            <w:tcW w:w="2704" w:type="dxa"/>
            <w:tcBorders>
              <w:top w:val="single" w:color="auto" w:sz="4" w:space="0"/>
              <w:left w:val="single" w:color="auto" w:sz="4" w:space="0"/>
              <w:bottom w:val="single" w:color="auto" w:sz="4" w:space="0"/>
              <w:right w:val="single" w:color="auto" w:sz="4" w:space="0"/>
            </w:tcBorders>
            <w:vAlign w:val="center"/>
          </w:tcPr>
          <w:p w14:paraId="44600C29">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生活区</w:t>
            </w:r>
          </w:p>
        </w:tc>
        <w:tc>
          <w:tcPr>
            <w:tcW w:w="1055" w:type="dxa"/>
            <w:tcBorders>
              <w:top w:val="single" w:color="auto" w:sz="4" w:space="0"/>
              <w:left w:val="single" w:color="auto" w:sz="4" w:space="0"/>
              <w:bottom w:val="single" w:color="auto" w:sz="4" w:space="0"/>
              <w:right w:val="single" w:color="auto" w:sz="4" w:space="0"/>
            </w:tcBorders>
            <w:vAlign w:val="center"/>
          </w:tcPr>
          <w:p w14:paraId="420D618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33EDE878">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1000</w:t>
            </w:r>
          </w:p>
        </w:tc>
        <w:tc>
          <w:tcPr>
            <w:tcW w:w="2039" w:type="dxa"/>
            <w:tcBorders>
              <w:top w:val="single" w:color="auto" w:sz="4" w:space="0"/>
              <w:left w:val="single" w:color="auto" w:sz="4" w:space="0"/>
              <w:bottom w:val="single" w:color="auto" w:sz="4" w:space="0"/>
              <w:right w:val="single" w:color="auto" w:sz="4" w:space="0"/>
            </w:tcBorders>
            <w:vAlign w:val="center"/>
          </w:tcPr>
          <w:p w14:paraId="2DE20A0B">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09DA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1C67703E">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（1）</w:t>
            </w:r>
          </w:p>
        </w:tc>
        <w:tc>
          <w:tcPr>
            <w:tcW w:w="2704" w:type="dxa"/>
            <w:tcBorders>
              <w:top w:val="single" w:color="auto" w:sz="4" w:space="0"/>
              <w:left w:val="single" w:color="auto" w:sz="4" w:space="0"/>
              <w:bottom w:val="single" w:color="auto" w:sz="4" w:space="0"/>
              <w:right w:val="single" w:color="auto" w:sz="4" w:space="0"/>
            </w:tcBorders>
            <w:vAlign w:val="center"/>
          </w:tcPr>
          <w:p w14:paraId="4C877B33">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sz w:val="21"/>
                <w:lang w:eastAsia="zh-CN"/>
              </w:rPr>
              <w:t>食堂</w:t>
            </w:r>
          </w:p>
        </w:tc>
        <w:tc>
          <w:tcPr>
            <w:tcW w:w="1055" w:type="dxa"/>
            <w:tcBorders>
              <w:top w:val="single" w:color="auto" w:sz="4" w:space="0"/>
              <w:left w:val="single" w:color="auto" w:sz="4" w:space="0"/>
              <w:bottom w:val="single" w:color="auto" w:sz="4" w:space="0"/>
              <w:right w:val="single" w:color="auto" w:sz="4" w:space="0"/>
            </w:tcBorders>
            <w:vAlign w:val="center"/>
          </w:tcPr>
          <w:p w14:paraId="7379648D">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668DCA5C">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800</w:t>
            </w:r>
          </w:p>
        </w:tc>
        <w:tc>
          <w:tcPr>
            <w:tcW w:w="2039" w:type="dxa"/>
            <w:tcBorders>
              <w:top w:val="single" w:color="auto" w:sz="4" w:space="0"/>
              <w:left w:val="single" w:color="auto" w:sz="4" w:space="0"/>
              <w:bottom w:val="single" w:color="auto" w:sz="4" w:space="0"/>
              <w:right w:val="single" w:color="auto" w:sz="4" w:space="0"/>
            </w:tcBorders>
            <w:vAlign w:val="center"/>
          </w:tcPr>
          <w:p w14:paraId="5FD69334">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14:paraId="4ED6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2A2F232F">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（2）</w:t>
            </w:r>
          </w:p>
        </w:tc>
        <w:tc>
          <w:tcPr>
            <w:tcW w:w="2704" w:type="dxa"/>
            <w:tcBorders>
              <w:top w:val="single" w:color="auto" w:sz="4" w:space="0"/>
              <w:left w:val="single" w:color="auto" w:sz="4" w:space="0"/>
              <w:bottom w:val="single" w:color="auto" w:sz="4" w:space="0"/>
              <w:right w:val="single" w:color="auto" w:sz="4" w:space="0"/>
            </w:tcBorders>
            <w:vAlign w:val="center"/>
          </w:tcPr>
          <w:p w14:paraId="4A825D70">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sz w:val="21"/>
                <w:lang w:eastAsia="zh-CN"/>
              </w:rPr>
              <w:t>办公室</w:t>
            </w:r>
          </w:p>
        </w:tc>
        <w:tc>
          <w:tcPr>
            <w:tcW w:w="1055" w:type="dxa"/>
            <w:tcBorders>
              <w:top w:val="single" w:color="auto" w:sz="4" w:space="0"/>
              <w:left w:val="single" w:color="auto" w:sz="4" w:space="0"/>
              <w:bottom w:val="single" w:color="auto" w:sz="4" w:space="0"/>
              <w:right w:val="single" w:color="auto" w:sz="4" w:space="0"/>
            </w:tcBorders>
            <w:vAlign w:val="center"/>
          </w:tcPr>
          <w:p w14:paraId="62B4A4F3">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4DB713D1">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200</w:t>
            </w:r>
          </w:p>
        </w:tc>
        <w:tc>
          <w:tcPr>
            <w:tcW w:w="2039" w:type="dxa"/>
            <w:tcBorders>
              <w:top w:val="single" w:color="auto" w:sz="4" w:space="0"/>
              <w:left w:val="single" w:color="auto" w:sz="4" w:space="0"/>
              <w:bottom w:val="single" w:color="auto" w:sz="4" w:space="0"/>
              <w:right w:val="single" w:color="auto" w:sz="4" w:space="0"/>
            </w:tcBorders>
            <w:vAlign w:val="center"/>
          </w:tcPr>
          <w:p w14:paraId="6A8A95AE">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w:t>
            </w:r>
          </w:p>
        </w:tc>
      </w:tr>
      <w:tr w14:paraId="1200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4C9EA775">
            <w:pPr>
              <w:autoSpaceDE w:val="0"/>
              <w:autoSpaceDN w:val="0"/>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eastAsia" w:ascii="Times New Roman" w:hAnsi="Times New Roman" w:cs="Times New Roman"/>
                <w:b/>
                <w:bCs/>
                <w:color w:val="auto"/>
                <w:sz w:val="21"/>
                <w:lang w:val="en-US" w:eastAsia="zh-CN"/>
              </w:rPr>
              <w:t>6</w:t>
            </w:r>
          </w:p>
        </w:tc>
        <w:tc>
          <w:tcPr>
            <w:tcW w:w="2704" w:type="dxa"/>
            <w:tcBorders>
              <w:top w:val="single" w:color="auto" w:sz="4" w:space="0"/>
              <w:left w:val="single" w:color="auto" w:sz="4" w:space="0"/>
              <w:bottom w:val="single" w:color="auto" w:sz="4" w:space="0"/>
              <w:right w:val="single" w:color="auto" w:sz="4" w:space="0"/>
            </w:tcBorders>
            <w:vAlign w:val="center"/>
          </w:tcPr>
          <w:p w14:paraId="69802B4E">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绿地总用地面积</w:t>
            </w:r>
          </w:p>
        </w:tc>
        <w:tc>
          <w:tcPr>
            <w:tcW w:w="1055" w:type="dxa"/>
            <w:tcBorders>
              <w:top w:val="single" w:color="auto" w:sz="4" w:space="0"/>
              <w:left w:val="single" w:color="auto" w:sz="4" w:space="0"/>
              <w:bottom w:val="single" w:color="auto" w:sz="4" w:space="0"/>
              <w:right w:val="single" w:color="auto" w:sz="4" w:space="0"/>
            </w:tcBorders>
            <w:vAlign w:val="center"/>
          </w:tcPr>
          <w:p w14:paraId="604D90ED">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33CAA108">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200</w:t>
            </w:r>
          </w:p>
        </w:tc>
        <w:tc>
          <w:tcPr>
            <w:tcW w:w="2039" w:type="dxa"/>
            <w:tcBorders>
              <w:top w:val="single" w:color="auto" w:sz="4" w:space="0"/>
              <w:left w:val="single" w:color="auto" w:sz="4" w:space="0"/>
              <w:bottom w:val="single" w:color="auto" w:sz="4" w:space="0"/>
              <w:right w:val="single" w:color="auto" w:sz="4" w:space="0"/>
            </w:tcBorders>
            <w:vAlign w:val="center"/>
          </w:tcPr>
          <w:p w14:paraId="28252393">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bl>
    <w:p w14:paraId="2D9D0C56">
      <w:pPr>
        <w:autoSpaceDE w:val="0"/>
        <w:autoSpaceDN w:val="0"/>
        <w:adjustRightInd w:val="0"/>
        <w:snapToGrid w:val="0"/>
        <w:ind w:firstLine="480" w:firstLineChars="200"/>
        <w:rPr>
          <w:rFonts w:hint="default" w:ascii="Times New Roman" w:hAnsi="Times New Roman" w:eastAsia="宋体" w:cs="Times New Roman"/>
          <w:b/>
          <w:color w:val="auto"/>
        </w:rPr>
      </w:pPr>
      <w:r>
        <w:rPr>
          <w:rFonts w:hint="eastAsia" w:ascii="Times New Roman" w:hAnsi="Times New Roman" w:cs="Times New Roman"/>
          <w:color w:val="auto"/>
          <w:lang w:eastAsia="zh-CN"/>
        </w:rPr>
        <w:t>现有</w:t>
      </w:r>
      <w:r>
        <w:rPr>
          <w:rFonts w:hint="default" w:ascii="Times New Roman" w:hAnsi="Times New Roman" w:eastAsia="宋体" w:cs="Times New Roman"/>
          <w:color w:val="auto"/>
        </w:rPr>
        <w:t>项目建设内容</w:t>
      </w:r>
      <w:r>
        <w:rPr>
          <w:rFonts w:hint="default" w:ascii="Times New Roman" w:hAnsi="Times New Roman" w:eastAsia="宋体" w:cs="Times New Roman"/>
          <w:color w:val="auto"/>
          <w:lang w:eastAsia="zh-CN"/>
        </w:rPr>
        <w:t>主要有主体工程、公用工程、辅助设施、环保工程所组成</w:t>
      </w:r>
      <w:r>
        <w:rPr>
          <w:rFonts w:hint="default" w:ascii="Times New Roman" w:hAnsi="Times New Roman" w:eastAsia="宋体" w:cs="Times New Roman"/>
          <w:color w:val="auto"/>
        </w:rPr>
        <w:t>，设置</w:t>
      </w:r>
      <w:r>
        <w:rPr>
          <w:rFonts w:hint="default" w:ascii="Times New Roman" w:hAnsi="Times New Roman" w:eastAsia="宋体" w:cs="Times New Roman"/>
          <w:color w:val="auto"/>
          <w:lang w:eastAsia="zh-CN"/>
        </w:rPr>
        <w:t>服装</w:t>
      </w:r>
      <w:r>
        <w:rPr>
          <w:rFonts w:hint="default" w:ascii="Times New Roman" w:hAnsi="Times New Roman" w:eastAsia="宋体" w:cs="Times New Roman"/>
          <w:color w:val="auto"/>
        </w:rPr>
        <w:t>生产线</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条。详细工程组成</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内容见表2.</w:t>
      </w:r>
      <w:r>
        <w:rPr>
          <w:rFonts w:hint="eastAsia" w:ascii="Times New Roman" w:hAnsi="Times New Roman" w:cs="Times New Roman"/>
          <w:color w:val="auto"/>
          <w:lang w:val="en-US" w:eastAsia="zh-CN"/>
        </w:rPr>
        <w:t>1</w:t>
      </w:r>
      <w:r>
        <w:rPr>
          <w:rFonts w:hint="default" w:ascii="Times New Roman" w:hAnsi="Times New Roman" w:eastAsia="宋体" w:cs="Times New Roman"/>
          <w:color w:val="auto"/>
        </w:rPr>
        <w:t>-2。</w:t>
      </w:r>
    </w:p>
    <w:p w14:paraId="11E9648C">
      <w:pPr>
        <w:autoSpaceDE w:val="0"/>
        <w:autoSpaceDN w:val="0"/>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w:t>
      </w:r>
      <w:r>
        <w:rPr>
          <w:rFonts w:hint="eastAsia" w:ascii="Times New Roman" w:hAnsi="Times New Roman" w:cs="Times New Roman"/>
          <w:b/>
          <w:color w:val="auto"/>
          <w:lang w:val="en-US" w:eastAsia="zh-CN"/>
        </w:rPr>
        <w:t>1</w:t>
      </w:r>
      <w:r>
        <w:rPr>
          <w:rFonts w:hint="default" w:ascii="Times New Roman" w:hAnsi="Times New Roman" w:eastAsia="宋体" w:cs="Times New Roman"/>
          <w:b/>
          <w:color w:val="auto"/>
        </w:rPr>
        <w:t>-2  项目工程组成一览表</w:t>
      </w:r>
    </w:p>
    <w:tbl>
      <w:tblPr>
        <w:tblStyle w:val="6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428"/>
        <w:gridCol w:w="281"/>
        <w:gridCol w:w="1004"/>
        <w:gridCol w:w="5300"/>
        <w:gridCol w:w="836"/>
      </w:tblGrid>
      <w:tr w14:paraId="5479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vAlign w:val="center"/>
          </w:tcPr>
          <w:p w14:paraId="025B6950">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项目</w:t>
            </w: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48F6AB64">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名称</w:t>
            </w:r>
          </w:p>
        </w:tc>
        <w:tc>
          <w:tcPr>
            <w:tcW w:w="5300" w:type="dxa"/>
            <w:tcBorders>
              <w:top w:val="single" w:color="auto" w:sz="4" w:space="0"/>
              <w:left w:val="single" w:color="auto" w:sz="4" w:space="0"/>
              <w:bottom w:val="single" w:color="auto" w:sz="4" w:space="0"/>
              <w:right w:val="single" w:color="auto" w:sz="4" w:space="0"/>
            </w:tcBorders>
            <w:vAlign w:val="center"/>
          </w:tcPr>
          <w:p w14:paraId="22A121A3">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建设内容</w:t>
            </w:r>
          </w:p>
        </w:tc>
        <w:tc>
          <w:tcPr>
            <w:tcW w:w="836" w:type="dxa"/>
            <w:tcBorders>
              <w:top w:val="single" w:color="auto" w:sz="4" w:space="0"/>
              <w:left w:val="single" w:color="auto" w:sz="4" w:space="0"/>
              <w:bottom w:val="single" w:color="auto" w:sz="4" w:space="0"/>
              <w:right w:val="single" w:color="auto" w:sz="4" w:space="0"/>
            </w:tcBorders>
            <w:vAlign w:val="center"/>
          </w:tcPr>
          <w:p w14:paraId="3B3F66A1">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备注</w:t>
            </w:r>
          </w:p>
        </w:tc>
      </w:tr>
      <w:tr w14:paraId="4270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673" w:type="dxa"/>
            <w:vMerge w:val="restart"/>
            <w:tcBorders>
              <w:top w:val="single" w:color="auto" w:sz="4" w:space="0"/>
              <w:left w:val="single" w:color="auto" w:sz="4" w:space="0"/>
              <w:right w:val="single" w:color="auto" w:sz="4" w:space="0"/>
            </w:tcBorders>
            <w:vAlign w:val="center"/>
          </w:tcPr>
          <w:p w14:paraId="60B6D957">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主体工程</w:t>
            </w:r>
          </w:p>
        </w:tc>
        <w:tc>
          <w:tcPr>
            <w:tcW w:w="428" w:type="dxa"/>
            <w:vMerge w:val="restart"/>
            <w:tcBorders>
              <w:top w:val="single" w:color="auto" w:sz="4" w:space="0"/>
              <w:left w:val="single" w:color="auto" w:sz="4" w:space="0"/>
              <w:right w:val="single" w:color="auto" w:sz="4" w:space="0"/>
            </w:tcBorders>
            <w:vAlign w:val="center"/>
          </w:tcPr>
          <w:p w14:paraId="6489D5C7">
            <w:pPr>
              <w:autoSpaceDE w:val="0"/>
              <w:autoSpaceDN w:val="0"/>
              <w:adjustRightInd w:val="0"/>
              <w:snapToGrid w:val="0"/>
              <w:spacing w:line="240" w:lineRule="auto"/>
              <w:jc w:val="center"/>
              <w:rPr>
                <w:rFonts w:hint="default" w:ascii="Times New Roman" w:hAnsi="Times New Roman" w:eastAsia="宋体" w:cs="Times New Roman"/>
                <w:color w:val="auto"/>
                <w:sz w:val="21"/>
              </w:rPr>
            </w:pPr>
          </w:p>
          <w:p w14:paraId="02AE6588">
            <w:pPr>
              <w:autoSpaceDE w:val="0"/>
              <w:autoSpaceDN w:val="0"/>
              <w:adjustRightInd w:val="0"/>
              <w:snapToGrid w:val="0"/>
              <w:spacing w:line="240" w:lineRule="auto"/>
              <w:jc w:val="center"/>
              <w:rPr>
                <w:rFonts w:hint="default" w:ascii="Times New Roman" w:hAnsi="Times New Roman" w:eastAsia="宋体" w:cs="Times New Roman"/>
                <w:color w:val="auto"/>
                <w:sz w:val="21"/>
              </w:rPr>
            </w:pPr>
          </w:p>
          <w:p w14:paraId="29E3C2E0">
            <w:pPr>
              <w:autoSpaceDE w:val="0"/>
              <w:autoSpaceDN w:val="0"/>
              <w:adjustRightInd w:val="0"/>
              <w:snapToGrid w:val="0"/>
              <w:spacing w:line="240" w:lineRule="auto"/>
              <w:jc w:val="center"/>
              <w:rPr>
                <w:rFonts w:hint="default" w:ascii="Times New Roman" w:hAnsi="Times New Roman" w:eastAsia="宋体" w:cs="Times New Roman"/>
                <w:color w:val="auto"/>
                <w:sz w:val="21"/>
              </w:rPr>
            </w:pPr>
          </w:p>
          <w:p w14:paraId="510F28DF">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生产</w:t>
            </w:r>
            <w:r>
              <w:rPr>
                <w:rFonts w:hint="default" w:ascii="Times New Roman" w:hAnsi="Times New Roman" w:eastAsia="宋体" w:cs="Times New Roman"/>
                <w:color w:val="auto"/>
                <w:sz w:val="21"/>
                <w:lang w:eastAsia="zh-CN"/>
              </w:rPr>
              <w:t>厂房</w:t>
            </w:r>
          </w:p>
        </w:tc>
        <w:tc>
          <w:tcPr>
            <w:tcW w:w="1285" w:type="dxa"/>
            <w:gridSpan w:val="2"/>
            <w:tcBorders>
              <w:top w:val="single" w:color="auto" w:sz="4" w:space="0"/>
              <w:left w:val="single" w:color="auto" w:sz="4" w:space="0"/>
              <w:bottom w:val="single" w:color="auto" w:sz="4" w:space="0"/>
              <w:right w:val="single" w:color="auto" w:sz="4" w:space="0"/>
            </w:tcBorders>
            <w:vAlign w:val="center"/>
          </w:tcPr>
          <w:p w14:paraId="47F5C090">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裁剪区</w:t>
            </w:r>
          </w:p>
        </w:tc>
        <w:tc>
          <w:tcPr>
            <w:tcW w:w="5300" w:type="dxa"/>
            <w:tcBorders>
              <w:top w:val="single" w:color="auto" w:sz="4" w:space="0"/>
              <w:left w:val="single" w:color="auto" w:sz="4" w:space="0"/>
              <w:bottom w:val="single" w:color="auto" w:sz="4" w:space="0"/>
              <w:right w:val="single" w:color="auto" w:sz="4" w:space="0"/>
            </w:tcBorders>
            <w:vAlign w:val="center"/>
          </w:tcPr>
          <w:p w14:paraId="6A63F234">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lang w:eastAsia="zh-CN"/>
              </w:rPr>
            </w:pPr>
            <w:r>
              <w:rPr>
                <w:rFonts w:hint="default" w:ascii="Times New Roman" w:hAnsi="Times New Roman" w:eastAsia="宋体" w:cs="Times New Roman"/>
                <w:color w:val="auto"/>
                <w:sz w:val="21"/>
                <w:szCs w:val="21"/>
              </w:rPr>
              <w:t>位于项目</w:t>
            </w:r>
            <w:r>
              <w:rPr>
                <w:rFonts w:hint="eastAsia" w:ascii="Times New Roman" w:hAnsi="Times New Roman" w:cs="Times New Roman"/>
                <w:color w:val="auto"/>
                <w:sz w:val="21"/>
                <w:szCs w:val="21"/>
                <w:lang w:eastAsia="zh-CN"/>
              </w:rPr>
              <w:t>生产</w:t>
            </w:r>
            <w:r>
              <w:rPr>
                <w:rFonts w:hint="default" w:ascii="Times New Roman" w:hAnsi="Times New Roman" w:eastAsia="宋体" w:cs="Times New Roman"/>
                <w:color w:val="auto"/>
                <w:sz w:val="21"/>
                <w:szCs w:val="21"/>
              </w:rPr>
              <w:t>厂</w:t>
            </w:r>
            <w:r>
              <w:rPr>
                <w:rFonts w:hint="eastAsia" w:ascii="Times New Roman" w:hAnsi="Times New Roman" w:cs="Times New Roman"/>
                <w:color w:val="auto"/>
                <w:sz w:val="21"/>
                <w:szCs w:val="21"/>
                <w:lang w:eastAsia="zh-CN"/>
              </w:rPr>
              <w:t>房东部</w:t>
            </w:r>
            <w:r>
              <w:rPr>
                <w:rFonts w:hint="default" w:ascii="Times New Roman" w:hAnsi="Times New Roman" w:eastAsia="宋体" w:cs="Times New Roman"/>
                <w:color w:val="auto"/>
                <w:sz w:val="21"/>
                <w:szCs w:val="21"/>
              </w:rPr>
              <w:t>，为一层建筑，钢架结构，占地面积为</w:t>
            </w:r>
            <w:r>
              <w:rPr>
                <w:rFonts w:hint="eastAsia" w:ascii="Times New Roman" w:hAnsi="Times New Roman" w:cs="Times New Roman"/>
                <w:color w:val="auto"/>
                <w:sz w:val="21"/>
                <w:szCs w:val="21"/>
                <w:lang w:val="en-US" w:eastAsia="zh-CN"/>
              </w:rPr>
              <w:t>750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rPr>
              <w:t>。</w:t>
            </w:r>
          </w:p>
        </w:tc>
        <w:tc>
          <w:tcPr>
            <w:tcW w:w="836" w:type="dxa"/>
            <w:vMerge w:val="restart"/>
            <w:tcBorders>
              <w:top w:val="single" w:color="auto" w:sz="4" w:space="0"/>
              <w:left w:val="single" w:color="auto" w:sz="4" w:space="0"/>
              <w:right w:val="single" w:color="auto" w:sz="4" w:space="0"/>
            </w:tcBorders>
            <w:vAlign w:val="center"/>
          </w:tcPr>
          <w:p w14:paraId="0C5F9E01">
            <w:pPr>
              <w:autoSpaceDE w:val="0"/>
              <w:autoSpaceDN w:val="0"/>
              <w:adjustRightInd w:val="0"/>
              <w:snapToGrid w:val="0"/>
              <w:spacing w:line="240" w:lineRule="auto"/>
              <w:jc w:val="center"/>
              <w:rPr>
                <w:rFonts w:hint="eastAsia" w:ascii="Times New Roman" w:hAnsi="Times New Roman" w:cs="Times New Roman"/>
                <w:color w:val="auto"/>
                <w:sz w:val="21"/>
                <w:lang w:eastAsia="zh-CN"/>
              </w:rPr>
            </w:pPr>
          </w:p>
          <w:p w14:paraId="33D13879">
            <w:pPr>
              <w:autoSpaceDE w:val="0"/>
              <w:autoSpaceDN w:val="0"/>
              <w:adjustRightInd w:val="0"/>
              <w:snapToGrid w:val="0"/>
              <w:spacing w:line="240" w:lineRule="auto"/>
              <w:jc w:val="center"/>
              <w:rPr>
                <w:rFonts w:hint="eastAsia" w:ascii="Times New Roman" w:hAnsi="Times New Roman" w:cs="Times New Roman"/>
                <w:color w:val="auto"/>
                <w:sz w:val="21"/>
                <w:lang w:eastAsia="zh-CN"/>
              </w:rPr>
            </w:pPr>
          </w:p>
          <w:p w14:paraId="5899528D">
            <w:pPr>
              <w:autoSpaceDE w:val="0"/>
              <w:autoSpaceDN w:val="0"/>
              <w:adjustRightInd w:val="0"/>
              <w:snapToGrid w:val="0"/>
              <w:spacing w:line="240" w:lineRule="auto"/>
              <w:jc w:val="center"/>
              <w:rPr>
                <w:rFonts w:hint="eastAsia" w:ascii="Times New Roman" w:hAnsi="Times New Roman" w:cs="Times New Roman"/>
                <w:color w:val="auto"/>
                <w:sz w:val="21"/>
                <w:lang w:eastAsia="zh-CN"/>
              </w:rPr>
            </w:pPr>
          </w:p>
          <w:p w14:paraId="55F81FEC">
            <w:pPr>
              <w:autoSpaceDE w:val="0"/>
              <w:autoSpaceDN w:val="0"/>
              <w:adjustRightInd w:val="0"/>
              <w:snapToGrid w:val="0"/>
              <w:spacing w:line="240" w:lineRule="auto"/>
              <w:jc w:val="center"/>
              <w:rPr>
                <w:rFonts w:hint="eastAsia" w:ascii="Times New Roman" w:hAnsi="Times New Roman" w:cs="Times New Roman"/>
                <w:color w:val="auto"/>
                <w:sz w:val="21"/>
                <w:lang w:eastAsia="zh-CN"/>
              </w:rPr>
            </w:pPr>
          </w:p>
          <w:p w14:paraId="3C28DB97">
            <w:pPr>
              <w:autoSpaceDE w:val="0"/>
              <w:autoSpaceDN w:val="0"/>
              <w:adjustRightInd w:val="0"/>
              <w:snapToGrid w:val="0"/>
              <w:spacing w:line="240" w:lineRule="auto"/>
              <w:jc w:val="center"/>
              <w:rPr>
                <w:rFonts w:hint="eastAsia" w:ascii="Times New Roman" w:hAnsi="Times New Roman" w:cs="Times New Roman"/>
                <w:color w:val="auto"/>
                <w:sz w:val="21"/>
                <w:lang w:eastAsia="zh-CN"/>
              </w:rPr>
            </w:pPr>
          </w:p>
          <w:p w14:paraId="072A932A">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246C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673" w:type="dxa"/>
            <w:vMerge w:val="continue"/>
            <w:tcBorders>
              <w:left w:val="single" w:color="auto" w:sz="4" w:space="0"/>
              <w:right w:val="single" w:color="auto" w:sz="4" w:space="0"/>
            </w:tcBorders>
            <w:vAlign w:val="center"/>
          </w:tcPr>
          <w:p w14:paraId="30F1542F">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p>
        </w:tc>
        <w:tc>
          <w:tcPr>
            <w:tcW w:w="428" w:type="dxa"/>
            <w:vMerge w:val="continue"/>
            <w:tcBorders>
              <w:left w:val="single" w:color="auto" w:sz="4" w:space="0"/>
              <w:right w:val="single" w:color="auto" w:sz="4" w:space="0"/>
            </w:tcBorders>
            <w:vAlign w:val="center"/>
          </w:tcPr>
          <w:p w14:paraId="0CCED8B8">
            <w:pPr>
              <w:autoSpaceDE w:val="0"/>
              <w:autoSpaceDN w:val="0"/>
              <w:adjustRightInd w:val="0"/>
              <w:snapToGrid w:val="0"/>
              <w:spacing w:line="240" w:lineRule="auto"/>
              <w:jc w:val="center"/>
              <w:rPr>
                <w:rFonts w:hint="default" w:ascii="Times New Roman" w:hAnsi="Times New Roman" w:eastAsia="宋体" w:cs="Times New Roman"/>
                <w:color w:val="auto"/>
                <w:sz w:val="21"/>
              </w:rPr>
            </w:pPr>
          </w:p>
        </w:tc>
        <w:tc>
          <w:tcPr>
            <w:tcW w:w="1285" w:type="dxa"/>
            <w:gridSpan w:val="2"/>
            <w:tcBorders>
              <w:top w:val="single" w:color="auto" w:sz="4" w:space="0"/>
              <w:left w:val="single" w:color="auto" w:sz="4" w:space="0"/>
              <w:bottom w:val="single" w:color="auto" w:sz="4" w:space="0"/>
              <w:right w:val="single" w:color="auto" w:sz="4" w:space="0"/>
            </w:tcBorders>
            <w:vAlign w:val="center"/>
          </w:tcPr>
          <w:p w14:paraId="2674E9C7">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缝制区</w:t>
            </w:r>
          </w:p>
        </w:tc>
        <w:tc>
          <w:tcPr>
            <w:tcW w:w="5300" w:type="dxa"/>
            <w:tcBorders>
              <w:top w:val="single" w:color="auto" w:sz="4" w:space="0"/>
              <w:left w:val="single" w:color="auto" w:sz="4" w:space="0"/>
              <w:bottom w:val="single" w:color="auto" w:sz="4" w:space="0"/>
              <w:right w:val="single" w:color="auto" w:sz="4" w:space="0"/>
            </w:tcBorders>
            <w:vAlign w:val="center"/>
          </w:tcPr>
          <w:p w14:paraId="76D13081">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位于项目</w:t>
            </w:r>
            <w:r>
              <w:rPr>
                <w:rFonts w:hint="eastAsia" w:ascii="Times New Roman" w:hAnsi="Times New Roman" w:cs="Times New Roman"/>
                <w:color w:val="auto"/>
                <w:sz w:val="21"/>
                <w:szCs w:val="21"/>
                <w:lang w:eastAsia="zh-CN"/>
              </w:rPr>
              <w:t>生产厂房南部</w:t>
            </w:r>
            <w:r>
              <w:rPr>
                <w:rFonts w:hint="default" w:ascii="Times New Roman" w:hAnsi="Times New Roman" w:eastAsia="宋体" w:cs="Times New Roman"/>
                <w:color w:val="auto"/>
                <w:sz w:val="21"/>
                <w:szCs w:val="21"/>
              </w:rPr>
              <w:t>，为一层建筑，钢架结构，占地面积为</w:t>
            </w:r>
            <w:r>
              <w:rPr>
                <w:rFonts w:hint="eastAsia" w:ascii="Times New Roman" w:hAnsi="Times New Roman" w:cs="Times New Roman"/>
                <w:color w:val="auto"/>
                <w:sz w:val="21"/>
                <w:szCs w:val="21"/>
                <w:lang w:val="en-US" w:eastAsia="zh-CN"/>
              </w:rPr>
              <w:t>1800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rPr>
              <w:t>。</w:t>
            </w:r>
            <w:r>
              <w:rPr>
                <w:rFonts w:hint="default" w:ascii="Times New Roman" w:hAnsi="Times New Roman" w:eastAsia="宋体" w:cs="Times New Roman"/>
                <w:color w:val="auto"/>
                <w:sz w:val="21"/>
                <w:szCs w:val="21"/>
                <w:vertAlign w:val="baseline"/>
                <w:lang w:eastAsia="zh-CN"/>
              </w:rPr>
              <w:t>设置有</w:t>
            </w:r>
            <w:r>
              <w:rPr>
                <w:rFonts w:hint="eastAsia" w:ascii="Times New Roman" w:hAnsi="Times New Roman" w:cs="Times New Roman"/>
                <w:color w:val="auto"/>
                <w:sz w:val="21"/>
                <w:szCs w:val="21"/>
                <w:vertAlign w:val="baseline"/>
                <w:lang w:eastAsia="zh-CN"/>
              </w:rPr>
              <w:t>缝制生产线</w:t>
            </w:r>
            <w:r>
              <w:rPr>
                <w:rFonts w:hint="eastAsia" w:ascii="Times New Roman" w:hAnsi="Times New Roman" w:cs="Times New Roman"/>
                <w:color w:val="auto"/>
                <w:sz w:val="21"/>
                <w:szCs w:val="21"/>
                <w:vertAlign w:val="baseline"/>
                <w:lang w:val="en-US" w:eastAsia="zh-CN"/>
              </w:rPr>
              <w:t>12</w:t>
            </w:r>
            <w:r>
              <w:rPr>
                <w:rFonts w:hint="default" w:ascii="Times New Roman" w:hAnsi="Times New Roman" w:eastAsia="宋体" w:cs="Times New Roman"/>
                <w:color w:val="auto"/>
                <w:sz w:val="21"/>
                <w:szCs w:val="21"/>
                <w:vertAlign w:val="baseline"/>
                <w:lang w:val="en-US" w:eastAsia="zh-CN"/>
              </w:rPr>
              <w:t>条</w:t>
            </w:r>
            <w:r>
              <w:rPr>
                <w:rFonts w:hint="default" w:ascii="Times New Roman" w:hAnsi="Times New Roman" w:eastAsia="宋体" w:cs="Times New Roman"/>
                <w:color w:val="auto"/>
                <w:sz w:val="21"/>
                <w:lang w:eastAsia="zh-CN"/>
              </w:rPr>
              <w:t>。</w:t>
            </w:r>
          </w:p>
        </w:tc>
        <w:tc>
          <w:tcPr>
            <w:tcW w:w="836" w:type="dxa"/>
            <w:vMerge w:val="continue"/>
            <w:tcBorders>
              <w:left w:val="single" w:color="auto" w:sz="4" w:space="0"/>
              <w:right w:val="single" w:color="auto" w:sz="4" w:space="0"/>
            </w:tcBorders>
            <w:vAlign w:val="center"/>
          </w:tcPr>
          <w:p w14:paraId="72101558">
            <w:pPr>
              <w:autoSpaceDE w:val="0"/>
              <w:autoSpaceDN w:val="0"/>
              <w:adjustRightInd w:val="0"/>
              <w:snapToGrid w:val="0"/>
              <w:spacing w:line="240" w:lineRule="auto"/>
              <w:jc w:val="center"/>
              <w:rPr>
                <w:rFonts w:hint="default" w:ascii="Times New Roman" w:hAnsi="Times New Roman" w:eastAsia="宋体" w:cs="Times New Roman"/>
                <w:color w:val="auto"/>
                <w:sz w:val="21"/>
              </w:rPr>
            </w:pPr>
          </w:p>
        </w:tc>
      </w:tr>
      <w:tr w14:paraId="5D36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73" w:type="dxa"/>
            <w:vMerge w:val="continue"/>
            <w:tcBorders>
              <w:left w:val="single" w:color="auto" w:sz="4" w:space="0"/>
              <w:right w:val="single" w:color="auto" w:sz="4" w:space="0"/>
            </w:tcBorders>
            <w:vAlign w:val="center"/>
          </w:tcPr>
          <w:p w14:paraId="6DF8BA9C">
            <w:pPr>
              <w:widowControl/>
              <w:spacing w:line="240" w:lineRule="auto"/>
              <w:jc w:val="left"/>
              <w:rPr>
                <w:rFonts w:hint="default" w:ascii="Times New Roman" w:hAnsi="Times New Roman" w:eastAsia="宋体" w:cs="Times New Roman"/>
                <w:b/>
                <w:bCs/>
                <w:color w:val="auto"/>
                <w:sz w:val="21"/>
              </w:rPr>
            </w:pPr>
          </w:p>
        </w:tc>
        <w:tc>
          <w:tcPr>
            <w:tcW w:w="428" w:type="dxa"/>
            <w:vMerge w:val="continue"/>
            <w:tcBorders>
              <w:left w:val="single" w:color="auto" w:sz="4" w:space="0"/>
              <w:right w:val="single" w:color="auto" w:sz="4" w:space="0"/>
            </w:tcBorders>
            <w:vAlign w:val="center"/>
          </w:tcPr>
          <w:p w14:paraId="28584004">
            <w:pPr>
              <w:widowControl/>
              <w:spacing w:line="240" w:lineRule="auto"/>
              <w:jc w:val="left"/>
              <w:rPr>
                <w:rFonts w:hint="default" w:ascii="Times New Roman" w:hAnsi="Times New Roman" w:eastAsia="宋体" w:cs="Times New Roman"/>
                <w:color w:val="auto"/>
                <w:sz w:val="21"/>
              </w:rPr>
            </w:pPr>
          </w:p>
        </w:tc>
        <w:tc>
          <w:tcPr>
            <w:tcW w:w="1285" w:type="dxa"/>
            <w:gridSpan w:val="2"/>
            <w:tcBorders>
              <w:top w:val="single" w:color="auto" w:sz="4" w:space="0"/>
              <w:left w:val="single" w:color="auto" w:sz="4" w:space="0"/>
              <w:bottom w:val="single" w:color="auto" w:sz="4" w:space="0"/>
              <w:right w:val="single" w:color="auto" w:sz="4" w:space="0"/>
            </w:tcBorders>
            <w:vAlign w:val="center"/>
          </w:tcPr>
          <w:p w14:paraId="31F42D5A">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整烫包装车间</w:t>
            </w:r>
          </w:p>
        </w:tc>
        <w:tc>
          <w:tcPr>
            <w:tcW w:w="5300" w:type="dxa"/>
            <w:tcBorders>
              <w:top w:val="single" w:color="auto" w:sz="4" w:space="0"/>
              <w:left w:val="single" w:color="auto" w:sz="4" w:space="0"/>
              <w:bottom w:val="single" w:color="auto" w:sz="4" w:space="0"/>
              <w:right w:val="single" w:color="auto" w:sz="4" w:space="0"/>
            </w:tcBorders>
            <w:vAlign w:val="center"/>
          </w:tcPr>
          <w:p w14:paraId="525DB42F">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lang w:eastAsia="zh-CN"/>
              </w:rPr>
              <w:t>位于项目厂区东部，</w:t>
            </w:r>
            <w:r>
              <w:rPr>
                <w:rFonts w:hint="default" w:ascii="Times New Roman" w:hAnsi="Times New Roman" w:eastAsia="宋体" w:cs="Times New Roman"/>
                <w:color w:val="auto"/>
                <w:sz w:val="21"/>
                <w:szCs w:val="21"/>
              </w:rPr>
              <w:t>为一层建筑，钢架结构</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lang w:eastAsia="zh-CN"/>
              </w:rPr>
              <w:t>占地面积</w:t>
            </w:r>
            <w:r>
              <w:rPr>
                <w:rFonts w:hint="eastAsia" w:ascii="Times New Roman" w:hAnsi="Times New Roman" w:cs="Times New Roman"/>
                <w:color w:val="auto"/>
                <w:sz w:val="21"/>
                <w:lang w:val="en-US" w:eastAsia="zh-CN"/>
              </w:rPr>
              <w:t>8</w:t>
            </w:r>
            <w:r>
              <w:rPr>
                <w:rFonts w:hint="default" w:ascii="Times New Roman" w:hAnsi="Times New Roman" w:eastAsia="宋体" w:cs="Times New Roman"/>
                <w:color w:val="auto"/>
                <w:sz w:val="21"/>
                <w:lang w:val="en-US" w:eastAsia="zh-CN"/>
              </w:rPr>
              <w:t>00m</w:t>
            </w:r>
            <w:r>
              <w:rPr>
                <w:rFonts w:hint="default" w:ascii="Times New Roman" w:hAnsi="Times New Roman" w:eastAsia="宋体" w:cs="Times New Roman"/>
                <w:color w:val="auto"/>
                <w:sz w:val="21"/>
                <w:vertAlign w:val="superscript"/>
                <w:lang w:val="en-US" w:eastAsia="zh-CN"/>
              </w:rPr>
              <w:t>2</w:t>
            </w:r>
            <w:r>
              <w:rPr>
                <w:rFonts w:hint="default" w:ascii="Times New Roman" w:hAnsi="Times New Roman" w:eastAsia="宋体" w:cs="Times New Roman"/>
                <w:color w:val="auto"/>
                <w:sz w:val="21"/>
                <w:lang w:val="en-US" w:eastAsia="zh-CN"/>
              </w:rPr>
              <w:t>，</w:t>
            </w:r>
            <w:r>
              <w:rPr>
                <w:rFonts w:hint="default" w:ascii="Times New Roman" w:hAnsi="Times New Roman" w:eastAsia="宋体" w:cs="Times New Roman"/>
                <w:color w:val="auto"/>
                <w:sz w:val="21"/>
                <w:lang w:eastAsia="zh-CN"/>
              </w:rPr>
              <w:t>用于</w:t>
            </w:r>
            <w:r>
              <w:rPr>
                <w:rFonts w:hint="eastAsia" w:ascii="Times New Roman" w:hAnsi="Times New Roman" w:cs="Times New Roman"/>
                <w:color w:val="auto"/>
                <w:sz w:val="21"/>
                <w:lang w:eastAsia="zh-CN"/>
              </w:rPr>
              <w:t>项目服装整烫及包装</w:t>
            </w:r>
            <w:r>
              <w:rPr>
                <w:rFonts w:hint="default" w:ascii="Times New Roman" w:hAnsi="Times New Roman" w:eastAsia="宋体" w:cs="Times New Roman"/>
                <w:color w:val="auto"/>
                <w:sz w:val="21"/>
              </w:rPr>
              <w:t>。</w:t>
            </w:r>
          </w:p>
        </w:tc>
        <w:tc>
          <w:tcPr>
            <w:tcW w:w="836" w:type="dxa"/>
            <w:vMerge w:val="continue"/>
            <w:tcBorders>
              <w:left w:val="single" w:color="auto" w:sz="4" w:space="0"/>
              <w:right w:val="single" w:color="auto" w:sz="4" w:space="0"/>
            </w:tcBorders>
            <w:vAlign w:val="center"/>
          </w:tcPr>
          <w:p w14:paraId="0C2BEEE7">
            <w:pPr>
              <w:widowControl/>
              <w:spacing w:line="240" w:lineRule="auto"/>
              <w:jc w:val="left"/>
              <w:rPr>
                <w:rFonts w:hint="default" w:ascii="Times New Roman" w:hAnsi="Times New Roman" w:eastAsia="宋体" w:cs="Times New Roman"/>
                <w:color w:val="auto"/>
                <w:sz w:val="21"/>
              </w:rPr>
            </w:pPr>
          </w:p>
        </w:tc>
      </w:tr>
      <w:tr w14:paraId="6E43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73" w:type="dxa"/>
            <w:vMerge w:val="continue"/>
            <w:tcBorders>
              <w:left w:val="single" w:color="auto" w:sz="4" w:space="0"/>
              <w:right w:val="single" w:color="auto" w:sz="4" w:space="0"/>
            </w:tcBorders>
            <w:vAlign w:val="center"/>
          </w:tcPr>
          <w:p w14:paraId="2845C3FA">
            <w:pPr>
              <w:widowControl/>
              <w:spacing w:line="240" w:lineRule="auto"/>
              <w:jc w:val="left"/>
              <w:rPr>
                <w:rFonts w:hint="default" w:ascii="Times New Roman" w:hAnsi="Times New Roman" w:eastAsia="宋体" w:cs="Times New Roman"/>
                <w:b/>
                <w:bCs/>
                <w:color w:val="auto"/>
                <w:sz w:val="21"/>
              </w:rPr>
            </w:pPr>
          </w:p>
        </w:tc>
        <w:tc>
          <w:tcPr>
            <w:tcW w:w="428" w:type="dxa"/>
            <w:vMerge w:val="continue"/>
            <w:tcBorders>
              <w:left w:val="single" w:color="auto" w:sz="4" w:space="0"/>
              <w:right w:val="single" w:color="auto" w:sz="4" w:space="0"/>
            </w:tcBorders>
            <w:vAlign w:val="center"/>
          </w:tcPr>
          <w:p w14:paraId="573F1ADF">
            <w:pPr>
              <w:widowControl/>
              <w:spacing w:line="240" w:lineRule="auto"/>
              <w:jc w:val="left"/>
              <w:rPr>
                <w:rFonts w:hint="default" w:ascii="Times New Roman" w:hAnsi="Times New Roman" w:eastAsia="宋体" w:cs="Times New Roman"/>
                <w:color w:val="auto"/>
                <w:sz w:val="21"/>
              </w:rPr>
            </w:pPr>
          </w:p>
        </w:tc>
        <w:tc>
          <w:tcPr>
            <w:tcW w:w="1285" w:type="dxa"/>
            <w:gridSpan w:val="2"/>
            <w:tcBorders>
              <w:top w:val="single" w:color="auto" w:sz="4" w:space="0"/>
              <w:left w:val="single" w:color="auto" w:sz="4" w:space="0"/>
              <w:bottom w:val="single" w:color="auto" w:sz="4" w:space="0"/>
              <w:right w:val="single" w:color="auto" w:sz="4" w:space="0"/>
            </w:tcBorders>
            <w:vAlign w:val="center"/>
          </w:tcPr>
          <w:p w14:paraId="6D617917">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成品仓库</w:t>
            </w:r>
          </w:p>
        </w:tc>
        <w:tc>
          <w:tcPr>
            <w:tcW w:w="5300" w:type="dxa"/>
            <w:tcBorders>
              <w:top w:val="single" w:color="auto" w:sz="4" w:space="0"/>
              <w:left w:val="single" w:color="auto" w:sz="4" w:space="0"/>
              <w:bottom w:val="single" w:color="auto" w:sz="4" w:space="0"/>
              <w:right w:val="single" w:color="auto" w:sz="4" w:space="0"/>
            </w:tcBorders>
            <w:vAlign w:val="center"/>
          </w:tcPr>
          <w:p w14:paraId="494C03B3">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eastAsia="zh-CN"/>
              </w:rPr>
              <w:t>位于项目</w:t>
            </w:r>
            <w:r>
              <w:rPr>
                <w:rFonts w:hint="eastAsia" w:ascii="Times New Roman" w:hAnsi="Times New Roman" w:cs="Times New Roman"/>
                <w:color w:val="auto"/>
                <w:sz w:val="21"/>
                <w:szCs w:val="21"/>
                <w:lang w:eastAsia="zh-CN"/>
              </w:rPr>
              <w:t>整烫包装车间西</w:t>
            </w:r>
            <w:r>
              <w:rPr>
                <w:rFonts w:hint="default" w:ascii="Times New Roman" w:hAnsi="Times New Roman" w:eastAsia="宋体" w:cs="Times New Roman"/>
                <w:color w:val="auto"/>
                <w:sz w:val="21"/>
                <w:lang w:eastAsia="zh-CN"/>
              </w:rPr>
              <w:t>部，</w:t>
            </w:r>
            <w:r>
              <w:rPr>
                <w:rFonts w:hint="default" w:ascii="Times New Roman" w:hAnsi="Times New Roman" w:eastAsia="宋体" w:cs="Times New Roman"/>
                <w:color w:val="auto"/>
                <w:sz w:val="21"/>
                <w:szCs w:val="21"/>
              </w:rPr>
              <w:t>为一层建筑，钢架结构</w:t>
            </w:r>
            <w:r>
              <w:rPr>
                <w:rFonts w:hint="eastAsia" w:ascii="Times New Roman" w:hAnsi="Times New Roman" w:cs="Times New Roman"/>
                <w:color w:val="auto"/>
                <w:sz w:val="21"/>
                <w:lang w:eastAsia="zh-CN"/>
              </w:rPr>
              <w:t>，占地面积</w:t>
            </w:r>
            <w:r>
              <w:rPr>
                <w:rFonts w:hint="eastAsia" w:ascii="Times New Roman" w:hAnsi="Times New Roman" w:cs="Times New Roman"/>
                <w:color w:val="auto"/>
                <w:sz w:val="21"/>
                <w:lang w:val="en-US" w:eastAsia="zh-CN"/>
              </w:rPr>
              <w:t>500m</w:t>
            </w:r>
            <w:r>
              <w:rPr>
                <w:rFonts w:hint="eastAsia" w:ascii="Times New Roman" w:hAnsi="Times New Roman" w:cs="Times New Roman"/>
                <w:color w:val="auto"/>
                <w:sz w:val="21"/>
                <w:vertAlign w:val="superscript"/>
                <w:lang w:val="en-US" w:eastAsia="zh-CN"/>
              </w:rPr>
              <w:t>2</w:t>
            </w:r>
            <w:r>
              <w:rPr>
                <w:rFonts w:hint="eastAsia" w:ascii="Times New Roman" w:hAnsi="Times New Roman" w:cs="Times New Roman"/>
                <w:color w:val="auto"/>
                <w:sz w:val="21"/>
                <w:lang w:val="en-US" w:eastAsia="zh-CN"/>
              </w:rPr>
              <w:t>，用于堆放成品</w:t>
            </w:r>
          </w:p>
        </w:tc>
        <w:tc>
          <w:tcPr>
            <w:tcW w:w="836" w:type="dxa"/>
            <w:vMerge w:val="continue"/>
            <w:tcBorders>
              <w:left w:val="single" w:color="auto" w:sz="4" w:space="0"/>
              <w:right w:val="single" w:color="auto" w:sz="4" w:space="0"/>
            </w:tcBorders>
            <w:vAlign w:val="center"/>
          </w:tcPr>
          <w:p w14:paraId="4524E004">
            <w:pPr>
              <w:widowControl/>
              <w:spacing w:line="240" w:lineRule="auto"/>
              <w:jc w:val="left"/>
              <w:rPr>
                <w:rFonts w:hint="default" w:ascii="Times New Roman" w:hAnsi="Times New Roman" w:eastAsia="宋体" w:cs="Times New Roman"/>
                <w:color w:val="auto"/>
                <w:sz w:val="21"/>
              </w:rPr>
            </w:pPr>
          </w:p>
        </w:tc>
      </w:tr>
      <w:tr w14:paraId="3968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73" w:type="dxa"/>
            <w:vMerge w:val="continue"/>
            <w:tcBorders>
              <w:left w:val="single" w:color="auto" w:sz="4" w:space="0"/>
              <w:right w:val="single" w:color="auto" w:sz="4" w:space="0"/>
            </w:tcBorders>
            <w:vAlign w:val="center"/>
          </w:tcPr>
          <w:p w14:paraId="4F12F930">
            <w:pPr>
              <w:widowControl/>
              <w:spacing w:line="240" w:lineRule="auto"/>
              <w:jc w:val="left"/>
              <w:rPr>
                <w:rFonts w:hint="default" w:ascii="Times New Roman" w:hAnsi="Times New Roman" w:eastAsia="宋体" w:cs="Times New Roman"/>
                <w:b/>
                <w:bCs/>
                <w:color w:val="auto"/>
                <w:sz w:val="21"/>
              </w:rPr>
            </w:pPr>
          </w:p>
        </w:tc>
        <w:tc>
          <w:tcPr>
            <w:tcW w:w="428" w:type="dxa"/>
            <w:vMerge w:val="continue"/>
            <w:tcBorders>
              <w:left w:val="single" w:color="auto" w:sz="4" w:space="0"/>
              <w:right w:val="single" w:color="auto" w:sz="4" w:space="0"/>
            </w:tcBorders>
            <w:vAlign w:val="center"/>
          </w:tcPr>
          <w:p w14:paraId="668EC46B">
            <w:pPr>
              <w:widowControl/>
              <w:spacing w:line="240" w:lineRule="auto"/>
              <w:jc w:val="left"/>
              <w:rPr>
                <w:rFonts w:hint="default" w:ascii="Times New Roman" w:hAnsi="Times New Roman" w:eastAsia="宋体" w:cs="Times New Roman"/>
                <w:color w:val="auto"/>
                <w:sz w:val="21"/>
              </w:rPr>
            </w:pPr>
          </w:p>
        </w:tc>
        <w:tc>
          <w:tcPr>
            <w:tcW w:w="1285" w:type="dxa"/>
            <w:gridSpan w:val="2"/>
            <w:tcBorders>
              <w:top w:val="single" w:color="auto" w:sz="4" w:space="0"/>
              <w:left w:val="single" w:color="auto" w:sz="4" w:space="0"/>
              <w:bottom w:val="single" w:color="auto" w:sz="4" w:space="0"/>
              <w:right w:val="single" w:color="auto" w:sz="4" w:space="0"/>
            </w:tcBorders>
            <w:vAlign w:val="center"/>
          </w:tcPr>
          <w:p w14:paraId="6D814094">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原料仓库</w:t>
            </w:r>
          </w:p>
        </w:tc>
        <w:tc>
          <w:tcPr>
            <w:tcW w:w="5300" w:type="dxa"/>
            <w:tcBorders>
              <w:top w:val="single" w:color="auto" w:sz="4" w:space="0"/>
              <w:left w:val="single" w:color="auto" w:sz="4" w:space="0"/>
              <w:bottom w:val="single" w:color="auto" w:sz="4" w:space="0"/>
              <w:right w:val="single" w:color="auto" w:sz="4" w:space="0"/>
            </w:tcBorders>
            <w:vAlign w:val="center"/>
          </w:tcPr>
          <w:p w14:paraId="50F8C323">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lang w:eastAsia="zh-CN"/>
              </w:rPr>
              <w:t>位于项目</w:t>
            </w:r>
            <w:r>
              <w:rPr>
                <w:rFonts w:hint="eastAsia" w:ascii="Times New Roman" w:hAnsi="Times New Roman" w:cs="Times New Roman"/>
                <w:color w:val="auto"/>
                <w:sz w:val="21"/>
                <w:lang w:eastAsia="zh-CN"/>
              </w:rPr>
              <w:t>裁剪区东部</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szCs w:val="21"/>
              </w:rPr>
              <w:t>为一层建筑，钢架结构，</w:t>
            </w:r>
            <w:r>
              <w:rPr>
                <w:rFonts w:hint="default" w:ascii="Times New Roman" w:hAnsi="Times New Roman" w:eastAsia="宋体" w:cs="Times New Roman"/>
                <w:color w:val="auto"/>
                <w:sz w:val="21"/>
                <w:lang w:eastAsia="zh-CN"/>
              </w:rPr>
              <w:t>占地面积</w:t>
            </w:r>
            <w:r>
              <w:rPr>
                <w:rFonts w:hint="eastAsia" w:ascii="Times New Roman" w:hAnsi="Times New Roman" w:cs="Times New Roman"/>
                <w:color w:val="auto"/>
                <w:sz w:val="21"/>
                <w:lang w:val="en-US" w:eastAsia="zh-CN"/>
              </w:rPr>
              <w:t>570</w:t>
            </w:r>
            <w:r>
              <w:rPr>
                <w:rFonts w:hint="default" w:ascii="Times New Roman" w:hAnsi="Times New Roman" w:eastAsia="宋体" w:cs="Times New Roman"/>
                <w:color w:val="auto"/>
                <w:sz w:val="21"/>
                <w:lang w:val="en-US" w:eastAsia="zh-CN"/>
              </w:rPr>
              <w:t>m</w:t>
            </w:r>
            <w:r>
              <w:rPr>
                <w:rFonts w:hint="eastAsia" w:ascii="Times New Roman" w:hAnsi="Times New Roman" w:cs="Times New Roman"/>
                <w:color w:val="auto"/>
                <w:sz w:val="21"/>
                <w:vertAlign w:val="superscript"/>
                <w:lang w:val="en-US" w:eastAsia="zh-CN"/>
              </w:rPr>
              <w:t>2</w:t>
            </w:r>
            <w:r>
              <w:rPr>
                <w:rFonts w:hint="eastAsia" w:ascii="Times New Roman" w:hAnsi="Times New Roman" w:cs="Times New Roman"/>
                <w:color w:val="auto"/>
                <w:sz w:val="21"/>
                <w:lang w:val="en-US" w:eastAsia="zh-CN"/>
              </w:rPr>
              <w:t>，</w:t>
            </w:r>
            <w:r>
              <w:rPr>
                <w:rFonts w:hint="default" w:ascii="Times New Roman" w:hAnsi="Times New Roman" w:eastAsia="宋体" w:cs="Times New Roman"/>
                <w:color w:val="auto"/>
                <w:sz w:val="21"/>
                <w:lang w:eastAsia="zh-CN"/>
              </w:rPr>
              <w:t>用于存放项目</w:t>
            </w:r>
            <w:r>
              <w:rPr>
                <w:rFonts w:hint="eastAsia" w:ascii="Times New Roman" w:hAnsi="Times New Roman" w:cs="Times New Roman"/>
                <w:color w:val="auto"/>
                <w:sz w:val="21"/>
                <w:lang w:eastAsia="zh-CN"/>
              </w:rPr>
              <w:t>所需原料</w:t>
            </w:r>
            <w:r>
              <w:rPr>
                <w:rFonts w:hint="default" w:ascii="Times New Roman" w:hAnsi="Times New Roman" w:eastAsia="宋体" w:cs="Times New Roman"/>
                <w:color w:val="auto"/>
                <w:sz w:val="21"/>
              </w:rPr>
              <w:t>。</w:t>
            </w:r>
          </w:p>
        </w:tc>
        <w:tc>
          <w:tcPr>
            <w:tcW w:w="836" w:type="dxa"/>
            <w:vMerge w:val="continue"/>
            <w:tcBorders>
              <w:left w:val="single" w:color="auto" w:sz="4" w:space="0"/>
              <w:right w:val="single" w:color="auto" w:sz="4" w:space="0"/>
            </w:tcBorders>
            <w:vAlign w:val="center"/>
          </w:tcPr>
          <w:p w14:paraId="1696E063">
            <w:pPr>
              <w:widowControl/>
              <w:spacing w:line="240" w:lineRule="auto"/>
              <w:jc w:val="left"/>
              <w:rPr>
                <w:rFonts w:hint="default" w:ascii="Times New Roman" w:hAnsi="Times New Roman" w:eastAsia="宋体" w:cs="Times New Roman"/>
                <w:color w:val="auto"/>
                <w:sz w:val="21"/>
              </w:rPr>
            </w:pPr>
          </w:p>
        </w:tc>
      </w:tr>
      <w:tr w14:paraId="39E6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673" w:type="dxa"/>
            <w:vMerge w:val="continue"/>
            <w:tcBorders>
              <w:left w:val="single" w:color="auto" w:sz="4" w:space="0"/>
              <w:right w:val="single" w:color="auto" w:sz="4" w:space="0"/>
            </w:tcBorders>
            <w:vAlign w:val="center"/>
          </w:tcPr>
          <w:p w14:paraId="6B5F2084">
            <w:pPr>
              <w:widowControl/>
              <w:spacing w:line="240" w:lineRule="auto"/>
              <w:jc w:val="left"/>
              <w:rPr>
                <w:rFonts w:hint="default" w:ascii="Times New Roman" w:hAnsi="Times New Roman" w:eastAsia="宋体" w:cs="Times New Roman"/>
                <w:b/>
                <w:bCs/>
                <w:color w:val="auto"/>
                <w:sz w:val="21"/>
              </w:rPr>
            </w:pPr>
          </w:p>
        </w:tc>
        <w:tc>
          <w:tcPr>
            <w:tcW w:w="428" w:type="dxa"/>
            <w:vMerge w:val="continue"/>
            <w:tcBorders>
              <w:left w:val="single" w:color="auto" w:sz="4" w:space="0"/>
              <w:right w:val="single" w:color="auto" w:sz="4" w:space="0"/>
            </w:tcBorders>
            <w:vAlign w:val="center"/>
          </w:tcPr>
          <w:p w14:paraId="69B70950">
            <w:pPr>
              <w:widowControl/>
              <w:spacing w:line="240" w:lineRule="auto"/>
              <w:jc w:val="left"/>
              <w:rPr>
                <w:rFonts w:hint="default" w:ascii="Times New Roman" w:hAnsi="Times New Roman" w:eastAsia="宋体" w:cs="Times New Roman"/>
                <w:color w:val="auto"/>
                <w:sz w:val="21"/>
              </w:rPr>
            </w:pPr>
          </w:p>
        </w:tc>
        <w:tc>
          <w:tcPr>
            <w:tcW w:w="1285" w:type="dxa"/>
            <w:gridSpan w:val="2"/>
            <w:tcBorders>
              <w:top w:val="single" w:color="auto" w:sz="4" w:space="0"/>
              <w:left w:val="single" w:color="auto" w:sz="4" w:space="0"/>
              <w:bottom w:val="single" w:color="auto" w:sz="4" w:space="0"/>
              <w:right w:val="single" w:color="auto" w:sz="4" w:space="0"/>
            </w:tcBorders>
            <w:vAlign w:val="center"/>
          </w:tcPr>
          <w:p w14:paraId="18498461">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机修车间</w:t>
            </w:r>
          </w:p>
        </w:tc>
        <w:tc>
          <w:tcPr>
            <w:tcW w:w="5300" w:type="dxa"/>
            <w:tcBorders>
              <w:top w:val="single" w:color="auto" w:sz="4" w:space="0"/>
              <w:left w:val="single" w:color="auto" w:sz="4" w:space="0"/>
              <w:bottom w:val="single" w:color="auto" w:sz="4" w:space="0"/>
              <w:right w:val="single" w:color="auto" w:sz="4" w:space="0"/>
            </w:tcBorders>
            <w:vAlign w:val="center"/>
          </w:tcPr>
          <w:p w14:paraId="36D4E657">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位于项目</w:t>
            </w:r>
            <w:r>
              <w:rPr>
                <w:rFonts w:hint="eastAsia" w:ascii="Times New Roman" w:hAnsi="Times New Roman" w:cs="Times New Roman"/>
                <w:color w:val="auto"/>
                <w:sz w:val="21"/>
                <w:lang w:eastAsia="zh-CN"/>
              </w:rPr>
              <w:t>原料仓库南部</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szCs w:val="21"/>
              </w:rPr>
              <w:t>为一层建筑，钢架结构，</w:t>
            </w:r>
            <w:r>
              <w:rPr>
                <w:rFonts w:hint="default" w:ascii="Times New Roman" w:hAnsi="Times New Roman" w:eastAsia="宋体" w:cs="Times New Roman"/>
                <w:color w:val="auto"/>
                <w:sz w:val="21"/>
                <w:lang w:eastAsia="zh-CN"/>
              </w:rPr>
              <w:t>占地面积</w:t>
            </w:r>
            <w:r>
              <w:rPr>
                <w:rFonts w:hint="eastAsia" w:ascii="Times New Roman" w:hAnsi="Times New Roman" w:cs="Times New Roman"/>
                <w:color w:val="auto"/>
                <w:sz w:val="21"/>
                <w:lang w:val="en-US" w:eastAsia="zh-CN"/>
              </w:rPr>
              <w:t>50</w:t>
            </w:r>
            <w:r>
              <w:rPr>
                <w:rFonts w:hint="default" w:ascii="Times New Roman" w:hAnsi="Times New Roman" w:eastAsia="宋体" w:cs="Times New Roman"/>
                <w:color w:val="auto"/>
                <w:sz w:val="21"/>
                <w:lang w:val="en-US" w:eastAsia="zh-CN"/>
              </w:rPr>
              <w:t>m</w:t>
            </w:r>
            <w:r>
              <w:rPr>
                <w:rFonts w:hint="eastAsia" w:ascii="Times New Roman" w:hAnsi="Times New Roman" w:cs="Times New Roman"/>
                <w:color w:val="auto"/>
                <w:sz w:val="21"/>
                <w:vertAlign w:val="superscript"/>
                <w:lang w:val="en-US" w:eastAsia="zh-CN"/>
              </w:rPr>
              <w:t>2</w:t>
            </w:r>
            <w:r>
              <w:rPr>
                <w:rFonts w:hint="eastAsia" w:ascii="Times New Roman" w:hAnsi="Times New Roman" w:cs="Times New Roman"/>
                <w:color w:val="auto"/>
                <w:sz w:val="21"/>
                <w:lang w:val="en-US" w:eastAsia="zh-CN"/>
              </w:rPr>
              <w:t>，</w:t>
            </w:r>
            <w:r>
              <w:rPr>
                <w:rFonts w:hint="default" w:ascii="Times New Roman" w:hAnsi="Times New Roman" w:eastAsia="宋体" w:cs="Times New Roman"/>
                <w:color w:val="auto"/>
                <w:sz w:val="21"/>
                <w:lang w:eastAsia="zh-CN"/>
              </w:rPr>
              <w:t>用于</w:t>
            </w:r>
            <w:r>
              <w:rPr>
                <w:rFonts w:hint="eastAsia" w:ascii="Times New Roman" w:hAnsi="Times New Roman" w:cs="Times New Roman"/>
                <w:color w:val="auto"/>
                <w:sz w:val="21"/>
                <w:lang w:eastAsia="zh-CN"/>
              </w:rPr>
              <w:t>项目内设备检修</w:t>
            </w:r>
            <w:r>
              <w:rPr>
                <w:rFonts w:hint="default" w:ascii="Times New Roman" w:hAnsi="Times New Roman" w:eastAsia="宋体" w:cs="Times New Roman"/>
                <w:color w:val="auto"/>
                <w:sz w:val="21"/>
              </w:rPr>
              <w:t>。</w:t>
            </w:r>
          </w:p>
        </w:tc>
        <w:tc>
          <w:tcPr>
            <w:tcW w:w="836" w:type="dxa"/>
            <w:vMerge w:val="continue"/>
            <w:tcBorders>
              <w:left w:val="single" w:color="auto" w:sz="4" w:space="0"/>
              <w:bottom w:val="single" w:color="auto" w:sz="4" w:space="0"/>
              <w:right w:val="single" w:color="auto" w:sz="4" w:space="0"/>
            </w:tcBorders>
            <w:vAlign w:val="center"/>
          </w:tcPr>
          <w:p w14:paraId="424C6FDD">
            <w:pPr>
              <w:widowControl/>
              <w:spacing w:line="240" w:lineRule="auto"/>
              <w:jc w:val="left"/>
              <w:rPr>
                <w:rFonts w:hint="default" w:ascii="Times New Roman" w:hAnsi="Times New Roman" w:eastAsia="宋体" w:cs="Times New Roman"/>
                <w:color w:val="auto"/>
                <w:sz w:val="21"/>
              </w:rPr>
            </w:pPr>
          </w:p>
        </w:tc>
      </w:tr>
      <w:tr w14:paraId="019D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73" w:type="dxa"/>
            <w:vMerge w:val="restart"/>
            <w:tcBorders>
              <w:top w:val="single" w:color="auto" w:sz="4" w:space="0"/>
              <w:left w:val="single" w:color="auto" w:sz="4" w:space="0"/>
              <w:right w:val="single" w:color="auto" w:sz="4" w:space="0"/>
            </w:tcBorders>
            <w:vAlign w:val="center"/>
          </w:tcPr>
          <w:p w14:paraId="12B23117">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辅助工程</w:t>
            </w: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61721831">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办公</w:t>
            </w:r>
            <w:r>
              <w:rPr>
                <w:rFonts w:hint="default" w:ascii="Times New Roman" w:hAnsi="Times New Roman" w:eastAsia="宋体" w:cs="Times New Roman"/>
                <w:color w:val="auto"/>
                <w:sz w:val="21"/>
                <w:lang w:eastAsia="zh-CN"/>
              </w:rPr>
              <w:t>楼</w:t>
            </w:r>
          </w:p>
        </w:tc>
        <w:tc>
          <w:tcPr>
            <w:tcW w:w="5300" w:type="dxa"/>
            <w:tcBorders>
              <w:top w:val="single" w:color="auto" w:sz="4" w:space="0"/>
              <w:left w:val="single" w:color="auto" w:sz="4" w:space="0"/>
              <w:bottom w:val="single" w:color="auto" w:sz="4" w:space="0"/>
              <w:right w:val="single" w:color="auto" w:sz="4" w:space="0"/>
            </w:tcBorders>
            <w:vAlign w:val="center"/>
          </w:tcPr>
          <w:p w14:paraId="5089DD5C">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位于项目厂区</w:t>
            </w:r>
            <w:r>
              <w:rPr>
                <w:rFonts w:hint="eastAsia" w:ascii="Times New Roman" w:hAnsi="Times New Roman" w:cs="Times New Roman"/>
                <w:color w:val="auto"/>
                <w:sz w:val="21"/>
                <w:lang w:eastAsia="zh-CN"/>
              </w:rPr>
              <w:t>北</w:t>
            </w:r>
            <w:r>
              <w:rPr>
                <w:rFonts w:hint="default" w:ascii="Times New Roman" w:hAnsi="Times New Roman" w:eastAsia="宋体" w:cs="Times New Roman"/>
                <w:color w:val="auto"/>
                <w:sz w:val="21"/>
                <w:lang w:eastAsia="zh-CN"/>
              </w:rPr>
              <w:t>侧，</w:t>
            </w:r>
            <w:r>
              <w:rPr>
                <w:rFonts w:hint="default" w:ascii="Times New Roman" w:hAnsi="Times New Roman" w:eastAsia="宋体" w:cs="Times New Roman"/>
                <w:color w:val="auto"/>
                <w:sz w:val="21"/>
              </w:rPr>
              <w:t>建筑面积为</w:t>
            </w:r>
            <w:r>
              <w:rPr>
                <w:rFonts w:hint="eastAsia" w:ascii="Times New Roman" w:hAnsi="Times New Roman" w:cs="Times New Roman"/>
                <w:color w:val="auto"/>
                <w:sz w:val="21"/>
                <w:lang w:val="en-US" w:eastAsia="zh-CN"/>
              </w:rPr>
              <w:t>200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rPr>
              <w:t>。</w:t>
            </w:r>
          </w:p>
        </w:tc>
        <w:tc>
          <w:tcPr>
            <w:tcW w:w="836" w:type="dxa"/>
            <w:tcBorders>
              <w:top w:val="single" w:color="auto" w:sz="4" w:space="0"/>
              <w:left w:val="single" w:color="auto" w:sz="4" w:space="0"/>
              <w:bottom w:val="single" w:color="auto" w:sz="4" w:space="0"/>
              <w:right w:val="single" w:color="auto" w:sz="4" w:space="0"/>
            </w:tcBorders>
            <w:vAlign w:val="center"/>
          </w:tcPr>
          <w:p w14:paraId="2CDAC487">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5BF9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73" w:type="dxa"/>
            <w:vMerge w:val="continue"/>
            <w:tcBorders>
              <w:left w:val="single" w:color="auto" w:sz="4" w:space="0"/>
              <w:right w:val="single" w:color="auto" w:sz="4" w:space="0"/>
            </w:tcBorders>
            <w:vAlign w:val="center"/>
          </w:tcPr>
          <w:p w14:paraId="2578ABE7">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297D4A06">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食堂</w:t>
            </w:r>
          </w:p>
        </w:tc>
        <w:tc>
          <w:tcPr>
            <w:tcW w:w="5300" w:type="dxa"/>
            <w:tcBorders>
              <w:top w:val="single" w:color="auto" w:sz="4" w:space="0"/>
              <w:left w:val="single" w:color="auto" w:sz="4" w:space="0"/>
              <w:bottom w:val="single" w:color="auto" w:sz="4" w:space="0"/>
              <w:right w:val="single" w:color="auto" w:sz="4" w:space="0"/>
            </w:tcBorders>
            <w:vAlign w:val="center"/>
          </w:tcPr>
          <w:p w14:paraId="744976AD">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位于项目厂区</w:t>
            </w:r>
            <w:r>
              <w:rPr>
                <w:rFonts w:hint="eastAsia" w:ascii="Times New Roman" w:hAnsi="Times New Roman" w:cs="Times New Roman"/>
                <w:color w:val="auto"/>
                <w:sz w:val="21"/>
                <w:lang w:eastAsia="zh-CN"/>
              </w:rPr>
              <w:t>北</w:t>
            </w:r>
            <w:r>
              <w:rPr>
                <w:rFonts w:hint="default" w:ascii="Times New Roman" w:hAnsi="Times New Roman" w:eastAsia="宋体" w:cs="Times New Roman"/>
                <w:color w:val="auto"/>
                <w:sz w:val="21"/>
                <w:lang w:eastAsia="zh-CN"/>
              </w:rPr>
              <w:t>侧，</w:t>
            </w:r>
            <w:r>
              <w:rPr>
                <w:rFonts w:hint="default" w:ascii="Times New Roman" w:hAnsi="Times New Roman" w:eastAsia="宋体" w:cs="Times New Roman"/>
                <w:color w:val="auto"/>
                <w:sz w:val="21"/>
              </w:rPr>
              <w:t>建筑面积为</w:t>
            </w:r>
            <w:r>
              <w:rPr>
                <w:rFonts w:hint="eastAsia" w:ascii="Times New Roman" w:hAnsi="Times New Roman" w:cs="Times New Roman"/>
                <w:color w:val="auto"/>
                <w:sz w:val="21"/>
                <w:lang w:val="en-US" w:eastAsia="zh-CN"/>
              </w:rPr>
              <w:t>800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p>
        </w:tc>
        <w:tc>
          <w:tcPr>
            <w:tcW w:w="836" w:type="dxa"/>
            <w:tcBorders>
              <w:top w:val="single" w:color="auto" w:sz="4" w:space="0"/>
              <w:left w:val="single" w:color="auto" w:sz="4" w:space="0"/>
              <w:bottom w:val="single" w:color="auto" w:sz="4" w:space="0"/>
              <w:right w:val="single" w:color="auto" w:sz="4" w:space="0"/>
            </w:tcBorders>
            <w:vAlign w:val="center"/>
          </w:tcPr>
          <w:p w14:paraId="7469BC8D">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51C0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73" w:type="dxa"/>
            <w:vMerge w:val="continue"/>
            <w:tcBorders>
              <w:left w:val="single" w:color="auto" w:sz="4" w:space="0"/>
              <w:bottom w:val="single" w:color="auto" w:sz="4" w:space="0"/>
              <w:right w:val="single" w:color="auto" w:sz="4" w:space="0"/>
            </w:tcBorders>
            <w:vAlign w:val="center"/>
          </w:tcPr>
          <w:p w14:paraId="4FC2CBD6">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3475CD47">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卫生间</w:t>
            </w:r>
          </w:p>
        </w:tc>
        <w:tc>
          <w:tcPr>
            <w:tcW w:w="5300" w:type="dxa"/>
            <w:tcBorders>
              <w:top w:val="single" w:color="auto" w:sz="4" w:space="0"/>
              <w:left w:val="single" w:color="auto" w:sz="4" w:space="0"/>
              <w:bottom w:val="single" w:color="auto" w:sz="4" w:space="0"/>
              <w:right w:val="single" w:color="auto" w:sz="4" w:space="0"/>
            </w:tcBorders>
            <w:vAlign w:val="center"/>
          </w:tcPr>
          <w:p w14:paraId="2D2D29D4">
            <w:pPr>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设置于</w:t>
            </w:r>
            <w:r>
              <w:rPr>
                <w:rFonts w:hint="eastAsia" w:ascii="Times New Roman" w:hAnsi="Times New Roman" w:cs="Times New Roman"/>
                <w:color w:val="auto"/>
                <w:sz w:val="21"/>
                <w:lang w:eastAsia="zh-CN"/>
              </w:rPr>
              <w:t>生产厂房内，位于就修车间东部</w:t>
            </w:r>
            <w:r>
              <w:rPr>
                <w:rFonts w:hint="default" w:ascii="Times New Roman" w:hAnsi="Times New Roman" w:eastAsia="宋体" w:cs="Times New Roman"/>
                <w:color w:val="auto"/>
                <w:sz w:val="21"/>
                <w:lang w:eastAsia="zh-CN"/>
              </w:rPr>
              <w:t>，</w:t>
            </w:r>
            <w:r>
              <w:rPr>
                <w:rFonts w:hint="eastAsia" w:ascii="Times New Roman" w:hAnsi="Times New Roman" w:cs="Times New Roman"/>
                <w:color w:val="auto"/>
                <w:sz w:val="21"/>
                <w:lang w:eastAsia="zh-CN"/>
              </w:rPr>
              <w:t>占地</w:t>
            </w:r>
            <w:r>
              <w:rPr>
                <w:rFonts w:hint="default" w:ascii="Times New Roman" w:hAnsi="Times New Roman" w:eastAsia="宋体" w:cs="Times New Roman"/>
                <w:color w:val="auto"/>
                <w:sz w:val="21"/>
              </w:rPr>
              <w:t>面积为</w:t>
            </w:r>
            <w:r>
              <w:rPr>
                <w:rFonts w:hint="eastAsia" w:ascii="Times New Roman" w:hAnsi="Times New Roman" w:cs="Times New Roman"/>
                <w:color w:val="auto"/>
                <w:sz w:val="21"/>
                <w:lang w:val="en-US" w:eastAsia="zh-CN"/>
              </w:rPr>
              <w:t>20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p>
        </w:tc>
        <w:tc>
          <w:tcPr>
            <w:tcW w:w="836" w:type="dxa"/>
            <w:tcBorders>
              <w:top w:val="single" w:color="auto" w:sz="4" w:space="0"/>
              <w:left w:val="single" w:color="auto" w:sz="4" w:space="0"/>
              <w:bottom w:val="single" w:color="auto" w:sz="4" w:space="0"/>
              <w:right w:val="single" w:color="auto" w:sz="4" w:space="0"/>
            </w:tcBorders>
            <w:vAlign w:val="center"/>
          </w:tcPr>
          <w:p w14:paraId="23CB95E8">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5787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restart"/>
            <w:tcBorders>
              <w:top w:val="single" w:color="auto" w:sz="4" w:space="0"/>
              <w:left w:val="single" w:color="auto" w:sz="4" w:space="0"/>
              <w:bottom w:val="single" w:color="auto" w:sz="4" w:space="0"/>
              <w:right w:val="single" w:color="auto" w:sz="4" w:space="0"/>
            </w:tcBorders>
            <w:vAlign w:val="center"/>
          </w:tcPr>
          <w:p w14:paraId="7510DADB">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公用工程</w:t>
            </w: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1E0D5865">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供水</w:t>
            </w:r>
          </w:p>
        </w:tc>
        <w:tc>
          <w:tcPr>
            <w:tcW w:w="5300" w:type="dxa"/>
            <w:tcBorders>
              <w:top w:val="single" w:color="auto" w:sz="4" w:space="0"/>
              <w:left w:val="single" w:color="auto" w:sz="4" w:space="0"/>
              <w:bottom w:val="single" w:color="auto" w:sz="4" w:space="0"/>
              <w:right w:val="single" w:color="auto" w:sz="4" w:space="0"/>
            </w:tcBorders>
            <w:vAlign w:val="center"/>
          </w:tcPr>
          <w:p w14:paraId="14C74605">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由工业园区供水管网供给。</w:t>
            </w:r>
          </w:p>
        </w:tc>
        <w:tc>
          <w:tcPr>
            <w:tcW w:w="836" w:type="dxa"/>
            <w:tcBorders>
              <w:top w:val="single" w:color="auto" w:sz="4" w:space="0"/>
              <w:left w:val="single" w:color="auto" w:sz="4" w:space="0"/>
              <w:bottom w:val="single" w:color="auto" w:sz="4" w:space="0"/>
              <w:right w:val="single" w:color="auto" w:sz="4" w:space="0"/>
            </w:tcBorders>
            <w:vAlign w:val="center"/>
          </w:tcPr>
          <w:p w14:paraId="6C3215AE">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2A4D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tcBorders>
              <w:top w:val="single" w:color="auto" w:sz="4" w:space="0"/>
              <w:left w:val="single" w:color="auto" w:sz="4" w:space="0"/>
              <w:bottom w:val="single" w:color="auto" w:sz="4" w:space="0"/>
              <w:right w:val="single" w:color="auto" w:sz="4" w:space="0"/>
            </w:tcBorders>
            <w:vAlign w:val="center"/>
          </w:tcPr>
          <w:p w14:paraId="65DC9457">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3EACDCE5">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排水</w:t>
            </w:r>
          </w:p>
        </w:tc>
        <w:tc>
          <w:tcPr>
            <w:tcW w:w="5300" w:type="dxa"/>
            <w:tcBorders>
              <w:top w:val="single" w:color="auto" w:sz="4" w:space="0"/>
              <w:left w:val="single" w:color="auto" w:sz="4" w:space="0"/>
              <w:bottom w:val="single" w:color="auto" w:sz="4" w:space="0"/>
              <w:right w:val="single" w:color="auto" w:sz="4" w:space="0"/>
            </w:tcBorders>
            <w:vAlign w:val="center"/>
          </w:tcPr>
          <w:p w14:paraId="2B91642F">
            <w:pPr>
              <w:adjustRightInd w:val="0"/>
              <w:snapToGrid w:val="0"/>
              <w:spacing w:line="240" w:lineRule="auto"/>
              <w:ind w:firstLine="42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 w:val="21"/>
              </w:rPr>
              <w:t>运营期</w:t>
            </w:r>
            <w:r>
              <w:rPr>
                <w:rFonts w:hint="eastAsia" w:ascii="Times New Roman" w:hAnsi="Times New Roman" w:cs="Times New Roman"/>
                <w:color w:val="auto"/>
                <w:sz w:val="21"/>
                <w:lang w:eastAsia="zh-CN"/>
              </w:rPr>
              <w:t>不产生生产废水</w:t>
            </w:r>
            <w:r>
              <w:rPr>
                <w:rFonts w:hint="default" w:ascii="Times New Roman" w:hAnsi="Times New Roman" w:eastAsia="宋体" w:cs="Times New Roman"/>
                <w:color w:val="auto"/>
                <w:sz w:val="21"/>
                <w:lang w:eastAsia="zh-CN"/>
              </w:rPr>
              <w:t>，生活污水经隔油池化粪池处理后排入园区污水管网</w:t>
            </w:r>
            <w:r>
              <w:rPr>
                <w:rFonts w:hint="default" w:ascii="Times New Roman" w:hAnsi="Times New Roman" w:eastAsia="宋体" w:cs="Times New Roman"/>
                <w:color w:val="auto"/>
                <w:sz w:val="21"/>
              </w:rPr>
              <w:t>，外排废水执行《污水综合排放标准》（GB8978-1996）中三级标准和《污水排入城镇下水道水质标准》（GB/T31962-2015）表1中B级标准</w:t>
            </w:r>
            <w:r>
              <w:rPr>
                <w:rFonts w:hint="default" w:ascii="Times New Roman" w:hAnsi="Times New Roman" w:eastAsia="宋体" w:cs="Times New Roman"/>
                <w:color w:val="auto"/>
                <w:sz w:val="21"/>
                <w:lang w:eastAsia="zh-CN"/>
              </w:rPr>
              <w:t>。</w:t>
            </w:r>
          </w:p>
        </w:tc>
        <w:tc>
          <w:tcPr>
            <w:tcW w:w="836" w:type="dxa"/>
            <w:tcBorders>
              <w:top w:val="single" w:color="auto" w:sz="4" w:space="0"/>
              <w:left w:val="single" w:color="auto" w:sz="4" w:space="0"/>
              <w:bottom w:val="single" w:color="auto" w:sz="4" w:space="0"/>
              <w:right w:val="single" w:color="auto" w:sz="4" w:space="0"/>
            </w:tcBorders>
            <w:vAlign w:val="center"/>
          </w:tcPr>
          <w:p w14:paraId="3E3DDC6B">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69B6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tcBorders>
              <w:top w:val="single" w:color="auto" w:sz="4" w:space="0"/>
              <w:left w:val="single" w:color="auto" w:sz="4" w:space="0"/>
              <w:bottom w:val="single" w:color="auto" w:sz="4" w:space="0"/>
              <w:right w:val="single" w:color="auto" w:sz="4" w:space="0"/>
            </w:tcBorders>
            <w:vAlign w:val="center"/>
          </w:tcPr>
          <w:p w14:paraId="72769A11">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545FA702">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供电</w:t>
            </w:r>
          </w:p>
        </w:tc>
        <w:tc>
          <w:tcPr>
            <w:tcW w:w="5300" w:type="dxa"/>
            <w:tcBorders>
              <w:top w:val="single" w:color="auto" w:sz="4" w:space="0"/>
              <w:left w:val="single" w:color="auto" w:sz="4" w:space="0"/>
              <w:bottom w:val="single" w:color="auto" w:sz="4" w:space="0"/>
              <w:right w:val="single" w:color="auto" w:sz="4" w:space="0"/>
            </w:tcBorders>
            <w:vAlign w:val="center"/>
          </w:tcPr>
          <w:p w14:paraId="253657EB">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由工业园区供电系统供给。</w:t>
            </w:r>
          </w:p>
        </w:tc>
        <w:tc>
          <w:tcPr>
            <w:tcW w:w="836" w:type="dxa"/>
            <w:tcBorders>
              <w:top w:val="single" w:color="auto" w:sz="4" w:space="0"/>
              <w:left w:val="single" w:color="auto" w:sz="4" w:space="0"/>
              <w:bottom w:val="single" w:color="auto" w:sz="4" w:space="0"/>
              <w:right w:val="single" w:color="auto" w:sz="4" w:space="0"/>
            </w:tcBorders>
            <w:vAlign w:val="center"/>
          </w:tcPr>
          <w:p w14:paraId="1B1FAB32">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2C5A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tcBorders>
              <w:top w:val="single" w:color="auto" w:sz="4" w:space="0"/>
              <w:left w:val="single" w:color="auto" w:sz="4" w:space="0"/>
              <w:bottom w:val="single" w:color="auto" w:sz="4" w:space="0"/>
              <w:right w:val="single" w:color="auto" w:sz="4" w:space="0"/>
            </w:tcBorders>
            <w:vAlign w:val="center"/>
          </w:tcPr>
          <w:p w14:paraId="42B1755C">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2AFB4DB9">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消防</w:t>
            </w:r>
          </w:p>
        </w:tc>
        <w:tc>
          <w:tcPr>
            <w:tcW w:w="5300" w:type="dxa"/>
            <w:tcBorders>
              <w:top w:val="single" w:color="auto" w:sz="4" w:space="0"/>
              <w:left w:val="single" w:color="auto" w:sz="4" w:space="0"/>
              <w:bottom w:val="single" w:color="auto" w:sz="4" w:space="0"/>
              <w:right w:val="single" w:color="auto" w:sz="4" w:space="0"/>
            </w:tcBorders>
            <w:vAlign w:val="center"/>
          </w:tcPr>
          <w:p w14:paraId="75E240A5">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各车间内配置灭火器。</w:t>
            </w:r>
          </w:p>
        </w:tc>
        <w:tc>
          <w:tcPr>
            <w:tcW w:w="836" w:type="dxa"/>
            <w:tcBorders>
              <w:top w:val="single" w:color="auto" w:sz="4" w:space="0"/>
              <w:left w:val="single" w:color="auto" w:sz="4" w:space="0"/>
              <w:bottom w:val="single" w:color="auto" w:sz="4" w:space="0"/>
              <w:right w:val="single" w:color="auto" w:sz="4" w:space="0"/>
            </w:tcBorders>
            <w:vAlign w:val="center"/>
          </w:tcPr>
          <w:p w14:paraId="07200B17">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sz w:val="21"/>
                <w:lang w:eastAsia="zh-CN"/>
              </w:rPr>
              <w:t>已</w:t>
            </w:r>
            <w:r>
              <w:rPr>
                <w:rFonts w:hint="default" w:ascii="Times New Roman" w:hAnsi="Times New Roman" w:eastAsia="宋体" w:cs="Times New Roman"/>
                <w:color w:val="auto"/>
                <w:sz w:val="21"/>
              </w:rPr>
              <w:t>建</w:t>
            </w:r>
          </w:p>
        </w:tc>
      </w:tr>
      <w:tr w14:paraId="7E97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3" w:type="dxa"/>
            <w:vMerge w:val="restart"/>
            <w:tcBorders>
              <w:top w:val="single" w:color="auto" w:sz="4" w:space="0"/>
              <w:left w:val="single" w:color="auto" w:sz="4" w:space="0"/>
              <w:right w:val="single" w:color="auto" w:sz="4" w:space="0"/>
            </w:tcBorders>
            <w:vAlign w:val="center"/>
          </w:tcPr>
          <w:p w14:paraId="5EA0EB8D">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环保工程</w:t>
            </w:r>
          </w:p>
        </w:tc>
        <w:tc>
          <w:tcPr>
            <w:tcW w:w="709" w:type="dxa"/>
            <w:gridSpan w:val="2"/>
            <w:vMerge w:val="restart"/>
            <w:tcBorders>
              <w:top w:val="single" w:color="auto" w:sz="4" w:space="0"/>
              <w:left w:val="single" w:color="auto" w:sz="4" w:space="0"/>
              <w:right w:val="single" w:color="auto" w:sz="4" w:space="0"/>
            </w:tcBorders>
            <w:vAlign w:val="center"/>
          </w:tcPr>
          <w:p w14:paraId="1C86A186">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废气治理</w:t>
            </w:r>
          </w:p>
        </w:tc>
        <w:tc>
          <w:tcPr>
            <w:tcW w:w="1004" w:type="dxa"/>
            <w:tcBorders>
              <w:top w:val="single" w:color="auto" w:sz="4" w:space="0"/>
              <w:left w:val="single" w:color="auto" w:sz="4" w:space="0"/>
              <w:bottom w:val="single" w:color="auto" w:sz="4" w:space="0"/>
              <w:right w:val="single" w:color="auto" w:sz="4" w:space="0"/>
            </w:tcBorders>
            <w:vAlign w:val="center"/>
          </w:tcPr>
          <w:p w14:paraId="75CA5962">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油烟</w:t>
            </w:r>
            <w:r>
              <w:rPr>
                <w:rFonts w:hint="default" w:ascii="Times New Roman" w:hAnsi="Times New Roman" w:eastAsia="宋体" w:cs="Times New Roman"/>
                <w:color w:val="auto"/>
                <w:sz w:val="21"/>
                <w:lang w:eastAsia="zh-CN"/>
              </w:rPr>
              <w:t>净化器</w:t>
            </w:r>
          </w:p>
        </w:tc>
        <w:tc>
          <w:tcPr>
            <w:tcW w:w="5300" w:type="dxa"/>
            <w:tcBorders>
              <w:top w:val="single" w:color="auto" w:sz="4" w:space="0"/>
              <w:left w:val="single" w:color="auto" w:sz="4" w:space="0"/>
              <w:bottom w:val="single" w:color="auto" w:sz="4" w:space="0"/>
              <w:right w:val="single" w:color="auto" w:sz="4" w:space="0"/>
            </w:tcBorders>
            <w:vAlign w:val="center"/>
          </w:tcPr>
          <w:p w14:paraId="62ADEE31">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项目食堂设置一台最低去除效率为</w:t>
            </w:r>
            <w:r>
              <w:rPr>
                <w:rFonts w:hint="eastAsia" w:ascii="Times New Roman" w:hAnsi="Times New Roman" w:cs="Times New Roman"/>
                <w:color w:val="auto"/>
                <w:sz w:val="21"/>
                <w:lang w:val="en-US" w:eastAsia="zh-CN"/>
              </w:rPr>
              <w:t>75</w:t>
            </w:r>
            <w:r>
              <w:rPr>
                <w:rFonts w:hint="default" w:ascii="Times New Roman" w:hAnsi="Times New Roman" w:eastAsia="宋体" w:cs="Times New Roman"/>
                <w:color w:val="auto"/>
                <w:sz w:val="21"/>
              </w:rPr>
              <w:t>%的油烟净化器，排气筒外置，高于楼顶1.5m。</w:t>
            </w:r>
          </w:p>
        </w:tc>
        <w:tc>
          <w:tcPr>
            <w:tcW w:w="836" w:type="dxa"/>
            <w:tcBorders>
              <w:top w:val="single" w:color="auto" w:sz="4" w:space="0"/>
              <w:left w:val="single" w:color="auto" w:sz="4" w:space="0"/>
              <w:bottom w:val="single" w:color="auto" w:sz="4" w:space="0"/>
              <w:right w:val="single" w:color="auto" w:sz="4" w:space="0"/>
            </w:tcBorders>
            <w:vAlign w:val="center"/>
          </w:tcPr>
          <w:p w14:paraId="7695FE99">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58A9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73" w:type="dxa"/>
            <w:vMerge w:val="continue"/>
            <w:tcBorders>
              <w:left w:val="single" w:color="auto" w:sz="4" w:space="0"/>
              <w:right w:val="single" w:color="auto" w:sz="4" w:space="0"/>
            </w:tcBorders>
            <w:vAlign w:val="center"/>
          </w:tcPr>
          <w:p w14:paraId="1C19EE4B">
            <w:pPr>
              <w:widowControl/>
              <w:spacing w:line="240" w:lineRule="auto"/>
              <w:jc w:val="left"/>
              <w:rPr>
                <w:rFonts w:hint="default" w:ascii="Times New Roman" w:hAnsi="Times New Roman" w:eastAsia="宋体" w:cs="Times New Roman"/>
                <w:color w:val="auto"/>
                <w:sz w:val="21"/>
              </w:rPr>
            </w:pPr>
          </w:p>
        </w:tc>
        <w:tc>
          <w:tcPr>
            <w:tcW w:w="709" w:type="dxa"/>
            <w:gridSpan w:val="2"/>
            <w:vMerge w:val="continue"/>
            <w:tcBorders>
              <w:left w:val="single" w:color="auto" w:sz="4" w:space="0"/>
              <w:right w:val="single" w:color="auto" w:sz="4" w:space="0"/>
            </w:tcBorders>
            <w:vAlign w:val="center"/>
          </w:tcPr>
          <w:p w14:paraId="655D970D">
            <w:pPr>
              <w:widowControl/>
              <w:spacing w:line="240" w:lineRule="auto"/>
              <w:jc w:val="left"/>
              <w:rPr>
                <w:rFonts w:hint="default" w:ascii="Times New Roman" w:hAnsi="Times New Roman" w:eastAsia="宋体" w:cs="Times New Roman"/>
                <w:color w:val="auto"/>
                <w:sz w:val="21"/>
              </w:rPr>
            </w:pPr>
          </w:p>
        </w:tc>
        <w:tc>
          <w:tcPr>
            <w:tcW w:w="1004" w:type="dxa"/>
            <w:tcBorders>
              <w:top w:val="single" w:color="auto" w:sz="4" w:space="0"/>
              <w:left w:val="single" w:color="auto" w:sz="4" w:space="0"/>
              <w:bottom w:val="single" w:color="auto" w:sz="4" w:space="0"/>
              <w:right w:val="single" w:color="auto" w:sz="4" w:space="0"/>
            </w:tcBorders>
            <w:vAlign w:val="center"/>
          </w:tcPr>
          <w:p w14:paraId="764E5693">
            <w:pPr>
              <w:autoSpaceDE w:val="0"/>
              <w:autoSpaceDN w:val="0"/>
              <w:adjustRightInd w:val="0"/>
              <w:snapToGrid w:val="0"/>
              <w:spacing w:line="240" w:lineRule="auto"/>
              <w:jc w:val="center"/>
              <w:rPr>
                <w:rFonts w:hint="default" w:ascii="Times New Roman" w:hAnsi="Times New Roman" w:eastAsia="宋体" w:cs="Times New Roman"/>
                <w:color w:val="auto"/>
                <w:sz w:val="21"/>
                <w:lang w:val="en-US"/>
              </w:rPr>
            </w:pPr>
            <w:r>
              <w:rPr>
                <w:rFonts w:hint="default" w:ascii="Times New Roman" w:hAnsi="Times New Roman" w:eastAsia="宋体" w:cs="Times New Roman"/>
                <w:color w:val="auto"/>
                <w:sz w:val="21"/>
                <w:lang w:eastAsia="zh-CN"/>
              </w:rPr>
              <w:t>废气处理设施</w:t>
            </w:r>
          </w:p>
        </w:tc>
        <w:tc>
          <w:tcPr>
            <w:tcW w:w="5300" w:type="dxa"/>
            <w:tcBorders>
              <w:top w:val="single" w:color="auto" w:sz="4" w:space="0"/>
              <w:left w:val="single" w:color="auto" w:sz="4" w:space="0"/>
              <w:bottom w:val="single" w:color="auto" w:sz="4" w:space="0"/>
              <w:right w:val="single" w:color="auto" w:sz="4" w:space="0"/>
            </w:tcBorders>
            <w:vAlign w:val="center"/>
          </w:tcPr>
          <w:p w14:paraId="6EE8AC58">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服装生产过程中产生</w:t>
            </w:r>
            <w:r>
              <w:rPr>
                <w:rFonts w:hint="default" w:ascii="Times New Roman" w:hAnsi="Times New Roman" w:eastAsia="宋体" w:cs="Times New Roman"/>
                <w:color w:val="auto"/>
                <w:sz w:val="21"/>
                <w:lang w:eastAsia="zh-CN"/>
              </w:rPr>
              <w:t>粉尘，生产车间内设置排风扇进行处置以后无组织排放</w:t>
            </w:r>
            <w:r>
              <w:rPr>
                <w:rFonts w:hint="default" w:ascii="Times New Roman" w:hAnsi="Times New Roman" w:eastAsia="宋体" w:cs="Times New Roman"/>
                <w:color w:val="auto"/>
                <w:kern w:val="0"/>
                <w:sz w:val="21"/>
                <w:lang w:eastAsia="zh-CN"/>
              </w:rPr>
              <w:t>。</w:t>
            </w:r>
          </w:p>
        </w:tc>
        <w:tc>
          <w:tcPr>
            <w:tcW w:w="836" w:type="dxa"/>
            <w:tcBorders>
              <w:top w:val="single" w:color="auto" w:sz="4" w:space="0"/>
              <w:left w:val="single" w:color="auto" w:sz="4" w:space="0"/>
              <w:bottom w:val="single" w:color="auto" w:sz="4" w:space="0"/>
              <w:right w:val="single" w:color="auto" w:sz="4" w:space="0"/>
            </w:tcBorders>
            <w:vAlign w:val="center"/>
          </w:tcPr>
          <w:p w14:paraId="7CD02E84">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0E83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73" w:type="dxa"/>
            <w:vMerge w:val="continue"/>
            <w:tcBorders>
              <w:left w:val="single" w:color="auto" w:sz="4" w:space="0"/>
              <w:right w:val="single" w:color="auto" w:sz="4" w:space="0"/>
            </w:tcBorders>
            <w:vAlign w:val="center"/>
          </w:tcPr>
          <w:p w14:paraId="0D179B7A">
            <w:pPr>
              <w:widowControl/>
              <w:spacing w:line="240" w:lineRule="auto"/>
              <w:jc w:val="left"/>
              <w:rPr>
                <w:rFonts w:hint="default" w:ascii="Times New Roman" w:hAnsi="Times New Roman" w:eastAsia="宋体" w:cs="Times New Roman"/>
                <w:color w:val="auto"/>
                <w:sz w:val="21"/>
              </w:rPr>
            </w:pPr>
          </w:p>
        </w:tc>
        <w:tc>
          <w:tcPr>
            <w:tcW w:w="709" w:type="dxa"/>
            <w:gridSpan w:val="2"/>
            <w:vMerge w:val="restart"/>
            <w:tcBorders>
              <w:top w:val="single" w:color="auto" w:sz="4" w:space="0"/>
              <w:left w:val="single" w:color="auto" w:sz="4" w:space="0"/>
              <w:right w:val="single" w:color="auto" w:sz="4" w:space="0"/>
            </w:tcBorders>
            <w:vAlign w:val="center"/>
          </w:tcPr>
          <w:p w14:paraId="398487C9">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废水处理</w:t>
            </w:r>
          </w:p>
        </w:tc>
        <w:tc>
          <w:tcPr>
            <w:tcW w:w="1004" w:type="dxa"/>
            <w:tcBorders>
              <w:top w:val="single" w:color="auto" w:sz="4" w:space="0"/>
              <w:left w:val="single" w:color="auto" w:sz="4" w:space="0"/>
              <w:bottom w:val="single" w:color="auto" w:sz="4" w:space="0"/>
              <w:right w:val="single" w:color="auto" w:sz="4" w:space="0"/>
            </w:tcBorders>
            <w:vAlign w:val="center"/>
          </w:tcPr>
          <w:p w14:paraId="6B9BFD98">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化粪池</w:t>
            </w:r>
          </w:p>
        </w:tc>
        <w:tc>
          <w:tcPr>
            <w:tcW w:w="5300" w:type="dxa"/>
            <w:tcBorders>
              <w:top w:val="single" w:color="auto" w:sz="4" w:space="0"/>
              <w:left w:val="single" w:color="auto" w:sz="4" w:space="0"/>
              <w:bottom w:val="single" w:color="auto" w:sz="4" w:space="0"/>
              <w:right w:val="single" w:color="auto" w:sz="4" w:space="0"/>
            </w:tcBorders>
            <w:vAlign w:val="center"/>
          </w:tcPr>
          <w:p w14:paraId="317B1624">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highlight w:val="none"/>
                <w:lang w:eastAsia="zh-CN"/>
              </w:rPr>
              <w:t>设置于项目区</w:t>
            </w:r>
            <w:r>
              <w:rPr>
                <w:rFonts w:hint="eastAsia" w:ascii="Times New Roman" w:hAnsi="Times New Roman" w:cs="Times New Roman"/>
                <w:color w:val="auto"/>
                <w:sz w:val="21"/>
                <w:highlight w:val="none"/>
                <w:lang w:eastAsia="zh-CN"/>
              </w:rPr>
              <w:t>卫生间</w:t>
            </w:r>
            <w:r>
              <w:rPr>
                <w:rFonts w:hint="default" w:ascii="Times New Roman" w:hAnsi="Times New Roman" w:eastAsia="宋体" w:cs="Times New Roman"/>
                <w:color w:val="auto"/>
                <w:sz w:val="21"/>
                <w:highlight w:val="none"/>
                <w:lang w:eastAsia="zh-CN"/>
              </w:rPr>
              <w:t>南侧，</w:t>
            </w:r>
            <w:r>
              <w:rPr>
                <w:rFonts w:hint="default" w:ascii="Times New Roman" w:hAnsi="Times New Roman" w:eastAsia="宋体" w:cs="Times New Roman"/>
                <w:color w:val="auto"/>
                <w:sz w:val="21"/>
                <w:highlight w:val="none"/>
              </w:rPr>
              <w:t>1个，容积</w:t>
            </w:r>
            <w:r>
              <w:rPr>
                <w:rFonts w:hint="eastAsia" w:ascii="Times New Roman" w:hAnsi="Times New Roman" w:cs="Times New Roman"/>
                <w:color w:val="auto"/>
                <w:sz w:val="21"/>
                <w:highlight w:val="none"/>
                <w:lang w:val="en-US" w:eastAsia="zh-CN"/>
              </w:rPr>
              <w:t>50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3</w:t>
            </w:r>
            <w:r>
              <w:rPr>
                <w:rFonts w:hint="default" w:ascii="Times New Roman" w:hAnsi="Times New Roman" w:eastAsia="宋体" w:cs="Times New Roman"/>
                <w:color w:val="auto"/>
                <w:sz w:val="21"/>
                <w:highlight w:val="none"/>
              </w:rPr>
              <w:t>。</w:t>
            </w:r>
          </w:p>
        </w:tc>
        <w:tc>
          <w:tcPr>
            <w:tcW w:w="836" w:type="dxa"/>
            <w:tcBorders>
              <w:top w:val="single" w:color="auto" w:sz="4" w:space="0"/>
              <w:left w:val="single" w:color="auto" w:sz="4" w:space="0"/>
              <w:bottom w:val="single" w:color="auto" w:sz="4" w:space="0"/>
              <w:right w:val="single" w:color="auto" w:sz="4" w:space="0"/>
            </w:tcBorders>
            <w:vAlign w:val="center"/>
          </w:tcPr>
          <w:p w14:paraId="5CE3FC03">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2956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73" w:type="dxa"/>
            <w:vMerge w:val="continue"/>
            <w:tcBorders>
              <w:left w:val="single" w:color="auto" w:sz="4" w:space="0"/>
              <w:right w:val="single" w:color="auto" w:sz="4" w:space="0"/>
            </w:tcBorders>
            <w:vAlign w:val="center"/>
          </w:tcPr>
          <w:p w14:paraId="3C4CB59E">
            <w:pPr>
              <w:widowControl/>
              <w:spacing w:line="240" w:lineRule="auto"/>
              <w:jc w:val="left"/>
              <w:rPr>
                <w:rFonts w:hint="default" w:ascii="Times New Roman" w:hAnsi="Times New Roman" w:eastAsia="宋体" w:cs="Times New Roman"/>
                <w:color w:val="auto"/>
                <w:sz w:val="21"/>
              </w:rPr>
            </w:pPr>
          </w:p>
        </w:tc>
        <w:tc>
          <w:tcPr>
            <w:tcW w:w="709" w:type="dxa"/>
            <w:gridSpan w:val="2"/>
            <w:vMerge w:val="continue"/>
            <w:tcBorders>
              <w:left w:val="single" w:color="auto" w:sz="4" w:space="0"/>
              <w:right w:val="single" w:color="auto" w:sz="4" w:space="0"/>
            </w:tcBorders>
            <w:vAlign w:val="center"/>
          </w:tcPr>
          <w:p w14:paraId="6553EF4F">
            <w:pPr>
              <w:widowControl/>
              <w:spacing w:line="240" w:lineRule="auto"/>
              <w:jc w:val="left"/>
              <w:rPr>
                <w:rFonts w:hint="default" w:ascii="Times New Roman" w:hAnsi="Times New Roman" w:eastAsia="宋体" w:cs="Times New Roman"/>
                <w:color w:val="auto"/>
                <w:sz w:val="21"/>
              </w:rPr>
            </w:pPr>
          </w:p>
        </w:tc>
        <w:tc>
          <w:tcPr>
            <w:tcW w:w="1004" w:type="dxa"/>
            <w:tcBorders>
              <w:top w:val="single" w:color="auto" w:sz="4" w:space="0"/>
              <w:left w:val="single" w:color="auto" w:sz="4" w:space="0"/>
              <w:bottom w:val="single" w:color="auto" w:sz="4" w:space="0"/>
              <w:right w:val="single" w:color="auto" w:sz="4" w:space="0"/>
            </w:tcBorders>
            <w:vAlign w:val="center"/>
          </w:tcPr>
          <w:p w14:paraId="6FE1F08E">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隔油池</w:t>
            </w:r>
          </w:p>
        </w:tc>
        <w:tc>
          <w:tcPr>
            <w:tcW w:w="5300" w:type="dxa"/>
            <w:tcBorders>
              <w:top w:val="single" w:color="auto" w:sz="4" w:space="0"/>
              <w:left w:val="single" w:color="auto" w:sz="4" w:space="0"/>
              <w:bottom w:val="single" w:color="auto" w:sz="4" w:space="0"/>
              <w:right w:val="single" w:color="auto" w:sz="4" w:space="0"/>
            </w:tcBorders>
            <w:vAlign w:val="center"/>
          </w:tcPr>
          <w:p w14:paraId="08DC944D">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highlight w:val="none"/>
                <w:lang w:eastAsia="zh-CN"/>
              </w:rPr>
              <w:t>设置于食堂西侧</w:t>
            </w:r>
            <w:r>
              <w:rPr>
                <w:rFonts w:hint="default" w:ascii="Times New Roman" w:hAnsi="Times New Roman" w:eastAsia="宋体" w:cs="Times New Roman"/>
                <w:color w:val="auto"/>
                <w:sz w:val="21"/>
                <w:highlight w:val="none"/>
              </w:rPr>
              <w:t>， 1个，容积</w:t>
            </w:r>
            <w:r>
              <w:rPr>
                <w:rFonts w:hint="eastAsia" w:ascii="Times New Roman" w:hAnsi="Times New Roman" w:cs="Times New Roman"/>
                <w:color w:val="auto"/>
                <w:sz w:val="21"/>
                <w:highlight w:val="none"/>
                <w:lang w:val="en-US" w:eastAsia="zh-CN"/>
              </w:rPr>
              <w:t>5</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3</w:t>
            </w:r>
            <w:r>
              <w:rPr>
                <w:rFonts w:hint="default" w:ascii="Times New Roman" w:hAnsi="Times New Roman" w:eastAsia="宋体" w:cs="Times New Roman"/>
                <w:color w:val="auto"/>
                <w:sz w:val="21"/>
                <w:highlight w:val="none"/>
              </w:rPr>
              <w:t>。</w:t>
            </w:r>
          </w:p>
        </w:tc>
        <w:tc>
          <w:tcPr>
            <w:tcW w:w="836" w:type="dxa"/>
            <w:tcBorders>
              <w:top w:val="single" w:color="auto" w:sz="4" w:space="0"/>
              <w:left w:val="single" w:color="auto" w:sz="4" w:space="0"/>
              <w:bottom w:val="single" w:color="auto" w:sz="4" w:space="0"/>
              <w:right w:val="single" w:color="auto" w:sz="4" w:space="0"/>
            </w:tcBorders>
            <w:vAlign w:val="center"/>
          </w:tcPr>
          <w:p w14:paraId="5E06424D">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189A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73" w:type="dxa"/>
            <w:vMerge w:val="continue"/>
            <w:tcBorders>
              <w:left w:val="single" w:color="auto" w:sz="4" w:space="0"/>
              <w:right w:val="single" w:color="auto" w:sz="4" w:space="0"/>
            </w:tcBorders>
            <w:vAlign w:val="center"/>
          </w:tcPr>
          <w:p w14:paraId="1A68CE63">
            <w:pPr>
              <w:widowControl/>
              <w:spacing w:line="240" w:lineRule="auto"/>
              <w:jc w:val="left"/>
              <w:rPr>
                <w:rFonts w:hint="default" w:ascii="Times New Roman" w:hAnsi="Times New Roman" w:eastAsia="宋体" w:cs="Times New Roman"/>
                <w:color w:val="auto"/>
                <w:sz w:val="21"/>
              </w:rPr>
            </w:pPr>
          </w:p>
        </w:tc>
        <w:tc>
          <w:tcPr>
            <w:tcW w:w="709" w:type="dxa"/>
            <w:gridSpan w:val="2"/>
            <w:vMerge w:val="continue"/>
            <w:tcBorders>
              <w:left w:val="single" w:color="auto" w:sz="4" w:space="0"/>
              <w:bottom w:val="single" w:color="auto" w:sz="4" w:space="0"/>
              <w:right w:val="single" w:color="auto" w:sz="4" w:space="0"/>
            </w:tcBorders>
            <w:vAlign w:val="center"/>
          </w:tcPr>
          <w:p w14:paraId="48661C2B">
            <w:pPr>
              <w:adjustRightInd w:val="0"/>
              <w:spacing w:line="240" w:lineRule="auto"/>
              <w:jc w:val="center"/>
              <w:rPr>
                <w:rFonts w:hint="default" w:ascii="Times New Roman" w:hAnsi="Times New Roman" w:eastAsia="宋体" w:cs="Times New Roman"/>
                <w:color w:val="auto"/>
                <w:sz w:val="21"/>
              </w:rPr>
            </w:pPr>
          </w:p>
        </w:tc>
        <w:tc>
          <w:tcPr>
            <w:tcW w:w="1004" w:type="dxa"/>
            <w:tcBorders>
              <w:top w:val="single" w:color="auto" w:sz="4" w:space="0"/>
              <w:left w:val="single" w:color="auto" w:sz="4" w:space="0"/>
              <w:bottom w:val="single" w:color="auto" w:sz="4" w:space="0"/>
              <w:right w:val="single" w:color="auto" w:sz="4" w:space="0"/>
            </w:tcBorders>
            <w:vAlign w:val="center"/>
          </w:tcPr>
          <w:p w14:paraId="37026290">
            <w:pPr>
              <w:adjustRightInd w:val="0"/>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highlight w:val="none"/>
              </w:rPr>
              <w:t>生活垃圾桶</w:t>
            </w:r>
          </w:p>
        </w:tc>
        <w:tc>
          <w:tcPr>
            <w:tcW w:w="5300" w:type="dxa"/>
            <w:tcBorders>
              <w:top w:val="single" w:color="auto" w:sz="4" w:space="0"/>
              <w:left w:val="single" w:color="auto" w:sz="4" w:space="0"/>
              <w:bottom w:val="single" w:color="auto" w:sz="4" w:space="0"/>
              <w:right w:val="single" w:color="auto" w:sz="4" w:space="0"/>
            </w:tcBorders>
            <w:vAlign w:val="center"/>
          </w:tcPr>
          <w:p w14:paraId="3201527F">
            <w:pPr>
              <w:adjustRightInd w:val="0"/>
              <w:spacing w:line="240" w:lineRule="auto"/>
              <w:jc w:val="center"/>
              <w:rPr>
                <w:rFonts w:hint="default" w:ascii="Times New Roman" w:hAnsi="Times New Roman" w:eastAsia="宋体" w:cs="Times New Roman"/>
                <w:color w:val="auto"/>
                <w:spacing w:val="-2"/>
                <w:sz w:val="21"/>
                <w:highlight w:val="yellow"/>
              </w:rPr>
            </w:pPr>
            <w:r>
              <w:rPr>
                <w:rFonts w:hint="default" w:ascii="Times New Roman" w:hAnsi="Times New Roman" w:eastAsia="宋体" w:cs="Times New Roman"/>
                <w:color w:val="auto"/>
                <w:spacing w:val="-2"/>
                <w:sz w:val="21"/>
                <w:highlight w:val="none"/>
              </w:rPr>
              <w:t>于生产</w:t>
            </w:r>
            <w:r>
              <w:rPr>
                <w:rFonts w:hint="default" w:ascii="Times New Roman" w:hAnsi="Times New Roman" w:eastAsia="宋体" w:cs="Times New Roman"/>
                <w:color w:val="auto"/>
                <w:spacing w:val="-2"/>
                <w:sz w:val="21"/>
                <w:highlight w:val="none"/>
                <w:lang w:eastAsia="zh-CN"/>
              </w:rPr>
              <w:t>、</w:t>
            </w:r>
            <w:r>
              <w:rPr>
                <w:rFonts w:hint="default" w:ascii="Times New Roman" w:hAnsi="Times New Roman" w:eastAsia="宋体" w:cs="Times New Roman"/>
                <w:color w:val="auto"/>
                <w:spacing w:val="-2"/>
                <w:sz w:val="21"/>
                <w:highlight w:val="none"/>
              </w:rPr>
              <w:t>生活区各角落</w:t>
            </w:r>
            <w:r>
              <w:rPr>
                <w:rFonts w:hint="default" w:ascii="Times New Roman" w:hAnsi="Times New Roman" w:eastAsia="宋体" w:cs="Times New Roman"/>
                <w:color w:val="auto"/>
                <w:spacing w:val="-2"/>
                <w:sz w:val="21"/>
                <w:highlight w:val="none"/>
                <w:lang w:eastAsia="zh-CN"/>
              </w:rPr>
              <w:t>设置多个垃圾桶</w:t>
            </w:r>
            <w:r>
              <w:rPr>
                <w:rFonts w:hint="default" w:ascii="Times New Roman" w:hAnsi="Times New Roman" w:eastAsia="宋体" w:cs="Times New Roman"/>
                <w:color w:val="auto"/>
                <w:spacing w:val="-2"/>
                <w:sz w:val="21"/>
                <w:highlight w:val="none"/>
              </w:rPr>
              <w:t>，收集项目内生活垃圾，</w:t>
            </w:r>
            <w:r>
              <w:rPr>
                <w:rFonts w:hint="default" w:ascii="Times New Roman" w:hAnsi="Times New Roman" w:eastAsia="宋体" w:cs="Times New Roman"/>
                <w:color w:val="auto"/>
                <w:spacing w:val="-2"/>
                <w:sz w:val="21"/>
                <w:highlight w:val="none"/>
                <w:lang w:eastAsia="zh-CN"/>
              </w:rPr>
              <w:t>收集后委托环卫部门进行清运处置</w:t>
            </w:r>
            <w:r>
              <w:rPr>
                <w:rFonts w:hint="default" w:ascii="Times New Roman" w:hAnsi="Times New Roman" w:eastAsia="宋体" w:cs="Times New Roman"/>
                <w:color w:val="auto"/>
                <w:spacing w:val="-2"/>
                <w:sz w:val="21"/>
                <w:highlight w:val="none"/>
              </w:rPr>
              <w:t>。</w:t>
            </w:r>
          </w:p>
        </w:tc>
        <w:tc>
          <w:tcPr>
            <w:tcW w:w="836" w:type="dxa"/>
            <w:tcBorders>
              <w:top w:val="single" w:color="auto" w:sz="4" w:space="0"/>
              <w:left w:val="single" w:color="auto" w:sz="4" w:space="0"/>
              <w:bottom w:val="single" w:color="auto" w:sz="4" w:space="0"/>
              <w:right w:val="single" w:color="auto" w:sz="4" w:space="0"/>
            </w:tcBorders>
            <w:vAlign w:val="center"/>
          </w:tcPr>
          <w:p w14:paraId="5D2809C9">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sz w:val="21"/>
                <w:lang w:eastAsia="zh-CN"/>
              </w:rPr>
              <w:t>已</w:t>
            </w:r>
            <w:r>
              <w:rPr>
                <w:rFonts w:hint="default" w:ascii="Times New Roman" w:hAnsi="Times New Roman" w:eastAsia="宋体" w:cs="Times New Roman"/>
                <w:color w:val="auto"/>
                <w:sz w:val="21"/>
              </w:rPr>
              <w:t>建</w:t>
            </w:r>
          </w:p>
        </w:tc>
      </w:tr>
      <w:tr w14:paraId="69AC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tcBorders>
              <w:left w:val="single" w:color="auto" w:sz="4" w:space="0"/>
              <w:right w:val="single" w:color="auto" w:sz="4" w:space="0"/>
            </w:tcBorders>
            <w:vAlign w:val="center"/>
          </w:tcPr>
          <w:p w14:paraId="18765C16">
            <w:pPr>
              <w:widowControl/>
              <w:spacing w:line="240" w:lineRule="auto"/>
              <w:jc w:val="left"/>
              <w:rPr>
                <w:rFonts w:hint="default" w:ascii="Times New Roman" w:hAnsi="Times New Roman" w:eastAsia="宋体" w:cs="Times New Roman"/>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240F411D">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隔声降噪</w:t>
            </w:r>
          </w:p>
        </w:tc>
        <w:tc>
          <w:tcPr>
            <w:tcW w:w="5300" w:type="dxa"/>
            <w:tcBorders>
              <w:top w:val="single" w:color="auto" w:sz="4" w:space="0"/>
              <w:left w:val="single" w:color="auto" w:sz="4" w:space="0"/>
              <w:bottom w:val="single" w:color="auto" w:sz="4" w:space="0"/>
              <w:right w:val="single" w:color="auto" w:sz="4" w:space="0"/>
            </w:tcBorders>
            <w:vAlign w:val="center"/>
          </w:tcPr>
          <w:p w14:paraId="23C715E8">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lang w:eastAsia="zh-CN"/>
              </w:rPr>
              <w:t>设备</w:t>
            </w:r>
            <w:r>
              <w:rPr>
                <w:rFonts w:hint="default" w:ascii="Times New Roman" w:hAnsi="Times New Roman" w:eastAsia="宋体" w:cs="Times New Roman"/>
                <w:color w:val="auto"/>
                <w:sz w:val="21"/>
              </w:rPr>
              <w:t>减震、室内隔声等降噪措施</w:t>
            </w:r>
          </w:p>
        </w:tc>
        <w:tc>
          <w:tcPr>
            <w:tcW w:w="836" w:type="dxa"/>
            <w:tcBorders>
              <w:top w:val="single" w:color="auto" w:sz="4" w:space="0"/>
              <w:left w:val="single" w:color="auto" w:sz="4" w:space="0"/>
              <w:bottom w:val="single" w:color="auto" w:sz="4" w:space="0"/>
              <w:right w:val="single" w:color="auto" w:sz="4" w:space="0"/>
            </w:tcBorders>
            <w:vAlign w:val="center"/>
          </w:tcPr>
          <w:p w14:paraId="630A7258">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453E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tcBorders>
              <w:left w:val="single" w:color="auto" w:sz="4" w:space="0"/>
              <w:right w:val="single" w:color="auto" w:sz="4" w:space="0"/>
            </w:tcBorders>
            <w:vAlign w:val="center"/>
          </w:tcPr>
          <w:p w14:paraId="1E53F54D">
            <w:pPr>
              <w:widowControl/>
              <w:spacing w:line="240" w:lineRule="auto"/>
              <w:jc w:val="left"/>
              <w:rPr>
                <w:rFonts w:hint="default" w:ascii="Times New Roman" w:hAnsi="Times New Roman" w:eastAsia="宋体" w:cs="Times New Roman"/>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2BE0153F">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绿化</w:t>
            </w:r>
          </w:p>
        </w:tc>
        <w:tc>
          <w:tcPr>
            <w:tcW w:w="5300" w:type="dxa"/>
            <w:tcBorders>
              <w:top w:val="single" w:color="auto" w:sz="4" w:space="0"/>
              <w:left w:val="single" w:color="auto" w:sz="4" w:space="0"/>
              <w:bottom w:val="single" w:color="auto" w:sz="4" w:space="0"/>
              <w:right w:val="single" w:color="auto" w:sz="4" w:space="0"/>
            </w:tcBorders>
            <w:vAlign w:val="center"/>
          </w:tcPr>
          <w:p w14:paraId="2C2B41F5">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lang w:eastAsia="zh-CN"/>
              </w:rPr>
            </w:pPr>
            <w:r>
              <w:rPr>
                <w:rFonts w:hint="default" w:ascii="Times New Roman" w:hAnsi="Times New Roman" w:eastAsia="宋体" w:cs="Times New Roman"/>
                <w:color w:val="auto"/>
                <w:sz w:val="21"/>
                <w:lang w:val="en-US" w:eastAsia="zh-CN"/>
              </w:rPr>
              <w:t>项目绿化面积</w:t>
            </w:r>
            <w:r>
              <w:rPr>
                <w:rFonts w:hint="eastAsia" w:ascii="Times New Roman" w:hAnsi="Times New Roman" w:cs="Times New Roman"/>
                <w:color w:val="auto"/>
                <w:sz w:val="21"/>
                <w:lang w:val="en-US" w:eastAsia="zh-CN"/>
              </w:rPr>
              <w:t>200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lang w:eastAsia="zh-CN"/>
              </w:rPr>
              <w:t>。</w:t>
            </w:r>
          </w:p>
        </w:tc>
        <w:tc>
          <w:tcPr>
            <w:tcW w:w="836" w:type="dxa"/>
            <w:tcBorders>
              <w:top w:val="single" w:color="auto" w:sz="4" w:space="0"/>
              <w:left w:val="single" w:color="auto" w:sz="4" w:space="0"/>
              <w:bottom w:val="single" w:color="auto" w:sz="4" w:space="0"/>
              <w:right w:val="single" w:color="auto" w:sz="4" w:space="0"/>
            </w:tcBorders>
            <w:vAlign w:val="center"/>
          </w:tcPr>
          <w:p w14:paraId="13D4FA78">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bl>
    <w:p w14:paraId="0FC8F51D">
      <w:pPr>
        <w:pStyle w:val="10"/>
        <w:adjustRightInd w:val="0"/>
        <w:snapToGrid w:val="0"/>
        <w:spacing w:beforeLines="50" w:after="0" w:line="360" w:lineRule="auto"/>
        <w:rPr>
          <w:rFonts w:hint="default" w:ascii="Times New Roman" w:hAnsi="Times New Roman" w:eastAsia="宋体" w:cs="Times New Roman"/>
          <w:color w:val="auto"/>
        </w:rPr>
      </w:pPr>
      <w:bookmarkStart w:id="202" w:name="_Toc1969"/>
      <w:r>
        <w:rPr>
          <w:rFonts w:hint="default" w:ascii="Times New Roman" w:hAnsi="Times New Roman" w:eastAsia="宋体" w:cs="Times New Roman"/>
          <w:color w:val="auto"/>
        </w:rPr>
        <w:t>2.</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现有</w:t>
      </w:r>
      <w:r>
        <w:rPr>
          <w:rFonts w:hint="default" w:ascii="Times New Roman" w:hAnsi="Times New Roman" w:eastAsia="宋体" w:cs="Times New Roman"/>
          <w:color w:val="auto"/>
        </w:rPr>
        <w:t>项目产品方案、主要原辅材料及能源消耗</w:t>
      </w:r>
      <w:bookmarkEnd w:id="202"/>
    </w:p>
    <w:p w14:paraId="748278D8">
      <w:pPr>
        <w:pStyle w:val="11"/>
        <w:adjustRightInd w:val="0"/>
        <w:snapToGrid w:val="0"/>
        <w:spacing w:before="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2.</w:t>
      </w:r>
      <w:r>
        <w:rPr>
          <w:rFonts w:hint="eastAsia" w:ascii="Times New Roman" w:hAnsi="Times New Roman" w:cs="Times New Roman"/>
          <w:color w:val="auto"/>
          <w:sz w:val="28"/>
          <w:szCs w:val="28"/>
          <w:lang w:val="en-US" w:eastAsia="zh-CN"/>
        </w:rPr>
        <w:t>2</w:t>
      </w:r>
      <w:r>
        <w:rPr>
          <w:rFonts w:hint="default" w:ascii="Times New Roman" w:hAnsi="Times New Roman" w:eastAsia="宋体" w:cs="Times New Roman"/>
          <w:color w:val="auto"/>
          <w:sz w:val="28"/>
          <w:szCs w:val="28"/>
        </w:rPr>
        <w:t>.1产品方案及规模</w:t>
      </w:r>
    </w:p>
    <w:p w14:paraId="707EE368">
      <w:pPr>
        <w:ind w:firstLine="480"/>
        <w:rPr>
          <w:rFonts w:hint="default" w:ascii="Times New Roman" w:hAnsi="Times New Roman" w:eastAsia="宋体" w:cs="Times New Roman"/>
          <w:color w:val="auto"/>
        </w:rPr>
      </w:pPr>
      <w:r>
        <w:rPr>
          <w:rFonts w:hint="eastAsia" w:ascii="Times New Roman" w:hAnsi="Times New Roman" w:cs="Times New Roman"/>
          <w:bCs/>
          <w:color w:val="auto"/>
          <w:lang w:eastAsia="zh-CN"/>
        </w:rPr>
        <w:t>现有</w:t>
      </w:r>
      <w:r>
        <w:rPr>
          <w:rFonts w:hint="default" w:ascii="Times New Roman" w:hAnsi="Times New Roman" w:eastAsia="宋体" w:cs="Times New Roman"/>
          <w:bCs/>
          <w:color w:val="auto"/>
        </w:rPr>
        <w:t>项目年</w:t>
      </w:r>
      <w:r>
        <w:rPr>
          <w:rFonts w:hint="default" w:ascii="Times New Roman" w:hAnsi="Times New Roman" w:eastAsia="宋体" w:cs="Times New Roman"/>
          <w:color w:val="auto"/>
        </w:rPr>
        <w:t>加工服装</w:t>
      </w:r>
      <w:r>
        <w:rPr>
          <w:rFonts w:hint="default" w:ascii="Times New Roman" w:hAnsi="Times New Roman" w:eastAsia="宋体" w:cs="Times New Roman"/>
          <w:color w:val="auto"/>
          <w:lang w:val="en-US" w:eastAsia="zh-CN"/>
        </w:rPr>
        <w:t>45</w:t>
      </w:r>
      <w:r>
        <w:rPr>
          <w:rFonts w:hint="default" w:ascii="Times New Roman" w:hAnsi="Times New Roman" w:eastAsia="宋体" w:cs="Times New Roman"/>
          <w:color w:val="auto"/>
        </w:rPr>
        <w:t>万件</w:t>
      </w:r>
      <w:r>
        <w:rPr>
          <w:rFonts w:hint="default" w:ascii="Times New Roman" w:hAnsi="Times New Roman" w:eastAsia="宋体" w:cs="Times New Roman"/>
          <w:bCs/>
          <w:color w:val="auto"/>
        </w:rPr>
        <w:t>。</w:t>
      </w:r>
      <w:r>
        <w:rPr>
          <w:rFonts w:hint="default" w:ascii="Times New Roman" w:hAnsi="Times New Roman" w:eastAsia="宋体" w:cs="Times New Roman"/>
          <w:color w:val="auto"/>
        </w:rPr>
        <w:t>具体规模见表</w:t>
      </w:r>
      <w:r>
        <w:rPr>
          <w:rFonts w:hint="default" w:ascii="Times New Roman" w:hAnsi="Times New Roman" w:eastAsia="宋体" w:cs="Times New Roman"/>
          <w:color w:val="auto"/>
          <w:lang w:val="en-US" w:eastAsia="zh-CN"/>
        </w:rPr>
        <w:t>2.</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p>
    <w:p w14:paraId="4D8DB848">
      <w:pPr>
        <w:autoSpaceDE w:val="0"/>
        <w:autoSpaceDN w:val="0"/>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2.</w:t>
      </w:r>
      <w:r>
        <w:rPr>
          <w:rFonts w:hint="eastAsia" w:ascii="Times New Roman" w:hAnsi="Times New Roman" w:cs="Times New Roman"/>
          <w:b/>
          <w:color w:val="auto"/>
          <w:lang w:val="en-US" w:eastAsia="zh-CN"/>
        </w:rPr>
        <w:t>2</w:t>
      </w:r>
      <w:r>
        <w:rPr>
          <w:rFonts w:hint="default" w:ascii="Times New Roman" w:hAnsi="Times New Roman" w:eastAsia="宋体" w:cs="Times New Roman"/>
          <w:b/>
          <w:color w:val="auto"/>
          <w:lang w:val="en-US" w:eastAsia="zh-CN"/>
        </w:rPr>
        <w:t xml:space="preserve">-1  </w:t>
      </w:r>
      <w:r>
        <w:rPr>
          <w:rFonts w:hint="default" w:ascii="Times New Roman" w:hAnsi="Times New Roman" w:eastAsia="宋体" w:cs="Times New Roman"/>
          <w:b/>
          <w:color w:val="auto"/>
        </w:rPr>
        <w:t>本项目产品方案一览表</w:t>
      </w:r>
    </w:p>
    <w:tbl>
      <w:tblPr>
        <w:tblStyle w:val="6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2717"/>
        <w:gridCol w:w="2429"/>
        <w:gridCol w:w="2736"/>
      </w:tblGrid>
      <w:tr w14:paraId="1562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tcBorders>
              <w:bottom w:val="single" w:color="auto" w:sz="4" w:space="0"/>
            </w:tcBorders>
            <w:noWrap w:val="0"/>
            <w:vAlign w:val="center"/>
          </w:tcPr>
          <w:p w14:paraId="687715DA">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序号</w:t>
            </w:r>
          </w:p>
        </w:tc>
        <w:tc>
          <w:tcPr>
            <w:tcW w:w="2717" w:type="dxa"/>
            <w:tcBorders>
              <w:bottom w:val="single" w:color="auto" w:sz="4" w:space="0"/>
            </w:tcBorders>
            <w:noWrap w:val="0"/>
            <w:vAlign w:val="center"/>
          </w:tcPr>
          <w:p w14:paraId="72A8CC8B">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产品名称</w:t>
            </w:r>
          </w:p>
        </w:tc>
        <w:tc>
          <w:tcPr>
            <w:tcW w:w="2429" w:type="dxa"/>
            <w:tcBorders>
              <w:bottom w:val="single" w:color="auto" w:sz="4" w:space="0"/>
            </w:tcBorders>
            <w:noWrap w:val="0"/>
            <w:vAlign w:val="center"/>
          </w:tcPr>
          <w:p w14:paraId="7D47131F">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规模（万件/a）</w:t>
            </w:r>
          </w:p>
        </w:tc>
        <w:tc>
          <w:tcPr>
            <w:tcW w:w="2736" w:type="dxa"/>
            <w:tcBorders>
              <w:bottom w:val="single" w:color="auto" w:sz="4" w:space="0"/>
            </w:tcBorders>
            <w:noWrap w:val="0"/>
            <w:vAlign w:val="center"/>
          </w:tcPr>
          <w:p w14:paraId="0BADE326">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生产时间</w:t>
            </w:r>
          </w:p>
        </w:tc>
      </w:tr>
      <w:tr w14:paraId="3F23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360" w:type="dxa"/>
            <w:noWrap w:val="0"/>
            <w:vAlign w:val="center"/>
          </w:tcPr>
          <w:p w14:paraId="7EB6E23B">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2717" w:type="dxa"/>
            <w:tcBorders>
              <w:top w:val="single" w:color="auto" w:sz="4" w:space="0"/>
            </w:tcBorders>
            <w:noWrap w:val="0"/>
            <w:vAlign w:val="center"/>
          </w:tcPr>
          <w:p w14:paraId="2D8A1A6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全棉</w:t>
            </w:r>
            <w:r>
              <w:rPr>
                <w:rFonts w:hint="default" w:ascii="Times New Roman" w:hAnsi="Times New Roman" w:eastAsia="宋体" w:cs="Times New Roman"/>
                <w:color w:val="auto"/>
                <w:sz w:val="21"/>
                <w:szCs w:val="21"/>
                <w:lang w:eastAsia="zh-CN"/>
              </w:rPr>
              <w:t>服装</w:t>
            </w:r>
          </w:p>
        </w:tc>
        <w:tc>
          <w:tcPr>
            <w:tcW w:w="2429" w:type="dxa"/>
            <w:tcBorders>
              <w:top w:val="single" w:color="auto" w:sz="4" w:space="0"/>
            </w:tcBorders>
            <w:noWrap w:val="0"/>
            <w:vAlign w:val="center"/>
          </w:tcPr>
          <w:p w14:paraId="3C1CB3E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2736" w:type="dxa"/>
            <w:noWrap w:val="0"/>
            <w:vAlign w:val="center"/>
          </w:tcPr>
          <w:p w14:paraId="0E39C0A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2400h</w:t>
            </w:r>
          </w:p>
        </w:tc>
      </w:tr>
    </w:tbl>
    <w:p w14:paraId="1C3BAADA">
      <w:pPr>
        <w:pStyle w:val="11"/>
        <w:adjustRightInd w:val="0"/>
        <w:snapToGrid w:val="0"/>
        <w:spacing w:beforeLines="50" w:after="0" w:line="360" w:lineRule="auto"/>
        <w:rPr>
          <w:rFonts w:hint="eastAsia" w:ascii="Times New Roman" w:hAnsi="Times New Roman" w:eastAsia="宋体"/>
          <w:color w:val="auto"/>
          <w:sz w:val="28"/>
          <w:szCs w:val="28"/>
          <w:lang w:eastAsia="zh-CN"/>
        </w:rPr>
      </w:pPr>
      <w:bookmarkStart w:id="203" w:name="_Toc13309"/>
      <w:r>
        <w:rPr>
          <w:rFonts w:ascii="Times New Roman" w:hAnsi="Times New Roman"/>
          <w:color w:val="auto"/>
          <w:sz w:val="28"/>
          <w:szCs w:val="28"/>
        </w:rPr>
        <w:t>2.</w:t>
      </w:r>
      <w:r>
        <w:rPr>
          <w:rFonts w:hint="eastAsia" w:ascii="Times New Roman" w:hAnsi="Times New Roman"/>
          <w:color w:val="auto"/>
          <w:sz w:val="28"/>
          <w:szCs w:val="28"/>
          <w:lang w:val="en-US" w:eastAsia="zh-CN"/>
        </w:rPr>
        <w:t>2</w:t>
      </w:r>
      <w:r>
        <w:rPr>
          <w:rFonts w:ascii="Times New Roman" w:hAnsi="Times New Roman"/>
          <w:color w:val="auto"/>
          <w:sz w:val="28"/>
          <w:szCs w:val="28"/>
        </w:rPr>
        <w:t>.2主要原辅材料及</w:t>
      </w:r>
      <w:r>
        <w:rPr>
          <w:rFonts w:hint="eastAsia" w:ascii="Times New Roman" w:hAnsi="Times New Roman"/>
          <w:color w:val="auto"/>
          <w:sz w:val="28"/>
          <w:szCs w:val="28"/>
          <w:lang w:eastAsia="zh-CN"/>
        </w:rPr>
        <w:t>理化性质</w:t>
      </w:r>
    </w:p>
    <w:p w14:paraId="141F1E1F">
      <w:pPr>
        <w:spacing w:line="360" w:lineRule="auto"/>
        <w:ind w:firstLine="480"/>
        <w:rPr>
          <w:rFonts w:ascii="Times New Roman" w:hAnsi="Times New Roman"/>
          <w:color w:val="auto"/>
        </w:rPr>
      </w:pPr>
      <w:bookmarkStart w:id="204" w:name="OLE_LINK26"/>
      <w:bookmarkStart w:id="205" w:name="OLE_LINK10"/>
      <w:r>
        <w:rPr>
          <w:rFonts w:ascii="Times New Roman" w:hAnsi="Times New Roman"/>
          <w:color w:val="auto"/>
        </w:rPr>
        <w:t>项目原辅材料消耗情况见表2.</w:t>
      </w:r>
      <w:r>
        <w:rPr>
          <w:rFonts w:hint="eastAsia" w:ascii="Times New Roman" w:hAnsi="Times New Roman"/>
          <w:color w:val="auto"/>
          <w:lang w:val="en-US" w:eastAsia="zh-CN"/>
        </w:rPr>
        <w:t>2</w:t>
      </w:r>
      <w:r>
        <w:rPr>
          <w:rFonts w:ascii="Times New Roman" w:hAnsi="Times New Roman"/>
          <w:color w:val="auto"/>
        </w:rPr>
        <w:t>-2。</w:t>
      </w:r>
    </w:p>
    <w:bookmarkEnd w:id="204"/>
    <w:bookmarkEnd w:id="205"/>
    <w:p w14:paraId="04C877FD">
      <w:pPr>
        <w:autoSpaceDE w:val="0"/>
        <w:autoSpaceDN w:val="0"/>
        <w:adjustRightInd w:val="0"/>
        <w:snapToGrid w:val="0"/>
        <w:spacing w:line="360" w:lineRule="auto"/>
        <w:jc w:val="center"/>
        <w:rPr>
          <w:rFonts w:ascii="Times New Roman" w:hAnsi="Times New Roman"/>
          <w:b/>
          <w:color w:val="auto"/>
        </w:rPr>
      </w:pPr>
      <w:r>
        <w:rPr>
          <w:rFonts w:ascii="Times New Roman" w:hAnsi="Times New Roman"/>
          <w:b/>
          <w:color w:val="auto"/>
        </w:rPr>
        <w:t>表2.</w:t>
      </w:r>
      <w:r>
        <w:rPr>
          <w:rFonts w:hint="eastAsia" w:ascii="Times New Roman" w:hAnsi="Times New Roman"/>
          <w:b/>
          <w:color w:val="auto"/>
          <w:lang w:val="en-US" w:eastAsia="zh-CN"/>
        </w:rPr>
        <w:t>2</w:t>
      </w:r>
      <w:r>
        <w:rPr>
          <w:rFonts w:ascii="Times New Roman" w:hAnsi="Times New Roman"/>
          <w:b/>
          <w:color w:val="auto"/>
        </w:rPr>
        <w:t xml:space="preserve">-2 </w:t>
      </w:r>
      <w:r>
        <w:rPr>
          <w:rFonts w:hint="eastAsia" w:ascii="Times New Roman" w:hAnsi="Times New Roman"/>
          <w:b/>
          <w:color w:val="auto"/>
          <w:lang w:eastAsia="zh-CN"/>
        </w:rPr>
        <w:t>项目</w:t>
      </w:r>
      <w:r>
        <w:rPr>
          <w:rFonts w:ascii="Times New Roman" w:hAnsi="Times New Roman"/>
          <w:b/>
          <w:color w:val="auto"/>
        </w:rPr>
        <w:t>主要原辅材料</w:t>
      </w:r>
      <w:r>
        <w:rPr>
          <w:rFonts w:hint="eastAsia" w:ascii="Times New Roman" w:hAnsi="Times New Roman"/>
          <w:b/>
          <w:color w:val="auto"/>
          <w:lang w:eastAsia="zh-CN"/>
        </w:rPr>
        <w:t>一览</w:t>
      </w:r>
      <w:r>
        <w:rPr>
          <w:rFonts w:ascii="Times New Roman" w:hAnsi="Times New Roman"/>
          <w:b/>
          <w:color w:val="auto"/>
        </w:rPr>
        <w:t>表</w:t>
      </w:r>
    </w:p>
    <w:tbl>
      <w:tblPr>
        <w:tblStyle w:val="6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963"/>
        <w:gridCol w:w="1702"/>
        <w:gridCol w:w="1655"/>
        <w:gridCol w:w="2696"/>
        <w:gridCol w:w="1308"/>
      </w:tblGrid>
      <w:tr w14:paraId="623F808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tblHeader/>
          <w:jc w:val="center"/>
        </w:trPr>
        <w:tc>
          <w:tcPr>
            <w:tcW w:w="578" w:type="pct"/>
            <w:tcBorders>
              <w:top w:val="single" w:color="auto" w:sz="8" w:space="0"/>
              <w:left w:val="single" w:color="auto" w:sz="8" w:space="0"/>
              <w:bottom w:val="single" w:color="auto" w:sz="8" w:space="0"/>
              <w:right w:val="single" w:color="auto" w:sz="8" w:space="0"/>
            </w:tcBorders>
            <w:vAlign w:val="center"/>
          </w:tcPr>
          <w:p w14:paraId="3DC09954">
            <w:pPr>
              <w:autoSpaceDE w:val="0"/>
              <w:autoSpaceDN w:val="0"/>
              <w:adjustRightInd w:val="0"/>
              <w:snapToGrid w:val="0"/>
              <w:spacing w:line="240" w:lineRule="auto"/>
              <w:jc w:val="center"/>
              <w:rPr>
                <w:rFonts w:ascii="Times New Roman" w:hAnsi="Times New Roman"/>
                <w:b/>
                <w:bCs/>
                <w:color w:val="auto"/>
                <w:kern w:val="0"/>
                <w:sz w:val="21"/>
              </w:rPr>
            </w:pPr>
            <w:r>
              <w:rPr>
                <w:rFonts w:ascii="Times New Roman" w:hAnsi="Times New Roman"/>
                <w:b/>
                <w:bCs/>
                <w:color w:val="auto"/>
                <w:kern w:val="0"/>
                <w:sz w:val="21"/>
              </w:rPr>
              <w:t>序号</w:t>
            </w:r>
          </w:p>
        </w:tc>
        <w:tc>
          <w:tcPr>
            <w:tcW w:w="1022" w:type="pct"/>
            <w:tcBorders>
              <w:top w:val="single" w:color="auto" w:sz="8" w:space="0"/>
              <w:left w:val="single" w:color="auto" w:sz="8" w:space="0"/>
              <w:bottom w:val="single" w:color="auto" w:sz="8" w:space="0"/>
              <w:right w:val="single" w:color="auto" w:sz="8" w:space="0"/>
            </w:tcBorders>
            <w:vAlign w:val="center"/>
          </w:tcPr>
          <w:p w14:paraId="6DB2DA6E">
            <w:pPr>
              <w:autoSpaceDE w:val="0"/>
              <w:autoSpaceDN w:val="0"/>
              <w:adjustRightInd w:val="0"/>
              <w:snapToGrid w:val="0"/>
              <w:spacing w:line="240" w:lineRule="auto"/>
              <w:jc w:val="center"/>
              <w:rPr>
                <w:rFonts w:ascii="Times New Roman" w:hAnsi="Times New Roman"/>
                <w:b/>
                <w:bCs/>
                <w:color w:val="auto"/>
                <w:kern w:val="0"/>
                <w:sz w:val="21"/>
              </w:rPr>
            </w:pPr>
            <w:r>
              <w:rPr>
                <w:rFonts w:ascii="Times New Roman" w:hAnsi="Times New Roman"/>
                <w:b/>
                <w:bCs/>
                <w:color w:val="auto"/>
                <w:kern w:val="0"/>
                <w:sz w:val="21"/>
              </w:rPr>
              <w:t>名称</w:t>
            </w:r>
          </w:p>
        </w:tc>
        <w:tc>
          <w:tcPr>
            <w:tcW w:w="994" w:type="pct"/>
            <w:tcBorders>
              <w:top w:val="single" w:color="auto" w:sz="8" w:space="0"/>
              <w:left w:val="single" w:color="auto" w:sz="8" w:space="0"/>
              <w:bottom w:val="single" w:color="auto" w:sz="8" w:space="0"/>
              <w:right w:val="single" w:color="auto" w:sz="8" w:space="0"/>
            </w:tcBorders>
            <w:vAlign w:val="center"/>
          </w:tcPr>
          <w:p w14:paraId="0CC15DC6">
            <w:pPr>
              <w:autoSpaceDE w:val="0"/>
              <w:autoSpaceDN w:val="0"/>
              <w:adjustRightInd w:val="0"/>
              <w:snapToGrid w:val="0"/>
              <w:spacing w:line="240" w:lineRule="auto"/>
              <w:jc w:val="center"/>
              <w:rPr>
                <w:rFonts w:ascii="Times New Roman" w:hAnsi="Times New Roman"/>
                <w:b/>
                <w:bCs/>
                <w:color w:val="auto"/>
                <w:kern w:val="0"/>
                <w:sz w:val="21"/>
              </w:rPr>
            </w:pPr>
            <w:r>
              <w:rPr>
                <w:rFonts w:ascii="Times New Roman" w:hAnsi="Times New Roman"/>
                <w:b/>
                <w:bCs/>
                <w:color w:val="auto"/>
                <w:kern w:val="0"/>
                <w:sz w:val="21"/>
              </w:rPr>
              <w:t>年用量</w:t>
            </w:r>
          </w:p>
        </w:tc>
        <w:tc>
          <w:tcPr>
            <w:tcW w:w="1619" w:type="pct"/>
            <w:tcBorders>
              <w:top w:val="single" w:color="auto" w:sz="8" w:space="0"/>
              <w:left w:val="single" w:color="auto" w:sz="4" w:space="0"/>
              <w:bottom w:val="single" w:color="auto" w:sz="8" w:space="0"/>
              <w:right w:val="single" w:color="auto" w:sz="4" w:space="0"/>
            </w:tcBorders>
            <w:vAlign w:val="center"/>
          </w:tcPr>
          <w:p w14:paraId="2F9CDE7D">
            <w:pPr>
              <w:autoSpaceDE w:val="0"/>
              <w:autoSpaceDN w:val="0"/>
              <w:adjustRightInd w:val="0"/>
              <w:snapToGrid w:val="0"/>
              <w:spacing w:line="240" w:lineRule="auto"/>
              <w:jc w:val="center"/>
              <w:rPr>
                <w:rFonts w:hint="eastAsia" w:ascii="Times New Roman" w:hAnsi="Times New Roman"/>
                <w:b/>
                <w:bCs/>
                <w:color w:val="auto"/>
                <w:kern w:val="0"/>
                <w:sz w:val="21"/>
                <w:lang w:eastAsia="zh-CN"/>
              </w:rPr>
            </w:pPr>
            <w:r>
              <w:rPr>
                <w:rFonts w:hint="eastAsia" w:ascii="Times New Roman" w:hAnsi="Times New Roman"/>
                <w:b/>
                <w:bCs/>
                <w:color w:val="auto"/>
                <w:kern w:val="0"/>
                <w:sz w:val="21"/>
                <w:lang w:eastAsia="zh-CN"/>
              </w:rPr>
              <w:t>储存方式</w:t>
            </w:r>
          </w:p>
        </w:tc>
        <w:tc>
          <w:tcPr>
            <w:tcW w:w="785" w:type="pct"/>
            <w:tcBorders>
              <w:top w:val="single" w:color="auto" w:sz="8" w:space="0"/>
              <w:left w:val="single" w:color="auto" w:sz="4" w:space="0"/>
              <w:bottom w:val="single" w:color="auto" w:sz="8" w:space="0"/>
              <w:right w:val="single" w:color="auto" w:sz="4" w:space="0"/>
            </w:tcBorders>
            <w:vAlign w:val="center"/>
          </w:tcPr>
          <w:p w14:paraId="4D1DD4BA">
            <w:pPr>
              <w:autoSpaceDE w:val="0"/>
              <w:autoSpaceDN w:val="0"/>
              <w:adjustRightInd w:val="0"/>
              <w:snapToGrid w:val="0"/>
              <w:spacing w:line="240" w:lineRule="auto"/>
              <w:jc w:val="center"/>
              <w:rPr>
                <w:rFonts w:ascii="Times New Roman" w:hAnsi="Times New Roman"/>
                <w:b/>
                <w:bCs/>
                <w:color w:val="auto"/>
                <w:kern w:val="0"/>
                <w:sz w:val="21"/>
              </w:rPr>
            </w:pPr>
            <w:r>
              <w:rPr>
                <w:rFonts w:ascii="Times New Roman" w:hAnsi="Times New Roman"/>
                <w:b/>
                <w:bCs/>
                <w:color w:val="auto"/>
                <w:kern w:val="0"/>
                <w:sz w:val="21"/>
              </w:rPr>
              <w:t>来源</w:t>
            </w:r>
          </w:p>
        </w:tc>
      </w:tr>
      <w:tr w14:paraId="702F7B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743F6246">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1</w:t>
            </w:r>
          </w:p>
        </w:tc>
        <w:tc>
          <w:tcPr>
            <w:tcW w:w="1022" w:type="pct"/>
            <w:tcBorders>
              <w:top w:val="single" w:color="auto" w:sz="8" w:space="0"/>
              <w:left w:val="single" w:color="auto" w:sz="8" w:space="0"/>
              <w:bottom w:val="single" w:color="auto" w:sz="8" w:space="0"/>
              <w:right w:val="single" w:color="auto" w:sz="8" w:space="0"/>
            </w:tcBorders>
            <w:vAlign w:val="center"/>
          </w:tcPr>
          <w:p w14:paraId="70CCA0DB">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布料</w:t>
            </w:r>
          </w:p>
        </w:tc>
        <w:tc>
          <w:tcPr>
            <w:tcW w:w="994" w:type="pct"/>
            <w:tcBorders>
              <w:top w:val="single" w:color="auto" w:sz="8" w:space="0"/>
              <w:left w:val="single" w:color="auto" w:sz="8" w:space="0"/>
              <w:bottom w:val="single" w:color="auto" w:sz="8" w:space="0"/>
              <w:right w:val="single" w:color="auto" w:sz="8" w:space="0"/>
            </w:tcBorders>
            <w:vAlign w:val="center"/>
          </w:tcPr>
          <w:p w14:paraId="5802AFC7">
            <w:pPr>
              <w:autoSpaceDE w:val="0"/>
              <w:autoSpaceDN w:val="0"/>
              <w:adjustRightInd w:val="0"/>
              <w:snapToGrid w:val="0"/>
              <w:spacing w:line="240" w:lineRule="auto"/>
              <w:jc w:val="center"/>
              <w:rPr>
                <w:rFonts w:hint="default" w:ascii="Times New Roman" w:hAnsi="Times New Roman"/>
                <w:color w:val="auto"/>
                <w:sz w:val="21"/>
                <w:lang w:val="en-US" w:eastAsia="zh-CN"/>
              </w:rPr>
            </w:pPr>
            <w:r>
              <w:rPr>
                <w:rFonts w:hint="eastAsia" w:ascii="Times New Roman" w:hAnsi="Times New Roman"/>
                <w:color w:val="auto"/>
                <w:sz w:val="21"/>
                <w:lang w:val="en-US" w:eastAsia="zh-CN"/>
              </w:rPr>
              <w:t>63万米</w:t>
            </w:r>
          </w:p>
        </w:tc>
        <w:tc>
          <w:tcPr>
            <w:tcW w:w="1619" w:type="pct"/>
            <w:tcBorders>
              <w:left w:val="single" w:color="auto" w:sz="4" w:space="0"/>
              <w:right w:val="single" w:color="auto" w:sz="4" w:space="0"/>
            </w:tcBorders>
            <w:vAlign w:val="center"/>
          </w:tcPr>
          <w:p w14:paraId="3BA205E2">
            <w:pPr>
              <w:autoSpaceDE w:val="0"/>
              <w:autoSpaceDN w:val="0"/>
              <w:adjustRightInd w:val="0"/>
              <w:snapToGrid w:val="0"/>
              <w:spacing w:line="240" w:lineRule="auto"/>
              <w:jc w:val="center"/>
              <w:rPr>
                <w:rFonts w:hint="eastAsia" w:ascii="Times New Roman" w:hAnsi="Times New Roman"/>
                <w:color w:val="auto"/>
                <w:kern w:val="0"/>
                <w:sz w:val="21"/>
                <w:lang w:val="en-US" w:eastAsia="zh-CN"/>
              </w:rPr>
            </w:pPr>
            <w:r>
              <w:rPr>
                <w:rFonts w:hint="eastAsia" w:ascii="Times New Roman" w:hAnsi="Times New Roman"/>
                <w:color w:val="auto"/>
                <w:kern w:val="0"/>
                <w:sz w:val="21"/>
                <w:lang w:val="en-US" w:eastAsia="zh-CN"/>
              </w:rPr>
              <w:t>储存于原料仓库</w:t>
            </w:r>
          </w:p>
        </w:tc>
        <w:tc>
          <w:tcPr>
            <w:tcW w:w="785" w:type="pct"/>
            <w:tcBorders>
              <w:top w:val="single" w:color="auto" w:sz="8" w:space="0"/>
              <w:left w:val="single" w:color="auto" w:sz="4" w:space="0"/>
              <w:bottom w:val="single" w:color="auto" w:sz="8" w:space="0"/>
              <w:right w:val="single" w:color="auto" w:sz="4" w:space="0"/>
            </w:tcBorders>
            <w:vAlign w:val="center"/>
          </w:tcPr>
          <w:p w14:paraId="731CF987">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外购</w:t>
            </w:r>
          </w:p>
        </w:tc>
      </w:tr>
      <w:tr w14:paraId="32FB2F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33E87820">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2</w:t>
            </w:r>
          </w:p>
        </w:tc>
        <w:tc>
          <w:tcPr>
            <w:tcW w:w="1022" w:type="pct"/>
            <w:tcBorders>
              <w:top w:val="single" w:color="auto" w:sz="8" w:space="0"/>
              <w:left w:val="single" w:color="auto" w:sz="8" w:space="0"/>
              <w:bottom w:val="single" w:color="auto" w:sz="8" w:space="0"/>
              <w:right w:val="single" w:color="auto" w:sz="8" w:space="0"/>
            </w:tcBorders>
            <w:vAlign w:val="center"/>
          </w:tcPr>
          <w:p w14:paraId="76113C2B">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纽扣、拉链、配件等</w:t>
            </w:r>
          </w:p>
        </w:tc>
        <w:tc>
          <w:tcPr>
            <w:tcW w:w="994" w:type="pct"/>
            <w:tcBorders>
              <w:top w:val="single" w:color="auto" w:sz="8" w:space="0"/>
              <w:left w:val="single" w:color="auto" w:sz="8" w:space="0"/>
              <w:bottom w:val="single" w:color="auto" w:sz="8" w:space="0"/>
              <w:right w:val="single" w:color="auto" w:sz="8" w:space="0"/>
            </w:tcBorders>
            <w:vAlign w:val="center"/>
          </w:tcPr>
          <w:p w14:paraId="5466286D">
            <w:pPr>
              <w:autoSpaceDE w:val="0"/>
              <w:autoSpaceDN w:val="0"/>
              <w:adjustRightInd w:val="0"/>
              <w:snapToGrid w:val="0"/>
              <w:spacing w:line="240" w:lineRule="auto"/>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45万套</w:t>
            </w:r>
          </w:p>
        </w:tc>
        <w:tc>
          <w:tcPr>
            <w:tcW w:w="1619" w:type="pct"/>
            <w:tcBorders>
              <w:left w:val="single" w:color="auto" w:sz="4" w:space="0"/>
              <w:right w:val="single" w:color="auto" w:sz="4" w:space="0"/>
            </w:tcBorders>
            <w:vAlign w:val="center"/>
          </w:tcPr>
          <w:p w14:paraId="37E4ED5E">
            <w:pPr>
              <w:autoSpaceDE w:val="0"/>
              <w:autoSpaceDN w:val="0"/>
              <w:adjustRightInd w:val="0"/>
              <w:snapToGrid w:val="0"/>
              <w:spacing w:line="240" w:lineRule="auto"/>
              <w:jc w:val="center"/>
              <w:rPr>
                <w:rFonts w:hint="eastAsia" w:ascii="Times New Roman" w:hAnsi="Times New Roman"/>
                <w:color w:val="auto"/>
                <w:kern w:val="0"/>
                <w:sz w:val="21"/>
                <w:lang w:val="en-US" w:eastAsia="zh-CN"/>
              </w:rPr>
            </w:pPr>
            <w:r>
              <w:rPr>
                <w:rFonts w:hint="eastAsia" w:ascii="Times New Roman" w:hAnsi="Times New Roman"/>
                <w:color w:val="auto"/>
                <w:kern w:val="0"/>
                <w:sz w:val="21"/>
                <w:lang w:val="en-US" w:eastAsia="zh-CN"/>
              </w:rPr>
              <w:t>储存于原料仓库</w:t>
            </w:r>
          </w:p>
        </w:tc>
        <w:tc>
          <w:tcPr>
            <w:tcW w:w="785" w:type="pct"/>
            <w:tcBorders>
              <w:top w:val="single" w:color="auto" w:sz="8" w:space="0"/>
              <w:left w:val="single" w:color="auto" w:sz="4" w:space="0"/>
              <w:bottom w:val="single" w:color="auto" w:sz="8" w:space="0"/>
              <w:right w:val="single" w:color="auto" w:sz="4" w:space="0"/>
            </w:tcBorders>
            <w:vAlign w:val="center"/>
          </w:tcPr>
          <w:p w14:paraId="0353B01A">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外购</w:t>
            </w:r>
          </w:p>
        </w:tc>
      </w:tr>
      <w:tr w14:paraId="0EB5B5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61795942">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3</w:t>
            </w:r>
          </w:p>
        </w:tc>
        <w:tc>
          <w:tcPr>
            <w:tcW w:w="1022" w:type="pct"/>
            <w:tcBorders>
              <w:top w:val="single" w:color="auto" w:sz="8" w:space="0"/>
              <w:left w:val="single" w:color="auto" w:sz="8" w:space="0"/>
              <w:bottom w:val="single" w:color="auto" w:sz="8" w:space="0"/>
              <w:right w:val="single" w:color="auto" w:sz="8" w:space="0"/>
            </w:tcBorders>
            <w:vAlign w:val="center"/>
          </w:tcPr>
          <w:p w14:paraId="50DB6BBC">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线</w:t>
            </w:r>
          </w:p>
        </w:tc>
        <w:tc>
          <w:tcPr>
            <w:tcW w:w="994" w:type="pct"/>
            <w:tcBorders>
              <w:top w:val="single" w:color="auto" w:sz="8" w:space="0"/>
              <w:left w:val="single" w:color="auto" w:sz="8" w:space="0"/>
              <w:bottom w:val="single" w:color="auto" w:sz="8" w:space="0"/>
              <w:right w:val="single" w:color="auto" w:sz="8" w:space="0"/>
            </w:tcBorders>
            <w:vAlign w:val="center"/>
          </w:tcPr>
          <w:p w14:paraId="403A04DD">
            <w:pPr>
              <w:autoSpaceDE w:val="0"/>
              <w:autoSpaceDN w:val="0"/>
              <w:adjustRightInd w:val="0"/>
              <w:snapToGrid w:val="0"/>
              <w:spacing w:line="240" w:lineRule="auto"/>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1.5吨/a</w:t>
            </w:r>
          </w:p>
        </w:tc>
        <w:tc>
          <w:tcPr>
            <w:tcW w:w="1619" w:type="pct"/>
            <w:tcBorders>
              <w:left w:val="single" w:color="auto" w:sz="4" w:space="0"/>
              <w:right w:val="single" w:color="auto" w:sz="4" w:space="0"/>
            </w:tcBorders>
            <w:vAlign w:val="center"/>
          </w:tcPr>
          <w:p w14:paraId="7EA78783">
            <w:pPr>
              <w:autoSpaceDE w:val="0"/>
              <w:autoSpaceDN w:val="0"/>
              <w:adjustRightInd w:val="0"/>
              <w:snapToGrid w:val="0"/>
              <w:spacing w:line="240" w:lineRule="auto"/>
              <w:jc w:val="center"/>
              <w:rPr>
                <w:rFonts w:hint="eastAsia" w:ascii="Times New Roman" w:hAnsi="Times New Roman"/>
                <w:color w:val="auto"/>
                <w:kern w:val="0"/>
                <w:sz w:val="21"/>
                <w:lang w:val="en-US" w:eastAsia="zh-CN"/>
              </w:rPr>
            </w:pPr>
            <w:r>
              <w:rPr>
                <w:rFonts w:hint="eastAsia" w:ascii="Times New Roman" w:hAnsi="Times New Roman"/>
                <w:color w:val="auto"/>
                <w:kern w:val="0"/>
                <w:sz w:val="21"/>
                <w:lang w:val="en-US" w:eastAsia="zh-CN"/>
              </w:rPr>
              <w:t>储存于原料仓库</w:t>
            </w:r>
          </w:p>
        </w:tc>
        <w:tc>
          <w:tcPr>
            <w:tcW w:w="785" w:type="pct"/>
            <w:tcBorders>
              <w:top w:val="single" w:color="auto" w:sz="8" w:space="0"/>
              <w:left w:val="single" w:color="auto" w:sz="4" w:space="0"/>
              <w:bottom w:val="single" w:color="auto" w:sz="8" w:space="0"/>
              <w:right w:val="single" w:color="auto" w:sz="4" w:space="0"/>
            </w:tcBorders>
            <w:vAlign w:val="center"/>
          </w:tcPr>
          <w:p w14:paraId="2CD2081E">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外购</w:t>
            </w:r>
          </w:p>
        </w:tc>
      </w:tr>
      <w:tr w14:paraId="67841D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0E2F1B90">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4</w:t>
            </w:r>
          </w:p>
        </w:tc>
        <w:tc>
          <w:tcPr>
            <w:tcW w:w="1022" w:type="pct"/>
            <w:tcBorders>
              <w:top w:val="single" w:color="auto" w:sz="8" w:space="0"/>
              <w:left w:val="single" w:color="auto" w:sz="8" w:space="0"/>
              <w:bottom w:val="single" w:color="auto" w:sz="8" w:space="0"/>
              <w:right w:val="single" w:color="auto" w:sz="8" w:space="0"/>
            </w:tcBorders>
            <w:vAlign w:val="center"/>
          </w:tcPr>
          <w:p w14:paraId="306CCB29">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包装材料</w:t>
            </w:r>
          </w:p>
        </w:tc>
        <w:tc>
          <w:tcPr>
            <w:tcW w:w="994" w:type="pct"/>
            <w:tcBorders>
              <w:top w:val="single" w:color="auto" w:sz="8" w:space="0"/>
              <w:left w:val="single" w:color="auto" w:sz="8" w:space="0"/>
              <w:bottom w:val="single" w:color="auto" w:sz="8" w:space="0"/>
              <w:right w:val="single" w:color="auto" w:sz="8" w:space="0"/>
            </w:tcBorders>
            <w:vAlign w:val="center"/>
          </w:tcPr>
          <w:p w14:paraId="6DD08476">
            <w:pPr>
              <w:autoSpaceDE w:val="0"/>
              <w:autoSpaceDN w:val="0"/>
              <w:adjustRightInd w:val="0"/>
              <w:snapToGrid w:val="0"/>
              <w:spacing w:line="240" w:lineRule="auto"/>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8吨/a</w:t>
            </w:r>
          </w:p>
        </w:tc>
        <w:tc>
          <w:tcPr>
            <w:tcW w:w="1619" w:type="pct"/>
            <w:tcBorders>
              <w:left w:val="single" w:color="auto" w:sz="4" w:space="0"/>
              <w:right w:val="single" w:color="auto" w:sz="4" w:space="0"/>
            </w:tcBorders>
            <w:vAlign w:val="center"/>
          </w:tcPr>
          <w:p w14:paraId="7AFEB965">
            <w:pPr>
              <w:autoSpaceDE w:val="0"/>
              <w:autoSpaceDN w:val="0"/>
              <w:adjustRightInd w:val="0"/>
              <w:snapToGrid w:val="0"/>
              <w:spacing w:line="240" w:lineRule="auto"/>
              <w:jc w:val="center"/>
              <w:rPr>
                <w:rFonts w:hint="eastAsia" w:ascii="Times New Roman" w:hAnsi="Times New Roman"/>
                <w:color w:val="auto"/>
                <w:kern w:val="0"/>
                <w:sz w:val="21"/>
                <w:lang w:val="en-US" w:eastAsia="zh-CN"/>
              </w:rPr>
            </w:pPr>
            <w:r>
              <w:rPr>
                <w:rFonts w:hint="eastAsia" w:ascii="Times New Roman" w:hAnsi="Times New Roman"/>
                <w:color w:val="auto"/>
                <w:kern w:val="0"/>
                <w:sz w:val="21"/>
                <w:lang w:val="en-US" w:eastAsia="zh-CN"/>
              </w:rPr>
              <w:t>储存于原料仓库</w:t>
            </w:r>
          </w:p>
        </w:tc>
        <w:tc>
          <w:tcPr>
            <w:tcW w:w="785" w:type="pct"/>
            <w:tcBorders>
              <w:top w:val="single" w:color="auto" w:sz="8" w:space="0"/>
              <w:left w:val="single" w:color="auto" w:sz="4" w:space="0"/>
              <w:bottom w:val="single" w:color="auto" w:sz="8" w:space="0"/>
              <w:right w:val="single" w:color="auto" w:sz="4" w:space="0"/>
            </w:tcBorders>
            <w:vAlign w:val="center"/>
          </w:tcPr>
          <w:p w14:paraId="7514DA53">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外购</w:t>
            </w:r>
          </w:p>
        </w:tc>
      </w:tr>
      <w:tr w14:paraId="2F2EDD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4"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7A8F4923">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5</w:t>
            </w:r>
          </w:p>
        </w:tc>
        <w:tc>
          <w:tcPr>
            <w:tcW w:w="1022" w:type="pct"/>
            <w:tcBorders>
              <w:top w:val="single" w:color="auto" w:sz="8" w:space="0"/>
              <w:left w:val="single" w:color="auto" w:sz="8" w:space="0"/>
              <w:bottom w:val="single" w:color="auto" w:sz="8" w:space="0"/>
              <w:right w:val="single" w:color="auto" w:sz="8" w:space="0"/>
            </w:tcBorders>
            <w:vAlign w:val="center"/>
          </w:tcPr>
          <w:p w14:paraId="6935C2EA">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电</w:t>
            </w:r>
          </w:p>
        </w:tc>
        <w:tc>
          <w:tcPr>
            <w:tcW w:w="994" w:type="pct"/>
            <w:tcBorders>
              <w:top w:val="single" w:color="auto" w:sz="8" w:space="0"/>
              <w:left w:val="single" w:color="auto" w:sz="8" w:space="0"/>
              <w:bottom w:val="single" w:color="auto" w:sz="8" w:space="0"/>
              <w:right w:val="single" w:color="auto" w:sz="8" w:space="0"/>
            </w:tcBorders>
            <w:vAlign w:val="center"/>
          </w:tcPr>
          <w:p w14:paraId="00D2D4F9">
            <w:pPr>
              <w:autoSpaceDE w:val="0"/>
              <w:autoSpaceDN w:val="0"/>
              <w:adjustRightInd w:val="0"/>
              <w:snapToGrid w:val="0"/>
              <w:spacing w:line="240" w:lineRule="auto"/>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100万kw.h/年</w:t>
            </w:r>
          </w:p>
        </w:tc>
        <w:tc>
          <w:tcPr>
            <w:tcW w:w="1619" w:type="pct"/>
            <w:tcBorders>
              <w:left w:val="single" w:color="auto" w:sz="4" w:space="0"/>
              <w:right w:val="single" w:color="auto" w:sz="4" w:space="0"/>
            </w:tcBorders>
            <w:vAlign w:val="center"/>
          </w:tcPr>
          <w:p w14:paraId="6F6ED0EA">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w:t>
            </w:r>
          </w:p>
        </w:tc>
        <w:tc>
          <w:tcPr>
            <w:tcW w:w="785" w:type="pct"/>
            <w:tcBorders>
              <w:top w:val="single" w:color="auto" w:sz="8" w:space="0"/>
              <w:left w:val="single" w:color="auto" w:sz="4" w:space="0"/>
              <w:bottom w:val="single" w:color="auto" w:sz="8" w:space="0"/>
              <w:right w:val="single" w:color="auto" w:sz="4" w:space="0"/>
            </w:tcBorders>
            <w:vAlign w:val="center"/>
          </w:tcPr>
          <w:p w14:paraId="619B0253">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国家电网</w:t>
            </w:r>
          </w:p>
        </w:tc>
      </w:tr>
      <w:tr w14:paraId="29AFE1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3B508E5D">
            <w:pPr>
              <w:autoSpaceDE w:val="0"/>
              <w:autoSpaceDN w:val="0"/>
              <w:adjustRightInd w:val="0"/>
              <w:snapToGrid w:val="0"/>
              <w:spacing w:line="240" w:lineRule="auto"/>
              <w:jc w:val="center"/>
              <w:rPr>
                <w:rFonts w:hint="default" w:ascii="Times New Roman" w:hAnsi="Times New Roman"/>
                <w:color w:val="auto"/>
                <w:kern w:val="0"/>
                <w:sz w:val="21"/>
                <w:highlight w:val="none"/>
                <w:lang w:val="en-US" w:eastAsia="zh-CN"/>
              </w:rPr>
            </w:pPr>
            <w:r>
              <w:rPr>
                <w:rFonts w:hint="eastAsia" w:ascii="Times New Roman" w:hAnsi="Times New Roman"/>
                <w:color w:val="auto"/>
                <w:kern w:val="0"/>
                <w:sz w:val="21"/>
                <w:highlight w:val="none"/>
                <w:lang w:val="en-US" w:eastAsia="zh-CN"/>
              </w:rPr>
              <w:t>6</w:t>
            </w:r>
          </w:p>
        </w:tc>
        <w:tc>
          <w:tcPr>
            <w:tcW w:w="1022" w:type="pct"/>
            <w:tcBorders>
              <w:top w:val="single" w:color="auto" w:sz="8" w:space="0"/>
              <w:left w:val="single" w:color="auto" w:sz="8" w:space="0"/>
              <w:bottom w:val="single" w:color="auto" w:sz="8" w:space="0"/>
              <w:right w:val="single" w:color="auto" w:sz="8" w:space="0"/>
            </w:tcBorders>
            <w:vAlign w:val="center"/>
          </w:tcPr>
          <w:p w14:paraId="41769FB7">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 w:val="21"/>
                <w:highlight w:val="none"/>
                <w:lang w:eastAsia="zh-CN"/>
              </w:rPr>
              <w:t>水</w:t>
            </w:r>
          </w:p>
        </w:tc>
        <w:tc>
          <w:tcPr>
            <w:tcW w:w="994" w:type="pct"/>
            <w:tcBorders>
              <w:top w:val="single" w:color="auto" w:sz="8" w:space="0"/>
              <w:left w:val="single" w:color="auto" w:sz="8" w:space="0"/>
              <w:bottom w:val="single" w:color="auto" w:sz="8" w:space="0"/>
              <w:right w:val="single" w:color="auto" w:sz="8" w:space="0"/>
            </w:tcBorders>
            <w:vAlign w:val="center"/>
          </w:tcPr>
          <w:p w14:paraId="1EE340C1">
            <w:pPr>
              <w:autoSpaceDE w:val="0"/>
              <w:autoSpaceDN w:val="0"/>
              <w:adjustRightInd w:val="0"/>
              <w:snapToGrid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72t/a</w:t>
            </w:r>
          </w:p>
        </w:tc>
        <w:tc>
          <w:tcPr>
            <w:tcW w:w="1619" w:type="pct"/>
            <w:tcBorders>
              <w:left w:val="single" w:color="auto" w:sz="4" w:space="0"/>
              <w:bottom w:val="single" w:color="auto" w:sz="8" w:space="0"/>
              <w:right w:val="single" w:color="auto" w:sz="4" w:space="0"/>
            </w:tcBorders>
            <w:vAlign w:val="center"/>
          </w:tcPr>
          <w:p w14:paraId="0035CC90">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w:t>
            </w:r>
          </w:p>
        </w:tc>
        <w:tc>
          <w:tcPr>
            <w:tcW w:w="785" w:type="pct"/>
            <w:tcBorders>
              <w:top w:val="single" w:color="auto" w:sz="8" w:space="0"/>
              <w:left w:val="single" w:color="auto" w:sz="4" w:space="0"/>
              <w:bottom w:val="single" w:color="auto" w:sz="8" w:space="0"/>
              <w:right w:val="single" w:color="auto" w:sz="4" w:space="0"/>
            </w:tcBorders>
            <w:vAlign w:val="center"/>
          </w:tcPr>
          <w:p w14:paraId="3A45FB10">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工业园区市政供应系统</w:t>
            </w:r>
          </w:p>
        </w:tc>
      </w:tr>
    </w:tbl>
    <w:p w14:paraId="2DA468FF">
      <w:pPr>
        <w:pStyle w:val="10"/>
        <w:adjustRightInd w:val="0"/>
        <w:snapToGrid w:val="0"/>
        <w:spacing w:beforeLines="50" w:after="0"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ascii="Times New Roman" w:hAnsi="Times New Roman" w:eastAsia="宋体" w:cs="Times New Roman"/>
          <w:color w:val="auto"/>
          <w:lang w:val="en-US" w:eastAsia="zh-CN"/>
        </w:rPr>
        <w:t>3现有</w:t>
      </w:r>
      <w:r>
        <w:rPr>
          <w:rFonts w:hint="default" w:ascii="Times New Roman" w:hAnsi="Times New Roman" w:eastAsia="宋体" w:cs="Times New Roman"/>
          <w:color w:val="auto"/>
        </w:rPr>
        <w:t>项目主要生产设备</w:t>
      </w:r>
      <w:bookmarkEnd w:id="203"/>
    </w:p>
    <w:p w14:paraId="27BC427A">
      <w:pPr>
        <w:adjustRightInd w:val="0"/>
        <w:snapToGrid w:val="0"/>
        <w:ind w:firstLine="480" w:firstLineChars="200"/>
        <w:jc w:val="left"/>
        <w:rPr>
          <w:rFonts w:hint="default" w:ascii="Times New Roman" w:hAnsi="Times New Roman" w:eastAsia="宋体" w:cs="Times New Roman"/>
          <w:color w:val="auto"/>
        </w:rPr>
      </w:pPr>
      <w:r>
        <w:rPr>
          <w:rFonts w:hint="eastAsia" w:ascii="Times New Roman" w:hAnsi="Times New Roman" w:cs="Times New Roman"/>
          <w:color w:val="auto"/>
          <w:lang w:eastAsia="zh-CN"/>
        </w:rPr>
        <w:t>现有</w:t>
      </w:r>
      <w:r>
        <w:rPr>
          <w:rFonts w:hint="default" w:ascii="Times New Roman" w:hAnsi="Times New Roman" w:eastAsia="宋体" w:cs="Times New Roman"/>
          <w:color w:val="auto"/>
        </w:rPr>
        <w:t>项目主要生产设备列表详见表2.</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-1。</w:t>
      </w:r>
    </w:p>
    <w:p w14:paraId="043910D3">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w:t>
      </w:r>
      <w:r>
        <w:rPr>
          <w:rFonts w:hint="eastAsia" w:ascii="Times New Roman" w:hAnsi="Times New Roman" w:cs="Times New Roman"/>
          <w:b/>
          <w:color w:val="auto"/>
          <w:lang w:val="en-US" w:eastAsia="zh-CN"/>
        </w:rPr>
        <w:t>3</w:t>
      </w:r>
      <w:r>
        <w:rPr>
          <w:rFonts w:hint="default" w:ascii="Times New Roman" w:hAnsi="Times New Roman" w:eastAsia="宋体" w:cs="Times New Roman"/>
          <w:b/>
          <w:color w:val="auto"/>
        </w:rPr>
        <w:t xml:space="preserve">-1 </w:t>
      </w:r>
      <w:r>
        <w:rPr>
          <w:rFonts w:hint="eastAsia" w:ascii="Times New Roman" w:hAnsi="Times New Roman" w:cs="Times New Roman"/>
          <w:b/>
          <w:color w:val="auto"/>
          <w:lang w:eastAsia="zh-CN"/>
        </w:rPr>
        <w:t>现有</w:t>
      </w:r>
      <w:r>
        <w:rPr>
          <w:rFonts w:hint="default" w:ascii="Times New Roman" w:hAnsi="Times New Roman" w:eastAsia="宋体" w:cs="Times New Roman"/>
          <w:b/>
          <w:color w:val="auto"/>
        </w:rPr>
        <w:t>项目主要生产设备一览表</w:t>
      </w:r>
    </w:p>
    <w:tbl>
      <w:tblPr>
        <w:tblStyle w:val="6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3261"/>
        <w:gridCol w:w="2358"/>
        <w:gridCol w:w="1086"/>
        <w:gridCol w:w="953"/>
      </w:tblGrid>
      <w:tr w14:paraId="27D5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4" w:type="dxa"/>
            <w:tcBorders>
              <w:top w:val="single" w:color="auto" w:sz="4" w:space="0"/>
              <w:left w:val="single" w:color="auto" w:sz="4" w:space="0"/>
              <w:bottom w:val="single" w:color="auto" w:sz="4" w:space="0"/>
              <w:right w:val="single" w:color="auto" w:sz="4" w:space="0"/>
            </w:tcBorders>
            <w:vAlign w:val="center"/>
          </w:tcPr>
          <w:p w14:paraId="0509454F">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3261" w:type="dxa"/>
            <w:tcBorders>
              <w:top w:val="single" w:color="auto" w:sz="4" w:space="0"/>
              <w:left w:val="single" w:color="auto" w:sz="4" w:space="0"/>
              <w:bottom w:val="single" w:color="auto" w:sz="4" w:space="0"/>
              <w:right w:val="single" w:color="auto" w:sz="4" w:space="0"/>
            </w:tcBorders>
            <w:vAlign w:val="center"/>
          </w:tcPr>
          <w:p w14:paraId="2021729C">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设备名称</w:t>
            </w:r>
          </w:p>
        </w:tc>
        <w:tc>
          <w:tcPr>
            <w:tcW w:w="2358" w:type="dxa"/>
            <w:tcBorders>
              <w:top w:val="single" w:color="auto" w:sz="4" w:space="0"/>
              <w:left w:val="single" w:color="auto" w:sz="4" w:space="0"/>
              <w:bottom w:val="single" w:color="auto" w:sz="4" w:space="0"/>
              <w:right w:val="single" w:color="auto" w:sz="4" w:space="0"/>
            </w:tcBorders>
            <w:vAlign w:val="center"/>
          </w:tcPr>
          <w:p w14:paraId="7DC6F3F7">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规格、型号</w:t>
            </w:r>
          </w:p>
        </w:tc>
        <w:tc>
          <w:tcPr>
            <w:tcW w:w="1086" w:type="dxa"/>
            <w:tcBorders>
              <w:top w:val="single" w:color="auto" w:sz="4" w:space="0"/>
              <w:left w:val="single" w:color="auto" w:sz="4" w:space="0"/>
              <w:bottom w:val="single" w:color="auto" w:sz="4" w:space="0"/>
              <w:right w:val="single" w:color="auto" w:sz="4" w:space="0"/>
            </w:tcBorders>
            <w:vAlign w:val="center"/>
          </w:tcPr>
          <w:p w14:paraId="3511BFF3">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单位</w:t>
            </w:r>
          </w:p>
        </w:tc>
        <w:tc>
          <w:tcPr>
            <w:tcW w:w="953" w:type="dxa"/>
            <w:tcBorders>
              <w:top w:val="single" w:color="auto" w:sz="4" w:space="0"/>
              <w:left w:val="single" w:color="auto" w:sz="4" w:space="0"/>
              <w:bottom w:val="single" w:color="auto" w:sz="4" w:space="0"/>
              <w:right w:val="single" w:color="auto" w:sz="4" w:space="0"/>
            </w:tcBorders>
            <w:vAlign w:val="center"/>
          </w:tcPr>
          <w:p w14:paraId="230FD92E">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数量</w:t>
            </w:r>
          </w:p>
        </w:tc>
      </w:tr>
      <w:tr w14:paraId="1E04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right w:val="single" w:color="auto" w:sz="4" w:space="0"/>
            </w:tcBorders>
            <w:vAlign w:val="center"/>
          </w:tcPr>
          <w:p w14:paraId="5780A7C9">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w:t>
            </w:r>
          </w:p>
        </w:tc>
        <w:tc>
          <w:tcPr>
            <w:tcW w:w="3261" w:type="dxa"/>
            <w:tcBorders>
              <w:top w:val="single" w:color="auto" w:sz="4" w:space="0"/>
              <w:left w:val="single" w:color="auto" w:sz="4" w:space="0"/>
              <w:right w:val="single" w:color="auto" w:sz="4" w:space="0"/>
            </w:tcBorders>
            <w:vAlign w:val="top"/>
          </w:tcPr>
          <w:p w14:paraId="420204A2">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电脑平缝机</w:t>
            </w:r>
          </w:p>
        </w:tc>
        <w:tc>
          <w:tcPr>
            <w:tcW w:w="2358" w:type="dxa"/>
            <w:tcBorders>
              <w:top w:val="single" w:color="auto" w:sz="4" w:space="0"/>
              <w:left w:val="single" w:color="auto" w:sz="4" w:space="0"/>
              <w:bottom w:val="single" w:color="auto" w:sz="4" w:space="0"/>
              <w:right w:val="single" w:color="auto" w:sz="4" w:space="0"/>
            </w:tcBorders>
            <w:vAlign w:val="top"/>
          </w:tcPr>
          <w:p w14:paraId="373325E8">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ZJ8000E-4DJ-G</w:t>
            </w:r>
          </w:p>
        </w:tc>
        <w:tc>
          <w:tcPr>
            <w:tcW w:w="1086" w:type="dxa"/>
            <w:tcBorders>
              <w:top w:val="single" w:color="auto" w:sz="4" w:space="0"/>
              <w:left w:val="single" w:color="auto" w:sz="4" w:space="0"/>
              <w:bottom w:val="single" w:color="auto" w:sz="4" w:space="0"/>
              <w:right w:val="single" w:color="auto" w:sz="4" w:space="0"/>
            </w:tcBorders>
            <w:vAlign w:val="top"/>
          </w:tcPr>
          <w:p w14:paraId="06C00E11">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4FF9D903">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w:t>
            </w:r>
          </w:p>
        </w:tc>
      </w:tr>
      <w:tr w14:paraId="075D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64" w:type="dxa"/>
            <w:tcBorders>
              <w:left w:val="single" w:color="auto" w:sz="4" w:space="0"/>
              <w:right w:val="single" w:color="auto" w:sz="4" w:space="0"/>
            </w:tcBorders>
            <w:vAlign w:val="center"/>
          </w:tcPr>
          <w:p w14:paraId="5D1E99B0">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2</w:t>
            </w:r>
          </w:p>
        </w:tc>
        <w:tc>
          <w:tcPr>
            <w:tcW w:w="3261" w:type="dxa"/>
            <w:tcBorders>
              <w:left w:val="single" w:color="auto" w:sz="4" w:space="0"/>
              <w:right w:val="single" w:color="auto" w:sz="4" w:space="0"/>
            </w:tcBorders>
            <w:vAlign w:val="top"/>
          </w:tcPr>
          <w:p w14:paraId="3550E7C0">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电脑平缝机</w:t>
            </w:r>
          </w:p>
        </w:tc>
        <w:tc>
          <w:tcPr>
            <w:tcW w:w="2358" w:type="dxa"/>
            <w:tcBorders>
              <w:top w:val="single" w:color="auto" w:sz="4" w:space="0"/>
              <w:left w:val="single" w:color="auto" w:sz="4" w:space="0"/>
              <w:bottom w:val="single" w:color="auto" w:sz="4" w:space="0"/>
              <w:right w:val="single" w:color="auto" w:sz="4" w:space="0"/>
            </w:tcBorders>
            <w:vAlign w:val="top"/>
          </w:tcPr>
          <w:p w14:paraId="235CF2B9">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ZJ9000DA-D5</w:t>
            </w:r>
          </w:p>
        </w:tc>
        <w:tc>
          <w:tcPr>
            <w:tcW w:w="1086" w:type="dxa"/>
            <w:tcBorders>
              <w:top w:val="single" w:color="auto" w:sz="4" w:space="0"/>
              <w:left w:val="single" w:color="auto" w:sz="4" w:space="0"/>
              <w:bottom w:val="single" w:color="auto" w:sz="4" w:space="0"/>
              <w:right w:val="single" w:color="auto" w:sz="4" w:space="0"/>
            </w:tcBorders>
            <w:vAlign w:val="top"/>
          </w:tcPr>
          <w:p w14:paraId="406F2796">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6EE1FA00">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p>
        </w:tc>
      </w:tr>
      <w:tr w14:paraId="408E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64" w:type="dxa"/>
            <w:tcBorders>
              <w:left w:val="single" w:color="auto" w:sz="4" w:space="0"/>
              <w:right w:val="single" w:color="auto" w:sz="4" w:space="0"/>
            </w:tcBorders>
            <w:vAlign w:val="center"/>
          </w:tcPr>
          <w:p w14:paraId="3B06B719">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3</w:t>
            </w:r>
          </w:p>
        </w:tc>
        <w:tc>
          <w:tcPr>
            <w:tcW w:w="3261" w:type="dxa"/>
            <w:tcBorders>
              <w:left w:val="single" w:color="auto" w:sz="4" w:space="0"/>
              <w:right w:val="single" w:color="auto" w:sz="4" w:space="0"/>
            </w:tcBorders>
            <w:vAlign w:val="top"/>
          </w:tcPr>
          <w:p w14:paraId="607D05C4">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三线包缝机</w:t>
            </w:r>
          </w:p>
        </w:tc>
        <w:tc>
          <w:tcPr>
            <w:tcW w:w="2358" w:type="dxa"/>
            <w:tcBorders>
              <w:top w:val="single" w:color="auto" w:sz="4" w:space="0"/>
              <w:left w:val="single" w:color="auto" w:sz="4" w:space="0"/>
              <w:bottom w:val="single" w:color="auto" w:sz="4" w:space="0"/>
              <w:right w:val="single" w:color="auto" w:sz="4" w:space="0"/>
            </w:tcBorders>
            <w:vAlign w:val="top"/>
          </w:tcPr>
          <w:p w14:paraId="37A24BCB">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ZJ893A-3-17</w:t>
            </w:r>
          </w:p>
        </w:tc>
        <w:tc>
          <w:tcPr>
            <w:tcW w:w="1086" w:type="dxa"/>
            <w:tcBorders>
              <w:top w:val="single" w:color="auto" w:sz="4" w:space="0"/>
              <w:left w:val="single" w:color="auto" w:sz="4" w:space="0"/>
              <w:bottom w:val="single" w:color="auto" w:sz="4" w:space="0"/>
              <w:right w:val="single" w:color="auto" w:sz="4" w:space="0"/>
            </w:tcBorders>
            <w:vAlign w:val="top"/>
          </w:tcPr>
          <w:p w14:paraId="68C0F28E">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0E137C46">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r>
      <w:tr w14:paraId="7B55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left w:val="single" w:color="auto" w:sz="4" w:space="0"/>
              <w:bottom w:val="single" w:color="auto" w:sz="4" w:space="0"/>
              <w:right w:val="single" w:color="auto" w:sz="4" w:space="0"/>
            </w:tcBorders>
            <w:vAlign w:val="center"/>
          </w:tcPr>
          <w:p w14:paraId="68F19336">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4</w:t>
            </w:r>
          </w:p>
        </w:tc>
        <w:tc>
          <w:tcPr>
            <w:tcW w:w="3261" w:type="dxa"/>
            <w:tcBorders>
              <w:left w:val="single" w:color="auto" w:sz="4" w:space="0"/>
              <w:bottom w:val="single" w:color="auto" w:sz="4" w:space="0"/>
              <w:right w:val="single" w:color="auto" w:sz="4" w:space="0"/>
            </w:tcBorders>
            <w:vAlign w:val="top"/>
          </w:tcPr>
          <w:p w14:paraId="394F9244">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五线包缝机</w:t>
            </w:r>
          </w:p>
        </w:tc>
        <w:tc>
          <w:tcPr>
            <w:tcW w:w="2358" w:type="dxa"/>
            <w:tcBorders>
              <w:top w:val="single" w:color="auto" w:sz="4" w:space="0"/>
              <w:left w:val="single" w:color="auto" w:sz="4" w:space="0"/>
              <w:bottom w:val="single" w:color="auto" w:sz="4" w:space="0"/>
              <w:right w:val="single" w:color="auto" w:sz="4" w:space="0"/>
            </w:tcBorders>
            <w:vAlign w:val="top"/>
          </w:tcPr>
          <w:p w14:paraId="6D26647E">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ZJ893-5-38</w:t>
            </w:r>
          </w:p>
        </w:tc>
        <w:tc>
          <w:tcPr>
            <w:tcW w:w="1086" w:type="dxa"/>
            <w:tcBorders>
              <w:top w:val="single" w:color="auto" w:sz="4" w:space="0"/>
              <w:left w:val="single" w:color="auto" w:sz="4" w:space="0"/>
              <w:bottom w:val="single" w:color="auto" w:sz="4" w:space="0"/>
              <w:right w:val="single" w:color="auto" w:sz="4" w:space="0"/>
            </w:tcBorders>
            <w:vAlign w:val="top"/>
          </w:tcPr>
          <w:p w14:paraId="62E381C7">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42FC7EBF">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r>
      <w:tr w14:paraId="4D20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34EEB44B">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5</w:t>
            </w:r>
          </w:p>
        </w:tc>
        <w:tc>
          <w:tcPr>
            <w:tcW w:w="3261" w:type="dxa"/>
            <w:tcBorders>
              <w:top w:val="single" w:color="auto" w:sz="4" w:space="0"/>
              <w:left w:val="single" w:color="auto" w:sz="4" w:space="0"/>
              <w:bottom w:val="single" w:color="auto" w:sz="4" w:space="0"/>
              <w:right w:val="single" w:color="auto" w:sz="4" w:space="0"/>
            </w:tcBorders>
            <w:vAlign w:val="top"/>
          </w:tcPr>
          <w:p w14:paraId="25AF4955">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切刀平缝机</w:t>
            </w:r>
          </w:p>
        </w:tc>
        <w:tc>
          <w:tcPr>
            <w:tcW w:w="2358" w:type="dxa"/>
            <w:tcBorders>
              <w:top w:val="single" w:color="auto" w:sz="4" w:space="0"/>
              <w:left w:val="single" w:color="auto" w:sz="4" w:space="0"/>
              <w:bottom w:val="single" w:color="auto" w:sz="4" w:space="0"/>
              <w:right w:val="single" w:color="auto" w:sz="4" w:space="0"/>
            </w:tcBorders>
            <w:vAlign w:val="top"/>
          </w:tcPr>
          <w:p w14:paraId="10A8EAE3">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ZJ5303A-W-BD</w:t>
            </w:r>
          </w:p>
        </w:tc>
        <w:tc>
          <w:tcPr>
            <w:tcW w:w="1086" w:type="dxa"/>
            <w:tcBorders>
              <w:top w:val="single" w:color="auto" w:sz="4" w:space="0"/>
              <w:left w:val="single" w:color="auto" w:sz="4" w:space="0"/>
              <w:bottom w:val="single" w:color="auto" w:sz="4" w:space="0"/>
              <w:right w:val="single" w:color="auto" w:sz="4" w:space="0"/>
            </w:tcBorders>
            <w:vAlign w:val="top"/>
          </w:tcPr>
          <w:p w14:paraId="2342F1FE">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4E55C5F8">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r>
      <w:tr w14:paraId="5CBE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43E962A4">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6</w:t>
            </w:r>
          </w:p>
        </w:tc>
        <w:tc>
          <w:tcPr>
            <w:tcW w:w="3261" w:type="dxa"/>
            <w:tcBorders>
              <w:top w:val="single" w:color="auto" w:sz="4" w:space="0"/>
              <w:left w:val="single" w:color="auto" w:sz="4" w:space="0"/>
              <w:bottom w:val="single" w:color="auto" w:sz="4" w:space="0"/>
              <w:right w:val="single" w:color="auto" w:sz="4" w:space="0"/>
            </w:tcBorders>
            <w:vAlign w:val="top"/>
          </w:tcPr>
          <w:p w14:paraId="5E6F0E55">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电子钉扣机</w:t>
            </w:r>
          </w:p>
        </w:tc>
        <w:tc>
          <w:tcPr>
            <w:tcW w:w="2358" w:type="dxa"/>
            <w:tcBorders>
              <w:top w:val="single" w:color="auto" w:sz="4" w:space="0"/>
              <w:left w:val="single" w:color="auto" w:sz="4" w:space="0"/>
              <w:bottom w:val="single" w:color="auto" w:sz="4" w:space="0"/>
              <w:right w:val="single" w:color="auto" w:sz="4" w:space="0"/>
            </w:tcBorders>
            <w:vAlign w:val="top"/>
          </w:tcPr>
          <w:p w14:paraId="7F857C68">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ZJ1903D-301</w:t>
            </w:r>
          </w:p>
        </w:tc>
        <w:tc>
          <w:tcPr>
            <w:tcW w:w="1086" w:type="dxa"/>
            <w:tcBorders>
              <w:top w:val="single" w:color="auto" w:sz="4" w:space="0"/>
              <w:left w:val="single" w:color="auto" w:sz="4" w:space="0"/>
              <w:bottom w:val="single" w:color="auto" w:sz="4" w:space="0"/>
              <w:right w:val="single" w:color="auto" w:sz="4" w:space="0"/>
            </w:tcBorders>
            <w:vAlign w:val="top"/>
          </w:tcPr>
          <w:p w14:paraId="1EEF0D70">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1AA85B5A">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p>
        </w:tc>
      </w:tr>
      <w:tr w14:paraId="3B86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5DC87854">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7</w:t>
            </w:r>
          </w:p>
        </w:tc>
        <w:tc>
          <w:tcPr>
            <w:tcW w:w="3261" w:type="dxa"/>
            <w:tcBorders>
              <w:top w:val="single" w:color="auto" w:sz="4" w:space="0"/>
              <w:left w:val="single" w:color="auto" w:sz="4" w:space="0"/>
              <w:bottom w:val="single" w:color="auto" w:sz="4" w:space="0"/>
              <w:right w:val="single" w:color="auto" w:sz="4" w:space="0"/>
            </w:tcBorders>
            <w:vAlign w:val="top"/>
          </w:tcPr>
          <w:p w14:paraId="7294B588">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电子套结机</w:t>
            </w:r>
          </w:p>
        </w:tc>
        <w:tc>
          <w:tcPr>
            <w:tcW w:w="2358" w:type="dxa"/>
            <w:tcBorders>
              <w:top w:val="single" w:color="auto" w:sz="4" w:space="0"/>
              <w:left w:val="single" w:color="auto" w:sz="4" w:space="0"/>
              <w:bottom w:val="single" w:color="auto" w:sz="4" w:space="0"/>
              <w:right w:val="single" w:color="auto" w:sz="4" w:space="0"/>
            </w:tcBorders>
            <w:vAlign w:val="top"/>
          </w:tcPr>
          <w:p w14:paraId="5D4E85B4">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ZJ-1900DSS</w:t>
            </w:r>
          </w:p>
        </w:tc>
        <w:tc>
          <w:tcPr>
            <w:tcW w:w="1086" w:type="dxa"/>
            <w:tcBorders>
              <w:top w:val="single" w:color="auto" w:sz="4" w:space="0"/>
              <w:left w:val="single" w:color="auto" w:sz="4" w:space="0"/>
              <w:bottom w:val="single" w:color="auto" w:sz="4" w:space="0"/>
              <w:right w:val="single" w:color="auto" w:sz="4" w:space="0"/>
            </w:tcBorders>
            <w:vAlign w:val="top"/>
          </w:tcPr>
          <w:p w14:paraId="56BC6152">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3AE6701F">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14:paraId="1D12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642B172A">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8</w:t>
            </w:r>
          </w:p>
        </w:tc>
        <w:tc>
          <w:tcPr>
            <w:tcW w:w="3261" w:type="dxa"/>
            <w:tcBorders>
              <w:top w:val="single" w:color="auto" w:sz="4" w:space="0"/>
              <w:left w:val="single" w:color="auto" w:sz="4" w:space="0"/>
              <w:bottom w:val="single" w:color="auto" w:sz="4" w:space="0"/>
              <w:right w:val="single" w:color="auto" w:sz="4" w:space="0"/>
            </w:tcBorders>
            <w:vAlign w:val="top"/>
          </w:tcPr>
          <w:p w14:paraId="697B0D7A">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平头锁眼机</w:t>
            </w:r>
          </w:p>
        </w:tc>
        <w:tc>
          <w:tcPr>
            <w:tcW w:w="2358" w:type="dxa"/>
            <w:tcBorders>
              <w:top w:val="single" w:color="auto" w:sz="4" w:space="0"/>
              <w:left w:val="single" w:color="auto" w:sz="4" w:space="0"/>
              <w:bottom w:val="single" w:color="auto" w:sz="4" w:space="0"/>
              <w:right w:val="single" w:color="auto" w:sz="4" w:space="0"/>
            </w:tcBorders>
            <w:vAlign w:val="top"/>
          </w:tcPr>
          <w:p w14:paraId="4D6863EA">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LBH-1790S</w:t>
            </w:r>
          </w:p>
        </w:tc>
        <w:tc>
          <w:tcPr>
            <w:tcW w:w="1086" w:type="dxa"/>
            <w:tcBorders>
              <w:top w:val="single" w:color="auto" w:sz="4" w:space="0"/>
              <w:left w:val="single" w:color="auto" w:sz="4" w:space="0"/>
              <w:bottom w:val="single" w:color="auto" w:sz="4" w:space="0"/>
              <w:right w:val="single" w:color="auto" w:sz="4" w:space="0"/>
            </w:tcBorders>
            <w:vAlign w:val="top"/>
          </w:tcPr>
          <w:p w14:paraId="310A29DD">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4767770F">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2</w:t>
            </w:r>
          </w:p>
        </w:tc>
      </w:tr>
      <w:tr w14:paraId="5F69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864" w:type="dxa"/>
            <w:tcBorders>
              <w:top w:val="single" w:color="auto" w:sz="4" w:space="0"/>
              <w:left w:val="single" w:color="auto" w:sz="4" w:space="0"/>
              <w:bottom w:val="single" w:color="auto" w:sz="4" w:space="0"/>
              <w:right w:val="single" w:color="auto" w:sz="4" w:space="0"/>
            </w:tcBorders>
            <w:vAlign w:val="center"/>
          </w:tcPr>
          <w:p w14:paraId="42BF6A1F">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9</w:t>
            </w:r>
          </w:p>
        </w:tc>
        <w:tc>
          <w:tcPr>
            <w:tcW w:w="3261" w:type="dxa"/>
            <w:tcBorders>
              <w:top w:val="single" w:color="auto" w:sz="4" w:space="0"/>
              <w:left w:val="single" w:color="auto" w:sz="4" w:space="0"/>
              <w:bottom w:val="single" w:color="auto" w:sz="4" w:space="0"/>
              <w:right w:val="single" w:color="auto" w:sz="4" w:space="0"/>
            </w:tcBorders>
            <w:vAlign w:val="top"/>
          </w:tcPr>
          <w:p w14:paraId="10809D50">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电剪</w:t>
            </w:r>
          </w:p>
        </w:tc>
        <w:tc>
          <w:tcPr>
            <w:tcW w:w="2358" w:type="dxa"/>
            <w:tcBorders>
              <w:top w:val="single" w:color="auto" w:sz="4" w:space="0"/>
              <w:left w:val="single" w:color="auto" w:sz="4" w:space="0"/>
              <w:bottom w:val="single" w:color="auto" w:sz="4" w:space="0"/>
              <w:right w:val="single" w:color="auto" w:sz="4" w:space="0"/>
            </w:tcBorders>
            <w:vAlign w:val="top"/>
          </w:tcPr>
          <w:p w14:paraId="27298557">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ZCD-160M</w:t>
            </w:r>
          </w:p>
        </w:tc>
        <w:tc>
          <w:tcPr>
            <w:tcW w:w="1086" w:type="dxa"/>
            <w:tcBorders>
              <w:top w:val="single" w:color="auto" w:sz="4" w:space="0"/>
              <w:left w:val="single" w:color="auto" w:sz="4" w:space="0"/>
              <w:bottom w:val="single" w:color="auto" w:sz="4" w:space="0"/>
              <w:right w:val="single" w:color="auto" w:sz="4" w:space="0"/>
            </w:tcBorders>
            <w:vAlign w:val="top"/>
          </w:tcPr>
          <w:p w14:paraId="4B5EDB28">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把</w:t>
            </w:r>
          </w:p>
        </w:tc>
        <w:tc>
          <w:tcPr>
            <w:tcW w:w="953" w:type="dxa"/>
            <w:tcBorders>
              <w:top w:val="single" w:color="auto" w:sz="4" w:space="0"/>
              <w:left w:val="single" w:color="auto" w:sz="4" w:space="0"/>
              <w:bottom w:val="single" w:color="auto" w:sz="4" w:space="0"/>
              <w:right w:val="single" w:color="auto" w:sz="4" w:space="0"/>
            </w:tcBorders>
            <w:vAlign w:val="top"/>
          </w:tcPr>
          <w:p w14:paraId="04A96CE8">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3</w:t>
            </w:r>
          </w:p>
        </w:tc>
      </w:tr>
      <w:tr w14:paraId="0432E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462A8477">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10</w:t>
            </w:r>
          </w:p>
        </w:tc>
        <w:tc>
          <w:tcPr>
            <w:tcW w:w="3261" w:type="dxa"/>
            <w:tcBorders>
              <w:top w:val="single" w:color="auto" w:sz="4" w:space="0"/>
              <w:left w:val="single" w:color="auto" w:sz="4" w:space="0"/>
              <w:bottom w:val="single" w:color="auto" w:sz="4" w:space="0"/>
              <w:right w:val="single" w:color="auto" w:sz="4" w:space="0"/>
            </w:tcBorders>
            <w:vAlign w:val="top"/>
          </w:tcPr>
          <w:p w14:paraId="2FC4EB61">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净裁机</w:t>
            </w:r>
          </w:p>
        </w:tc>
        <w:tc>
          <w:tcPr>
            <w:tcW w:w="2358" w:type="dxa"/>
            <w:tcBorders>
              <w:top w:val="single" w:color="auto" w:sz="4" w:space="0"/>
              <w:left w:val="single" w:color="auto" w:sz="4" w:space="0"/>
              <w:bottom w:val="single" w:color="auto" w:sz="4" w:space="0"/>
              <w:right w:val="single" w:color="auto" w:sz="4" w:space="0"/>
            </w:tcBorders>
            <w:vAlign w:val="top"/>
          </w:tcPr>
          <w:p w14:paraId="08CADF38">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K/A900</w:t>
            </w:r>
          </w:p>
        </w:tc>
        <w:tc>
          <w:tcPr>
            <w:tcW w:w="1086" w:type="dxa"/>
            <w:tcBorders>
              <w:top w:val="single" w:color="auto" w:sz="4" w:space="0"/>
              <w:left w:val="single" w:color="auto" w:sz="4" w:space="0"/>
              <w:bottom w:val="single" w:color="auto" w:sz="4" w:space="0"/>
              <w:right w:val="single" w:color="auto" w:sz="4" w:space="0"/>
            </w:tcBorders>
            <w:vAlign w:val="top"/>
          </w:tcPr>
          <w:p w14:paraId="11072002">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2E9C02C9">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w:t>
            </w:r>
          </w:p>
        </w:tc>
      </w:tr>
      <w:tr w14:paraId="1DB8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3087057E">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11</w:t>
            </w:r>
          </w:p>
        </w:tc>
        <w:tc>
          <w:tcPr>
            <w:tcW w:w="3261" w:type="dxa"/>
            <w:tcBorders>
              <w:top w:val="single" w:color="auto" w:sz="4" w:space="0"/>
              <w:left w:val="single" w:color="auto" w:sz="4" w:space="0"/>
              <w:bottom w:val="single" w:color="auto" w:sz="4" w:space="0"/>
              <w:right w:val="single" w:color="auto" w:sz="4" w:space="0"/>
            </w:tcBorders>
            <w:vAlign w:val="top"/>
          </w:tcPr>
          <w:p w14:paraId="2E4975BE">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粘合机</w:t>
            </w:r>
          </w:p>
        </w:tc>
        <w:tc>
          <w:tcPr>
            <w:tcW w:w="2358" w:type="dxa"/>
            <w:tcBorders>
              <w:top w:val="single" w:color="auto" w:sz="4" w:space="0"/>
              <w:left w:val="single" w:color="auto" w:sz="4" w:space="0"/>
              <w:bottom w:val="single" w:color="auto" w:sz="4" w:space="0"/>
              <w:right w:val="single" w:color="auto" w:sz="4" w:space="0"/>
            </w:tcBorders>
            <w:vAlign w:val="top"/>
          </w:tcPr>
          <w:p w14:paraId="36490FA4">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NHJ-900D</w:t>
            </w:r>
          </w:p>
        </w:tc>
        <w:tc>
          <w:tcPr>
            <w:tcW w:w="1086" w:type="dxa"/>
            <w:tcBorders>
              <w:top w:val="single" w:color="auto" w:sz="4" w:space="0"/>
              <w:left w:val="single" w:color="auto" w:sz="4" w:space="0"/>
              <w:bottom w:val="single" w:color="auto" w:sz="4" w:space="0"/>
              <w:right w:val="single" w:color="auto" w:sz="4" w:space="0"/>
            </w:tcBorders>
            <w:vAlign w:val="top"/>
          </w:tcPr>
          <w:p w14:paraId="01A2DA04">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09F0AC1D">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14:paraId="2B49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550980E2">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12</w:t>
            </w:r>
          </w:p>
        </w:tc>
        <w:tc>
          <w:tcPr>
            <w:tcW w:w="3261" w:type="dxa"/>
            <w:tcBorders>
              <w:top w:val="single" w:color="auto" w:sz="4" w:space="0"/>
              <w:left w:val="single" w:color="auto" w:sz="4" w:space="0"/>
              <w:bottom w:val="single" w:color="auto" w:sz="4" w:space="0"/>
              <w:right w:val="single" w:color="auto" w:sz="4" w:space="0"/>
            </w:tcBorders>
            <w:vAlign w:val="top"/>
          </w:tcPr>
          <w:p w14:paraId="1E5E335C">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锅炉烫台</w:t>
            </w:r>
          </w:p>
        </w:tc>
        <w:tc>
          <w:tcPr>
            <w:tcW w:w="2358" w:type="dxa"/>
            <w:tcBorders>
              <w:top w:val="single" w:color="auto" w:sz="4" w:space="0"/>
              <w:left w:val="single" w:color="auto" w:sz="4" w:space="0"/>
              <w:bottom w:val="single" w:color="auto" w:sz="4" w:space="0"/>
              <w:right w:val="single" w:color="auto" w:sz="4" w:space="0"/>
            </w:tcBorders>
            <w:vAlign w:val="top"/>
          </w:tcPr>
          <w:p w14:paraId="2EB26F0F">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SLZ-128A-3KW</w:t>
            </w:r>
          </w:p>
        </w:tc>
        <w:tc>
          <w:tcPr>
            <w:tcW w:w="1086" w:type="dxa"/>
            <w:tcBorders>
              <w:top w:val="single" w:color="auto" w:sz="4" w:space="0"/>
              <w:left w:val="single" w:color="auto" w:sz="4" w:space="0"/>
              <w:bottom w:val="single" w:color="auto" w:sz="4" w:space="0"/>
              <w:right w:val="single" w:color="auto" w:sz="4" w:space="0"/>
            </w:tcBorders>
            <w:vAlign w:val="top"/>
          </w:tcPr>
          <w:p w14:paraId="104978F2">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4893292A">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42</w:t>
            </w:r>
          </w:p>
        </w:tc>
      </w:tr>
      <w:tr w14:paraId="30AE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6F57EC97">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13</w:t>
            </w:r>
          </w:p>
        </w:tc>
        <w:tc>
          <w:tcPr>
            <w:tcW w:w="3261" w:type="dxa"/>
            <w:tcBorders>
              <w:top w:val="single" w:color="auto" w:sz="4" w:space="0"/>
              <w:left w:val="single" w:color="auto" w:sz="4" w:space="0"/>
              <w:bottom w:val="single" w:color="auto" w:sz="4" w:space="0"/>
              <w:right w:val="single" w:color="auto" w:sz="4" w:space="0"/>
            </w:tcBorders>
            <w:vAlign w:val="top"/>
          </w:tcPr>
          <w:p w14:paraId="2B333899">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自动模板机</w:t>
            </w:r>
          </w:p>
        </w:tc>
        <w:tc>
          <w:tcPr>
            <w:tcW w:w="2358" w:type="dxa"/>
            <w:tcBorders>
              <w:top w:val="single" w:color="auto" w:sz="4" w:space="0"/>
              <w:left w:val="single" w:color="auto" w:sz="4" w:space="0"/>
              <w:bottom w:val="single" w:color="auto" w:sz="4" w:space="0"/>
              <w:right w:val="single" w:color="auto" w:sz="4" w:space="0"/>
            </w:tcBorders>
            <w:vAlign w:val="top"/>
          </w:tcPr>
          <w:p w14:paraId="400526FD">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ZJ-M5-S800H-SF</w:t>
            </w:r>
          </w:p>
        </w:tc>
        <w:tc>
          <w:tcPr>
            <w:tcW w:w="1086" w:type="dxa"/>
            <w:tcBorders>
              <w:top w:val="single" w:color="auto" w:sz="4" w:space="0"/>
              <w:left w:val="single" w:color="auto" w:sz="4" w:space="0"/>
              <w:bottom w:val="single" w:color="auto" w:sz="4" w:space="0"/>
              <w:right w:val="single" w:color="auto" w:sz="4" w:space="0"/>
            </w:tcBorders>
            <w:vAlign w:val="top"/>
          </w:tcPr>
          <w:p w14:paraId="2039CF4D">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0AF842E9">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4</w:t>
            </w:r>
          </w:p>
        </w:tc>
      </w:tr>
      <w:tr w14:paraId="688E2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511BBE94">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14</w:t>
            </w:r>
          </w:p>
        </w:tc>
        <w:tc>
          <w:tcPr>
            <w:tcW w:w="3261" w:type="dxa"/>
            <w:tcBorders>
              <w:top w:val="single" w:color="auto" w:sz="4" w:space="0"/>
              <w:left w:val="single" w:color="auto" w:sz="4" w:space="0"/>
              <w:bottom w:val="single" w:color="auto" w:sz="4" w:space="0"/>
              <w:right w:val="single" w:color="auto" w:sz="4" w:space="0"/>
            </w:tcBorders>
            <w:vAlign w:val="top"/>
          </w:tcPr>
          <w:p w14:paraId="206B90E9">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博克服装CAD软件</w:t>
            </w:r>
          </w:p>
        </w:tc>
        <w:tc>
          <w:tcPr>
            <w:tcW w:w="2358" w:type="dxa"/>
            <w:tcBorders>
              <w:top w:val="single" w:color="auto" w:sz="4" w:space="0"/>
              <w:left w:val="single" w:color="auto" w:sz="4" w:space="0"/>
              <w:bottom w:val="single" w:color="auto" w:sz="4" w:space="0"/>
              <w:right w:val="single" w:color="auto" w:sz="4" w:space="0"/>
            </w:tcBorders>
            <w:vAlign w:val="top"/>
          </w:tcPr>
          <w:p w14:paraId="55B9D09D">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V18.8</w:t>
            </w:r>
          </w:p>
        </w:tc>
        <w:tc>
          <w:tcPr>
            <w:tcW w:w="1086" w:type="dxa"/>
            <w:tcBorders>
              <w:top w:val="single" w:color="auto" w:sz="4" w:space="0"/>
              <w:left w:val="single" w:color="auto" w:sz="4" w:space="0"/>
              <w:bottom w:val="single" w:color="auto" w:sz="4" w:space="0"/>
              <w:right w:val="single" w:color="auto" w:sz="4" w:space="0"/>
            </w:tcBorders>
            <w:vAlign w:val="top"/>
          </w:tcPr>
          <w:p w14:paraId="059B3241">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64AD6C60">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p>
        </w:tc>
      </w:tr>
      <w:tr w14:paraId="3D77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Borders>
              <w:top w:val="single" w:color="auto" w:sz="4" w:space="0"/>
              <w:left w:val="single" w:color="auto" w:sz="4" w:space="0"/>
              <w:bottom w:val="single" w:color="auto" w:sz="4" w:space="0"/>
              <w:right w:val="single" w:color="auto" w:sz="4" w:space="0"/>
            </w:tcBorders>
            <w:vAlign w:val="center"/>
          </w:tcPr>
          <w:p w14:paraId="3F159363">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15</w:t>
            </w:r>
          </w:p>
        </w:tc>
        <w:tc>
          <w:tcPr>
            <w:tcW w:w="3261" w:type="dxa"/>
            <w:tcBorders>
              <w:top w:val="single" w:color="auto" w:sz="4" w:space="0"/>
              <w:left w:val="single" w:color="auto" w:sz="4" w:space="0"/>
              <w:bottom w:val="single" w:color="auto" w:sz="4" w:space="0"/>
              <w:right w:val="single" w:color="auto" w:sz="4" w:space="0"/>
            </w:tcBorders>
            <w:vAlign w:val="top"/>
          </w:tcPr>
          <w:p w14:paraId="49181ABE">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模板切割机</w:t>
            </w:r>
          </w:p>
        </w:tc>
        <w:tc>
          <w:tcPr>
            <w:tcW w:w="2358" w:type="dxa"/>
            <w:tcBorders>
              <w:top w:val="single" w:color="auto" w:sz="4" w:space="0"/>
              <w:left w:val="single" w:color="auto" w:sz="4" w:space="0"/>
              <w:bottom w:val="single" w:color="auto" w:sz="4" w:space="0"/>
              <w:right w:val="single" w:color="auto" w:sz="4" w:space="0"/>
            </w:tcBorders>
            <w:vAlign w:val="top"/>
          </w:tcPr>
          <w:p w14:paraId="6C76C46E">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RC02-1509</w:t>
            </w:r>
          </w:p>
        </w:tc>
        <w:tc>
          <w:tcPr>
            <w:tcW w:w="1086" w:type="dxa"/>
            <w:tcBorders>
              <w:top w:val="single" w:color="auto" w:sz="4" w:space="0"/>
              <w:left w:val="single" w:color="auto" w:sz="4" w:space="0"/>
              <w:bottom w:val="single" w:color="auto" w:sz="4" w:space="0"/>
              <w:right w:val="single" w:color="auto" w:sz="4" w:space="0"/>
            </w:tcBorders>
            <w:vAlign w:val="top"/>
          </w:tcPr>
          <w:p w14:paraId="6DCA3941">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tcBorders>
              <w:top w:val="single" w:color="auto" w:sz="4" w:space="0"/>
              <w:left w:val="single" w:color="auto" w:sz="4" w:space="0"/>
              <w:bottom w:val="single" w:color="auto" w:sz="4" w:space="0"/>
              <w:right w:val="single" w:color="auto" w:sz="4" w:space="0"/>
            </w:tcBorders>
            <w:vAlign w:val="top"/>
          </w:tcPr>
          <w:p w14:paraId="65687D1C">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28D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4B7FC5C6">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16</w:t>
            </w:r>
          </w:p>
        </w:tc>
        <w:tc>
          <w:tcPr>
            <w:tcW w:w="3261" w:type="dxa"/>
            <w:vAlign w:val="top"/>
          </w:tcPr>
          <w:p w14:paraId="33521CA9">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平板切割机</w:t>
            </w:r>
          </w:p>
        </w:tc>
        <w:tc>
          <w:tcPr>
            <w:tcW w:w="2358" w:type="dxa"/>
            <w:vAlign w:val="top"/>
          </w:tcPr>
          <w:p w14:paraId="1BB5AAD8">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BK1512</w:t>
            </w:r>
          </w:p>
        </w:tc>
        <w:tc>
          <w:tcPr>
            <w:tcW w:w="1086" w:type="dxa"/>
            <w:vAlign w:val="top"/>
          </w:tcPr>
          <w:p w14:paraId="4794018A">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vAlign w:val="top"/>
          </w:tcPr>
          <w:p w14:paraId="729C463E">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5E40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4794F8B0">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17</w:t>
            </w:r>
          </w:p>
        </w:tc>
        <w:tc>
          <w:tcPr>
            <w:tcW w:w="3261" w:type="dxa"/>
            <w:vAlign w:val="top"/>
          </w:tcPr>
          <w:p w14:paraId="3AD31DA1">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喷墨绘图仪</w:t>
            </w:r>
          </w:p>
        </w:tc>
        <w:tc>
          <w:tcPr>
            <w:tcW w:w="2358" w:type="dxa"/>
            <w:vAlign w:val="top"/>
          </w:tcPr>
          <w:p w14:paraId="1A34F425">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BK-185-Ⅱ</w:t>
            </w:r>
          </w:p>
        </w:tc>
        <w:tc>
          <w:tcPr>
            <w:tcW w:w="1086" w:type="dxa"/>
            <w:vAlign w:val="top"/>
          </w:tcPr>
          <w:p w14:paraId="6318B26E">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vAlign w:val="top"/>
          </w:tcPr>
          <w:p w14:paraId="3E0FA126">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F41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1EAE29DB">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18</w:t>
            </w:r>
          </w:p>
        </w:tc>
        <w:tc>
          <w:tcPr>
            <w:tcW w:w="3261" w:type="dxa"/>
            <w:vAlign w:val="top"/>
          </w:tcPr>
          <w:p w14:paraId="10A4ED8E">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锅炉烫台</w:t>
            </w:r>
          </w:p>
        </w:tc>
        <w:tc>
          <w:tcPr>
            <w:tcW w:w="2358" w:type="dxa"/>
            <w:vAlign w:val="top"/>
          </w:tcPr>
          <w:p w14:paraId="1A67A899">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SLZ-128A-6KW</w:t>
            </w:r>
          </w:p>
        </w:tc>
        <w:tc>
          <w:tcPr>
            <w:tcW w:w="1086" w:type="dxa"/>
            <w:vAlign w:val="top"/>
          </w:tcPr>
          <w:p w14:paraId="76794A0F">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vAlign w:val="top"/>
          </w:tcPr>
          <w:p w14:paraId="3AA6680E">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r>
      <w:tr w14:paraId="0BD2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55D36F98">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19</w:t>
            </w:r>
          </w:p>
        </w:tc>
        <w:tc>
          <w:tcPr>
            <w:tcW w:w="3261" w:type="dxa"/>
            <w:vAlign w:val="top"/>
          </w:tcPr>
          <w:p w14:paraId="37B035EC">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五线包缝机</w:t>
            </w:r>
          </w:p>
        </w:tc>
        <w:tc>
          <w:tcPr>
            <w:tcW w:w="2358" w:type="dxa"/>
            <w:vAlign w:val="top"/>
          </w:tcPr>
          <w:p w14:paraId="439EB921">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HX6816TDV-03BD/AK</w:t>
            </w:r>
          </w:p>
        </w:tc>
        <w:tc>
          <w:tcPr>
            <w:tcW w:w="1086" w:type="dxa"/>
            <w:vAlign w:val="top"/>
          </w:tcPr>
          <w:p w14:paraId="591BFABB">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vAlign w:val="top"/>
          </w:tcPr>
          <w:p w14:paraId="10BE8045">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356D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7E600385">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20</w:t>
            </w:r>
          </w:p>
        </w:tc>
        <w:tc>
          <w:tcPr>
            <w:tcW w:w="3261" w:type="dxa"/>
            <w:vAlign w:val="top"/>
          </w:tcPr>
          <w:p w14:paraId="20544304">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威士自动锁眼机</w:t>
            </w:r>
          </w:p>
        </w:tc>
        <w:tc>
          <w:tcPr>
            <w:tcW w:w="2358" w:type="dxa"/>
            <w:vAlign w:val="top"/>
          </w:tcPr>
          <w:p w14:paraId="71288E57">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ASF-B01</w:t>
            </w:r>
          </w:p>
        </w:tc>
        <w:tc>
          <w:tcPr>
            <w:tcW w:w="1086" w:type="dxa"/>
            <w:vAlign w:val="top"/>
          </w:tcPr>
          <w:p w14:paraId="4F2C4330">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vAlign w:val="top"/>
          </w:tcPr>
          <w:p w14:paraId="56E52D9C">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14:paraId="40FB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34293CBC">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21</w:t>
            </w:r>
          </w:p>
        </w:tc>
        <w:tc>
          <w:tcPr>
            <w:tcW w:w="3261" w:type="dxa"/>
            <w:vAlign w:val="top"/>
          </w:tcPr>
          <w:p w14:paraId="11F74599">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自动钉扣机</w:t>
            </w:r>
          </w:p>
        </w:tc>
        <w:tc>
          <w:tcPr>
            <w:tcW w:w="2358" w:type="dxa"/>
            <w:vAlign w:val="top"/>
          </w:tcPr>
          <w:p w14:paraId="03B4F013">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ASK-B</w:t>
            </w:r>
          </w:p>
        </w:tc>
        <w:tc>
          <w:tcPr>
            <w:tcW w:w="1086" w:type="dxa"/>
            <w:vAlign w:val="top"/>
          </w:tcPr>
          <w:p w14:paraId="6455F605">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vAlign w:val="top"/>
          </w:tcPr>
          <w:p w14:paraId="28C08991">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r>
      <w:tr w14:paraId="0D02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410485EA">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22</w:t>
            </w:r>
          </w:p>
        </w:tc>
        <w:tc>
          <w:tcPr>
            <w:tcW w:w="3261" w:type="dxa"/>
            <w:vAlign w:val="top"/>
          </w:tcPr>
          <w:p w14:paraId="35C106D7">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直驱微油双针</w:t>
            </w:r>
          </w:p>
        </w:tc>
        <w:tc>
          <w:tcPr>
            <w:tcW w:w="2358" w:type="dxa"/>
            <w:vAlign w:val="top"/>
          </w:tcPr>
          <w:p w14:paraId="38B2C8DB">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ZJ2845A-BD</w:t>
            </w:r>
          </w:p>
        </w:tc>
        <w:tc>
          <w:tcPr>
            <w:tcW w:w="1086" w:type="dxa"/>
            <w:vAlign w:val="top"/>
          </w:tcPr>
          <w:p w14:paraId="2EABE94E">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台</w:t>
            </w:r>
          </w:p>
        </w:tc>
        <w:tc>
          <w:tcPr>
            <w:tcW w:w="953" w:type="dxa"/>
            <w:vAlign w:val="top"/>
          </w:tcPr>
          <w:p w14:paraId="7B3A9462">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19A36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62004607">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lang w:val="en-US" w:eastAsia="zh-CN"/>
              </w:rPr>
              <w:t>23</w:t>
            </w:r>
          </w:p>
        </w:tc>
        <w:tc>
          <w:tcPr>
            <w:tcW w:w="3261" w:type="dxa"/>
            <w:vAlign w:val="top"/>
          </w:tcPr>
          <w:p w14:paraId="4DF50173">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活塞空压机</w:t>
            </w:r>
          </w:p>
        </w:tc>
        <w:tc>
          <w:tcPr>
            <w:tcW w:w="2358" w:type="dxa"/>
            <w:vAlign w:val="top"/>
          </w:tcPr>
          <w:p w14:paraId="3730BE1F">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86" w:type="dxa"/>
            <w:vAlign w:val="top"/>
          </w:tcPr>
          <w:p w14:paraId="2450A3CC">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台</w:t>
            </w:r>
          </w:p>
        </w:tc>
        <w:tc>
          <w:tcPr>
            <w:tcW w:w="953" w:type="dxa"/>
            <w:vAlign w:val="top"/>
          </w:tcPr>
          <w:p w14:paraId="311483C6">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bl>
    <w:p w14:paraId="545A63FC">
      <w:pPr>
        <w:pStyle w:val="10"/>
        <w:adjustRightInd w:val="0"/>
        <w:snapToGrid w:val="0"/>
        <w:spacing w:beforeLines="50" w:after="0" w:line="360" w:lineRule="auto"/>
        <w:rPr>
          <w:rFonts w:hint="default" w:ascii="Times New Roman" w:hAnsi="Times New Roman" w:eastAsia="宋体" w:cs="Times New Roman"/>
          <w:color w:val="auto"/>
        </w:rPr>
      </w:pPr>
      <w:bookmarkStart w:id="206" w:name="_Toc6924"/>
      <w:r>
        <w:rPr>
          <w:rFonts w:hint="default" w:ascii="Times New Roman" w:hAnsi="Times New Roman" w:eastAsia="宋体" w:cs="Times New Roman"/>
          <w:color w:val="auto"/>
          <w:lang w:eastAsia="zh-CN"/>
        </w:rPr>
        <w:t>2</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4现有项目</w:t>
      </w:r>
      <w:r>
        <w:rPr>
          <w:rFonts w:hint="default" w:ascii="Times New Roman" w:hAnsi="Times New Roman" w:eastAsia="宋体" w:cs="Times New Roman"/>
          <w:color w:val="auto"/>
        </w:rPr>
        <w:t>公用工程</w:t>
      </w:r>
      <w:bookmarkEnd w:id="206"/>
    </w:p>
    <w:p w14:paraId="317ECA12">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w:t>
      </w:r>
      <w:r>
        <w:rPr>
          <w:rFonts w:hint="eastAsia" w:ascii="Times New Roman" w:hAnsi="Times New Roman"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.1</w:t>
      </w:r>
      <w:r>
        <w:rPr>
          <w:rFonts w:hint="eastAsia" w:ascii="Times New Roman" w:hAnsi="Times New Roman" w:cs="Times New Roman"/>
          <w:color w:val="auto"/>
          <w:sz w:val="28"/>
          <w:szCs w:val="28"/>
          <w:lang w:val="en-US" w:eastAsia="zh-CN"/>
        </w:rPr>
        <w:t>现有项目</w:t>
      </w:r>
      <w:r>
        <w:rPr>
          <w:rFonts w:hint="default" w:ascii="Times New Roman" w:hAnsi="Times New Roman" w:eastAsia="宋体" w:cs="Times New Roman"/>
          <w:color w:val="auto"/>
          <w:sz w:val="28"/>
          <w:szCs w:val="28"/>
          <w:lang w:val="en-US" w:eastAsia="zh-CN"/>
        </w:rPr>
        <w:t>给水、排水工程</w:t>
      </w:r>
    </w:p>
    <w:p w14:paraId="67E02A25">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（1）给水工程</w:t>
      </w:r>
    </w:p>
    <w:p w14:paraId="47C48383">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cs="Times New Roman"/>
          <w:color w:val="auto"/>
          <w:sz w:val="24"/>
          <w:lang w:eastAsia="zh-CN"/>
        </w:rPr>
        <w:t>现有</w:t>
      </w:r>
      <w:r>
        <w:rPr>
          <w:rFonts w:hint="default" w:ascii="Times New Roman" w:hAnsi="Times New Roman" w:eastAsia="宋体" w:cs="Times New Roman"/>
          <w:color w:val="auto"/>
          <w:sz w:val="24"/>
        </w:rPr>
        <w:t>项目的供水依托工业园区市政供应系统供给，分别作为生活用水以及消防用水的水源。</w:t>
      </w:r>
    </w:p>
    <w:p w14:paraId="6DDBAFAB">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w:t>
      </w:r>
      <w:r>
        <w:rPr>
          <w:rFonts w:hint="eastAsia" w:ascii="Times New Roman" w:hAnsi="Times New Roman" w:cs="Times New Roman"/>
          <w:b/>
          <w:color w:val="auto"/>
          <w:sz w:val="24"/>
          <w:lang w:eastAsia="zh-CN"/>
        </w:rPr>
        <w:t>现有项目</w:t>
      </w:r>
      <w:r>
        <w:rPr>
          <w:rFonts w:hint="default" w:ascii="Times New Roman" w:hAnsi="Times New Roman" w:eastAsia="宋体" w:cs="Times New Roman"/>
          <w:b/>
          <w:color w:val="auto"/>
          <w:sz w:val="24"/>
        </w:rPr>
        <w:t>排水工程</w:t>
      </w:r>
    </w:p>
    <w:p w14:paraId="3E4BE0CE">
      <w:pPr>
        <w:spacing w:line="360" w:lineRule="auto"/>
        <w:ind w:firstLine="480" w:firstLineChars="200"/>
        <w:rPr>
          <w:rFonts w:hint="default" w:ascii="Times New Roman" w:hAnsi="Times New Roman" w:eastAsia="宋体" w:cs="Times New Roman"/>
          <w:iCs/>
          <w:color w:val="auto"/>
          <w:sz w:val="24"/>
        </w:rPr>
      </w:pPr>
      <w:r>
        <w:rPr>
          <w:rFonts w:hint="eastAsia" w:ascii="Times New Roman" w:hAnsi="Times New Roman" w:cs="Times New Roman"/>
          <w:snapToGrid w:val="0"/>
          <w:color w:val="auto"/>
          <w:sz w:val="24"/>
          <w:lang w:eastAsia="zh-CN"/>
        </w:rPr>
        <w:t>现有项目</w:t>
      </w:r>
      <w:r>
        <w:rPr>
          <w:rFonts w:hint="default" w:ascii="Times New Roman" w:hAnsi="Times New Roman" w:eastAsia="宋体" w:cs="Times New Roman"/>
          <w:snapToGrid w:val="0"/>
          <w:color w:val="auto"/>
          <w:sz w:val="24"/>
        </w:rPr>
        <w:t>厂区排水采用雨污分流制。 雨水、排入厂区雨水管网，汇总后排入工业园区市政雨水管网。</w:t>
      </w:r>
    </w:p>
    <w:p w14:paraId="35A5445E">
      <w:pPr>
        <w:pStyle w:val="603"/>
        <w:spacing w:after="120"/>
        <w:ind w:firstLine="480" w:firstLineChars="200"/>
        <w:rPr>
          <w:rFonts w:hint="default" w:ascii="Times New Roman" w:hAnsi="Times New Roman" w:eastAsia="宋体" w:cs="Times New Roman"/>
          <w:color w:val="auto"/>
          <w:kern w:val="10"/>
          <w:sz w:val="24"/>
        </w:rPr>
      </w:pPr>
      <w:r>
        <w:rPr>
          <w:rFonts w:hint="eastAsia" w:ascii="Times New Roman" w:hAnsi="Times New Roman" w:cs="Times New Roman"/>
          <w:color w:val="auto"/>
          <w:sz w:val="24"/>
          <w:lang w:eastAsia="zh-CN"/>
        </w:rPr>
        <w:t>现有项目</w:t>
      </w:r>
      <w:r>
        <w:rPr>
          <w:rFonts w:hint="default" w:ascii="Times New Roman" w:hAnsi="Times New Roman" w:eastAsia="宋体" w:cs="Times New Roman"/>
          <w:color w:val="auto"/>
          <w:sz w:val="24"/>
        </w:rPr>
        <w:t>运营期</w:t>
      </w:r>
      <w:r>
        <w:rPr>
          <w:rFonts w:hint="eastAsia" w:ascii="Times New Roman" w:hAnsi="Times New Roman" w:cs="Times New Roman"/>
          <w:color w:val="auto"/>
          <w:sz w:val="24"/>
          <w:lang w:eastAsia="zh-CN"/>
        </w:rPr>
        <w:t>不</w:t>
      </w:r>
      <w:r>
        <w:rPr>
          <w:rFonts w:hint="default" w:ascii="Times New Roman" w:hAnsi="Times New Roman" w:eastAsia="宋体" w:cs="Times New Roman"/>
          <w:color w:val="auto"/>
          <w:sz w:val="24"/>
        </w:rPr>
        <w:t>产生生产废水</w:t>
      </w:r>
      <w:r>
        <w:rPr>
          <w:rFonts w:hint="default" w:ascii="Times New Roman" w:hAnsi="Times New Roman" w:eastAsia="宋体" w:cs="Times New Roman"/>
          <w:color w:val="auto"/>
          <w:sz w:val="24"/>
          <w:lang w:eastAsia="zh-CN"/>
        </w:rPr>
        <w:t>，生活污水经隔油池化粪池处理后排入园区污水管网</w:t>
      </w:r>
      <w:r>
        <w:rPr>
          <w:rFonts w:hint="default" w:ascii="Times New Roman" w:hAnsi="Times New Roman" w:eastAsia="宋体" w:cs="Times New Roman"/>
          <w:color w:val="auto"/>
          <w:sz w:val="24"/>
        </w:rPr>
        <w:t>，外排废水执行</w:t>
      </w:r>
      <w:r>
        <w:rPr>
          <w:rFonts w:hint="default" w:ascii="Times New Roman" w:hAnsi="Times New Roman" w:eastAsia="宋体" w:cs="Times New Roman"/>
          <w:color w:val="auto"/>
          <w:kern w:val="10"/>
          <w:sz w:val="24"/>
        </w:rPr>
        <w:t>《污水综合排放标准》（GB8978-1996）中三级标准和《污水排入城镇下水道水质标准》（GB/T31962-2015）表1中B级标准。</w:t>
      </w:r>
    </w:p>
    <w:p w14:paraId="661A8527">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w:t>
      </w:r>
      <w:r>
        <w:rPr>
          <w:rFonts w:hint="eastAsia" w:ascii="Times New Roman" w:hAnsi="Times New Roman"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.2</w:t>
      </w:r>
      <w:r>
        <w:rPr>
          <w:rFonts w:hint="eastAsia" w:ascii="Times New Roman" w:hAnsi="Times New Roman" w:cs="Times New Roman"/>
          <w:color w:val="auto"/>
          <w:sz w:val="28"/>
          <w:szCs w:val="28"/>
          <w:lang w:val="en-US" w:eastAsia="zh-CN"/>
        </w:rPr>
        <w:t>现有项目</w:t>
      </w:r>
      <w:r>
        <w:rPr>
          <w:rFonts w:hint="default" w:ascii="Times New Roman" w:hAnsi="Times New Roman" w:eastAsia="宋体" w:cs="Times New Roman"/>
          <w:color w:val="auto"/>
          <w:sz w:val="28"/>
          <w:szCs w:val="28"/>
          <w:lang w:val="en-US" w:eastAsia="zh-CN"/>
        </w:rPr>
        <w:t>供电系统</w:t>
      </w:r>
    </w:p>
    <w:p w14:paraId="11D41A47">
      <w:pPr>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lang w:eastAsia="zh-CN"/>
        </w:rPr>
        <w:t>厂区</w:t>
      </w:r>
      <w:r>
        <w:rPr>
          <w:rFonts w:hint="default" w:ascii="Times New Roman" w:hAnsi="Times New Roman" w:eastAsia="宋体" w:cs="Times New Roman"/>
          <w:snapToGrid w:val="0"/>
          <w:color w:val="auto"/>
          <w:sz w:val="24"/>
        </w:rPr>
        <w:t>供电电源取自国家电网，电源符合国家标准《供配电系统设计规范》（GB 50052-1995）的规定。</w:t>
      </w:r>
    </w:p>
    <w:p w14:paraId="1C1D7C50">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w:t>
      </w:r>
      <w:r>
        <w:rPr>
          <w:rFonts w:hint="eastAsia" w:ascii="Times New Roman" w:hAnsi="Times New Roman"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.3</w:t>
      </w:r>
      <w:r>
        <w:rPr>
          <w:rFonts w:hint="eastAsia" w:ascii="Times New Roman" w:hAnsi="Times New Roman" w:cs="Times New Roman"/>
          <w:color w:val="auto"/>
          <w:sz w:val="28"/>
          <w:szCs w:val="28"/>
          <w:lang w:val="en-US" w:eastAsia="zh-CN"/>
        </w:rPr>
        <w:t>现有项目</w:t>
      </w:r>
      <w:r>
        <w:rPr>
          <w:rFonts w:hint="default" w:ascii="Times New Roman" w:hAnsi="Times New Roman" w:eastAsia="宋体" w:cs="Times New Roman"/>
          <w:color w:val="auto"/>
          <w:sz w:val="28"/>
          <w:szCs w:val="28"/>
          <w:lang w:val="en-US" w:eastAsia="zh-CN"/>
        </w:rPr>
        <w:t>采暖与通风</w:t>
      </w:r>
    </w:p>
    <w:p w14:paraId="5662745A">
      <w:pPr>
        <w:snapToGrid w:val="0"/>
        <w:spacing w:line="360" w:lineRule="auto"/>
        <w:ind w:firstLine="496" w:firstLineChars="200"/>
        <w:jc w:val="left"/>
        <w:rPr>
          <w:rFonts w:hint="default" w:ascii="Times New Roman" w:hAnsi="Times New Roman" w:eastAsia="宋体" w:cs="Times New Roman"/>
          <w:b/>
          <w:snapToGrid w:val="0"/>
          <w:color w:val="auto"/>
          <w:spacing w:val="4"/>
          <w:sz w:val="24"/>
        </w:rPr>
      </w:pPr>
      <w:r>
        <w:rPr>
          <w:rFonts w:hint="default" w:ascii="Times New Roman" w:hAnsi="Times New Roman" w:eastAsia="宋体" w:cs="Times New Roman"/>
          <w:b/>
          <w:snapToGrid w:val="0"/>
          <w:color w:val="auto"/>
          <w:spacing w:val="4"/>
          <w:sz w:val="24"/>
        </w:rPr>
        <w:t>1、采暖</w:t>
      </w:r>
    </w:p>
    <w:p w14:paraId="661528F4">
      <w:pPr>
        <w:snapToGrid w:val="0"/>
        <w:spacing w:line="360" w:lineRule="auto"/>
        <w:ind w:firstLine="496" w:firstLineChars="200"/>
        <w:jc w:val="left"/>
        <w:rPr>
          <w:rFonts w:hint="default" w:ascii="Times New Roman" w:hAnsi="Times New Roman" w:eastAsia="宋体" w:cs="Times New Roman"/>
          <w:snapToGrid w:val="0"/>
          <w:color w:val="auto"/>
          <w:spacing w:val="4"/>
          <w:sz w:val="24"/>
        </w:rPr>
      </w:pPr>
      <w:r>
        <w:rPr>
          <w:rFonts w:hint="default" w:ascii="Times New Roman" w:hAnsi="Times New Roman" w:eastAsia="宋体" w:cs="Times New Roman"/>
          <w:snapToGrid w:val="0"/>
          <w:color w:val="auto"/>
          <w:spacing w:val="4"/>
          <w:sz w:val="24"/>
        </w:rPr>
        <w:t>根据当地气象资料，</w:t>
      </w:r>
      <w:r>
        <w:rPr>
          <w:rFonts w:hint="eastAsia" w:ascii="Times New Roman" w:hAnsi="Times New Roman" w:cs="Times New Roman"/>
          <w:snapToGrid w:val="0"/>
          <w:color w:val="auto"/>
          <w:spacing w:val="4"/>
          <w:sz w:val="24"/>
          <w:lang w:eastAsia="zh-CN"/>
        </w:rPr>
        <w:t>现有</w:t>
      </w:r>
      <w:r>
        <w:rPr>
          <w:rFonts w:hint="default" w:ascii="Times New Roman" w:hAnsi="Times New Roman" w:eastAsia="宋体" w:cs="Times New Roman"/>
          <w:snapToGrid w:val="0"/>
          <w:color w:val="auto"/>
          <w:spacing w:val="4"/>
          <w:sz w:val="24"/>
        </w:rPr>
        <w:t>项目不需要整体采暖，所以全厂不设采暖系统。</w:t>
      </w:r>
    </w:p>
    <w:p w14:paraId="70C0F83D">
      <w:pPr>
        <w:adjustRightInd w:val="0"/>
        <w:snapToGrid w:val="0"/>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2、通风设计</w:t>
      </w:r>
    </w:p>
    <w:p w14:paraId="30D7BF64">
      <w:pPr>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生产厂房</w:t>
      </w:r>
    </w:p>
    <w:p w14:paraId="0703E275">
      <w:pPr>
        <w:spacing w:line="360" w:lineRule="auto"/>
        <w:ind w:firstLine="480" w:firstLineChars="200"/>
        <w:rPr>
          <w:rFonts w:hint="default" w:ascii="Times New Roman" w:hAnsi="Times New Roman" w:eastAsia="宋体" w:cs="Times New Roman"/>
          <w:snapToGrid w:val="0"/>
          <w:color w:val="auto"/>
          <w:sz w:val="24"/>
          <w:lang w:eastAsia="zh-CN"/>
        </w:rPr>
      </w:pPr>
      <w:r>
        <w:rPr>
          <w:rFonts w:hint="default" w:ascii="Times New Roman" w:hAnsi="Times New Roman" w:eastAsia="宋体" w:cs="Times New Roman"/>
          <w:snapToGrid w:val="0"/>
          <w:color w:val="auto"/>
          <w:sz w:val="24"/>
          <w:lang w:eastAsia="zh-CN"/>
        </w:rPr>
        <w:t>生产车间以自然通风为主，同时加设屋顶风机，进行全室通风换气，换气次数分别为4次/h和2次/h。同时对部分设备进行局部通风。在车间内设吊扇、壁扇，在办公室设分体式空调进行夏季防暑降温。</w:t>
      </w:r>
    </w:p>
    <w:p w14:paraId="12C21310">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w:t>
      </w:r>
      <w:r>
        <w:rPr>
          <w:rFonts w:hint="eastAsia" w:ascii="Times New Roman" w:hAnsi="Times New Roman"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.4供热及制冷</w:t>
      </w:r>
    </w:p>
    <w:p w14:paraId="559ED194">
      <w:pPr>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1、供热</w:t>
      </w:r>
    </w:p>
    <w:p w14:paraId="2C80754F">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cs="Times New Roman"/>
          <w:color w:val="auto"/>
          <w:sz w:val="24"/>
          <w:lang w:eastAsia="zh-CN"/>
        </w:rPr>
        <w:t>现有</w:t>
      </w:r>
      <w:r>
        <w:rPr>
          <w:rFonts w:hint="default" w:ascii="Times New Roman" w:hAnsi="Times New Roman" w:eastAsia="宋体" w:cs="Times New Roman"/>
          <w:color w:val="auto"/>
          <w:sz w:val="24"/>
        </w:rPr>
        <w:t>项目生产过程中机械设备的运转使用的能源为电能，职工生活过程中使用的供热能源为电能、太阳能等。</w:t>
      </w:r>
    </w:p>
    <w:p w14:paraId="743EF820">
      <w:pPr>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2、制冷</w:t>
      </w:r>
    </w:p>
    <w:p w14:paraId="025D4D24">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cs="Times New Roman"/>
          <w:color w:val="auto"/>
          <w:sz w:val="24"/>
          <w:lang w:eastAsia="zh-CN"/>
        </w:rPr>
        <w:t>现有</w:t>
      </w:r>
      <w:r>
        <w:rPr>
          <w:rFonts w:hint="default" w:ascii="Times New Roman" w:hAnsi="Times New Roman" w:eastAsia="宋体" w:cs="Times New Roman"/>
          <w:color w:val="auto"/>
          <w:sz w:val="24"/>
        </w:rPr>
        <w:t xml:space="preserve">项目生产过程中不涉及制冷系统制冷。      </w:t>
      </w:r>
    </w:p>
    <w:p w14:paraId="6108396D">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w:t>
      </w:r>
      <w:r>
        <w:rPr>
          <w:rFonts w:hint="eastAsia" w:ascii="Times New Roman" w:hAnsi="Times New Roman" w:cs="Times New Roman"/>
          <w:color w:val="auto"/>
          <w:sz w:val="28"/>
          <w:szCs w:val="28"/>
          <w:lang w:val="en-US" w:eastAsia="zh-CN"/>
        </w:rPr>
        <w:t>4</w:t>
      </w:r>
      <w:r>
        <w:rPr>
          <w:rFonts w:hint="default" w:ascii="Times New Roman" w:hAnsi="Times New Roman" w:eastAsia="宋体" w:cs="Times New Roman"/>
          <w:color w:val="auto"/>
          <w:sz w:val="28"/>
          <w:szCs w:val="28"/>
          <w:lang w:val="en-US" w:eastAsia="zh-CN"/>
        </w:rPr>
        <w:t>.5 运输</w:t>
      </w:r>
    </w:p>
    <w:p w14:paraId="1C229230">
      <w:pPr>
        <w:spacing w:line="360" w:lineRule="auto"/>
        <w:ind w:firstLine="480" w:firstLineChars="200"/>
        <w:rPr>
          <w:rFonts w:hint="default" w:ascii="Times New Roman" w:hAnsi="Times New Roman" w:eastAsia="宋体" w:cs="Times New Roman"/>
          <w:color w:val="auto"/>
        </w:rPr>
      </w:pPr>
      <w:r>
        <w:rPr>
          <w:rFonts w:hint="eastAsia" w:ascii="Times New Roman" w:hAnsi="Times New Roman" w:cs="Times New Roman"/>
          <w:color w:val="auto"/>
          <w:sz w:val="24"/>
          <w:lang w:eastAsia="zh-CN"/>
        </w:rPr>
        <w:t>现有</w:t>
      </w:r>
      <w:r>
        <w:rPr>
          <w:rFonts w:hint="default" w:ascii="Times New Roman" w:hAnsi="Times New Roman" w:eastAsia="宋体" w:cs="Times New Roman"/>
          <w:color w:val="auto"/>
          <w:sz w:val="24"/>
        </w:rPr>
        <w:t>项目厂外运输采用汽车运输，依靠社会运力解决。成品车输出采用用户自提或雇用社会车辆送货方式；外协件和原材料输入采用厂家送货或雇用社会车辆自提方式。厂内厂房间运输采用叉车，厂房内采用电瓶叉车、电动平板车和拖车。</w:t>
      </w:r>
    </w:p>
    <w:p w14:paraId="78A99955">
      <w:pPr>
        <w:pStyle w:val="10"/>
        <w:adjustRightInd w:val="0"/>
        <w:snapToGrid w:val="0"/>
        <w:spacing w:beforeLines="50" w:after="0" w:line="360" w:lineRule="auto"/>
        <w:rPr>
          <w:rFonts w:hint="default" w:ascii="Times New Roman" w:hAnsi="Times New Roman" w:eastAsia="宋体" w:cs="Times New Roman"/>
          <w:color w:val="auto"/>
        </w:rPr>
      </w:pPr>
      <w:bookmarkStart w:id="207" w:name="_Toc26487"/>
      <w:r>
        <w:rPr>
          <w:rFonts w:hint="default" w:ascii="Times New Roman" w:hAnsi="Times New Roman" w:eastAsia="宋体" w:cs="Times New Roman"/>
          <w:color w:val="auto"/>
        </w:rPr>
        <w:t>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 xml:space="preserve"> 现有项目</w:t>
      </w:r>
      <w:r>
        <w:rPr>
          <w:rFonts w:hint="default" w:ascii="Times New Roman" w:hAnsi="Times New Roman" w:eastAsia="宋体" w:cs="Times New Roman"/>
          <w:color w:val="auto"/>
        </w:rPr>
        <w:t>土地利用及平面布局情况</w:t>
      </w:r>
      <w:bookmarkEnd w:id="207"/>
    </w:p>
    <w:p w14:paraId="651B9BF1">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（1）土地利用情况</w:t>
      </w:r>
    </w:p>
    <w:p w14:paraId="1B6F82EF">
      <w:pPr>
        <w:adjustRightInd w:val="0"/>
        <w:snapToGrid w:val="0"/>
        <w:ind w:firstLine="480" w:firstLineChars="200"/>
        <w:rPr>
          <w:rFonts w:hint="default" w:ascii="Times New Roman" w:hAnsi="Times New Roman" w:eastAsia="宋体" w:cs="Times New Roman"/>
          <w:color w:val="auto"/>
          <w:lang w:val="en-US" w:eastAsia="zh-CN"/>
        </w:rPr>
      </w:pPr>
      <w:r>
        <w:rPr>
          <w:rFonts w:hint="eastAsia" w:ascii="Times New Roman" w:hAnsi="Times New Roman" w:cs="Times New Roman"/>
          <w:color w:val="auto"/>
          <w:sz w:val="24"/>
          <w:lang w:eastAsia="zh-CN"/>
        </w:rPr>
        <w:t>现有</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rPr>
        <w:t>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项目用地现状为废弃厂房，</w:t>
      </w:r>
      <w:r>
        <w:rPr>
          <w:rFonts w:hint="default" w:ascii="Times New Roman" w:hAnsi="Times New Roman" w:eastAsia="宋体" w:cs="Times New Roman"/>
          <w:color w:val="auto"/>
        </w:rPr>
        <w:t>占地面积</w:t>
      </w:r>
      <w:r>
        <w:rPr>
          <w:rFonts w:hint="eastAsia" w:ascii="Times New Roman" w:hAnsi="Times New Roman" w:cs="Times New Roman"/>
          <w:color w:val="auto"/>
          <w:lang w:val="en-US" w:eastAsia="zh-CN"/>
        </w:rPr>
        <w:t>6507</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r>
        <w:rPr>
          <w:rFonts w:hint="eastAsia" w:ascii="Times New Roman" w:hAnsi="Times New Roman" w:cs="Times New Roman"/>
          <w:color w:val="auto"/>
          <w:sz w:val="24"/>
          <w:lang w:eastAsia="zh-CN"/>
        </w:rPr>
        <w:t>现有</w:t>
      </w: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lang w:eastAsia="zh-CN"/>
        </w:rPr>
        <w:t>用地已取得芒市工业园管理委员会关于云南业勤服饰有限公司建设项目生产厂房使用的证明</w:t>
      </w:r>
      <w:r>
        <w:rPr>
          <w:rFonts w:hint="eastAsia" w:ascii="Times New Roman" w:hAnsi="Times New Roman" w:cs="Times New Roman"/>
          <w:color w:val="auto"/>
          <w:lang w:eastAsia="zh-CN"/>
        </w:rPr>
        <w:t>，于</w:t>
      </w:r>
      <w:r>
        <w:rPr>
          <w:rFonts w:hint="eastAsia" w:ascii="Times New Roman" w:hAnsi="Times New Roman" w:cs="Times New Roman"/>
          <w:color w:val="auto"/>
          <w:lang w:val="en-US" w:eastAsia="zh-CN"/>
        </w:rPr>
        <w:t>2019年11月8日取得芒市工业园区管委会关于</w:t>
      </w:r>
      <w:r>
        <w:rPr>
          <w:rFonts w:hint="default" w:ascii="Times New Roman" w:hAnsi="Times New Roman" w:eastAsia="宋体" w:cs="Times New Roman"/>
          <w:color w:val="auto"/>
          <w:lang w:eastAsia="zh-CN"/>
        </w:rPr>
        <w:t>云南业勤服饰有限公司</w:t>
      </w:r>
      <w:r>
        <w:rPr>
          <w:rFonts w:hint="eastAsia" w:ascii="Times New Roman" w:hAnsi="Times New Roman" w:cs="Times New Roman"/>
          <w:color w:val="auto"/>
          <w:lang w:eastAsia="zh-CN"/>
        </w:rPr>
        <w:t>符合园区规划的证明</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建设用地</w:t>
      </w:r>
      <w:r>
        <w:rPr>
          <w:rFonts w:hint="default" w:ascii="Times New Roman" w:hAnsi="Times New Roman" w:eastAsia="宋体" w:cs="Times New Roman"/>
          <w:color w:val="auto"/>
          <w:lang w:eastAsia="zh-CN"/>
        </w:rPr>
        <w:t>性质</w:t>
      </w:r>
      <w:r>
        <w:rPr>
          <w:rFonts w:hint="default" w:ascii="Times New Roman" w:hAnsi="Times New Roman" w:eastAsia="宋体" w:cs="Times New Roman"/>
          <w:color w:val="auto"/>
        </w:rPr>
        <w:t>为工业用地。</w:t>
      </w:r>
      <w:r>
        <w:rPr>
          <w:rFonts w:hint="default" w:ascii="Times New Roman" w:hAnsi="Times New Roman" w:eastAsia="宋体" w:cs="Times New Roman"/>
          <w:color w:val="auto"/>
          <w:lang w:val="en-US" w:eastAsia="zh-CN"/>
        </w:rPr>
        <w:t xml:space="preserve"> </w:t>
      </w:r>
    </w:p>
    <w:p w14:paraId="60167A2A">
      <w:pPr>
        <w:adjustRightInd w:val="0"/>
        <w:snapToGrid w:val="0"/>
        <w:ind w:firstLine="480"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w:t>
      </w:r>
      <w:r>
        <w:rPr>
          <w:rFonts w:hint="default" w:ascii="Times New Roman" w:hAnsi="Times New Roman" w:eastAsia="宋体" w:cs="Times New Roman"/>
          <w:b/>
          <w:bCs/>
          <w:color w:val="auto"/>
          <w:lang w:eastAsia="zh-CN"/>
        </w:rPr>
        <w:t>现有</w:t>
      </w:r>
      <w:r>
        <w:rPr>
          <w:rFonts w:hint="default" w:ascii="Times New Roman" w:hAnsi="Times New Roman" w:eastAsia="宋体" w:cs="Times New Roman"/>
          <w:b/>
          <w:bCs/>
          <w:color w:val="auto"/>
        </w:rPr>
        <w:t>项目厂区总平面布置</w:t>
      </w:r>
    </w:p>
    <w:p w14:paraId="1EDE59F9">
      <w:pPr>
        <w:adjustRightInd w:val="0"/>
        <w:snapToGrid w:val="0"/>
        <w:ind w:firstLine="480" w:firstLineChars="200"/>
        <w:rPr>
          <w:rFonts w:hint="default" w:ascii="Times New Roman" w:hAnsi="Times New Roman" w:eastAsia="宋体" w:cs="Times New Roman"/>
          <w:color w:val="auto"/>
          <w:lang w:eastAsia="zh-CN"/>
        </w:rPr>
      </w:pPr>
      <w:r>
        <w:rPr>
          <w:rFonts w:hint="eastAsia" w:ascii="Times New Roman" w:hAnsi="Times New Roman" w:cs="Times New Roman"/>
          <w:color w:val="auto"/>
          <w:sz w:val="24"/>
          <w:lang w:eastAsia="zh-CN"/>
        </w:rPr>
        <w:t>现有</w:t>
      </w:r>
      <w:r>
        <w:rPr>
          <w:rFonts w:hint="default" w:ascii="Times New Roman" w:hAnsi="Times New Roman" w:eastAsia="宋体" w:cs="Times New Roman"/>
          <w:color w:val="auto"/>
        </w:rPr>
        <w:t>项目占地</w:t>
      </w:r>
      <w:r>
        <w:rPr>
          <w:rFonts w:hint="default" w:ascii="Times New Roman" w:hAnsi="Times New Roman" w:eastAsia="宋体" w:cs="Times New Roman"/>
          <w:color w:val="auto"/>
          <w:lang w:eastAsia="zh-CN"/>
        </w:rPr>
        <w:t>总体</w:t>
      </w:r>
      <w:r>
        <w:rPr>
          <w:rFonts w:hint="default" w:ascii="Times New Roman" w:hAnsi="Times New Roman" w:eastAsia="宋体" w:cs="Times New Roman"/>
          <w:color w:val="auto"/>
        </w:rPr>
        <w:t>呈一个矩形，</w:t>
      </w:r>
      <w:r>
        <w:rPr>
          <w:rFonts w:hint="default" w:ascii="Times New Roman" w:hAnsi="Times New Roman" w:eastAsia="宋体" w:cs="Times New Roman"/>
          <w:color w:val="auto"/>
          <w:lang w:eastAsia="zh-CN"/>
        </w:rPr>
        <w:t>北</w:t>
      </w:r>
      <w:r>
        <w:rPr>
          <w:rFonts w:hint="default" w:ascii="Times New Roman" w:hAnsi="Times New Roman" w:eastAsia="宋体" w:cs="Times New Roman"/>
          <w:color w:val="auto"/>
        </w:rPr>
        <w:t>侧为</w:t>
      </w:r>
      <w:r>
        <w:rPr>
          <w:rFonts w:hint="eastAsia" w:ascii="Times New Roman" w:hAnsi="Times New Roman" w:cs="Times New Roman"/>
          <w:color w:val="auto"/>
          <w:lang w:eastAsia="zh-CN"/>
        </w:rPr>
        <w:t>食堂</w:t>
      </w:r>
      <w:r>
        <w:rPr>
          <w:rFonts w:hint="default" w:ascii="Times New Roman" w:hAnsi="Times New Roman" w:eastAsia="宋体" w:cs="Times New Roman"/>
          <w:color w:val="auto"/>
          <w:lang w:eastAsia="zh-CN"/>
        </w:rPr>
        <w:t>，</w:t>
      </w:r>
      <w:r>
        <w:rPr>
          <w:rFonts w:hint="eastAsia" w:ascii="Times New Roman" w:hAnsi="Times New Roman" w:cs="Times New Roman"/>
          <w:color w:val="auto"/>
          <w:lang w:eastAsia="zh-CN"/>
        </w:rPr>
        <w:t>南</w:t>
      </w:r>
      <w:r>
        <w:rPr>
          <w:rFonts w:hint="default" w:ascii="Times New Roman" w:hAnsi="Times New Roman" w:eastAsia="宋体" w:cs="Times New Roman"/>
          <w:color w:val="auto"/>
          <w:lang w:eastAsia="zh-CN"/>
        </w:rPr>
        <w:t>侧为</w:t>
      </w:r>
      <w:r>
        <w:rPr>
          <w:rFonts w:hint="eastAsia" w:ascii="Times New Roman" w:hAnsi="Times New Roman" w:cs="Times New Roman"/>
          <w:color w:val="auto"/>
          <w:lang w:eastAsia="zh-CN"/>
        </w:rPr>
        <w:t>生产厂房</w:t>
      </w:r>
      <w:r>
        <w:rPr>
          <w:rFonts w:hint="default" w:ascii="Times New Roman" w:hAnsi="Times New Roman" w:eastAsia="宋体" w:cs="Times New Roman"/>
          <w:color w:val="auto"/>
          <w:lang w:eastAsia="zh-CN"/>
        </w:rPr>
        <w:t>，裁剪区位于项目生产厂房东部。缝制区位于项目生产厂房南部，为一层建筑，钢架结构，设置有缝制生产线12条</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整烫包装车间位于项目厂区东部，为一层建筑，钢架结构，成品</w:t>
      </w:r>
      <w:r>
        <w:rPr>
          <w:rFonts w:hint="eastAsia" w:ascii="Times New Roman" w:hAnsi="Times New Roman" w:cs="Times New Roman"/>
          <w:color w:val="auto"/>
          <w:lang w:eastAsia="zh-CN"/>
        </w:rPr>
        <w:t>仓库</w:t>
      </w:r>
      <w:r>
        <w:rPr>
          <w:rFonts w:hint="default" w:ascii="Times New Roman" w:hAnsi="Times New Roman" w:eastAsia="宋体" w:cs="Times New Roman"/>
          <w:color w:val="auto"/>
          <w:lang w:eastAsia="zh-CN"/>
        </w:rPr>
        <w:t>位于项目整烫包装车间西部，为一层建筑，钢架结构，原料仓库位于项目裁剪区东部，为一层建筑，钢架结构，机修车间位于项目原料仓库南部，为一层建筑，钢架结构，办公楼位于项目厂区北侧，食堂位于项目厂区北侧，卫生间设置于生产厂房内，位于就修车间东部，化粪池设置于项目区卫生间南侧，隔油池设置于食堂西侧</w:t>
      </w:r>
      <w:r>
        <w:rPr>
          <w:rFonts w:hint="eastAsia" w:ascii="Times New Roman" w:hAnsi="Times New Roman" w:cs="Times New Roman"/>
          <w:color w:val="auto"/>
          <w:lang w:eastAsia="zh-CN"/>
        </w:rPr>
        <w:t>。</w:t>
      </w:r>
    </w:p>
    <w:p w14:paraId="6C2504D4">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项目场地内还布置有</w:t>
      </w:r>
      <w:r>
        <w:rPr>
          <w:rFonts w:hint="default" w:ascii="Times New Roman" w:hAnsi="Times New Roman" w:eastAsia="宋体" w:cs="Times New Roman"/>
          <w:color w:val="auto"/>
          <w:lang w:eastAsia="zh-CN"/>
        </w:rPr>
        <w:t>消防通道</w:t>
      </w:r>
      <w:r>
        <w:rPr>
          <w:rFonts w:hint="default" w:ascii="Times New Roman" w:hAnsi="Times New Roman" w:eastAsia="宋体" w:cs="Times New Roman"/>
          <w:color w:val="auto"/>
        </w:rPr>
        <w:t>、绿化带。</w:t>
      </w:r>
    </w:p>
    <w:p w14:paraId="5D4982DD">
      <w:pPr>
        <w:pStyle w:val="10"/>
        <w:numPr>
          <w:ilvl w:val="0"/>
          <w:numId w:val="0"/>
        </w:numPr>
        <w:adjustRightInd w:val="0"/>
        <w:snapToGrid w:val="0"/>
        <w:spacing w:before="0" w:after="60" w:line="360" w:lineRule="auto"/>
        <w:rPr>
          <w:rFonts w:hint="default" w:ascii="Times New Roman" w:hAnsi="Times New Roman" w:eastAsia="宋体" w:cs="Times New Roman"/>
          <w:color w:val="auto"/>
        </w:rPr>
      </w:pPr>
      <w:bookmarkStart w:id="208" w:name="_Toc27935"/>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6</w:t>
      </w:r>
      <w:r>
        <w:rPr>
          <w:rFonts w:hint="default" w:ascii="Times New Roman" w:hAnsi="Times New Roman" w:eastAsia="宋体" w:cs="Times New Roman"/>
          <w:color w:val="auto"/>
          <w:lang w:val="en-US" w:eastAsia="zh-CN"/>
        </w:rPr>
        <w:t>现有</w:t>
      </w:r>
      <w:r>
        <w:rPr>
          <w:rFonts w:hint="default" w:ascii="Times New Roman" w:hAnsi="Times New Roman" w:eastAsia="宋体" w:cs="Times New Roman"/>
          <w:color w:val="auto"/>
        </w:rPr>
        <w:t>项目工作制度、劳动定员</w:t>
      </w:r>
      <w:bookmarkEnd w:id="208"/>
    </w:p>
    <w:p w14:paraId="6BF131E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（1）工作制度：年工作日300天，每天</w:t>
      </w:r>
      <w:r>
        <w:rPr>
          <w:rFonts w:hint="default" w:ascii="Times New Roman" w:hAnsi="Times New Roman" w:eastAsia="宋体" w:cs="Times New Roman"/>
          <w:color w:val="auto"/>
          <w:lang w:eastAsia="zh-CN"/>
        </w:rPr>
        <w:t>一</w:t>
      </w:r>
      <w:r>
        <w:rPr>
          <w:rFonts w:hint="default" w:ascii="Times New Roman" w:hAnsi="Times New Roman" w:eastAsia="宋体" w:cs="Times New Roman"/>
          <w:color w:val="auto"/>
        </w:rPr>
        <w:t>班，每班工作8小时。</w:t>
      </w:r>
    </w:p>
    <w:p w14:paraId="16760B1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（2）定员：</w:t>
      </w:r>
      <w:r>
        <w:rPr>
          <w:rFonts w:hint="eastAsia" w:ascii="Times New Roman" w:hAnsi="Times New Roman" w:cs="Times New Roman"/>
          <w:color w:val="auto"/>
          <w:lang w:eastAsia="zh-CN"/>
        </w:rPr>
        <w:t>现有</w:t>
      </w:r>
      <w:r>
        <w:rPr>
          <w:rFonts w:hint="default" w:ascii="Times New Roman" w:hAnsi="Times New Roman" w:eastAsia="宋体" w:cs="Times New Roman"/>
          <w:color w:val="auto"/>
        </w:rPr>
        <w:t>项目共有员工</w:t>
      </w:r>
      <w:r>
        <w:rPr>
          <w:rFonts w:hint="default" w:ascii="Times New Roman" w:hAnsi="Times New Roman" w:eastAsia="宋体" w:cs="Times New Roman"/>
          <w:color w:val="auto"/>
          <w:lang w:val="en-US" w:eastAsia="zh-CN"/>
        </w:rPr>
        <w:t>580</w:t>
      </w:r>
      <w:r>
        <w:rPr>
          <w:rFonts w:hint="default" w:ascii="Times New Roman" w:hAnsi="Times New Roman" w:eastAsia="宋体" w:cs="Times New Roman"/>
          <w:color w:val="auto"/>
        </w:rPr>
        <w:t>人，</w:t>
      </w:r>
      <w:r>
        <w:rPr>
          <w:rFonts w:hint="default" w:ascii="Times New Roman" w:hAnsi="Times New Roman" w:eastAsia="宋体" w:cs="Times New Roman"/>
          <w:color w:val="auto"/>
          <w:lang w:eastAsia="zh-CN"/>
        </w:rPr>
        <w:t>员工均不在项目内住宿，在项目食堂内用餐</w:t>
      </w:r>
      <w:r>
        <w:rPr>
          <w:rFonts w:hint="default" w:ascii="Times New Roman" w:hAnsi="Times New Roman" w:eastAsia="宋体" w:cs="Times New Roman"/>
          <w:color w:val="auto"/>
        </w:rPr>
        <w:t>。</w:t>
      </w:r>
    </w:p>
    <w:p w14:paraId="66EA14B9">
      <w:pPr>
        <w:pStyle w:val="10"/>
        <w:numPr>
          <w:ilvl w:val="0"/>
          <w:numId w:val="0"/>
        </w:numPr>
        <w:adjustRightInd w:val="0"/>
        <w:snapToGrid w:val="0"/>
        <w:spacing w:before="0" w:after="60" w:line="360" w:lineRule="auto"/>
        <w:rPr>
          <w:rFonts w:hint="default" w:ascii="Times New Roman" w:hAnsi="Times New Roman" w:eastAsia="宋体" w:cs="Times New Roman"/>
          <w:color w:val="auto"/>
          <w:lang w:val="en-US" w:eastAsia="zh-CN"/>
        </w:rPr>
      </w:pPr>
      <w:bookmarkStart w:id="209" w:name="_Toc3167"/>
      <w:r>
        <w:rPr>
          <w:rFonts w:hint="eastAsia" w:ascii="Times New Roman" w:hAnsi="Times New Roman" w:eastAsia="宋体" w:cs="Times New Roman"/>
          <w:color w:val="auto"/>
          <w:lang w:val="en-US" w:eastAsia="zh-CN"/>
        </w:rPr>
        <w:t>2.7现有项目</w:t>
      </w:r>
      <w:r>
        <w:rPr>
          <w:rFonts w:hint="default" w:ascii="Times New Roman" w:hAnsi="Times New Roman" w:eastAsia="宋体" w:cs="Times New Roman"/>
          <w:color w:val="auto"/>
          <w:lang w:val="en-US" w:eastAsia="zh-CN"/>
        </w:rPr>
        <w:t>运营期产污环节及污染物产排分析</w:t>
      </w:r>
      <w:bookmarkEnd w:id="209"/>
    </w:p>
    <w:p w14:paraId="5A8B65AD">
      <w:pPr>
        <w:ind w:firstLine="480" w:firstLineChars="200"/>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工艺流程简述</w:t>
      </w:r>
    </w:p>
    <w:p w14:paraId="107296F5">
      <w:pPr>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现有</w:t>
      </w:r>
      <w:r>
        <w:rPr>
          <w:rFonts w:hint="default" w:ascii="Times New Roman" w:hAnsi="Times New Roman" w:eastAsia="宋体" w:cs="Times New Roman"/>
          <w:color w:val="auto"/>
        </w:rPr>
        <w:t>项目年产</w:t>
      </w:r>
      <w:r>
        <w:rPr>
          <w:rFonts w:hint="default" w:ascii="Times New Roman" w:hAnsi="Times New Roman" w:eastAsia="宋体" w:cs="Times New Roman"/>
          <w:color w:val="auto"/>
          <w:lang w:eastAsia="zh-CN"/>
        </w:rPr>
        <w:t>服装</w:t>
      </w:r>
      <w:r>
        <w:rPr>
          <w:rFonts w:hint="default" w:ascii="Times New Roman" w:hAnsi="Times New Roman" w:eastAsia="宋体" w:cs="Times New Roman"/>
          <w:color w:val="auto"/>
          <w:lang w:val="en-US" w:eastAsia="zh-CN"/>
        </w:rPr>
        <w:t>45万件</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服装制造工艺流程为下料、裁剪、缝制、锁钉、检验</w:t>
      </w:r>
      <w:r>
        <w:rPr>
          <w:rFonts w:hint="default" w:ascii="Times New Roman" w:hAnsi="Times New Roman" w:eastAsia="宋体" w:cs="Times New Roman"/>
          <w:color w:val="auto"/>
        </w:rPr>
        <w:t>。</w:t>
      </w:r>
    </w:p>
    <w:p w14:paraId="0B51C23E">
      <w:pPr>
        <w:ind w:firstLine="480" w:firstLineChars="200"/>
        <w:jc w:val="left"/>
        <w:rPr>
          <w:rFonts w:hint="default" w:ascii="Times New Roman" w:hAnsi="Times New Roman" w:eastAsia="宋体" w:cs="Times New Roman"/>
          <w:color w:val="auto"/>
        </w:rPr>
      </w:pPr>
      <w:r>
        <w:rPr>
          <w:rFonts w:hint="eastAsia" w:ascii="Times New Roman" w:hAnsi="Times New Roman" w:cs="Times New Roman"/>
          <w:color w:val="auto"/>
          <w:lang w:eastAsia="zh-CN"/>
        </w:rPr>
        <w:t>现有</w:t>
      </w: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服装制造</w:t>
      </w:r>
      <w:r>
        <w:rPr>
          <w:rFonts w:hint="default" w:ascii="Times New Roman" w:hAnsi="Times New Roman" w:eastAsia="宋体" w:cs="Times New Roman"/>
          <w:color w:val="auto"/>
        </w:rPr>
        <w:t>工艺流程及产污节点详见图</w:t>
      </w:r>
      <w:r>
        <w:rPr>
          <w:rFonts w:hint="eastAsia" w:ascii="Times New Roman" w:hAnsi="Times New Roman" w:cs="Times New Roman"/>
          <w:color w:val="auto"/>
          <w:lang w:val="en-US" w:eastAsia="zh-CN"/>
        </w:rPr>
        <w:t>2.7-1</w:t>
      </w:r>
      <w:r>
        <w:rPr>
          <w:rFonts w:hint="default" w:ascii="Times New Roman" w:hAnsi="Times New Roman" w:eastAsia="宋体" w:cs="Times New Roman"/>
          <w:color w:val="auto"/>
        </w:rPr>
        <w:t>。</w:t>
      </w:r>
    </w:p>
    <w:p w14:paraId="0AD61328">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6" o:spt="75" type="#_x0000_t75" style="height:354pt;width:377.6pt;" o:ole="t" filled="f" o:preferrelative="t" stroked="t" coordsize="21600,21600">
            <v:path/>
            <v:fill on="f" focussize="0,0"/>
            <v:stroke color="#000000" joinstyle="miter"/>
            <v:imagedata r:id="rId19" o:title=""/>
            <o:lock v:ext="edit" aspectratio="t"/>
            <w10:wrap type="none"/>
            <w10:anchorlock/>
          </v:shape>
          <o:OLEObject Type="Embed" ProgID="Visio.Drawing.11" ShapeID="_x0000_i1026" DrawAspect="Content" ObjectID="_1468075726" r:id="rId18">
            <o:LockedField>false</o:LockedField>
          </o:OLEObject>
        </w:object>
      </w:r>
    </w:p>
    <w:p w14:paraId="0F175E32">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图</w:t>
      </w:r>
      <w:r>
        <w:rPr>
          <w:rFonts w:hint="eastAsia" w:ascii="Times New Roman" w:hAnsi="Times New Roman" w:cs="Times New Roman"/>
          <w:b/>
          <w:color w:val="auto"/>
          <w:lang w:val="en-US" w:eastAsia="zh-CN"/>
        </w:rPr>
        <w:t xml:space="preserve">2.7-1 </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eastAsia="zh-CN"/>
        </w:rPr>
        <w:t>服装制造</w:t>
      </w:r>
      <w:r>
        <w:rPr>
          <w:rFonts w:hint="default" w:ascii="Times New Roman" w:hAnsi="Times New Roman" w:eastAsia="宋体" w:cs="Times New Roman"/>
          <w:b/>
          <w:color w:val="auto"/>
        </w:rPr>
        <w:t>工艺流程及产污环节示意图</w:t>
      </w:r>
    </w:p>
    <w:p w14:paraId="144EAC58">
      <w:pPr>
        <w:ind w:firstLine="480" w:firstLineChars="200"/>
        <w:jc w:val="left"/>
        <w:rPr>
          <w:rFonts w:hint="default" w:ascii="Times New Roman" w:hAnsi="Times New Roman" w:eastAsia="宋体" w:cs="Times New Roman"/>
          <w:b/>
          <w:color w:val="auto"/>
        </w:rPr>
      </w:pPr>
      <w:r>
        <w:rPr>
          <w:rFonts w:hint="default" w:ascii="Times New Roman" w:hAnsi="Times New Roman" w:eastAsia="宋体" w:cs="Times New Roman"/>
          <w:b/>
          <w:color w:val="auto"/>
        </w:rPr>
        <w:t>主要生产工艺流程</w:t>
      </w:r>
      <w:r>
        <w:rPr>
          <w:rFonts w:hint="default" w:ascii="Times New Roman" w:hAnsi="Times New Roman" w:eastAsia="宋体" w:cs="Times New Roman"/>
          <w:b/>
          <w:color w:val="auto"/>
          <w:lang w:eastAsia="zh-CN"/>
        </w:rPr>
        <w:t>简述</w:t>
      </w:r>
      <w:r>
        <w:rPr>
          <w:rFonts w:hint="default" w:ascii="Times New Roman" w:hAnsi="Times New Roman" w:eastAsia="宋体" w:cs="Times New Roman"/>
          <w:b/>
          <w:color w:val="auto"/>
        </w:rPr>
        <w:t>：</w:t>
      </w:r>
    </w:p>
    <w:p w14:paraId="29ECDF92">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下料</w:t>
      </w:r>
      <w:r>
        <w:rPr>
          <w:rFonts w:hint="default" w:ascii="Times New Roman" w:hAnsi="Times New Roman" w:eastAsia="宋体" w:cs="Times New Roman"/>
          <w:color w:val="auto"/>
          <w:kern w:val="0"/>
        </w:rPr>
        <w:t>：将外购的布匹搬运至裁剪区，准备裁剪。</w:t>
      </w:r>
    </w:p>
    <w:p w14:paraId="1F834279">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裁剪</w:t>
      </w:r>
      <w:r>
        <w:rPr>
          <w:rFonts w:hint="default" w:ascii="Times New Roman" w:hAnsi="Times New Roman" w:eastAsia="宋体" w:cs="Times New Roman"/>
          <w:color w:val="auto"/>
          <w:kern w:val="0"/>
        </w:rPr>
        <w:t>：在批量生产前，首先要由技术人员做好大生产前的技术准备工作。技术准备包括工艺单、样板的制定和样衣的制作三个内容。技术准备是确保批量生产顺利进行以及最终成品符合客户要求的重要手段。此过程会产生噪声及废边角料。</w:t>
      </w:r>
    </w:p>
    <w:p w14:paraId="4F515013">
      <w:pPr>
        <w:autoSpaceDE w:val="0"/>
        <w:autoSpaceDN w:val="0"/>
        <w:adjustRightInd w:val="0"/>
        <w:ind w:firstLine="480" w:firstLineChars="200"/>
        <w:jc w:val="left"/>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kern w:val="0"/>
          <w:lang w:eastAsia="zh-CN"/>
        </w:rPr>
        <w:t>缝制</w:t>
      </w:r>
      <w:r>
        <w:rPr>
          <w:rFonts w:hint="default" w:ascii="Times New Roman" w:hAnsi="Times New Roman" w:eastAsia="宋体" w:cs="Times New Roman"/>
          <w:color w:val="auto"/>
          <w:kern w:val="0"/>
        </w:rPr>
        <w:t>：缝制是服装加工的中心工序，服装的缝制根据款式、工艺风格等可分为机器缝制和手工缝制两种。在缝制加工过程实行流水作业。此过程会产生噪声。</w:t>
      </w:r>
    </w:p>
    <w:p w14:paraId="41F1721A">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锁眼钉扣：服装中的锁眼和钉扣通常由机器加工而成，扣眼根据其形状分为平型和眼型孔两种。</w:t>
      </w:r>
    </w:p>
    <w:p w14:paraId="4009591E">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初检验</w:t>
      </w:r>
      <w:r>
        <w:rPr>
          <w:rFonts w:hint="default" w:ascii="Times New Roman" w:hAnsi="Times New Roman" w:eastAsia="宋体" w:cs="Times New Roman"/>
          <w:color w:val="auto"/>
          <w:kern w:val="0"/>
        </w:rPr>
        <w:t>：对产品进行初步检验，主要包括剪线头。此工序会产生废边角料。</w:t>
      </w:r>
    </w:p>
    <w:p w14:paraId="54CA930E">
      <w:pPr>
        <w:autoSpaceDE w:val="0"/>
        <w:autoSpaceDN w:val="0"/>
        <w:adjustRightInd w:val="0"/>
        <w:ind w:firstLine="480" w:firstLineChars="200"/>
        <w:jc w:val="left"/>
        <w:rPr>
          <w:rFonts w:hint="default" w:ascii="Times New Roman" w:hAnsi="Times New Roman" w:eastAsia="宋体" w:cs="Times New Roman"/>
          <w:color w:val="auto"/>
          <w:kern w:val="0"/>
          <w:szCs w:val="24"/>
          <w:lang w:val="en-US" w:eastAsia="zh-CN"/>
        </w:rPr>
      </w:pPr>
      <w:r>
        <w:rPr>
          <w:rFonts w:hint="default" w:ascii="Times New Roman" w:hAnsi="Times New Roman" w:eastAsia="宋体" w:cs="Times New Roman"/>
          <w:color w:val="auto"/>
          <w:kern w:val="0"/>
          <w:szCs w:val="24"/>
        </w:rPr>
        <w:t>熨烫</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rPr>
        <w:t>整烫人们常用“三分缝制七分整烫"来强调整烫是服装加工中的一个重要的工序。本项目</w:t>
      </w:r>
      <w:r>
        <w:rPr>
          <w:rFonts w:hint="default" w:ascii="Times New Roman" w:hAnsi="Times New Roman" w:eastAsia="宋体" w:cs="Times New Roman"/>
          <w:color w:val="auto"/>
          <w:kern w:val="0"/>
          <w:szCs w:val="24"/>
          <w:lang w:eastAsia="zh-CN"/>
        </w:rPr>
        <w:t>锅炉烫台</w:t>
      </w:r>
      <w:r>
        <w:rPr>
          <w:rFonts w:hint="default" w:ascii="Times New Roman" w:hAnsi="Times New Roman" w:eastAsia="宋体" w:cs="Times New Roman"/>
          <w:color w:val="auto"/>
          <w:kern w:val="0"/>
          <w:szCs w:val="24"/>
        </w:rPr>
        <w:t>采用</w:t>
      </w:r>
      <w:r>
        <w:rPr>
          <w:rFonts w:hint="default" w:ascii="Times New Roman" w:hAnsi="Times New Roman" w:eastAsia="宋体" w:cs="Times New Roman"/>
          <w:color w:val="auto"/>
          <w:kern w:val="0"/>
          <w:szCs w:val="24"/>
          <w:lang w:eastAsia="zh-CN"/>
        </w:rPr>
        <w:t>电能加热</w:t>
      </w:r>
      <w:r>
        <w:rPr>
          <w:rFonts w:hint="default" w:ascii="Times New Roman" w:hAnsi="Times New Roman" w:eastAsia="宋体" w:cs="Times New Roman"/>
          <w:color w:val="auto"/>
          <w:kern w:val="0"/>
          <w:szCs w:val="24"/>
        </w:rPr>
        <w:t>熨烫，</w:t>
      </w:r>
      <w:r>
        <w:rPr>
          <w:rFonts w:hint="default" w:ascii="Times New Roman" w:hAnsi="Times New Roman" w:eastAsia="宋体" w:cs="Times New Roman"/>
          <w:color w:val="auto"/>
          <w:kern w:val="0"/>
          <w:szCs w:val="24"/>
        </w:rPr>
        <w:br w:type="textWrapping"/>
      </w:r>
      <w:r>
        <w:rPr>
          <w:rFonts w:hint="default" w:ascii="Times New Roman" w:hAnsi="Times New Roman" w:eastAsia="宋体" w:cs="Times New Roman"/>
          <w:color w:val="auto"/>
          <w:kern w:val="0"/>
          <w:szCs w:val="24"/>
          <w:lang w:val="en-US" w:eastAsia="zh-CN"/>
        </w:rPr>
        <w:t xml:space="preserve">    </w:t>
      </w:r>
      <w:r>
        <w:rPr>
          <w:rFonts w:hint="default" w:ascii="Times New Roman" w:hAnsi="Times New Roman" w:eastAsia="宋体" w:cs="Times New Roman"/>
          <w:color w:val="auto"/>
          <w:kern w:val="0"/>
          <w:lang w:eastAsia="zh-CN"/>
        </w:rPr>
        <w:t>成衣检验</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kern w:val="0"/>
          <w:szCs w:val="24"/>
        </w:rPr>
        <w:t>主要内容有款式是否同确认样相同；尺寸规格是否符合工艺单和样衣的要求；缝合是否正确，缝制是否规整、平服；条格面料的服装检查对格对条是否正确；面料丝缕是否正确，面料上有无疵点，油污存在。</w:t>
      </w:r>
    </w:p>
    <w:p w14:paraId="551B8B16">
      <w:pPr>
        <w:ind w:firstLine="480"/>
        <w:rPr>
          <w:rFonts w:hint="default" w:ascii="Times New Roman" w:hAnsi="Times New Roman" w:eastAsia="宋体" w:cs="Times New Roman"/>
          <w:b/>
          <w:bCs/>
          <w:color w:val="auto"/>
          <w:kern w:val="0"/>
        </w:rPr>
      </w:pPr>
      <w:r>
        <w:rPr>
          <w:rFonts w:hint="default" w:ascii="Times New Roman" w:hAnsi="Times New Roman" w:eastAsia="宋体" w:cs="Times New Roman"/>
          <w:color w:val="auto"/>
          <w:kern w:val="0"/>
          <w:szCs w:val="24"/>
        </w:rPr>
        <w:t>包装入库</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rPr>
        <w:t>服装的包装可分挂装和箱装两种，箱装</w:t>
      </w:r>
      <w:r>
        <w:rPr>
          <w:rFonts w:hint="default" w:ascii="Times New Roman" w:hAnsi="Times New Roman" w:eastAsia="宋体" w:cs="Times New Roman"/>
          <w:color w:val="auto"/>
          <w:kern w:val="0"/>
          <w:szCs w:val="24"/>
          <w:lang w:eastAsia="zh-CN"/>
        </w:rPr>
        <w:t>一般</w:t>
      </w:r>
      <w:r>
        <w:rPr>
          <w:rFonts w:hint="default" w:ascii="Times New Roman" w:hAnsi="Times New Roman" w:eastAsia="宋体" w:cs="Times New Roman"/>
          <w:color w:val="auto"/>
          <w:kern w:val="0"/>
          <w:szCs w:val="24"/>
        </w:rPr>
        <w:t>般又有内包装和外包装之分。此过程会产生废包装材料。</w:t>
      </w:r>
    </w:p>
    <w:p w14:paraId="15D781B8">
      <w:pPr>
        <w:autoSpaceDE w:val="0"/>
        <w:autoSpaceDN w:val="0"/>
        <w:adjustRightInd w:val="0"/>
        <w:ind w:firstLine="480" w:firstLineChars="200"/>
        <w:jc w:val="left"/>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产污节点说明：</w:t>
      </w:r>
    </w:p>
    <w:p w14:paraId="38721069">
      <w:pPr>
        <w:autoSpaceDE w:val="0"/>
        <w:autoSpaceDN w:val="0"/>
        <w:adjustRightInd w:val="0"/>
        <w:ind w:firstLine="480" w:firstLineChars="200"/>
        <w:jc w:val="left"/>
        <w:rPr>
          <w:rFonts w:hint="default" w:ascii="Times New Roman" w:hAnsi="Times New Roman" w:eastAsia="宋体" w:cs="Times New Roman"/>
          <w:b/>
          <w:color w:val="auto"/>
        </w:rPr>
      </w:pPr>
      <w:r>
        <w:rPr>
          <w:rFonts w:hint="eastAsia" w:ascii="Times New Roman" w:hAnsi="Times New Roman" w:cs="Times New Roman"/>
          <w:color w:val="auto"/>
          <w:kern w:val="0"/>
          <w:lang w:eastAsia="zh-CN"/>
        </w:rPr>
        <w:t>现有项目</w:t>
      </w:r>
      <w:r>
        <w:rPr>
          <w:rFonts w:hint="default" w:ascii="Times New Roman" w:hAnsi="Times New Roman" w:eastAsia="宋体" w:cs="Times New Roman"/>
          <w:color w:val="auto"/>
          <w:kern w:val="0"/>
        </w:rPr>
        <w:t>生产加工过程产污节点情况见下表</w:t>
      </w:r>
      <w:r>
        <w:rPr>
          <w:rFonts w:hint="default" w:ascii="Times New Roman" w:hAnsi="Times New Roman" w:eastAsia="宋体" w:cs="Times New Roman"/>
          <w:color w:val="auto"/>
          <w:kern w:val="0"/>
          <w:lang w:eastAsia="zh-CN"/>
        </w:rPr>
        <w:t>。</w:t>
      </w:r>
    </w:p>
    <w:p w14:paraId="65CB6EDF">
      <w:pPr>
        <w:ind w:firstLine="480" w:firstLineChars="20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eastAsia" w:ascii="Times New Roman" w:hAnsi="Times New Roman" w:cs="Times New Roman"/>
          <w:b/>
          <w:color w:val="auto"/>
          <w:lang w:val="en-US" w:eastAsia="zh-CN"/>
        </w:rPr>
        <w:t>2.7</w:t>
      </w:r>
      <w:r>
        <w:rPr>
          <w:rFonts w:hint="default" w:ascii="Times New Roman" w:hAnsi="Times New Roman" w:eastAsia="宋体" w:cs="Times New Roman"/>
          <w:b/>
          <w:color w:val="auto"/>
        </w:rPr>
        <w:t xml:space="preserve">-1  </w:t>
      </w:r>
      <w:r>
        <w:rPr>
          <w:rFonts w:hint="eastAsia" w:ascii="Times New Roman" w:hAnsi="Times New Roman" w:eastAsia="宋体" w:cs="Times New Roman"/>
          <w:b/>
          <w:color w:val="auto"/>
          <w:lang w:eastAsia="zh-CN"/>
        </w:rPr>
        <w:t>现有项目</w:t>
      </w:r>
      <w:r>
        <w:rPr>
          <w:rFonts w:hint="default" w:ascii="Times New Roman" w:hAnsi="Times New Roman" w:eastAsia="宋体" w:cs="Times New Roman"/>
          <w:b/>
          <w:color w:val="auto"/>
        </w:rPr>
        <w:t>生产加工过程产污节点情况一览表</w:t>
      </w:r>
    </w:p>
    <w:tbl>
      <w:tblPr>
        <w:tblStyle w:val="66"/>
        <w:tblW w:w="8523"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417"/>
        <w:gridCol w:w="2267"/>
        <w:gridCol w:w="3735"/>
      </w:tblGrid>
      <w:tr w14:paraId="4C4179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21" w:type="dxa"/>
            <w:gridSpan w:val="2"/>
            <w:shd w:val="clear" w:color="auto" w:fill="auto"/>
            <w:noWrap w:val="0"/>
            <w:vAlign w:val="center"/>
          </w:tcPr>
          <w:p w14:paraId="5DFC6B8E">
            <w:pPr>
              <w:pStyle w:val="1261"/>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2267" w:type="dxa"/>
            <w:shd w:val="clear" w:color="auto" w:fill="auto"/>
            <w:noWrap w:val="0"/>
            <w:vAlign w:val="center"/>
          </w:tcPr>
          <w:p w14:paraId="0B0DE204">
            <w:pPr>
              <w:pStyle w:val="1261"/>
              <w:rPr>
                <w:rFonts w:hint="default" w:ascii="Times New Roman" w:hAnsi="Times New Roman" w:eastAsia="宋体" w:cs="Times New Roman"/>
                <w:color w:val="auto"/>
              </w:rPr>
            </w:pPr>
            <w:r>
              <w:rPr>
                <w:rFonts w:hint="default" w:ascii="Times New Roman" w:hAnsi="Times New Roman" w:eastAsia="宋体" w:cs="Times New Roman"/>
                <w:color w:val="auto"/>
              </w:rPr>
              <w:t>产生节点</w:t>
            </w:r>
          </w:p>
        </w:tc>
        <w:tc>
          <w:tcPr>
            <w:tcW w:w="3735" w:type="dxa"/>
            <w:shd w:val="clear" w:color="auto" w:fill="auto"/>
            <w:noWrap w:val="0"/>
            <w:vAlign w:val="center"/>
          </w:tcPr>
          <w:p w14:paraId="55E6C76C">
            <w:pPr>
              <w:pStyle w:val="1261"/>
              <w:rPr>
                <w:rFonts w:hint="default" w:ascii="Times New Roman" w:hAnsi="Times New Roman" w:eastAsia="宋体" w:cs="Times New Roman"/>
                <w:color w:val="auto"/>
              </w:rPr>
            </w:pPr>
            <w:r>
              <w:rPr>
                <w:rFonts w:hint="default" w:ascii="Times New Roman" w:hAnsi="Times New Roman" w:eastAsia="宋体" w:cs="Times New Roman"/>
                <w:color w:val="auto"/>
              </w:rPr>
              <w:t>污染因子</w:t>
            </w:r>
          </w:p>
        </w:tc>
      </w:tr>
      <w:tr w14:paraId="42EE6C7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shd w:val="clear" w:color="auto" w:fill="auto"/>
            <w:noWrap w:val="0"/>
            <w:vAlign w:val="center"/>
          </w:tcPr>
          <w:p w14:paraId="0771904D">
            <w:pPr>
              <w:pStyle w:val="756"/>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废气</w:t>
            </w:r>
          </w:p>
        </w:tc>
        <w:tc>
          <w:tcPr>
            <w:tcW w:w="1417" w:type="dxa"/>
            <w:shd w:val="clear" w:color="auto" w:fill="auto"/>
            <w:noWrap w:val="0"/>
            <w:vAlign w:val="center"/>
          </w:tcPr>
          <w:p w14:paraId="24E2F7DB">
            <w:pPr>
              <w:pStyle w:val="756"/>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服装制造</w:t>
            </w:r>
          </w:p>
        </w:tc>
        <w:tc>
          <w:tcPr>
            <w:tcW w:w="2267" w:type="dxa"/>
            <w:shd w:val="clear" w:color="auto" w:fill="auto"/>
            <w:noWrap w:val="0"/>
            <w:vAlign w:val="center"/>
          </w:tcPr>
          <w:p w14:paraId="3FA50943">
            <w:pPr>
              <w:pStyle w:val="756"/>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裁剪</w:t>
            </w:r>
          </w:p>
        </w:tc>
        <w:tc>
          <w:tcPr>
            <w:tcW w:w="3735" w:type="dxa"/>
            <w:shd w:val="clear" w:color="auto" w:fill="auto"/>
            <w:noWrap w:val="0"/>
            <w:vAlign w:val="center"/>
          </w:tcPr>
          <w:p w14:paraId="42E09004">
            <w:pPr>
              <w:pStyle w:val="756"/>
              <w:rPr>
                <w:rFonts w:hint="eastAsia" w:ascii="Times New Roman" w:hAnsi="Times New Roman" w:eastAsia="宋体" w:cs="Times New Roman"/>
                <w:color w:val="auto"/>
                <w:lang w:eastAsia="zh-CN"/>
              </w:rPr>
            </w:pPr>
            <w:r>
              <w:rPr>
                <w:rFonts w:hint="eastAsia" w:ascii="Times New Roman" w:hAnsi="Times New Roman" w:cs="Times New Roman"/>
                <w:color w:val="auto"/>
                <w:lang w:eastAsia="zh-CN"/>
              </w:rPr>
              <w:t>粉尘</w:t>
            </w:r>
          </w:p>
        </w:tc>
      </w:tr>
      <w:tr w14:paraId="0E53AAC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shd w:val="clear" w:color="auto" w:fill="auto"/>
            <w:noWrap w:val="0"/>
            <w:vAlign w:val="center"/>
          </w:tcPr>
          <w:p w14:paraId="5B16A0DF">
            <w:pPr>
              <w:pStyle w:val="756"/>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废水</w:t>
            </w:r>
          </w:p>
        </w:tc>
        <w:tc>
          <w:tcPr>
            <w:tcW w:w="1417" w:type="dxa"/>
            <w:shd w:val="clear" w:color="auto" w:fill="auto"/>
            <w:noWrap w:val="0"/>
            <w:vAlign w:val="center"/>
          </w:tcPr>
          <w:p w14:paraId="7614C9F0">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p>
        </w:tc>
        <w:tc>
          <w:tcPr>
            <w:tcW w:w="2267" w:type="dxa"/>
            <w:shd w:val="clear" w:color="auto" w:fill="auto"/>
            <w:noWrap w:val="0"/>
            <w:vAlign w:val="center"/>
          </w:tcPr>
          <w:p w14:paraId="137353EC">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员工办公生活</w:t>
            </w:r>
          </w:p>
        </w:tc>
        <w:tc>
          <w:tcPr>
            <w:tcW w:w="3735" w:type="dxa"/>
            <w:shd w:val="clear" w:color="auto" w:fill="auto"/>
            <w:noWrap w:val="0"/>
            <w:vAlign w:val="center"/>
          </w:tcPr>
          <w:p w14:paraId="3194F4B4">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pH、COD、BOD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、SS、NH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-N、TP</w:t>
            </w:r>
          </w:p>
        </w:tc>
      </w:tr>
      <w:tr w14:paraId="53D185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shd w:val="clear" w:color="auto" w:fill="auto"/>
            <w:noWrap w:val="0"/>
            <w:vAlign w:val="center"/>
          </w:tcPr>
          <w:p w14:paraId="02A6C568">
            <w:pPr>
              <w:pStyle w:val="756"/>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噪声</w:t>
            </w:r>
          </w:p>
        </w:tc>
        <w:tc>
          <w:tcPr>
            <w:tcW w:w="3684" w:type="dxa"/>
            <w:gridSpan w:val="2"/>
            <w:shd w:val="clear" w:color="auto" w:fill="auto"/>
            <w:noWrap w:val="0"/>
            <w:vAlign w:val="center"/>
          </w:tcPr>
          <w:p w14:paraId="12111237">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机器运转噪声</w:t>
            </w:r>
          </w:p>
        </w:tc>
        <w:tc>
          <w:tcPr>
            <w:tcW w:w="3735" w:type="dxa"/>
            <w:shd w:val="clear" w:color="auto" w:fill="auto"/>
            <w:noWrap w:val="0"/>
            <w:vAlign w:val="center"/>
          </w:tcPr>
          <w:p w14:paraId="0FBF48AA">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r>
      <w:tr w14:paraId="59AC6CD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restart"/>
            <w:shd w:val="clear" w:color="auto" w:fill="auto"/>
            <w:noWrap w:val="0"/>
            <w:vAlign w:val="center"/>
          </w:tcPr>
          <w:p w14:paraId="1BF58290">
            <w:pPr>
              <w:pStyle w:val="756"/>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固废</w:t>
            </w:r>
          </w:p>
        </w:tc>
        <w:tc>
          <w:tcPr>
            <w:tcW w:w="1417" w:type="dxa"/>
            <w:shd w:val="clear" w:color="auto" w:fill="auto"/>
            <w:noWrap w:val="0"/>
            <w:vAlign w:val="center"/>
          </w:tcPr>
          <w:p w14:paraId="3AB4F01D">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2267" w:type="dxa"/>
            <w:shd w:val="clear" w:color="auto" w:fill="auto"/>
            <w:noWrap w:val="0"/>
            <w:vAlign w:val="center"/>
          </w:tcPr>
          <w:p w14:paraId="72A8C5CB">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员工办公生活</w:t>
            </w:r>
          </w:p>
        </w:tc>
        <w:tc>
          <w:tcPr>
            <w:tcW w:w="3735" w:type="dxa"/>
            <w:shd w:val="clear" w:color="auto" w:fill="auto"/>
            <w:noWrap w:val="0"/>
            <w:vAlign w:val="center"/>
          </w:tcPr>
          <w:p w14:paraId="571A20E6">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r>
      <w:tr w14:paraId="1456FB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0DB40B78">
            <w:pPr>
              <w:pStyle w:val="756"/>
              <w:rPr>
                <w:rFonts w:hint="default" w:ascii="Times New Roman" w:hAnsi="Times New Roman" w:eastAsia="宋体" w:cs="Times New Roman"/>
                <w:color w:val="auto"/>
              </w:rPr>
            </w:pPr>
          </w:p>
        </w:tc>
        <w:tc>
          <w:tcPr>
            <w:tcW w:w="1417" w:type="dxa"/>
            <w:shd w:val="clear" w:color="auto" w:fill="auto"/>
            <w:noWrap w:val="0"/>
            <w:vAlign w:val="center"/>
          </w:tcPr>
          <w:p w14:paraId="610B5FE2">
            <w:pPr>
              <w:pStyle w:val="756"/>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rPr>
              <w:t>废边角料</w:t>
            </w:r>
          </w:p>
        </w:tc>
        <w:tc>
          <w:tcPr>
            <w:tcW w:w="2267" w:type="dxa"/>
            <w:shd w:val="clear" w:color="auto" w:fill="auto"/>
            <w:noWrap w:val="0"/>
            <w:vAlign w:val="center"/>
          </w:tcPr>
          <w:p w14:paraId="2BDFCB98">
            <w:pPr>
              <w:pStyle w:val="756"/>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裁剪、初检验</w:t>
            </w:r>
          </w:p>
        </w:tc>
        <w:tc>
          <w:tcPr>
            <w:tcW w:w="3735" w:type="dxa"/>
            <w:shd w:val="clear" w:color="auto" w:fill="auto"/>
            <w:noWrap w:val="0"/>
            <w:vAlign w:val="center"/>
          </w:tcPr>
          <w:p w14:paraId="263A7E42">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r>
      <w:tr w14:paraId="6EFF9EE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58E0EC18">
            <w:pPr>
              <w:pStyle w:val="756"/>
              <w:rPr>
                <w:rFonts w:hint="default" w:ascii="Times New Roman" w:hAnsi="Times New Roman" w:eastAsia="宋体" w:cs="Times New Roman"/>
                <w:color w:val="auto"/>
              </w:rPr>
            </w:pPr>
          </w:p>
        </w:tc>
        <w:tc>
          <w:tcPr>
            <w:tcW w:w="1417" w:type="dxa"/>
            <w:shd w:val="clear" w:color="auto" w:fill="auto"/>
            <w:noWrap w:val="0"/>
            <w:vAlign w:val="center"/>
          </w:tcPr>
          <w:p w14:paraId="781E7DDA">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废包装材料</w:t>
            </w:r>
          </w:p>
        </w:tc>
        <w:tc>
          <w:tcPr>
            <w:tcW w:w="2267" w:type="dxa"/>
            <w:shd w:val="clear" w:color="auto" w:fill="auto"/>
            <w:noWrap w:val="0"/>
            <w:vAlign w:val="center"/>
          </w:tcPr>
          <w:p w14:paraId="6755E100">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原材料拆包、成品包装</w:t>
            </w:r>
          </w:p>
        </w:tc>
        <w:tc>
          <w:tcPr>
            <w:tcW w:w="3735" w:type="dxa"/>
            <w:shd w:val="clear" w:color="auto" w:fill="auto"/>
            <w:noWrap w:val="0"/>
            <w:vAlign w:val="center"/>
          </w:tcPr>
          <w:p w14:paraId="28FE0A69">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r>
      <w:tr w14:paraId="588E74C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1DE2E3AB">
            <w:pPr>
              <w:pStyle w:val="756"/>
              <w:rPr>
                <w:rFonts w:hint="default" w:ascii="Times New Roman" w:hAnsi="Times New Roman" w:eastAsia="宋体" w:cs="Times New Roman"/>
                <w:color w:val="auto"/>
              </w:rPr>
            </w:pPr>
          </w:p>
        </w:tc>
        <w:tc>
          <w:tcPr>
            <w:tcW w:w="1417" w:type="dxa"/>
            <w:shd w:val="clear" w:color="auto" w:fill="auto"/>
            <w:noWrap w:val="0"/>
            <w:vAlign w:val="center"/>
          </w:tcPr>
          <w:p w14:paraId="0EC547E5">
            <w:pPr>
              <w:pStyle w:val="756"/>
              <w:rPr>
                <w:rFonts w:hint="eastAsia" w:ascii="Times New Roman" w:hAnsi="Times New Roman" w:eastAsia="宋体" w:cs="Times New Roman"/>
                <w:color w:val="auto"/>
                <w:lang w:eastAsia="zh-CN"/>
              </w:rPr>
            </w:pPr>
            <w:r>
              <w:rPr>
                <w:rFonts w:hint="eastAsia" w:cs="Times New Roman"/>
                <w:color w:val="auto"/>
                <w:lang w:eastAsia="zh-CN"/>
              </w:rPr>
              <w:t>废机油</w:t>
            </w:r>
          </w:p>
        </w:tc>
        <w:tc>
          <w:tcPr>
            <w:tcW w:w="2267" w:type="dxa"/>
            <w:shd w:val="clear" w:color="auto" w:fill="auto"/>
            <w:noWrap w:val="0"/>
            <w:vAlign w:val="center"/>
          </w:tcPr>
          <w:p w14:paraId="5334FD5F">
            <w:pPr>
              <w:pStyle w:val="756"/>
              <w:rPr>
                <w:rFonts w:hint="eastAsia" w:ascii="Times New Roman" w:hAnsi="Times New Roman" w:eastAsia="宋体" w:cs="Times New Roman"/>
                <w:color w:val="auto"/>
                <w:lang w:eastAsia="zh-CN"/>
              </w:rPr>
            </w:pPr>
            <w:r>
              <w:rPr>
                <w:rFonts w:hint="eastAsia" w:cs="Times New Roman"/>
                <w:color w:val="auto"/>
                <w:lang w:eastAsia="zh-CN"/>
              </w:rPr>
              <w:t>设备检修</w:t>
            </w:r>
          </w:p>
        </w:tc>
        <w:tc>
          <w:tcPr>
            <w:tcW w:w="3735" w:type="dxa"/>
            <w:shd w:val="clear" w:color="auto" w:fill="auto"/>
            <w:noWrap w:val="0"/>
            <w:vAlign w:val="center"/>
          </w:tcPr>
          <w:p w14:paraId="2BF935BC">
            <w:pPr>
              <w:pStyle w:val="756"/>
              <w:rPr>
                <w:rFonts w:hint="eastAsia" w:ascii="Times New Roman" w:hAnsi="Times New Roman" w:eastAsia="宋体" w:cs="Times New Roman"/>
                <w:color w:val="auto"/>
                <w:lang w:eastAsia="zh-CN"/>
              </w:rPr>
            </w:pPr>
            <w:r>
              <w:rPr>
                <w:rFonts w:hint="eastAsia" w:cs="Times New Roman"/>
                <w:color w:val="auto"/>
                <w:lang w:eastAsia="zh-CN"/>
              </w:rPr>
              <w:t>危险固废</w:t>
            </w:r>
          </w:p>
        </w:tc>
      </w:tr>
    </w:tbl>
    <w:p w14:paraId="2E735CA5">
      <w:pPr>
        <w:adjustRightInd w:val="0"/>
        <w:snapToGrid w:val="0"/>
        <w:spacing w:beforeLines="50"/>
        <w:outlineLvl w:val="1"/>
        <w:rPr>
          <w:rFonts w:hint="default" w:ascii="Times New Roman" w:hAnsi="Times New Roman" w:eastAsia="宋体" w:cs="Times New Roman"/>
          <w:b/>
          <w:color w:val="auto"/>
          <w:sz w:val="32"/>
          <w:szCs w:val="32"/>
        </w:rPr>
      </w:pPr>
      <w:bookmarkStart w:id="210" w:name="_Toc2852"/>
      <w:r>
        <w:rPr>
          <w:rFonts w:hint="eastAsia" w:ascii="Times New Roman" w:hAnsi="Times New Roman" w:cs="Times New Roman"/>
          <w:b/>
          <w:color w:val="auto"/>
          <w:sz w:val="32"/>
          <w:szCs w:val="32"/>
          <w:lang w:val="en-US" w:eastAsia="zh-CN"/>
        </w:rPr>
        <w:t>2.8现有项目</w:t>
      </w:r>
      <w:r>
        <w:rPr>
          <w:rFonts w:hint="default" w:ascii="Times New Roman" w:hAnsi="Times New Roman" w:eastAsia="宋体" w:cs="Times New Roman"/>
          <w:b/>
          <w:color w:val="auto"/>
          <w:sz w:val="32"/>
          <w:szCs w:val="32"/>
        </w:rPr>
        <w:t>污染物产生及排放情况</w:t>
      </w:r>
      <w:bookmarkEnd w:id="210"/>
    </w:p>
    <w:p w14:paraId="306280E2">
      <w:pPr>
        <w:pStyle w:val="11"/>
        <w:adjustRightInd w:val="0"/>
        <w:snapToGrid w:val="0"/>
        <w:spacing w:before="0" w:after="0" w:line="360" w:lineRule="auto"/>
        <w:ind w:firstLine="140" w:firstLineChars="50"/>
        <w:rPr>
          <w:rFonts w:hint="default" w:ascii="Times New Roman" w:hAnsi="Times New Roman" w:eastAsia="宋体" w:cs="Times New Roman"/>
          <w:color w:val="auto"/>
          <w:sz w:val="28"/>
          <w:szCs w:val="28"/>
        </w:rPr>
      </w:pPr>
      <w:r>
        <w:rPr>
          <w:rFonts w:hint="eastAsia" w:ascii="Times New Roman" w:hAnsi="Times New Roman" w:cs="Times New Roman"/>
          <w:color w:val="auto"/>
          <w:sz w:val="28"/>
          <w:szCs w:val="28"/>
          <w:lang w:val="en-US" w:eastAsia="zh-CN"/>
        </w:rPr>
        <w:t>2.8.1现有项目</w:t>
      </w:r>
      <w:r>
        <w:rPr>
          <w:rFonts w:hint="default" w:ascii="Times New Roman" w:hAnsi="Times New Roman" w:eastAsia="宋体" w:cs="Times New Roman"/>
          <w:color w:val="auto"/>
          <w:sz w:val="28"/>
          <w:szCs w:val="28"/>
        </w:rPr>
        <w:t>大气污染源分析</w:t>
      </w:r>
    </w:p>
    <w:p w14:paraId="6A4DBB77">
      <w:pPr>
        <w:ind w:firstLine="480" w:firstLineChars="200"/>
        <w:jc w:val="left"/>
        <w:rPr>
          <w:rFonts w:hint="default" w:ascii="Times New Roman" w:hAnsi="Times New Roman" w:eastAsia="宋体" w:cs="Times New Roman"/>
          <w:color w:val="auto"/>
        </w:rPr>
      </w:pPr>
      <w:r>
        <w:rPr>
          <w:rFonts w:hint="eastAsia" w:ascii="Times New Roman" w:hAnsi="Times New Roman" w:cs="Times New Roman"/>
          <w:color w:val="auto"/>
          <w:kern w:val="0"/>
          <w:lang w:eastAsia="zh-CN"/>
        </w:rPr>
        <w:t>现有</w:t>
      </w:r>
      <w:r>
        <w:rPr>
          <w:rFonts w:hint="default" w:ascii="Times New Roman" w:hAnsi="Times New Roman" w:eastAsia="宋体" w:cs="Times New Roman"/>
          <w:color w:val="auto"/>
        </w:rPr>
        <w:t>项目运营期产生的废气主要为粉尘及少量油烟。</w:t>
      </w:r>
    </w:p>
    <w:p w14:paraId="5274E5FB">
      <w:pPr>
        <w:ind w:firstLine="480" w:firstLineChars="200"/>
        <w:jc w:val="left"/>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1、服装制造</w:t>
      </w:r>
      <w:r>
        <w:rPr>
          <w:rFonts w:hint="default" w:ascii="Times New Roman" w:hAnsi="Times New Roman" w:eastAsia="宋体" w:cs="Times New Roman"/>
          <w:b/>
          <w:color w:val="auto"/>
          <w:lang w:eastAsia="zh-CN"/>
        </w:rPr>
        <w:t>产生粉尘</w:t>
      </w:r>
    </w:p>
    <w:p w14:paraId="10E2D0DB">
      <w:pPr>
        <w:ind w:firstLine="480"/>
        <w:rPr>
          <w:rFonts w:hint="default" w:ascii="Times New Roman" w:hAnsi="Times New Roman" w:eastAsia="宋体" w:cs="Times New Roman"/>
          <w:color w:val="auto"/>
          <w:kern w:val="0"/>
          <w:lang w:val="en-US" w:eastAsia="zh-CN"/>
        </w:rPr>
      </w:pPr>
      <w:r>
        <w:rPr>
          <w:rFonts w:hint="eastAsia" w:ascii="Times New Roman" w:hAnsi="Times New Roman" w:cs="Times New Roman"/>
          <w:color w:val="auto"/>
          <w:kern w:val="0"/>
          <w:lang w:eastAsia="zh-CN"/>
        </w:rPr>
        <w:t>现有</w:t>
      </w:r>
      <w:r>
        <w:rPr>
          <w:rFonts w:hint="default" w:ascii="Times New Roman" w:hAnsi="Times New Roman" w:eastAsia="宋体" w:cs="Times New Roman"/>
          <w:color w:val="auto"/>
          <w:lang w:eastAsia="zh-CN"/>
        </w:rPr>
        <w:t>项目在</w:t>
      </w:r>
      <w:r>
        <w:rPr>
          <w:rFonts w:hint="default" w:ascii="Times New Roman" w:hAnsi="Times New Roman" w:eastAsia="宋体" w:cs="Times New Roman"/>
          <w:color w:val="auto"/>
          <w:lang w:val="en-US" w:eastAsia="zh-CN"/>
        </w:rPr>
        <w:t>服装制造</w:t>
      </w:r>
      <w:r>
        <w:rPr>
          <w:rFonts w:hint="default" w:ascii="Times New Roman" w:hAnsi="Times New Roman" w:eastAsia="宋体" w:cs="Times New Roman"/>
          <w:color w:val="auto"/>
          <w:lang w:eastAsia="zh-CN"/>
        </w:rPr>
        <w:t>阶段会有</w:t>
      </w:r>
      <w:r>
        <w:rPr>
          <w:rFonts w:hint="default" w:ascii="Times New Roman" w:hAnsi="Times New Roman" w:eastAsia="宋体" w:cs="Times New Roman"/>
          <w:color w:val="auto"/>
        </w:rPr>
        <w:t>粉尘产生，</w:t>
      </w:r>
      <w:r>
        <w:rPr>
          <w:rFonts w:hint="default" w:ascii="Times New Roman" w:hAnsi="Times New Roman" w:eastAsia="宋体" w:cs="Times New Roman"/>
          <w:color w:val="auto"/>
          <w:lang w:eastAsia="zh-CN"/>
        </w:rPr>
        <w:t>项目使用成品布进行加工制造服装，产生的粉尘较少，</w:t>
      </w:r>
      <w:r>
        <w:rPr>
          <w:rFonts w:hint="default" w:ascii="Times New Roman" w:hAnsi="Times New Roman" w:eastAsia="宋体" w:cs="Times New Roman"/>
          <w:color w:val="auto"/>
          <w:lang w:val="en-US" w:eastAsia="zh-CN"/>
        </w:rPr>
        <w:t>产生的粉尘为0.018t/a，排放速率为0.0033kg/h，</w:t>
      </w:r>
      <w:r>
        <w:rPr>
          <w:rFonts w:hint="default" w:ascii="Times New Roman" w:hAnsi="Times New Roman" w:eastAsia="宋体" w:cs="Times New Roman"/>
          <w:color w:val="auto"/>
        </w:rPr>
        <w:t>产生粉尘基本沉降在车间内</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呈无组织排放</w:t>
      </w:r>
      <w:r>
        <w:rPr>
          <w:rFonts w:hint="default" w:ascii="Times New Roman" w:hAnsi="Times New Roman" w:eastAsia="宋体" w:cs="Times New Roman"/>
          <w:color w:val="auto"/>
          <w:lang w:eastAsia="zh-CN"/>
        </w:rPr>
        <w:t>。</w:t>
      </w:r>
    </w:p>
    <w:p w14:paraId="2BD33906">
      <w:pPr>
        <w:ind w:firstLine="480"/>
        <w:rPr>
          <w:rFonts w:hint="default" w:ascii="Times New Roman" w:hAnsi="Times New Roman" w:eastAsia="宋体" w:cs="Times New Roman"/>
          <w:color w:val="auto"/>
        </w:rPr>
      </w:pPr>
      <w:r>
        <w:rPr>
          <w:rFonts w:hint="eastAsia" w:ascii="Times New Roman" w:hAnsi="Times New Roman" w:cs="Times New Roman"/>
          <w:color w:val="auto"/>
          <w:kern w:val="0"/>
          <w:lang w:eastAsia="zh-CN"/>
        </w:rPr>
        <w:t>现有</w:t>
      </w:r>
      <w:r>
        <w:rPr>
          <w:rFonts w:hint="default" w:ascii="Times New Roman" w:hAnsi="Times New Roman" w:eastAsia="宋体" w:cs="Times New Roman"/>
          <w:color w:val="auto"/>
        </w:rPr>
        <w:t>项目无组织废气排放情况见表</w:t>
      </w:r>
      <w:r>
        <w:rPr>
          <w:rFonts w:hint="eastAsia" w:ascii="Times New Roman" w:hAnsi="Times New Roman" w:cs="Times New Roman"/>
          <w:color w:val="auto"/>
          <w:lang w:val="en-US" w:eastAsia="zh-CN"/>
        </w:rPr>
        <w:t>2.8-1</w:t>
      </w:r>
      <w:r>
        <w:rPr>
          <w:rFonts w:hint="default" w:ascii="Times New Roman" w:hAnsi="Times New Roman" w:eastAsia="宋体" w:cs="Times New Roman"/>
          <w:color w:val="auto"/>
        </w:rPr>
        <w:t>。</w:t>
      </w:r>
    </w:p>
    <w:p w14:paraId="64D87DCE">
      <w:pPr>
        <w:ind w:firstLine="0" w:firstLineChars="0"/>
        <w:jc w:val="center"/>
        <w:rPr>
          <w:rFonts w:hint="default" w:ascii="Times New Roman" w:hAnsi="Times New Roman" w:eastAsia="宋体" w:cs="Times New Roman"/>
          <w:b/>
          <w:color w:val="auto"/>
          <w:szCs w:val="18"/>
        </w:rPr>
      </w:pPr>
      <w:r>
        <w:rPr>
          <w:rFonts w:hint="default" w:ascii="Times New Roman" w:hAnsi="Times New Roman" w:eastAsia="宋体" w:cs="Times New Roman"/>
          <w:b/>
          <w:color w:val="auto"/>
          <w:szCs w:val="18"/>
        </w:rPr>
        <w:t>表</w:t>
      </w:r>
      <w:r>
        <w:rPr>
          <w:rFonts w:hint="eastAsia" w:ascii="Times New Roman" w:hAnsi="Times New Roman" w:cs="Times New Roman"/>
          <w:b/>
          <w:color w:val="auto"/>
          <w:szCs w:val="18"/>
          <w:lang w:val="en-US" w:eastAsia="zh-CN"/>
        </w:rPr>
        <w:t>2.8-1</w:t>
      </w:r>
      <w:r>
        <w:rPr>
          <w:rFonts w:hint="default" w:ascii="Times New Roman" w:hAnsi="Times New Roman" w:eastAsia="宋体" w:cs="Times New Roman"/>
          <w:b/>
          <w:color w:val="auto"/>
          <w:szCs w:val="18"/>
        </w:rPr>
        <w:t xml:space="preserve"> </w:t>
      </w:r>
      <w:r>
        <w:rPr>
          <w:rFonts w:hint="default" w:ascii="Times New Roman" w:hAnsi="Times New Roman" w:eastAsia="宋体" w:cs="Times New Roman"/>
          <w:b/>
          <w:color w:val="auto"/>
          <w:szCs w:val="18"/>
          <w:lang w:eastAsia="zh-CN"/>
        </w:rPr>
        <w:t>现有项目</w:t>
      </w:r>
      <w:r>
        <w:rPr>
          <w:rFonts w:hint="default" w:ascii="Times New Roman" w:hAnsi="Times New Roman" w:eastAsia="宋体" w:cs="Times New Roman"/>
          <w:b/>
          <w:color w:val="auto"/>
          <w:szCs w:val="18"/>
        </w:rPr>
        <w:t>无组织废气排放情况一览表</w:t>
      </w:r>
    </w:p>
    <w:tbl>
      <w:tblPr>
        <w:tblStyle w:val="66"/>
        <w:tblW w:w="8528"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692"/>
        <w:gridCol w:w="1109"/>
        <w:gridCol w:w="1280"/>
        <w:gridCol w:w="1280"/>
        <w:gridCol w:w="1563"/>
        <w:gridCol w:w="905"/>
        <w:gridCol w:w="944"/>
        <w:gridCol w:w="755"/>
      </w:tblGrid>
      <w:tr w14:paraId="6AFD3E3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2" w:type="dxa"/>
            <w:vMerge w:val="restart"/>
            <w:tcBorders>
              <w:bottom w:val="single" w:color="auto" w:sz="4" w:space="0"/>
              <w:right w:val="single" w:color="auto" w:sz="4" w:space="0"/>
            </w:tcBorders>
            <w:noWrap w:val="0"/>
            <w:vAlign w:val="center"/>
          </w:tcPr>
          <w:p w14:paraId="21FD67B8">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编号</w:t>
            </w:r>
          </w:p>
        </w:tc>
        <w:tc>
          <w:tcPr>
            <w:tcW w:w="5232" w:type="dxa"/>
            <w:gridSpan w:val="4"/>
            <w:tcBorders>
              <w:left w:val="single" w:color="auto" w:sz="4" w:space="0"/>
              <w:bottom w:val="single" w:color="auto" w:sz="4" w:space="0"/>
              <w:right w:val="single" w:color="auto" w:sz="4" w:space="0"/>
            </w:tcBorders>
            <w:noWrap w:val="0"/>
            <w:vAlign w:val="center"/>
          </w:tcPr>
          <w:p w14:paraId="0414CA6D">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排放情况</w:t>
            </w:r>
          </w:p>
        </w:tc>
        <w:tc>
          <w:tcPr>
            <w:tcW w:w="905" w:type="dxa"/>
            <w:vMerge w:val="restart"/>
            <w:tcBorders>
              <w:left w:val="single" w:color="auto" w:sz="4" w:space="0"/>
              <w:bottom w:val="single" w:color="auto" w:sz="4" w:space="0"/>
              <w:right w:val="single" w:color="auto" w:sz="4" w:space="0"/>
            </w:tcBorders>
            <w:noWrap w:val="0"/>
            <w:vAlign w:val="center"/>
          </w:tcPr>
          <w:p w14:paraId="002D4869">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排放时间h/a</w:t>
            </w:r>
          </w:p>
        </w:tc>
        <w:tc>
          <w:tcPr>
            <w:tcW w:w="944" w:type="dxa"/>
            <w:vMerge w:val="restart"/>
            <w:tcBorders>
              <w:left w:val="single" w:color="auto" w:sz="4" w:space="0"/>
              <w:bottom w:val="single" w:color="auto" w:sz="4" w:space="0"/>
              <w:right w:val="single" w:color="auto" w:sz="4" w:space="0"/>
            </w:tcBorders>
            <w:noWrap w:val="0"/>
            <w:vAlign w:val="center"/>
          </w:tcPr>
          <w:p w14:paraId="16EFA651">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面源面积m</w:t>
            </w:r>
            <w:r>
              <w:rPr>
                <w:rFonts w:hint="default" w:ascii="Times New Roman" w:hAnsi="Times New Roman" w:eastAsia="宋体" w:cs="Times New Roman"/>
                <w:b/>
                <w:bCs/>
                <w:color w:val="auto"/>
                <w:sz w:val="21"/>
                <w:szCs w:val="24"/>
                <w:vertAlign w:val="superscript"/>
              </w:rPr>
              <w:t>2</w:t>
            </w:r>
          </w:p>
        </w:tc>
        <w:tc>
          <w:tcPr>
            <w:tcW w:w="755" w:type="dxa"/>
            <w:vMerge w:val="restart"/>
            <w:tcBorders>
              <w:left w:val="single" w:color="auto" w:sz="4" w:space="0"/>
              <w:bottom w:val="single" w:color="auto" w:sz="4" w:space="0"/>
            </w:tcBorders>
            <w:noWrap w:val="0"/>
            <w:vAlign w:val="center"/>
          </w:tcPr>
          <w:p w14:paraId="4BF798CC">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面源高度m</w:t>
            </w:r>
          </w:p>
        </w:tc>
      </w:tr>
      <w:tr w14:paraId="104D7D6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2" w:type="dxa"/>
            <w:vMerge w:val="continue"/>
            <w:tcBorders>
              <w:top w:val="single" w:color="auto" w:sz="4" w:space="0"/>
              <w:bottom w:val="single" w:color="auto" w:sz="4" w:space="0"/>
              <w:right w:val="single" w:color="auto" w:sz="4" w:space="0"/>
            </w:tcBorders>
            <w:noWrap w:val="0"/>
            <w:vAlign w:val="center"/>
          </w:tcPr>
          <w:p w14:paraId="10FD08B8">
            <w:pPr>
              <w:spacing w:line="240" w:lineRule="auto"/>
              <w:ind w:firstLine="0" w:firstLineChars="0"/>
              <w:jc w:val="center"/>
              <w:rPr>
                <w:rFonts w:hint="default" w:ascii="Times New Roman" w:hAnsi="Times New Roman" w:eastAsia="宋体" w:cs="Times New Roman"/>
                <w:color w:val="auto"/>
                <w:sz w:val="21"/>
                <w:szCs w:val="24"/>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00CE2C95">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污染物名称</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98379E0">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产生点</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0547348D">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排放速率</w:t>
            </w:r>
          </w:p>
          <w:p w14:paraId="7D47FFF2">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kg/h</w:t>
            </w:r>
          </w:p>
        </w:tc>
        <w:tc>
          <w:tcPr>
            <w:tcW w:w="1563" w:type="dxa"/>
            <w:tcBorders>
              <w:top w:val="single" w:color="auto" w:sz="4" w:space="0"/>
              <w:left w:val="single" w:color="auto" w:sz="4" w:space="0"/>
              <w:bottom w:val="single" w:color="auto" w:sz="4" w:space="0"/>
              <w:right w:val="single" w:color="auto" w:sz="4" w:space="0"/>
            </w:tcBorders>
            <w:noWrap w:val="0"/>
            <w:vAlign w:val="center"/>
          </w:tcPr>
          <w:p w14:paraId="5D30CFBE">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排放量</w:t>
            </w:r>
          </w:p>
          <w:p w14:paraId="623696EC">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t/a</w:t>
            </w:r>
          </w:p>
        </w:tc>
        <w:tc>
          <w:tcPr>
            <w:tcW w:w="905" w:type="dxa"/>
            <w:vMerge w:val="continue"/>
            <w:tcBorders>
              <w:top w:val="single" w:color="auto" w:sz="4" w:space="0"/>
              <w:left w:val="single" w:color="auto" w:sz="4" w:space="0"/>
              <w:bottom w:val="single" w:color="auto" w:sz="4" w:space="0"/>
              <w:right w:val="single" w:color="auto" w:sz="4" w:space="0"/>
            </w:tcBorders>
            <w:noWrap w:val="0"/>
            <w:vAlign w:val="center"/>
          </w:tcPr>
          <w:p w14:paraId="1C494D97">
            <w:pPr>
              <w:spacing w:line="240" w:lineRule="auto"/>
              <w:ind w:firstLine="0" w:firstLineChars="0"/>
              <w:jc w:val="center"/>
              <w:rPr>
                <w:rFonts w:hint="default" w:ascii="Times New Roman" w:hAnsi="Times New Roman" w:eastAsia="宋体" w:cs="Times New Roman"/>
                <w:color w:val="auto"/>
                <w:sz w:val="21"/>
                <w:szCs w:val="24"/>
              </w:rPr>
            </w:pPr>
          </w:p>
        </w:tc>
        <w:tc>
          <w:tcPr>
            <w:tcW w:w="944" w:type="dxa"/>
            <w:vMerge w:val="continue"/>
            <w:tcBorders>
              <w:top w:val="single" w:color="auto" w:sz="4" w:space="0"/>
              <w:left w:val="single" w:color="auto" w:sz="4" w:space="0"/>
              <w:bottom w:val="single" w:color="auto" w:sz="4" w:space="0"/>
              <w:right w:val="single" w:color="auto" w:sz="4" w:space="0"/>
            </w:tcBorders>
            <w:noWrap w:val="0"/>
            <w:vAlign w:val="center"/>
          </w:tcPr>
          <w:p w14:paraId="194FC5AE">
            <w:pPr>
              <w:spacing w:line="240" w:lineRule="auto"/>
              <w:ind w:firstLine="0" w:firstLineChars="0"/>
              <w:jc w:val="center"/>
              <w:rPr>
                <w:rFonts w:hint="default" w:ascii="Times New Roman" w:hAnsi="Times New Roman" w:eastAsia="宋体" w:cs="Times New Roman"/>
                <w:color w:val="auto"/>
                <w:sz w:val="21"/>
                <w:szCs w:val="24"/>
              </w:rPr>
            </w:pPr>
          </w:p>
        </w:tc>
        <w:tc>
          <w:tcPr>
            <w:tcW w:w="755" w:type="dxa"/>
            <w:vMerge w:val="continue"/>
            <w:tcBorders>
              <w:top w:val="single" w:color="auto" w:sz="4" w:space="0"/>
              <w:left w:val="single" w:color="auto" w:sz="4" w:space="0"/>
              <w:bottom w:val="single" w:color="auto" w:sz="4" w:space="0"/>
            </w:tcBorders>
            <w:noWrap w:val="0"/>
            <w:vAlign w:val="center"/>
          </w:tcPr>
          <w:p w14:paraId="29B79929">
            <w:pPr>
              <w:spacing w:line="240" w:lineRule="auto"/>
              <w:ind w:firstLine="0" w:firstLineChars="0"/>
              <w:jc w:val="center"/>
              <w:rPr>
                <w:rFonts w:hint="default" w:ascii="Times New Roman" w:hAnsi="Times New Roman" w:eastAsia="宋体" w:cs="Times New Roman"/>
                <w:color w:val="auto"/>
                <w:sz w:val="21"/>
                <w:szCs w:val="24"/>
              </w:rPr>
            </w:pPr>
          </w:p>
        </w:tc>
      </w:tr>
      <w:tr w14:paraId="0059BFD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2" w:type="dxa"/>
            <w:tcBorders>
              <w:top w:val="single" w:color="auto" w:sz="4" w:space="0"/>
              <w:bottom w:val="single" w:color="auto" w:sz="4" w:space="0"/>
              <w:right w:val="single" w:color="auto" w:sz="4" w:space="0"/>
            </w:tcBorders>
            <w:noWrap w:val="0"/>
            <w:vAlign w:val="center"/>
          </w:tcPr>
          <w:p w14:paraId="1D115D9C">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default" w:ascii="Times New Roman" w:hAnsi="Times New Roman" w:eastAsia="宋体" w:cs="Times New Roman"/>
                <w:b w:val="0"/>
                <w:bCs w:val="0"/>
                <w:color w:val="auto"/>
                <w:sz w:val="21"/>
                <w:szCs w:val="24"/>
                <w:lang w:val="en-US" w:eastAsia="zh-CN"/>
              </w:rPr>
              <w:t>1</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472343D">
            <w:pPr>
              <w:spacing w:line="240" w:lineRule="auto"/>
              <w:ind w:firstLine="0" w:firstLineChars="0"/>
              <w:jc w:val="center"/>
              <w:rPr>
                <w:rFonts w:hint="default" w:ascii="Times New Roman" w:hAnsi="Times New Roman" w:eastAsia="宋体" w:cs="Times New Roman"/>
                <w:b w:val="0"/>
                <w:bCs w:val="0"/>
                <w:color w:val="auto"/>
                <w:sz w:val="21"/>
                <w:szCs w:val="24"/>
                <w:lang w:eastAsia="zh-CN"/>
              </w:rPr>
            </w:pPr>
            <w:r>
              <w:rPr>
                <w:rFonts w:hint="default" w:ascii="Times New Roman" w:hAnsi="Times New Roman" w:eastAsia="宋体" w:cs="Times New Roman"/>
                <w:b w:val="0"/>
                <w:bCs w:val="0"/>
                <w:color w:val="auto"/>
                <w:sz w:val="21"/>
                <w:szCs w:val="24"/>
                <w:lang w:eastAsia="zh-CN"/>
              </w:rPr>
              <w:t>粉尘</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594BAAAE">
            <w:pPr>
              <w:spacing w:line="240" w:lineRule="auto"/>
              <w:ind w:firstLine="0" w:firstLineChars="0"/>
              <w:jc w:val="center"/>
              <w:rPr>
                <w:rFonts w:hint="default" w:ascii="Times New Roman" w:hAnsi="Times New Roman" w:eastAsia="宋体" w:cs="Times New Roman"/>
                <w:b w:val="0"/>
                <w:bCs w:val="0"/>
                <w:color w:val="auto"/>
                <w:sz w:val="21"/>
                <w:szCs w:val="24"/>
                <w:lang w:eastAsia="zh-CN"/>
              </w:rPr>
            </w:pPr>
            <w:r>
              <w:rPr>
                <w:rFonts w:hint="default" w:ascii="Times New Roman" w:hAnsi="Times New Roman" w:eastAsia="宋体" w:cs="Times New Roman"/>
                <w:b w:val="0"/>
                <w:bCs w:val="0"/>
                <w:color w:val="auto"/>
                <w:sz w:val="21"/>
                <w:szCs w:val="24"/>
                <w:lang w:eastAsia="zh-CN"/>
              </w:rPr>
              <w:t>服装制造</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C13E1EE">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default" w:ascii="Times New Roman" w:hAnsi="Times New Roman" w:eastAsia="宋体" w:cs="Times New Roman"/>
                <w:b w:val="0"/>
                <w:bCs w:val="0"/>
                <w:color w:val="auto"/>
                <w:sz w:val="21"/>
                <w:szCs w:val="24"/>
                <w:lang w:val="en-US" w:eastAsia="zh-CN"/>
              </w:rPr>
              <w:t>0.0033</w:t>
            </w:r>
          </w:p>
        </w:tc>
        <w:tc>
          <w:tcPr>
            <w:tcW w:w="1563" w:type="dxa"/>
            <w:tcBorders>
              <w:top w:val="single" w:color="auto" w:sz="4" w:space="0"/>
              <w:left w:val="single" w:color="auto" w:sz="4" w:space="0"/>
              <w:bottom w:val="single" w:color="auto" w:sz="4" w:space="0"/>
              <w:right w:val="single" w:color="auto" w:sz="4" w:space="0"/>
            </w:tcBorders>
            <w:noWrap w:val="0"/>
            <w:vAlign w:val="center"/>
          </w:tcPr>
          <w:p w14:paraId="7551C033">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default" w:ascii="Times New Roman" w:hAnsi="Times New Roman" w:eastAsia="宋体" w:cs="Times New Roman"/>
                <w:b w:val="0"/>
                <w:bCs w:val="0"/>
                <w:color w:val="auto"/>
                <w:sz w:val="21"/>
                <w:szCs w:val="24"/>
                <w:lang w:val="en-US" w:eastAsia="zh-CN"/>
              </w:rPr>
              <w:t>0.018</w:t>
            </w:r>
          </w:p>
        </w:tc>
        <w:tc>
          <w:tcPr>
            <w:tcW w:w="905" w:type="dxa"/>
            <w:tcBorders>
              <w:top w:val="single" w:color="auto" w:sz="4" w:space="0"/>
              <w:left w:val="single" w:color="auto" w:sz="4" w:space="0"/>
              <w:bottom w:val="single" w:color="auto" w:sz="4" w:space="0"/>
              <w:right w:val="single" w:color="auto" w:sz="4" w:space="0"/>
            </w:tcBorders>
            <w:noWrap w:val="0"/>
            <w:vAlign w:val="center"/>
          </w:tcPr>
          <w:p w14:paraId="2E124A7D">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default" w:ascii="Times New Roman" w:hAnsi="Times New Roman" w:eastAsia="宋体" w:cs="Times New Roman"/>
                <w:b w:val="0"/>
                <w:bCs w:val="0"/>
                <w:color w:val="auto"/>
                <w:sz w:val="21"/>
                <w:szCs w:val="24"/>
                <w:lang w:val="en-US" w:eastAsia="zh-CN"/>
              </w:rPr>
              <w:t>2400</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619ACFEC">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eastAsia" w:ascii="Times New Roman" w:hAnsi="Times New Roman" w:cs="Times New Roman"/>
                <w:b w:val="0"/>
                <w:bCs w:val="0"/>
                <w:color w:val="auto"/>
                <w:sz w:val="21"/>
                <w:szCs w:val="24"/>
                <w:lang w:val="en-US" w:eastAsia="zh-CN"/>
              </w:rPr>
              <w:t>4500</w:t>
            </w:r>
          </w:p>
        </w:tc>
        <w:tc>
          <w:tcPr>
            <w:tcW w:w="755" w:type="dxa"/>
            <w:tcBorders>
              <w:top w:val="single" w:color="auto" w:sz="4" w:space="0"/>
              <w:left w:val="single" w:color="auto" w:sz="4" w:space="0"/>
              <w:bottom w:val="single" w:color="auto" w:sz="4" w:space="0"/>
            </w:tcBorders>
            <w:noWrap w:val="0"/>
            <w:vAlign w:val="center"/>
          </w:tcPr>
          <w:p w14:paraId="22E7885A">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eastAsia" w:ascii="Times New Roman" w:hAnsi="Times New Roman" w:cs="Times New Roman"/>
                <w:b w:val="0"/>
                <w:bCs w:val="0"/>
                <w:color w:val="auto"/>
                <w:sz w:val="21"/>
                <w:szCs w:val="24"/>
                <w:lang w:val="en-US" w:eastAsia="zh-CN"/>
              </w:rPr>
              <w:t xml:space="preserve">8 </w:t>
            </w:r>
          </w:p>
        </w:tc>
      </w:tr>
    </w:tbl>
    <w:p w14:paraId="2446DE81">
      <w:pPr>
        <w:ind w:firstLine="480" w:firstLineChars="200"/>
        <w:jc w:val="left"/>
        <w:rPr>
          <w:rFonts w:hint="default" w:ascii="Times New Roman" w:hAnsi="Times New Roman" w:eastAsia="宋体" w:cs="Times New Roman"/>
          <w:b/>
          <w:color w:val="auto"/>
        </w:rPr>
      </w:pPr>
      <w:r>
        <w:rPr>
          <w:rFonts w:hint="eastAsia" w:ascii="Times New Roman" w:hAnsi="Times New Roman" w:cs="Times New Roman"/>
          <w:b/>
          <w:color w:val="auto"/>
          <w:lang w:val="en-US" w:eastAsia="zh-CN"/>
        </w:rPr>
        <w:t>2</w:t>
      </w:r>
      <w:r>
        <w:rPr>
          <w:rFonts w:hint="default" w:ascii="Times New Roman" w:hAnsi="Times New Roman" w:eastAsia="宋体" w:cs="Times New Roman"/>
          <w:b/>
          <w:color w:val="auto"/>
          <w:lang w:val="en-US" w:eastAsia="zh-CN"/>
        </w:rPr>
        <w:t>、</w:t>
      </w:r>
      <w:r>
        <w:rPr>
          <w:rFonts w:hint="default" w:ascii="Times New Roman" w:hAnsi="Times New Roman" w:eastAsia="宋体" w:cs="Times New Roman"/>
          <w:b/>
          <w:color w:val="auto"/>
        </w:rPr>
        <w:t>食堂油烟</w:t>
      </w:r>
    </w:p>
    <w:p w14:paraId="5FD08B44">
      <w:pPr>
        <w:autoSpaceDE w:val="0"/>
        <w:autoSpaceDN w:val="0"/>
        <w:adjustRightInd w:val="0"/>
        <w:ind w:firstLine="480" w:firstLineChars="200"/>
        <w:jc w:val="left"/>
        <w:rPr>
          <w:rFonts w:hint="default" w:ascii="Times New Roman" w:hAnsi="Times New Roman" w:eastAsia="宋体" w:cs="Times New Roman"/>
          <w:b/>
          <w:color w:val="auto"/>
        </w:rPr>
      </w:pPr>
      <w:r>
        <w:rPr>
          <w:rFonts w:hint="eastAsia" w:ascii="Times New Roman" w:hAnsi="Times New Roman" w:cs="Times New Roman"/>
          <w:color w:val="auto"/>
          <w:kern w:val="0"/>
          <w:lang w:eastAsia="zh-CN"/>
        </w:rPr>
        <w:t>现有</w:t>
      </w:r>
      <w:r>
        <w:rPr>
          <w:rFonts w:hint="default" w:ascii="Times New Roman" w:hAnsi="Times New Roman" w:eastAsia="宋体" w:cs="Times New Roman"/>
          <w:color w:val="auto"/>
        </w:rPr>
        <w:t>项目食堂设有</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个灶头，规模为</w:t>
      </w:r>
      <w:r>
        <w:rPr>
          <w:rFonts w:hint="default" w:ascii="Times New Roman" w:hAnsi="Times New Roman" w:eastAsia="宋体" w:cs="Times New Roman"/>
          <w:color w:val="auto"/>
          <w:lang w:eastAsia="zh-CN"/>
        </w:rPr>
        <w:t>中</w:t>
      </w:r>
      <w:r>
        <w:rPr>
          <w:rFonts w:hint="default" w:ascii="Times New Roman" w:hAnsi="Times New Roman" w:eastAsia="宋体" w:cs="Times New Roman"/>
          <w:color w:val="auto"/>
        </w:rPr>
        <w:t>型。年工作日300天，厨房日工作时间约为4h，约有</w:t>
      </w:r>
      <w:r>
        <w:rPr>
          <w:rFonts w:hint="default" w:ascii="Times New Roman" w:hAnsi="Times New Roman" w:eastAsia="宋体" w:cs="Times New Roman"/>
          <w:color w:val="auto"/>
          <w:lang w:val="en-US" w:eastAsia="zh-CN"/>
        </w:rPr>
        <w:t>580</w:t>
      </w:r>
      <w:r>
        <w:rPr>
          <w:rFonts w:hint="default" w:ascii="Times New Roman" w:hAnsi="Times New Roman" w:eastAsia="宋体" w:cs="Times New Roman"/>
          <w:color w:val="auto"/>
        </w:rPr>
        <w:t>名员工在项目区用餐。</w:t>
      </w:r>
      <w:r>
        <w:rPr>
          <w:rFonts w:hint="default" w:ascii="Times New Roman" w:hAnsi="Times New Roman" w:eastAsia="宋体" w:cs="Times New Roman"/>
          <w:iCs/>
          <w:color w:val="auto"/>
        </w:rPr>
        <w:t>食用油按平衡膳食推荐食用油30g/人.d计，油烟产生量按食用油用量的2.83%计</w:t>
      </w:r>
      <w:r>
        <w:rPr>
          <w:rFonts w:hint="default" w:ascii="Times New Roman" w:hAnsi="Times New Roman" w:eastAsia="宋体" w:cs="Times New Roman"/>
          <w:color w:val="auto"/>
        </w:rPr>
        <w:t>。食堂拟选用排风量</w:t>
      </w:r>
      <w:r>
        <w:rPr>
          <w:rFonts w:hint="default" w:ascii="Times New Roman" w:hAnsi="Times New Roman" w:eastAsia="宋体" w:cs="Times New Roman"/>
          <w:color w:val="auto"/>
          <w:lang w:val="en-US" w:eastAsia="zh-CN"/>
        </w:rPr>
        <w:t>2000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/h，净化效率为</w:t>
      </w:r>
      <w:r>
        <w:rPr>
          <w:rFonts w:hint="default" w:ascii="Times New Roman" w:hAnsi="Times New Roman" w:eastAsia="宋体" w:cs="Times New Roman"/>
          <w:color w:val="auto"/>
          <w:lang w:val="en-US" w:eastAsia="zh-CN"/>
        </w:rPr>
        <w:t>75</w:t>
      </w:r>
      <w:r>
        <w:rPr>
          <w:rFonts w:hint="default" w:ascii="Times New Roman" w:hAnsi="Times New Roman" w:eastAsia="宋体" w:cs="Times New Roman"/>
          <w:color w:val="auto"/>
        </w:rPr>
        <w:t>%的油烟净化器，则食堂油烟排放情况见表</w:t>
      </w:r>
      <w:r>
        <w:rPr>
          <w:rFonts w:hint="eastAsia" w:ascii="Times New Roman" w:hAnsi="Times New Roman" w:cs="Times New Roman"/>
          <w:color w:val="auto"/>
          <w:lang w:val="en-US" w:eastAsia="zh-CN"/>
        </w:rPr>
        <w:t>2.8-2</w:t>
      </w:r>
      <w:r>
        <w:rPr>
          <w:rFonts w:hint="default" w:ascii="Times New Roman" w:hAnsi="Times New Roman" w:eastAsia="宋体" w:cs="Times New Roman"/>
          <w:color w:val="auto"/>
        </w:rPr>
        <w:t>所示。</w:t>
      </w:r>
    </w:p>
    <w:p w14:paraId="36B5B6CB">
      <w:pPr>
        <w:autoSpaceDE w:val="0"/>
        <w:autoSpaceDN w:val="0"/>
        <w:adjustRightInd w:val="0"/>
        <w:jc w:val="center"/>
        <w:rPr>
          <w:rFonts w:hint="default" w:ascii="Times New Roman" w:hAnsi="Times New Roman" w:eastAsia="宋体" w:cs="Times New Roman"/>
          <w:color w:val="auto"/>
        </w:rPr>
      </w:pPr>
      <w:r>
        <w:rPr>
          <w:rFonts w:hint="default" w:ascii="Times New Roman" w:hAnsi="Times New Roman" w:eastAsia="宋体" w:cs="Times New Roman"/>
          <w:b/>
          <w:color w:val="auto"/>
        </w:rPr>
        <w:t>表</w:t>
      </w:r>
      <w:r>
        <w:rPr>
          <w:rFonts w:hint="eastAsia" w:ascii="Times New Roman" w:hAnsi="Times New Roman" w:cs="Times New Roman"/>
          <w:b/>
          <w:color w:val="auto"/>
          <w:lang w:val="en-US" w:eastAsia="zh-CN"/>
        </w:rPr>
        <w:t>2.8</w:t>
      </w:r>
      <w:r>
        <w:rPr>
          <w:rFonts w:hint="default" w:ascii="Times New Roman" w:hAnsi="Times New Roman" w:eastAsia="宋体" w:cs="Times New Roman"/>
          <w:b/>
          <w:color w:val="auto"/>
        </w:rPr>
        <w:t>-</w:t>
      </w:r>
      <w:r>
        <w:rPr>
          <w:rFonts w:hint="eastAsia" w:ascii="Times New Roman" w:hAnsi="Times New Roman" w:cs="Times New Roman"/>
          <w:b/>
          <w:color w:val="auto"/>
          <w:lang w:val="en-US" w:eastAsia="zh-CN"/>
        </w:rPr>
        <w:t xml:space="preserve">2 </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eastAsia="zh-CN"/>
        </w:rPr>
        <w:t>现有</w:t>
      </w:r>
      <w:r>
        <w:rPr>
          <w:rFonts w:hint="default" w:ascii="Times New Roman" w:hAnsi="Times New Roman" w:eastAsia="宋体" w:cs="Times New Roman"/>
          <w:b/>
          <w:color w:val="auto"/>
        </w:rPr>
        <w:t>项目食堂油烟排放情况</w:t>
      </w:r>
    </w:p>
    <w:tbl>
      <w:tblPr>
        <w:tblStyle w:val="66"/>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4"/>
        <w:gridCol w:w="4152"/>
      </w:tblGrid>
      <w:tr w14:paraId="58E0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7470BE71">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指标</w:t>
            </w:r>
          </w:p>
        </w:tc>
        <w:tc>
          <w:tcPr>
            <w:tcW w:w="4152" w:type="dxa"/>
            <w:tcBorders>
              <w:top w:val="single" w:color="auto" w:sz="4" w:space="0"/>
              <w:left w:val="single" w:color="auto" w:sz="4" w:space="0"/>
              <w:bottom w:val="single" w:color="auto" w:sz="4" w:space="0"/>
              <w:right w:val="single" w:color="auto" w:sz="4" w:space="0"/>
            </w:tcBorders>
            <w:vAlign w:val="center"/>
          </w:tcPr>
          <w:p w14:paraId="241013DE">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数值</w:t>
            </w:r>
          </w:p>
        </w:tc>
      </w:tr>
      <w:tr w14:paraId="35A9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364" w:type="dxa"/>
            <w:tcBorders>
              <w:top w:val="single" w:color="auto" w:sz="4" w:space="0"/>
              <w:left w:val="single" w:color="auto" w:sz="4" w:space="0"/>
              <w:bottom w:val="single" w:color="auto" w:sz="4" w:space="0"/>
              <w:right w:val="single" w:color="auto" w:sz="4" w:space="0"/>
            </w:tcBorders>
            <w:vAlign w:val="center"/>
          </w:tcPr>
          <w:p w14:paraId="03C60571">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用餐人次</w:t>
            </w:r>
          </w:p>
        </w:tc>
        <w:tc>
          <w:tcPr>
            <w:tcW w:w="4152" w:type="dxa"/>
            <w:tcBorders>
              <w:top w:val="single" w:color="auto" w:sz="4" w:space="0"/>
              <w:left w:val="single" w:color="auto" w:sz="4" w:space="0"/>
              <w:bottom w:val="single" w:color="auto" w:sz="4" w:space="0"/>
              <w:right w:val="single" w:color="auto" w:sz="4" w:space="0"/>
            </w:tcBorders>
            <w:vAlign w:val="center"/>
          </w:tcPr>
          <w:p w14:paraId="5386AF4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580</w:t>
            </w:r>
            <w:r>
              <w:rPr>
                <w:rFonts w:hint="default" w:ascii="Times New Roman" w:hAnsi="Times New Roman" w:eastAsia="宋体" w:cs="Times New Roman"/>
                <w:color w:val="auto"/>
                <w:sz w:val="21"/>
              </w:rPr>
              <w:t>人次/d</w:t>
            </w:r>
          </w:p>
        </w:tc>
      </w:tr>
      <w:tr w14:paraId="5DD1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118A0193">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日耗油量</w:t>
            </w:r>
          </w:p>
        </w:tc>
        <w:tc>
          <w:tcPr>
            <w:tcW w:w="4152" w:type="dxa"/>
            <w:tcBorders>
              <w:top w:val="single" w:color="auto" w:sz="4" w:space="0"/>
              <w:left w:val="single" w:color="auto" w:sz="4" w:space="0"/>
              <w:bottom w:val="single" w:color="auto" w:sz="4" w:space="0"/>
              <w:right w:val="single" w:color="auto" w:sz="4" w:space="0"/>
            </w:tcBorders>
            <w:vAlign w:val="center"/>
          </w:tcPr>
          <w:p w14:paraId="2C26BF68">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w:t>
            </w:r>
            <w:r>
              <w:rPr>
                <w:rFonts w:hint="default" w:ascii="Times New Roman" w:hAnsi="Times New Roman" w:eastAsia="宋体" w:cs="Times New Roman"/>
                <w:color w:val="auto"/>
                <w:sz w:val="21"/>
                <w:lang w:val="en-US" w:eastAsia="zh-CN"/>
              </w:rPr>
              <w:t>0</w:t>
            </w:r>
            <w:r>
              <w:rPr>
                <w:rFonts w:hint="default" w:ascii="Times New Roman" w:hAnsi="Times New Roman" w:eastAsia="宋体" w:cs="Times New Roman"/>
                <w:color w:val="auto"/>
                <w:sz w:val="21"/>
              </w:rPr>
              <w:t>3kg/人.d</w:t>
            </w:r>
          </w:p>
        </w:tc>
      </w:tr>
      <w:tr w14:paraId="5C4E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73384E26">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油的挥发率</w:t>
            </w:r>
          </w:p>
        </w:tc>
        <w:tc>
          <w:tcPr>
            <w:tcW w:w="4152" w:type="dxa"/>
            <w:tcBorders>
              <w:top w:val="single" w:color="auto" w:sz="4" w:space="0"/>
              <w:left w:val="single" w:color="auto" w:sz="4" w:space="0"/>
              <w:bottom w:val="single" w:color="auto" w:sz="4" w:space="0"/>
              <w:right w:val="single" w:color="auto" w:sz="4" w:space="0"/>
            </w:tcBorders>
            <w:vAlign w:val="center"/>
          </w:tcPr>
          <w:p w14:paraId="79DE9A5E">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2.83%</w:t>
            </w:r>
          </w:p>
        </w:tc>
      </w:tr>
      <w:tr w14:paraId="6370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4734381A">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日油烟产生量</w:t>
            </w:r>
          </w:p>
        </w:tc>
        <w:tc>
          <w:tcPr>
            <w:tcW w:w="4152" w:type="dxa"/>
            <w:tcBorders>
              <w:top w:val="single" w:color="auto" w:sz="4" w:space="0"/>
              <w:left w:val="single" w:color="auto" w:sz="4" w:space="0"/>
              <w:bottom w:val="single" w:color="auto" w:sz="4" w:space="0"/>
              <w:right w:val="single" w:color="auto" w:sz="4" w:space="0"/>
            </w:tcBorders>
            <w:vAlign w:val="center"/>
          </w:tcPr>
          <w:p w14:paraId="6A25F474">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0.49</w:t>
            </w:r>
            <w:r>
              <w:rPr>
                <w:rFonts w:hint="default" w:ascii="Times New Roman" w:hAnsi="Times New Roman" w:eastAsia="宋体" w:cs="Times New Roman"/>
                <w:color w:val="auto"/>
                <w:sz w:val="21"/>
              </w:rPr>
              <w:t>kg/d</w:t>
            </w:r>
          </w:p>
        </w:tc>
      </w:tr>
      <w:tr w14:paraId="4F78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473A7C68">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日高峰期</w:t>
            </w:r>
          </w:p>
        </w:tc>
        <w:tc>
          <w:tcPr>
            <w:tcW w:w="4152" w:type="dxa"/>
            <w:tcBorders>
              <w:top w:val="single" w:color="auto" w:sz="4" w:space="0"/>
              <w:left w:val="single" w:color="auto" w:sz="4" w:space="0"/>
              <w:bottom w:val="single" w:color="auto" w:sz="4" w:space="0"/>
              <w:right w:val="single" w:color="auto" w:sz="4" w:space="0"/>
            </w:tcBorders>
            <w:vAlign w:val="center"/>
          </w:tcPr>
          <w:p w14:paraId="3660EAC3">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4h</w:t>
            </w:r>
          </w:p>
        </w:tc>
      </w:tr>
      <w:tr w14:paraId="49552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0E1D437A">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油烟净化效率</w:t>
            </w:r>
          </w:p>
        </w:tc>
        <w:tc>
          <w:tcPr>
            <w:tcW w:w="4152" w:type="dxa"/>
            <w:tcBorders>
              <w:top w:val="single" w:color="auto" w:sz="4" w:space="0"/>
              <w:left w:val="single" w:color="auto" w:sz="4" w:space="0"/>
              <w:bottom w:val="single" w:color="auto" w:sz="4" w:space="0"/>
              <w:right w:val="single" w:color="auto" w:sz="4" w:space="0"/>
            </w:tcBorders>
            <w:vAlign w:val="center"/>
          </w:tcPr>
          <w:p w14:paraId="0F1AD8B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75</w:t>
            </w:r>
            <w:r>
              <w:rPr>
                <w:rFonts w:hint="default" w:ascii="Times New Roman" w:hAnsi="Times New Roman" w:eastAsia="宋体" w:cs="Times New Roman"/>
                <w:color w:val="auto"/>
                <w:sz w:val="21"/>
              </w:rPr>
              <w:t>%</w:t>
            </w:r>
          </w:p>
        </w:tc>
      </w:tr>
      <w:tr w14:paraId="09F8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79AF40F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油烟实际排放量</w:t>
            </w:r>
          </w:p>
        </w:tc>
        <w:tc>
          <w:tcPr>
            <w:tcW w:w="4152" w:type="dxa"/>
            <w:tcBorders>
              <w:top w:val="single" w:color="auto" w:sz="4" w:space="0"/>
              <w:left w:val="single" w:color="auto" w:sz="4" w:space="0"/>
              <w:bottom w:val="single" w:color="auto" w:sz="4" w:space="0"/>
              <w:right w:val="single" w:color="auto" w:sz="4" w:space="0"/>
            </w:tcBorders>
            <w:vAlign w:val="center"/>
          </w:tcPr>
          <w:p w14:paraId="3E35843C">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0.03</w:t>
            </w:r>
            <w:r>
              <w:rPr>
                <w:rFonts w:hint="default" w:ascii="Times New Roman" w:hAnsi="Times New Roman" w:eastAsia="宋体" w:cs="Times New Roman"/>
                <w:color w:val="auto"/>
                <w:sz w:val="21"/>
              </w:rPr>
              <w:t>kg/h</w:t>
            </w:r>
          </w:p>
        </w:tc>
      </w:tr>
      <w:tr w14:paraId="740E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364" w:type="dxa"/>
            <w:tcBorders>
              <w:top w:val="single" w:color="auto" w:sz="4" w:space="0"/>
              <w:left w:val="single" w:color="auto" w:sz="4" w:space="0"/>
              <w:bottom w:val="single" w:color="auto" w:sz="4" w:space="0"/>
              <w:right w:val="single" w:color="auto" w:sz="4" w:space="0"/>
            </w:tcBorders>
            <w:vAlign w:val="center"/>
          </w:tcPr>
          <w:p w14:paraId="3699D476">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烟气量</w:t>
            </w:r>
          </w:p>
        </w:tc>
        <w:tc>
          <w:tcPr>
            <w:tcW w:w="4152" w:type="dxa"/>
            <w:tcBorders>
              <w:top w:val="single" w:color="auto" w:sz="4" w:space="0"/>
              <w:left w:val="single" w:color="auto" w:sz="4" w:space="0"/>
              <w:bottom w:val="single" w:color="auto" w:sz="4" w:space="0"/>
              <w:right w:val="single" w:color="auto" w:sz="4" w:space="0"/>
            </w:tcBorders>
            <w:vAlign w:val="center"/>
          </w:tcPr>
          <w:p w14:paraId="0F19799B">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2000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3</w:t>
            </w:r>
            <w:r>
              <w:rPr>
                <w:rFonts w:hint="default" w:ascii="Times New Roman" w:hAnsi="Times New Roman" w:eastAsia="宋体" w:cs="Times New Roman"/>
                <w:color w:val="auto"/>
                <w:sz w:val="21"/>
              </w:rPr>
              <w:t>/h</w:t>
            </w:r>
          </w:p>
        </w:tc>
      </w:tr>
      <w:tr w14:paraId="14F9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64" w:type="dxa"/>
            <w:tcBorders>
              <w:top w:val="single" w:color="auto" w:sz="4" w:space="0"/>
              <w:left w:val="single" w:color="auto" w:sz="4" w:space="0"/>
              <w:bottom w:val="single" w:color="auto" w:sz="4" w:space="0"/>
              <w:right w:val="single" w:color="auto" w:sz="4" w:space="0"/>
            </w:tcBorders>
            <w:vAlign w:val="center"/>
          </w:tcPr>
          <w:p w14:paraId="70D2F3EA">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油烟产生浓度</w:t>
            </w:r>
          </w:p>
        </w:tc>
        <w:tc>
          <w:tcPr>
            <w:tcW w:w="4152" w:type="dxa"/>
            <w:tcBorders>
              <w:top w:val="single" w:color="auto" w:sz="4" w:space="0"/>
              <w:left w:val="single" w:color="auto" w:sz="4" w:space="0"/>
              <w:bottom w:val="single" w:color="auto" w:sz="4" w:space="0"/>
              <w:right w:val="single" w:color="auto" w:sz="4" w:space="0"/>
            </w:tcBorders>
            <w:vAlign w:val="center"/>
          </w:tcPr>
          <w:p w14:paraId="2490C51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3.75</w:t>
            </w:r>
            <w:r>
              <w:rPr>
                <w:rFonts w:hint="default" w:ascii="Times New Roman" w:hAnsi="Times New Roman" w:eastAsia="宋体" w:cs="Times New Roman"/>
                <w:color w:val="auto"/>
                <w:sz w:val="21"/>
              </w:rPr>
              <w:t>mg/m</w:t>
            </w:r>
            <w:r>
              <w:rPr>
                <w:rFonts w:hint="default" w:ascii="Times New Roman" w:hAnsi="Times New Roman" w:eastAsia="宋体" w:cs="Times New Roman"/>
                <w:color w:val="auto"/>
                <w:sz w:val="21"/>
                <w:vertAlign w:val="superscript"/>
              </w:rPr>
              <w:t>3</w:t>
            </w:r>
          </w:p>
        </w:tc>
      </w:tr>
      <w:tr w14:paraId="0535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634EABC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油烟排放浓度</w:t>
            </w:r>
          </w:p>
        </w:tc>
        <w:tc>
          <w:tcPr>
            <w:tcW w:w="4152" w:type="dxa"/>
            <w:tcBorders>
              <w:top w:val="single" w:color="auto" w:sz="4" w:space="0"/>
              <w:left w:val="single" w:color="auto" w:sz="4" w:space="0"/>
              <w:bottom w:val="single" w:color="auto" w:sz="4" w:space="0"/>
              <w:right w:val="single" w:color="auto" w:sz="4" w:space="0"/>
            </w:tcBorders>
            <w:vAlign w:val="center"/>
          </w:tcPr>
          <w:p w14:paraId="4FACA06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0.94</w:t>
            </w:r>
            <w:r>
              <w:rPr>
                <w:rFonts w:hint="default" w:ascii="Times New Roman" w:hAnsi="Times New Roman" w:eastAsia="宋体" w:cs="Times New Roman"/>
                <w:color w:val="auto"/>
                <w:sz w:val="21"/>
              </w:rPr>
              <w:t>mg/m</w:t>
            </w:r>
            <w:r>
              <w:rPr>
                <w:rFonts w:hint="default" w:ascii="Times New Roman" w:hAnsi="Times New Roman" w:eastAsia="宋体" w:cs="Times New Roman"/>
                <w:color w:val="auto"/>
                <w:sz w:val="21"/>
                <w:vertAlign w:val="superscript"/>
              </w:rPr>
              <w:t>3</w:t>
            </w:r>
          </w:p>
        </w:tc>
      </w:tr>
    </w:tbl>
    <w:p w14:paraId="4D8CEA02">
      <w:pPr>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根据《饮食业油烟排放标准》</w:t>
      </w:r>
      <w:r>
        <w:rPr>
          <w:rFonts w:hint="default" w:ascii="Times New Roman" w:hAnsi="Times New Roman" w:eastAsia="宋体" w:cs="Times New Roman"/>
          <w:bCs/>
          <w:color w:val="auto"/>
          <w:kern w:val="0"/>
        </w:rPr>
        <w:t>(GB 18483-2001)，食堂需要油烟净化器</w:t>
      </w:r>
      <w:r>
        <w:rPr>
          <w:rFonts w:hint="default" w:ascii="Times New Roman" w:hAnsi="Times New Roman" w:eastAsia="宋体" w:cs="Times New Roman"/>
          <w:color w:val="auto"/>
        </w:rPr>
        <w:t>，油烟净化器的净化效率≥</w:t>
      </w:r>
      <w:r>
        <w:rPr>
          <w:rFonts w:hint="default" w:ascii="Times New Roman" w:hAnsi="Times New Roman" w:eastAsia="宋体" w:cs="Times New Roman"/>
          <w:color w:val="auto"/>
          <w:lang w:val="en-US" w:eastAsia="zh-CN"/>
        </w:rPr>
        <w:t>75</w:t>
      </w:r>
      <w:r>
        <w:rPr>
          <w:rFonts w:hint="default" w:ascii="Times New Roman" w:hAnsi="Times New Roman" w:eastAsia="宋体" w:cs="Times New Roman"/>
          <w:color w:val="auto"/>
        </w:rPr>
        <w:t>％，则</w:t>
      </w:r>
      <w:r>
        <w:rPr>
          <w:rFonts w:hint="default" w:ascii="Times New Roman" w:hAnsi="Times New Roman" w:eastAsia="宋体" w:cs="Times New Roman"/>
          <w:color w:val="auto"/>
          <w:lang w:eastAsia="zh-CN"/>
        </w:rPr>
        <w:t>食堂油烟</w:t>
      </w:r>
      <w:r>
        <w:rPr>
          <w:rFonts w:hint="default" w:ascii="Times New Roman" w:hAnsi="Times New Roman" w:eastAsia="宋体" w:cs="Times New Roman"/>
          <w:color w:val="auto"/>
        </w:rPr>
        <w:t>排放浓度为：</w:t>
      </w:r>
      <w:r>
        <w:rPr>
          <w:rFonts w:hint="default" w:ascii="Times New Roman" w:hAnsi="Times New Roman" w:eastAsia="宋体" w:cs="Times New Roman"/>
          <w:color w:val="auto"/>
          <w:lang w:val="en-US" w:eastAsia="zh-CN"/>
        </w:rPr>
        <w:t>0.94</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，能够达到标准排放浓度≤2.0mg/m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的要求。</w:t>
      </w:r>
    </w:p>
    <w:p w14:paraId="5B41FD36">
      <w:pPr>
        <w:pStyle w:val="11"/>
        <w:adjustRightInd w:val="0"/>
        <w:snapToGrid w:val="0"/>
        <w:spacing w:before="0" w:after="0" w:line="360" w:lineRule="auto"/>
        <w:ind w:firstLine="140" w:firstLineChars="50"/>
        <w:rPr>
          <w:rFonts w:hint="default" w:ascii="Times New Roman" w:hAnsi="Times New Roman" w:eastAsia="宋体" w:cs="Times New Roman"/>
          <w:color w:val="auto"/>
          <w:sz w:val="28"/>
          <w:szCs w:val="28"/>
        </w:rPr>
      </w:pPr>
      <w:r>
        <w:rPr>
          <w:rFonts w:hint="eastAsia" w:ascii="Times New Roman" w:hAnsi="Times New Roman" w:cs="Times New Roman"/>
          <w:color w:val="auto"/>
          <w:sz w:val="28"/>
          <w:szCs w:val="28"/>
          <w:lang w:val="en-US" w:eastAsia="zh-CN"/>
        </w:rPr>
        <w:t>2.8.2现有项目</w:t>
      </w:r>
      <w:r>
        <w:rPr>
          <w:rFonts w:hint="default" w:ascii="Times New Roman" w:hAnsi="Times New Roman" w:eastAsia="宋体" w:cs="Times New Roman"/>
          <w:color w:val="auto"/>
          <w:sz w:val="28"/>
          <w:szCs w:val="28"/>
        </w:rPr>
        <w:t>废水污染源分析</w:t>
      </w:r>
    </w:p>
    <w:p w14:paraId="09440F3E">
      <w:pPr>
        <w:adjustRightInd w:val="0"/>
        <w:snapToGrid w:val="0"/>
        <w:spacing w:line="360" w:lineRule="auto"/>
        <w:ind w:firstLine="480" w:firstLineChars="200"/>
        <w:rPr>
          <w:rFonts w:hint="default" w:ascii="Times New Roman" w:hAnsi="Times New Roman" w:eastAsia="宋体" w:cs="Times New Roman"/>
          <w:b w:val="0"/>
          <w:bCs/>
          <w:color w:val="auto"/>
          <w:sz w:val="24"/>
          <w:szCs w:val="24"/>
        </w:rPr>
      </w:pPr>
      <w:r>
        <w:rPr>
          <w:rFonts w:hint="eastAsia" w:ascii="Times New Roman" w:hAnsi="Times New Roman" w:cs="Times New Roman"/>
          <w:b w:val="0"/>
          <w:bCs/>
          <w:color w:val="auto"/>
          <w:sz w:val="24"/>
          <w:szCs w:val="24"/>
          <w:lang w:eastAsia="zh-CN"/>
        </w:rPr>
        <w:t>现有</w:t>
      </w:r>
      <w:r>
        <w:rPr>
          <w:rFonts w:hint="default" w:ascii="Times New Roman" w:hAnsi="Times New Roman" w:eastAsia="宋体" w:cs="Times New Roman"/>
          <w:b w:val="0"/>
          <w:bCs/>
          <w:color w:val="auto"/>
          <w:sz w:val="24"/>
          <w:szCs w:val="24"/>
        </w:rPr>
        <w:t>项目用水包括生活用水</w:t>
      </w:r>
      <w:r>
        <w:rPr>
          <w:rFonts w:hint="default" w:ascii="Times New Roman" w:hAnsi="Times New Roman" w:eastAsia="宋体" w:cs="Times New Roman"/>
          <w:b w:val="0"/>
          <w:bCs/>
          <w:color w:val="auto"/>
          <w:sz w:val="24"/>
          <w:szCs w:val="24"/>
          <w:lang w:eastAsia="zh-CN"/>
        </w:rPr>
        <w:t>。</w:t>
      </w:r>
    </w:p>
    <w:p w14:paraId="5B1103C3">
      <w:pPr>
        <w:adjustRightInd w:val="0"/>
        <w:snapToGrid w:val="0"/>
        <w:spacing w:line="360" w:lineRule="auto"/>
        <w:ind w:firstLine="480" w:firstLineChars="200"/>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（1）</w:t>
      </w:r>
      <w:r>
        <w:rPr>
          <w:rFonts w:hint="default" w:ascii="Times New Roman" w:hAnsi="Times New Roman" w:eastAsia="宋体" w:cs="Times New Roman"/>
          <w:b/>
          <w:color w:val="auto"/>
          <w:sz w:val="24"/>
          <w:szCs w:val="24"/>
          <w:lang w:eastAsia="zh-CN"/>
        </w:rPr>
        <w:t>生产用水</w:t>
      </w:r>
    </w:p>
    <w:p w14:paraId="4001860E">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根据前述工艺流程可知，</w:t>
      </w:r>
      <w:r>
        <w:rPr>
          <w:rFonts w:hint="default" w:ascii="Times New Roman" w:hAnsi="Times New Roman" w:eastAsia="宋体" w:cs="Times New Roman"/>
          <w:bCs/>
          <w:color w:val="auto"/>
          <w:lang w:eastAsia="zh-CN"/>
        </w:rPr>
        <w:t>服装制造工艺不产生生产废水</w:t>
      </w:r>
      <w:r>
        <w:rPr>
          <w:rFonts w:hint="default" w:ascii="Times New Roman" w:hAnsi="Times New Roman" w:eastAsia="宋体" w:cs="Times New Roman"/>
          <w:bCs/>
          <w:color w:val="auto"/>
        </w:rPr>
        <w:t>。</w:t>
      </w:r>
    </w:p>
    <w:p w14:paraId="4BE06AC4">
      <w:pPr>
        <w:adjustRightInd w:val="0"/>
        <w:snapToGrid w:val="0"/>
        <w:spacing w:line="360" w:lineRule="auto"/>
        <w:ind w:firstLine="480" w:firstLineChars="200"/>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w:t>
      </w:r>
      <w:r>
        <w:rPr>
          <w:rFonts w:hint="eastAsia" w:ascii="Times New Roman" w:hAnsi="Times New Roman" w:cs="Times New Roman"/>
          <w:b/>
          <w:color w:val="auto"/>
          <w:sz w:val="24"/>
          <w:szCs w:val="24"/>
          <w:lang w:val="en-US" w:eastAsia="zh-CN"/>
        </w:rPr>
        <w:t>2</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eastAsia="zh-CN"/>
        </w:rPr>
        <w:t>生活用水</w:t>
      </w:r>
    </w:p>
    <w:p w14:paraId="16B3C8AD">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现有</w:t>
      </w:r>
      <w:r>
        <w:rPr>
          <w:rFonts w:hint="default" w:ascii="Times New Roman" w:hAnsi="Times New Roman" w:eastAsia="宋体" w:cs="Times New Roman"/>
          <w:color w:val="auto"/>
          <w:sz w:val="24"/>
          <w:szCs w:val="24"/>
        </w:rPr>
        <w:t>项目共有员工</w:t>
      </w:r>
      <w:r>
        <w:rPr>
          <w:rFonts w:hint="default" w:ascii="Times New Roman" w:hAnsi="Times New Roman" w:eastAsia="宋体" w:cs="Times New Roman"/>
          <w:color w:val="auto"/>
          <w:sz w:val="24"/>
          <w:szCs w:val="24"/>
          <w:lang w:val="en-US" w:eastAsia="zh-CN"/>
        </w:rPr>
        <w:t>580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eastAsia="zh-CN"/>
        </w:rPr>
        <w:t>在项目内用餐，不设住宿</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根据业主提供资料现有项目生活用水量为</w:t>
      </w:r>
      <w:r>
        <w:rPr>
          <w:rFonts w:hint="eastAsia" w:ascii="Times New Roman" w:hAnsi="Times New Roman" w:cs="Times New Roman"/>
          <w:color w:val="auto"/>
          <w:sz w:val="24"/>
          <w:szCs w:val="24"/>
          <w:lang w:val="en-US" w:eastAsia="zh-CN"/>
        </w:rPr>
        <w:t>29</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bidi="ar"/>
        </w:rPr>
        <w:t>/d</w:t>
      </w:r>
      <w:r>
        <w:rPr>
          <w:rFonts w:hint="eastAsia" w:ascii="Times New Roman" w:hAnsi="Times New Roman" w:cs="Times New Roman"/>
          <w:color w:val="auto"/>
          <w:sz w:val="24"/>
          <w:szCs w:val="24"/>
          <w:lang w:val="en-US" w:eastAsia="zh-CN"/>
        </w:rPr>
        <w:t>，8700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bidi="ar"/>
        </w:rPr>
        <w:t>/a</w:t>
      </w:r>
      <w:r>
        <w:rPr>
          <w:rFonts w:hint="eastAsia" w:ascii="Times New Roman" w:hAnsi="Times New Roman" w:cs="Times New Roman"/>
          <w:color w:val="auto"/>
          <w:sz w:val="24"/>
          <w:szCs w:val="24"/>
          <w:lang w:eastAsia="zh-CN"/>
        </w:rPr>
        <w:t>，污水量为</w:t>
      </w:r>
      <w:r>
        <w:rPr>
          <w:rFonts w:hint="default" w:ascii="Times New Roman" w:hAnsi="Times New Roman" w:eastAsia="宋体" w:cs="Times New Roman"/>
          <w:color w:val="auto"/>
          <w:kern w:val="0"/>
          <w:sz w:val="24"/>
          <w:szCs w:val="24"/>
          <w:lang w:val="en-US" w:eastAsia="zh-CN"/>
        </w:rPr>
        <w:t>23.2</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bidi="ar"/>
        </w:rPr>
        <w:t>/d</w:t>
      </w:r>
      <w:r>
        <w:rPr>
          <w:rFonts w:hint="eastAsia" w:ascii="Times New Roman" w:hAnsi="Times New Roman"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6960</w:t>
      </w:r>
      <w:r>
        <w:rPr>
          <w:rFonts w:hint="default" w:ascii="Times New Roman" w:hAnsi="Times New Roman" w:eastAsia="宋体" w:cs="Times New Roman"/>
          <w:color w:val="auto"/>
          <w:kern w:val="0"/>
          <w:sz w:val="24"/>
          <w:szCs w:val="24"/>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bidi="ar"/>
        </w:rPr>
        <w:t>/a</w:t>
      </w:r>
      <w:r>
        <w:rPr>
          <w:rFonts w:hint="eastAsia" w:ascii="Times New Roman" w:hAnsi="Times New Roman" w:cs="Times New Roman"/>
          <w:color w:val="auto"/>
          <w:kern w:val="0"/>
          <w:sz w:val="24"/>
          <w:szCs w:val="24"/>
          <w:lang w:eastAsia="zh-CN" w:bidi="ar"/>
        </w:rPr>
        <w:t>。</w:t>
      </w:r>
    </w:p>
    <w:p w14:paraId="0A4DAF32">
      <w:pPr>
        <w:adjustRightInd w:val="0"/>
        <w:snapToGrid w:val="0"/>
        <w:spacing w:line="36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cs="Times New Roman"/>
          <w:b/>
          <w:color w:val="auto"/>
          <w:sz w:val="24"/>
          <w:szCs w:val="24"/>
          <w:lang w:val="en-US" w:eastAsia="zh-CN"/>
        </w:rPr>
        <w:t>2.8-3</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eastAsia="zh-CN"/>
        </w:rPr>
        <w:t>现有</w:t>
      </w:r>
      <w:r>
        <w:rPr>
          <w:rFonts w:hint="default" w:ascii="Times New Roman" w:hAnsi="Times New Roman" w:eastAsia="宋体" w:cs="Times New Roman"/>
          <w:b/>
          <w:color w:val="auto"/>
          <w:sz w:val="24"/>
          <w:szCs w:val="24"/>
        </w:rPr>
        <w:t>项目生活用水及产污情况</w:t>
      </w:r>
    </w:p>
    <w:tbl>
      <w:tblPr>
        <w:tblStyle w:val="66"/>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442"/>
        <w:gridCol w:w="1113"/>
        <w:gridCol w:w="1006"/>
        <w:gridCol w:w="1171"/>
        <w:gridCol w:w="1352"/>
        <w:gridCol w:w="1136"/>
        <w:gridCol w:w="1119"/>
      </w:tblGrid>
      <w:tr w14:paraId="19168D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3" w:hRule="atLeast"/>
          <w:jc w:val="center"/>
        </w:trPr>
        <w:tc>
          <w:tcPr>
            <w:tcW w:w="864" w:type="pct"/>
            <w:vMerge w:val="restart"/>
            <w:noWrap w:val="0"/>
            <w:tcMar>
              <w:top w:w="15" w:type="dxa"/>
              <w:left w:w="15" w:type="dxa"/>
              <w:right w:w="15" w:type="dxa"/>
            </w:tcMar>
            <w:vAlign w:val="center"/>
          </w:tcPr>
          <w:p w14:paraId="2D6C50FA">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名称</w:t>
            </w:r>
          </w:p>
        </w:tc>
        <w:tc>
          <w:tcPr>
            <w:tcW w:w="667" w:type="pct"/>
            <w:vMerge w:val="restart"/>
            <w:noWrap w:val="0"/>
            <w:tcMar>
              <w:top w:w="15" w:type="dxa"/>
              <w:left w:w="15" w:type="dxa"/>
              <w:right w:w="15" w:type="dxa"/>
            </w:tcMar>
            <w:vAlign w:val="center"/>
          </w:tcPr>
          <w:p w14:paraId="44DC11CF">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人数/人</w:t>
            </w:r>
          </w:p>
        </w:tc>
        <w:tc>
          <w:tcPr>
            <w:tcW w:w="1305" w:type="pct"/>
            <w:gridSpan w:val="2"/>
            <w:noWrap w:val="0"/>
            <w:tcMar>
              <w:top w:w="15" w:type="dxa"/>
              <w:left w:w="15" w:type="dxa"/>
              <w:right w:w="15" w:type="dxa"/>
            </w:tcMar>
            <w:vAlign w:val="center"/>
          </w:tcPr>
          <w:p w14:paraId="7E9F52BF">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用水量</w:t>
            </w:r>
          </w:p>
        </w:tc>
        <w:tc>
          <w:tcPr>
            <w:tcW w:w="810" w:type="pct"/>
            <w:vMerge w:val="restart"/>
            <w:noWrap w:val="0"/>
            <w:tcMar>
              <w:top w:w="15" w:type="dxa"/>
              <w:left w:w="15" w:type="dxa"/>
              <w:right w:w="15" w:type="dxa"/>
            </w:tcMar>
            <w:vAlign w:val="center"/>
          </w:tcPr>
          <w:p w14:paraId="5FC6354C">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产污系数</w:t>
            </w:r>
          </w:p>
        </w:tc>
        <w:tc>
          <w:tcPr>
            <w:tcW w:w="1351" w:type="pct"/>
            <w:gridSpan w:val="2"/>
            <w:noWrap w:val="0"/>
            <w:tcMar>
              <w:top w:w="15" w:type="dxa"/>
              <w:left w:w="15" w:type="dxa"/>
              <w:right w:w="15" w:type="dxa"/>
            </w:tcMar>
            <w:vAlign w:val="center"/>
          </w:tcPr>
          <w:p w14:paraId="359E60C9">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污水量</w:t>
            </w:r>
          </w:p>
        </w:tc>
      </w:tr>
      <w:tr w14:paraId="6B87D1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3" w:hRule="atLeast"/>
          <w:jc w:val="center"/>
        </w:trPr>
        <w:tc>
          <w:tcPr>
            <w:tcW w:w="864" w:type="pct"/>
            <w:vMerge w:val="continue"/>
            <w:noWrap w:val="0"/>
            <w:tcMar>
              <w:top w:w="15" w:type="dxa"/>
              <w:left w:w="15" w:type="dxa"/>
              <w:right w:w="15" w:type="dxa"/>
            </w:tcMar>
            <w:vAlign w:val="center"/>
          </w:tcPr>
          <w:p w14:paraId="2DB3BF2E">
            <w:pPr>
              <w:spacing w:line="240" w:lineRule="auto"/>
              <w:jc w:val="center"/>
              <w:rPr>
                <w:rFonts w:hint="default" w:ascii="Times New Roman" w:hAnsi="Times New Roman" w:eastAsia="宋体" w:cs="Times New Roman"/>
                <w:color w:val="auto"/>
                <w:sz w:val="21"/>
                <w:szCs w:val="21"/>
              </w:rPr>
            </w:pPr>
          </w:p>
        </w:tc>
        <w:tc>
          <w:tcPr>
            <w:tcW w:w="667" w:type="pct"/>
            <w:vMerge w:val="continue"/>
            <w:noWrap w:val="0"/>
            <w:tcMar>
              <w:top w:w="15" w:type="dxa"/>
              <w:left w:w="15" w:type="dxa"/>
              <w:right w:w="15" w:type="dxa"/>
            </w:tcMar>
            <w:vAlign w:val="center"/>
          </w:tcPr>
          <w:p w14:paraId="3C453F91">
            <w:pPr>
              <w:spacing w:line="240" w:lineRule="auto"/>
              <w:jc w:val="center"/>
              <w:rPr>
                <w:rFonts w:hint="default" w:ascii="Times New Roman" w:hAnsi="Times New Roman" w:eastAsia="宋体" w:cs="Times New Roman"/>
                <w:color w:val="auto"/>
                <w:sz w:val="21"/>
                <w:szCs w:val="21"/>
              </w:rPr>
            </w:pPr>
          </w:p>
        </w:tc>
        <w:tc>
          <w:tcPr>
            <w:tcW w:w="603" w:type="pct"/>
            <w:noWrap w:val="0"/>
            <w:tcMar>
              <w:top w:w="15" w:type="dxa"/>
              <w:left w:w="15" w:type="dxa"/>
              <w:right w:w="15" w:type="dxa"/>
            </w:tcMar>
            <w:vAlign w:val="center"/>
          </w:tcPr>
          <w:p w14:paraId="14D123B2">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bidi="ar"/>
              </w:rPr>
              <w:t>/d</w:t>
            </w:r>
          </w:p>
        </w:tc>
        <w:tc>
          <w:tcPr>
            <w:tcW w:w="702" w:type="pct"/>
            <w:noWrap w:val="0"/>
            <w:tcMar>
              <w:top w:w="15" w:type="dxa"/>
              <w:left w:w="15" w:type="dxa"/>
              <w:right w:w="15" w:type="dxa"/>
            </w:tcMar>
            <w:vAlign w:val="center"/>
          </w:tcPr>
          <w:p w14:paraId="7BD76985">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bidi="ar"/>
              </w:rPr>
              <w:t>/a</w:t>
            </w:r>
          </w:p>
        </w:tc>
        <w:tc>
          <w:tcPr>
            <w:tcW w:w="810" w:type="pct"/>
            <w:vMerge w:val="continue"/>
            <w:noWrap w:val="0"/>
            <w:tcMar>
              <w:top w:w="15" w:type="dxa"/>
              <w:left w:w="15" w:type="dxa"/>
              <w:right w:w="15" w:type="dxa"/>
            </w:tcMar>
            <w:vAlign w:val="center"/>
          </w:tcPr>
          <w:p w14:paraId="08E8B161">
            <w:pPr>
              <w:spacing w:line="240" w:lineRule="auto"/>
              <w:jc w:val="center"/>
              <w:rPr>
                <w:rFonts w:hint="default" w:ascii="Times New Roman" w:hAnsi="Times New Roman" w:eastAsia="宋体" w:cs="Times New Roman"/>
                <w:color w:val="auto"/>
                <w:sz w:val="21"/>
                <w:szCs w:val="21"/>
              </w:rPr>
            </w:pPr>
          </w:p>
        </w:tc>
        <w:tc>
          <w:tcPr>
            <w:tcW w:w="681" w:type="pct"/>
            <w:noWrap w:val="0"/>
            <w:tcMar>
              <w:top w:w="15" w:type="dxa"/>
              <w:left w:w="15" w:type="dxa"/>
              <w:right w:w="15" w:type="dxa"/>
            </w:tcMar>
            <w:vAlign w:val="center"/>
          </w:tcPr>
          <w:p w14:paraId="76A177DB">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bidi="ar"/>
              </w:rPr>
              <w:t>/d</w:t>
            </w:r>
          </w:p>
        </w:tc>
        <w:tc>
          <w:tcPr>
            <w:tcW w:w="670" w:type="pct"/>
            <w:noWrap w:val="0"/>
            <w:tcMar>
              <w:top w:w="15" w:type="dxa"/>
              <w:left w:w="15" w:type="dxa"/>
              <w:right w:w="15" w:type="dxa"/>
            </w:tcMar>
            <w:vAlign w:val="center"/>
          </w:tcPr>
          <w:p w14:paraId="5D917D8B">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bidi="ar"/>
              </w:rPr>
              <w:t>/a</w:t>
            </w:r>
          </w:p>
        </w:tc>
      </w:tr>
      <w:tr w14:paraId="55C27A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3" w:hRule="atLeast"/>
          <w:jc w:val="center"/>
        </w:trPr>
        <w:tc>
          <w:tcPr>
            <w:tcW w:w="864" w:type="pct"/>
            <w:noWrap w:val="0"/>
            <w:tcMar>
              <w:top w:w="15" w:type="dxa"/>
              <w:left w:w="15" w:type="dxa"/>
              <w:right w:w="15" w:type="dxa"/>
            </w:tcMar>
            <w:vAlign w:val="center"/>
          </w:tcPr>
          <w:p w14:paraId="675ECDBD">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食宿人员</w:t>
            </w:r>
          </w:p>
        </w:tc>
        <w:tc>
          <w:tcPr>
            <w:tcW w:w="667" w:type="pct"/>
            <w:noWrap w:val="0"/>
            <w:tcMar>
              <w:top w:w="15" w:type="dxa"/>
              <w:left w:w="15" w:type="dxa"/>
              <w:right w:w="15" w:type="dxa"/>
            </w:tcMar>
            <w:vAlign w:val="center"/>
          </w:tcPr>
          <w:p w14:paraId="467D3927">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580</w:t>
            </w:r>
          </w:p>
        </w:tc>
        <w:tc>
          <w:tcPr>
            <w:tcW w:w="603" w:type="pct"/>
            <w:noWrap w:val="0"/>
            <w:tcMar>
              <w:top w:w="15" w:type="dxa"/>
              <w:left w:w="15" w:type="dxa"/>
              <w:right w:w="15" w:type="dxa"/>
            </w:tcMar>
            <w:vAlign w:val="center"/>
          </w:tcPr>
          <w:p w14:paraId="07680075">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w:t>
            </w:r>
          </w:p>
        </w:tc>
        <w:tc>
          <w:tcPr>
            <w:tcW w:w="702" w:type="pct"/>
            <w:noWrap w:val="0"/>
            <w:tcMar>
              <w:top w:w="15" w:type="dxa"/>
              <w:left w:w="15" w:type="dxa"/>
              <w:right w:w="15" w:type="dxa"/>
            </w:tcMar>
            <w:vAlign w:val="center"/>
          </w:tcPr>
          <w:p w14:paraId="4BFF8C29">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8700</w:t>
            </w:r>
          </w:p>
        </w:tc>
        <w:tc>
          <w:tcPr>
            <w:tcW w:w="810" w:type="pct"/>
            <w:noWrap w:val="0"/>
            <w:tcMar>
              <w:top w:w="15" w:type="dxa"/>
              <w:left w:w="15" w:type="dxa"/>
              <w:right w:w="15" w:type="dxa"/>
            </w:tcMar>
            <w:vAlign w:val="center"/>
          </w:tcPr>
          <w:p w14:paraId="389DAAAE">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0.8</w:t>
            </w:r>
          </w:p>
        </w:tc>
        <w:tc>
          <w:tcPr>
            <w:tcW w:w="681" w:type="pct"/>
            <w:noWrap w:val="0"/>
            <w:tcMar>
              <w:top w:w="15" w:type="dxa"/>
              <w:left w:w="15" w:type="dxa"/>
              <w:right w:w="15" w:type="dxa"/>
            </w:tcMar>
            <w:vAlign w:val="center"/>
          </w:tcPr>
          <w:p w14:paraId="3F2A1054">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23.2</w:t>
            </w:r>
          </w:p>
        </w:tc>
        <w:tc>
          <w:tcPr>
            <w:tcW w:w="670" w:type="pct"/>
            <w:noWrap w:val="0"/>
            <w:tcMar>
              <w:top w:w="15" w:type="dxa"/>
              <w:left w:w="15" w:type="dxa"/>
              <w:right w:w="15" w:type="dxa"/>
            </w:tcMar>
            <w:vAlign w:val="center"/>
          </w:tcPr>
          <w:p w14:paraId="32019915">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6960</w:t>
            </w:r>
          </w:p>
        </w:tc>
      </w:tr>
    </w:tbl>
    <w:p w14:paraId="2CC567D3">
      <w:pPr>
        <w:widowControl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kern w:val="24"/>
          <w:sz w:val="24"/>
          <w:szCs w:val="24"/>
          <w:lang w:val="en-US" w:eastAsia="zh-CN" w:bidi="ar-SA"/>
        </w:rPr>
      </w:pPr>
      <w:r>
        <w:rPr>
          <w:rFonts w:hint="eastAsia" w:ascii="Times New Roman" w:hAnsi="Times New Roman" w:cs="Times New Roman"/>
          <w:b w:val="0"/>
          <w:bCs/>
          <w:color w:val="auto"/>
          <w:sz w:val="24"/>
          <w:szCs w:val="24"/>
          <w:lang w:eastAsia="zh-CN"/>
        </w:rPr>
        <w:t>现有</w:t>
      </w:r>
      <w:r>
        <w:rPr>
          <w:rFonts w:hint="default" w:ascii="Times New Roman" w:hAnsi="Times New Roman" w:eastAsia="宋体" w:cs="Times New Roman"/>
          <w:color w:val="auto"/>
          <w:kern w:val="24"/>
          <w:sz w:val="24"/>
          <w:szCs w:val="24"/>
          <w:lang w:val="en-US" w:eastAsia="zh-CN" w:bidi="ar-SA"/>
        </w:rPr>
        <w:t>项目内</w:t>
      </w:r>
      <w:r>
        <w:rPr>
          <w:rFonts w:hint="eastAsia" w:ascii="Times New Roman" w:hAnsi="Times New Roman" w:cs="Times New Roman"/>
          <w:color w:val="auto"/>
          <w:kern w:val="24"/>
          <w:sz w:val="24"/>
          <w:szCs w:val="24"/>
          <w:lang w:val="en-US" w:eastAsia="zh-CN" w:bidi="ar-SA"/>
        </w:rPr>
        <w:t>生活废水经过</w:t>
      </w:r>
      <w:r>
        <w:rPr>
          <w:rFonts w:hint="default" w:ascii="Times New Roman" w:hAnsi="Times New Roman" w:eastAsia="宋体" w:cs="Times New Roman"/>
          <w:color w:val="auto"/>
          <w:kern w:val="24"/>
          <w:sz w:val="24"/>
          <w:szCs w:val="24"/>
          <w:lang w:val="en-US" w:eastAsia="zh-CN" w:bidi="ar-SA"/>
        </w:rPr>
        <w:t>1个隔油池、1个化粪池</w:t>
      </w:r>
      <w:r>
        <w:rPr>
          <w:rFonts w:hint="eastAsia" w:ascii="Times New Roman" w:hAnsi="Times New Roman" w:cs="Times New Roman"/>
          <w:color w:val="auto"/>
          <w:kern w:val="24"/>
          <w:sz w:val="24"/>
          <w:szCs w:val="24"/>
          <w:lang w:val="en-US" w:eastAsia="zh-CN" w:bidi="ar-SA"/>
        </w:rPr>
        <w:t>处理</w:t>
      </w:r>
      <w:r>
        <w:rPr>
          <w:rFonts w:hint="default" w:ascii="Times New Roman" w:hAnsi="Times New Roman" w:eastAsia="宋体" w:cs="Times New Roman"/>
          <w:color w:val="auto"/>
          <w:kern w:val="24"/>
          <w:sz w:val="24"/>
          <w:szCs w:val="24"/>
          <w:lang w:val="en-US" w:eastAsia="zh-CN" w:bidi="ar-SA"/>
        </w:rPr>
        <w:t>后排入园区污水管网。</w:t>
      </w:r>
    </w:p>
    <w:p w14:paraId="60CA1E46">
      <w:pPr>
        <w:adjustRightInd w:val="0"/>
        <w:snapToGrid w:val="0"/>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w:t>
      </w:r>
      <w:r>
        <w:rPr>
          <w:rFonts w:hint="eastAsia" w:ascii="Times New Roman" w:hAnsi="Times New Roman" w:cs="Times New Roman"/>
          <w:b/>
          <w:color w:val="auto"/>
          <w:sz w:val="24"/>
          <w:szCs w:val="24"/>
          <w:lang w:val="en-US" w:eastAsia="zh-CN"/>
        </w:rPr>
        <w:t>3</w:t>
      </w:r>
      <w:r>
        <w:rPr>
          <w:rFonts w:hint="default" w:ascii="Times New Roman" w:hAnsi="Times New Roman" w:eastAsia="宋体" w:cs="Times New Roman"/>
          <w:b/>
          <w:color w:val="auto"/>
          <w:sz w:val="24"/>
          <w:szCs w:val="24"/>
        </w:rPr>
        <w:t>）项目废水特征及处置方式</w:t>
      </w:r>
    </w:p>
    <w:p w14:paraId="0841388D">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综上分析，</w:t>
      </w:r>
      <w:r>
        <w:rPr>
          <w:rFonts w:hint="eastAsia" w:ascii="Times New Roman" w:hAnsi="Times New Roman" w:cs="Times New Roman"/>
          <w:b w:val="0"/>
          <w:bCs/>
          <w:color w:val="auto"/>
          <w:sz w:val="24"/>
          <w:szCs w:val="24"/>
          <w:lang w:eastAsia="zh-CN"/>
        </w:rPr>
        <w:t>现有</w:t>
      </w:r>
      <w:r>
        <w:rPr>
          <w:rFonts w:hint="default" w:ascii="Times New Roman" w:hAnsi="Times New Roman" w:eastAsia="宋体" w:cs="Times New Roman"/>
          <w:color w:val="auto"/>
          <w:sz w:val="24"/>
          <w:szCs w:val="24"/>
          <w:lang w:eastAsia="zh-CN"/>
        </w:rPr>
        <w:t>项目总用水量</w:t>
      </w:r>
      <w:r>
        <w:rPr>
          <w:rFonts w:hint="eastAsia" w:ascii="Times New Roman" w:hAnsi="Times New Roman" w:cs="Times New Roman"/>
          <w:color w:val="auto"/>
          <w:sz w:val="24"/>
          <w:szCs w:val="24"/>
          <w:lang w:val="en-US" w:eastAsia="zh-CN"/>
        </w:rPr>
        <w:t>8700m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，产生废水量</w:t>
      </w:r>
      <w:r>
        <w:rPr>
          <w:rFonts w:hint="eastAsia" w:ascii="Times New Roman" w:hAnsi="Times New Roman" w:cs="Times New Roman"/>
          <w:color w:val="auto"/>
          <w:sz w:val="24"/>
          <w:szCs w:val="24"/>
          <w:lang w:val="en-US" w:eastAsia="zh-CN"/>
        </w:rPr>
        <w:t>6960m</w:t>
      </w:r>
      <w:r>
        <w:rPr>
          <w:rFonts w:hint="eastAsia" w:ascii="Times New Roman" w:hAnsi="Times New Roman"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24"/>
          <w:sz w:val="24"/>
          <w:szCs w:val="24"/>
          <w:lang w:val="en-US" w:eastAsia="zh-CN" w:bidi="ar-SA"/>
        </w:rPr>
        <w:t>生活污水经隔油池/化粪池处理后排入园区污水管网</w:t>
      </w:r>
      <w:r>
        <w:rPr>
          <w:rFonts w:hint="default" w:ascii="Times New Roman" w:hAnsi="Times New Roman" w:eastAsia="宋体" w:cs="Times New Roman"/>
          <w:color w:val="auto"/>
          <w:sz w:val="24"/>
          <w:szCs w:val="24"/>
        </w:rPr>
        <w:t>。</w:t>
      </w:r>
      <w:r>
        <w:rPr>
          <w:rFonts w:hint="eastAsia" w:ascii="Times New Roman" w:hAnsi="Times New Roman" w:cs="Times New Roman"/>
          <w:b w:val="0"/>
          <w:bCs/>
          <w:color w:val="auto"/>
          <w:sz w:val="24"/>
          <w:szCs w:val="24"/>
          <w:lang w:eastAsia="zh-CN"/>
        </w:rPr>
        <w:t>现有</w:t>
      </w:r>
      <w:r>
        <w:rPr>
          <w:rFonts w:hint="default" w:ascii="Times New Roman" w:hAnsi="Times New Roman" w:eastAsia="宋体" w:cs="Times New Roman"/>
          <w:color w:val="auto"/>
          <w:sz w:val="24"/>
          <w:szCs w:val="24"/>
        </w:rPr>
        <w:t>项目废水分质收集处理，废水产、排情况见表</w:t>
      </w:r>
      <w:r>
        <w:rPr>
          <w:rFonts w:hint="eastAsia" w:ascii="Times New Roman" w:hAnsi="Times New Roman" w:cs="Times New Roman"/>
          <w:color w:val="auto"/>
          <w:sz w:val="24"/>
          <w:szCs w:val="24"/>
          <w:lang w:val="en-US" w:eastAsia="zh-CN"/>
        </w:rPr>
        <w:t>2.8-4</w:t>
      </w:r>
      <w:r>
        <w:rPr>
          <w:rFonts w:hint="default" w:ascii="Times New Roman" w:hAnsi="Times New Roman" w:eastAsia="宋体" w:cs="Times New Roman"/>
          <w:color w:val="auto"/>
          <w:sz w:val="24"/>
          <w:szCs w:val="24"/>
        </w:rPr>
        <w:t>。</w:t>
      </w:r>
    </w:p>
    <w:p w14:paraId="5CF12261">
      <w:pPr>
        <w:pStyle w:val="12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cs="Times New Roman"/>
          <w:color w:val="auto"/>
          <w:lang w:val="en-US" w:eastAsia="zh-CN"/>
        </w:rPr>
        <w:t>2.8-4</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eastAsia="zh-CN"/>
        </w:rPr>
        <w:t>现有项目</w:t>
      </w:r>
      <w:r>
        <w:rPr>
          <w:rFonts w:hint="default" w:ascii="Times New Roman" w:hAnsi="Times New Roman" w:eastAsia="宋体" w:cs="Times New Roman"/>
          <w:color w:val="auto"/>
        </w:rPr>
        <w:t>废水产生、排放情况</w:t>
      </w:r>
    </w:p>
    <w:tbl>
      <w:tblPr>
        <w:tblStyle w:val="66"/>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1315"/>
        <w:gridCol w:w="790"/>
        <w:gridCol w:w="703"/>
        <w:gridCol w:w="716"/>
        <w:gridCol w:w="994"/>
        <w:gridCol w:w="769"/>
        <w:gridCol w:w="643"/>
        <w:gridCol w:w="730"/>
      </w:tblGrid>
      <w:tr w14:paraId="1583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30" w:type="dxa"/>
            <w:vMerge w:val="restart"/>
            <w:noWrap w:val="0"/>
            <w:vAlign w:val="center"/>
          </w:tcPr>
          <w:p w14:paraId="536C3A34">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p w14:paraId="34CBE704">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315" w:type="dxa"/>
            <w:vMerge w:val="restart"/>
            <w:noWrap w:val="0"/>
            <w:vAlign w:val="center"/>
          </w:tcPr>
          <w:p w14:paraId="684C9154">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废水量</w:t>
            </w:r>
          </w:p>
        </w:tc>
        <w:tc>
          <w:tcPr>
            <w:tcW w:w="790" w:type="dxa"/>
            <w:vMerge w:val="restart"/>
            <w:noWrap w:val="0"/>
            <w:vAlign w:val="center"/>
          </w:tcPr>
          <w:p w14:paraId="1DCCE83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p w14:paraId="71171D08">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419" w:type="dxa"/>
            <w:gridSpan w:val="2"/>
            <w:noWrap w:val="0"/>
            <w:vAlign w:val="center"/>
          </w:tcPr>
          <w:p w14:paraId="345268D1">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产生情况</w:t>
            </w:r>
          </w:p>
        </w:tc>
        <w:tc>
          <w:tcPr>
            <w:tcW w:w="994" w:type="dxa"/>
            <w:vMerge w:val="restart"/>
            <w:noWrap w:val="0"/>
            <w:vAlign w:val="center"/>
          </w:tcPr>
          <w:p w14:paraId="4D512312">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拟采取的</w:t>
            </w:r>
          </w:p>
          <w:p w14:paraId="7F54EEBB">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处理方式</w:t>
            </w:r>
          </w:p>
        </w:tc>
        <w:tc>
          <w:tcPr>
            <w:tcW w:w="1412" w:type="dxa"/>
            <w:gridSpan w:val="2"/>
            <w:noWrap w:val="0"/>
            <w:vAlign w:val="center"/>
          </w:tcPr>
          <w:p w14:paraId="0DE853A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纳管情况</w:t>
            </w:r>
          </w:p>
        </w:tc>
        <w:tc>
          <w:tcPr>
            <w:tcW w:w="730" w:type="dxa"/>
            <w:vMerge w:val="restart"/>
            <w:noWrap w:val="0"/>
            <w:vAlign w:val="center"/>
          </w:tcPr>
          <w:p w14:paraId="4F18E20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排放去向</w:t>
            </w:r>
          </w:p>
        </w:tc>
      </w:tr>
      <w:tr w14:paraId="7AD4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30" w:type="dxa"/>
            <w:vMerge w:val="continue"/>
            <w:noWrap w:val="0"/>
            <w:vAlign w:val="center"/>
          </w:tcPr>
          <w:p w14:paraId="2D116623">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68DFCFF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vMerge w:val="continue"/>
            <w:noWrap w:val="0"/>
            <w:vAlign w:val="center"/>
          </w:tcPr>
          <w:p w14:paraId="2251C73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03" w:type="dxa"/>
            <w:noWrap w:val="0"/>
            <w:vAlign w:val="center"/>
          </w:tcPr>
          <w:p w14:paraId="44E43CEC">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mg/L</w:t>
            </w:r>
          </w:p>
        </w:tc>
        <w:tc>
          <w:tcPr>
            <w:tcW w:w="716" w:type="dxa"/>
            <w:noWrap w:val="0"/>
            <w:vAlign w:val="center"/>
          </w:tcPr>
          <w:p w14:paraId="7CCCE3A9">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t/a</w:t>
            </w:r>
          </w:p>
        </w:tc>
        <w:tc>
          <w:tcPr>
            <w:tcW w:w="994" w:type="dxa"/>
            <w:vMerge w:val="continue"/>
            <w:noWrap w:val="0"/>
            <w:vAlign w:val="center"/>
          </w:tcPr>
          <w:p w14:paraId="3218206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3D723A9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浓度mg/L</w:t>
            </w:r>
          </w:p>
        </w:tc>
        <w:tc>
          <w:tcPr>
            <w:tcW w:w="643" w:type="dxa"/>
            <w:noWrap w:val="0"/>
            <w:vAlign w:val="center"/>
          </w:tcPr>
          <w:p w14:paraId="3B0CA86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量t/a</w:t>
            </w:r>
          </w:p>
        </w:tc>
        <w:tc>
          <w:tcPr>
            <w:tcW w:w="730" w:type="dxa"/>
            <w:vMerge w:val="continue"/>
            <w:noWrap w:val="0"/>
            <w:vAlign w:val="center"/>
          </w:tcPr>
          <w:p w14:paraId="085C3CB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r>
      <w:tr w14:paraId="037F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30" w:type="dxa"/>
            <w:vMerge w:val="restart"/>
            <w:noWrap w:val="0"/>
            <w:vAlign w:val="center"/>
          </w:tcPr>
          <w:p w14:paraId="364071A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315" w:type="dxa"/>
            <w:vMerge w:val="restart"/>
            <w:noWrap w:val="0"/>
            <w:vAlign w:val="center"/>
          </w:tcPr>
          <w:p w14:paraId="5CCD536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23.2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p w14:paraId="720AF15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6960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90" w:type="dxa"/>
            <w:noWrap w:val="0"/>
            <w:vAlign w:val="center"/>
          </w:tcPr>
          <w:p w14:paraId="479A880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419" w:type="dxa"/>
            <w:gridSpan w:val="2"/>
            <w:noWrap w:val="0"/>
            <w:vAlign w:val="center"/>
          </w:tcPr>
          <w:p w14:paraId="3D809A6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w:t>
            </w:r>
          </w:p>
        </w:tc>
        <w:tc>
          <w:tcPr>
            <w:tcW w:w="994" w:type="dxa"/>
            <w:vMerge w:val="restart"/>
            <w:noWrap w:val="0"/>
            <w:vAlign w:val="center"/>
          </w:tcPr>
          <w:p w14:paraId="4146AF6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隔油池、</w:t>
            </w:r>
            <w:r>
              <w:rPr>
                <w:rFonts w:hint="default" w:ascii="Times New Roman" w:hAnsi="Times New Roman" w:eastAsia="宋体" w:cs="Times New Roman"/>
                <w:color w:val="auto"/>
                <w:sz w:val="21"/>
                <w:szCs w:val="21"/>
              </w:rPr>
              <w:t>化粪池</w:t>
            </w:r>
          </w:p>
        </w:tc>
        <w:tc>
          <w:tcPr>
            <w:tcW w:w="1412" w:type="dxa"/>
            <w:gridSpan w:val="2"/>
            <w:noWrap w:val="0"/>
            <w:vAlign w:val="center"/>
          </w:tcPr>
          <w:p w14:paraId="7AC71D1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w:t>
            </w:r>
          </w:p>
        </w:tc>
        <w:tc>
          <w:tcPr>
            <w:tcW w:w="730" w:type="dxa"/>
            <w:vMerge w:val="continue"/>
            <w:noWrap w:val="0"/>
            <w:vAlign w:val="center"/>
          </w:tcPr>
          <w:p w14:paraId="162DFF91">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23E0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30" w:type="dxa"/>
            <w:vMerge w:val="continue"/>
            <w:noWrap w:val="0"/>
            <w:vAlign w:val="center"/>
          </w:tcPr>
          <w:p w14:paraId="59052C2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315" w:type="dxa"/>
            <w:vMerge w:val="continue"/>
            <w:noWrap w:val="0"/>
            <w:vAlign w:val="center"/>
          </w:tcPr>
          <w:p w14:paraId="76F534EC">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3223C97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03" w:type="dxa"/>
            <w:noWrap w:val="0"/>
            <w:vAlign w:val="center"/>
          </w:tcPr>
          <w:p w14:paraId="22B66B9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716" w:type="dxa"/>
            <w:noWrap w:val="0"/>
            <w:vAlign w:val="center"/>
          </w:tcPr>
          <w:p w14:paraId="68260039">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2.44</w:t>
            </w:r>
          </w:p>
        </w:tc>
        <w:tc>
          <w:tcPr>
            <w:tcW w:w="994" w:type="dxa"/>
            <w:vMerge w:val="continue"/>
            <w:noWrap w:val="0"/>
            <w:vAlign w:val="center"/>
          </w:tcPr>
          <w:p w14:paraId="31D9B073">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302395C7">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300</w:t>
            </w:r>
          </w:p>
        </w:tc>
        <w:tc>
          <w:tcPr>
            <w:tcW w:w="643" w:type="dxa"/>
            <w:noWrap w:val="0"/>
            <w:vAlign w:val="center"/>
          </w:tcPr>
          <w:p w14:paraId="554E7E9C">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2.088</w:t>
            </w:r>
          </w:p>
        </w:tc>
        <w:tc>
          <w:tcPr>
            <w:tcW w:w="730" w:type="dxa"/>
            <w:vMerge w:val="continue"/>
            <w:noWrap w:val="0"/>
            <w:vAlign w:val="center"/>
          </w:tcPr>
          <w:p w14:paraId="7053337D">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092E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30" w:type="dxa"/>
            <w:vMerge w:val="continue"/>
            <w:noWrap w:val="0"/>
            <w:vAlign w:val="center"/>
          </w:tcPr>
          <w:p w14:paraId="3EBEB62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40FBB35D">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2A1D821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703" w:type="dxa"/>
            <w:noWrap w:val="0"/>
            <w:vAlign w:val="center"/>
          </w:tcPr>
          <w:p w14:paraId="336E93F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716" w:type="dxa"/>
            <w:noWrap w:val="0"/>
            <w:vAlign w:val="center"/>
          </w:tcPr>
          <w:p w14:paraId="5EF6DA84">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1.34</w:t>
            </w:r>
            <w:r>
              <w:rPr>
                <w:rFonts w:hint="default" w:ascii="Times New Roman" w:hAnsi="Times New Roman" w:eastAsia="宋体" w:cs="Times New Roman"/>
                <w:color w:val="auto"/>
                <w:kern w:val="0"/>
                <w:sz w:val="21"/>
                <w:szCs w:val="21"/>
              </w:rPr>
              <w:t xml:space="preserve"> </w:t>
            </w:r>
          </w:p>
        </w:tc>
        <w:tc>
          <w:tcPr>
            <w:tcW w:w="994" w:type="dxa"/>
            <w:vMerge w:val="continue"/>
            <w:noWrap w:val="0"/>
            <w:vAlign w:val="center"/>
          </w:tcPr>
          <w:p w14:paraId="0852BBD3">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70DB9248">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180</w:t>
            </w:r>
          </w:p>
        </w:tc>
        <w:tc>
          <w:tcPr>
            <w:tcW w:w="643" w:type="dxa"/>
            <w:noWrap w:val="0"/>
            <w:vAlign w:val="center"/>
          </w:tcPr>
          <w:p w14:paraId="1289D6C9">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1.25</w:t>
            </w:r>
          </w:p>
        </w:tc>
        <w:tc>
          <w:tcPr>
            <w:tcW w:w="730" w:type="dxa"/>
            <w:vMerge w:val="restart"/>
            <w:noWrap w:val="0"/>
            <w:vAlign w:val="center"/>
          </w:tcPr>
          <w:p w14:paraId="27E1FE1E">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园区污水管网</w:t>
            </w:r>
          </w:p>
        </w:tc>
      </w:tr>
      <w:tr w14:paraId="7E01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30" w:type="dxa"/>
            <w:vMerge w:val="continue"/>
            <w:noWrap w:val="0"/>
            <w:vAlign w:val="center"/>
          </w:tcPr>
          <w:p w14:paraId="3E9D9721">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7DB865F9">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2E6A7B8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03" w:type="dxa"/>
            <w:noWrap w:val="0"/>
            <w:vAlign w:val="center"/>
          </w:tcPr>
          <w:p w14:paraId="72AA241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716" w:type="dxa"/>
            <w:noWrap w:val="0"/>
            <w:vAlign w:val="center"/>
          </w:tcPr>
          <w:p w14:paraId="53F3D55F">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1.34</w:t>
            </w:r>
          </w:p>
        </w:tc>
        <w:tc>
          <w:tcPr>
            <w:tcW w:w="994" w:type="dxa"/>
            <w:vMerge w:val="continue"/>
            <w:noWrap w:val="0"/>
            <w:vAlign w:val="center"/>
          </w:tcPr>
          <w:p w14:paraId="6754B25A">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69762A12">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140</w:t>
            </w:r>
          </w:p>
        </w:tc>
        <w:tc>
          <w:tcPr>
            <w:tcW w:w="643" w:type="dxa"/>
            <w:noWrap w:val="0"/>
            <w:vAlign w:val="center"/>
          </w:tcPr>
          <w:p w14:paraId="63BAB874">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0.97</w:t>
            </w:r>
          </w:p>
        </w:tc>
        <w:tc>
          <w:tcPr>
            <w:tcW w:w="730" w:type="dxa"/>
            <w:vMerge w:val="continue"/>
            <w:noWrap w:val="0"/>
            <w:vAlign w:val="center"/>
          </w:tcPr>
          <w:p w14:paraId="47005B0A">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7682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30" w:type="dxa"/>
            <w:vMerge w:val="continue"/>
            <w:noWrap w:val="0"/>
            <w:vAlign w:val="center"/>
          </w:tcPr>
          <w:p w14:paraId="4F5735F8">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1188700E">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2957490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703" w:type="dxa"/>
            <w:noWrap w:val="0"/>
            <w:vAlign w:val="center"/>
          </w:tcPr>
          <w:p w14:paraId="2BB3269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16" w:type="dxa"/>
            <w:noWrap w:val="0"/>
            <w:vAlign w:val="center"/>
          </w:tcPr>
          <w:p w14:paraId="49018EEF">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p>
        </w:tc>
        <w:tc>
          <w:tcPr>
            <w:tcW w:w="994" w:type="dxa"/>
            <w:vMerge w:val="continue"/>
            <w:noWrap w:val="0"/>
            <w:vAlign w:val="center"/>
          </w:tcPr>
          <w:p w14:paraId="37E4132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1C3FB776">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643" w:type="dxa"/>
            <w:noWrap w:val="0"/>
            <w:vAlign w:val="center"/>
          </w:tcPr>
          <w:p w14:paraId="3B9C0150">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p>
        </w:tc>
        <w:tc>
          <w:tcPr>
            <w:tcW w:w="730" w:type="dxa"/>
            <w:vMerge w:val="continue"/>
            <w:noWrap w:val="0"/>
            <w:vAlign w:val="center"/>
          </w:tcPr>
          <w:p w14:paraId="7FB1C7AA">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5EE4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30" w:type="dxa"/>
            <w:vMerge w:val="continue"/>
            <w:noWrap w:val="0"/>
            <w:vAlign w:val="center"/>
          </w:tcPr>
          <w:p w14:paraId="54580A5B">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7BA7142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29D2039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03" w:type="dxa"/>
            <w:noWrap w:val="0"/>
            <w:vAlign w:val="center"/>
          </w:tcPr>
          <w:p w14:paraId="5165237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716" w:type="dxa"/>
            <w:noWrap w:val="0"/>
            <w:vAlign w:val="center"/>
          </w:tcPr>
          <w:p w14:paraId="0A97E75A">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994" w:type="dxa"/>
            <w:vMerge w:val="continue"/>
            <w:noWrap w:val="0"/>
            <w:vAlign w:val="center"/>
          </w:tcPr>
          <w:p w14:paraId="0FE02814">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61802793">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w:t>
            </w:r>
          </w:p>
        </w:tc>
        <w:tc>
          <w:tcPr>
            <w:tcW w:w="643" w:type="dxa"/>
            <w:noWrap w:val="0"/>
            <w:vAlign w:val="center"/>
          </w:tcPr>
          <w:p w14:paraId="4EAB5D1F">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730" w:type="dxa"/>
            <w:vMerge w:val="continue"/>
            <w:noWrap w:val="0"/>
            <w:vAlign w:val="center"/>
          </w:tcPr>
          <w:p w14:paraId="3C3A6CC5">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bl>
    <w:p w14:paraId="464ED1D1">
      <w:pPr>
        <w:pStyle w:val="11"/>
        <w:adjustRightInd w:val="0"/>
        <w:snapToGrid w:val="0"/>
        <w:spacing w:before="0" w:after="0" w:line="360" w:lineRule="auto"/>
        <w:rPr>
          <w:rFonts w:hint="default" w:ascii="Times New Roman" w:hAnsi="Times New Roman" w:eastAsia="宋体" w:cs="Times New Roman"/>
          <w:color w:val="auto"/>
          <w:sz w:val="28"/>
          <w:szCs w:val="28"/>
        </w:rPr>
      </w:pPr>
      <w:r>
        <w:rPr>
          <w:rFonts w:hint="eastAsia" w:ascii="Times New Roman" w:hAnsi="Times New Roman" w:cs="Times New Roman"/>
          <w:color w:val="auto"/>
          <w:sz w:val="28"/>
          <w:szCs w:val="28"/>
          <w:lang w:val="en-US" w:eastAsia="zh-CN"/>
        </w:rPr>
        <w:t>2.8.3</w:t>
      </w:r>
      <w:r>
        <w:rPr>
          <w:rFonts w:hint="default" w:ascii="Times New Roman" w:hAnsi="Times New Roman" w:eastAsia="宋体" w:cs="Times New Roman"/>
          <w:color w:val="auto"/>
          <w:sz w:val="28"/>
          <w:szCs w:val="28"/>
        </w:rPr>
        <w:t>噪声污染源分析</w:t>
      </w:r>
    </w:p>
    <w:p w14:paraId="5AB6DD39">
      <w:pPr>
        <w:ind w:firstLine="480"/>
        <w:rPr>
          <w:rFonts w:hint="default" w:ascii="Times New Roman" w:hAnsi="Times New Roman" w:eastAsia="宋体" w:cs="Times New Roman"/>
          <w:color w:val="auto"/>
        </w:rPr>
      </w:pPr>
      <w:r>
        <w:rPr>
          <w:rFonts w:hint="eastAsia" w:ascii="Times New Roman" w:hAnsi="Times New Roman" w:cs="Times New Roman"/>
          <w:color w:val="auto"/>
          <w:lang w:eastAsia="zh-CN"/>
        </w:rPr>
        <w:t>现有</w:t>
      </w:r>
      <w:r>
        <w:rPr>
          <w:rFonts w:hint="default" w:ascii="Times New Roman" w:hAnsi="Times New Roman" w:eastAsia="宋体" w:cs="Times New Roman"/>
          <w:color w:val="auto"/>
        </w:rPr>
        <w:t>项目主要噪声源为生产过程中的一些机械传动设备，噪声源强约70～85dB（A），噪声设备声压级见表</w:t>
      </w:r>
      <w:r>
        <w:rPr>
          <w:rFonts w:hint="eastAsia" w:ascii="Times New Roman" w:hAnsi="Times New Roman" w:cs="Times New Roman"/>
          <w:color w:val="auto"/>
          <w:lang w:val="en-US" w:eastAsia="zh-CN"/>
        </w:rPr>
        <w:t>2.8-5</w:t>
      </w:r>
      <w:r>
        <w:rPr>
          <w:rFonts w:hint="default" w:ascii="Times New Roman" w:hAnsi="Times New Roman" w:eastAsia="宋体" w:cs="Times New Roman"/>
          <w:color w:val="auto"/>
        </w:rPr>
        <w:t>。建设方拟采取隔声、减震等措施减少对周围环境干扰。</w:t>
      </w:r>
    </w:p>
    <w:p w14:paraId="31683969">
      <w:pPr>
        <w:pStyle w:val="1260"/>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cs="Times New Roman"/>
          <w:color w:val="auto"/>
          <w:lang w:val="en-US" w:eastAsia="zh-CN"/>
        </w:rPr>
        <w:t>2.8-5</w:t>
      </w:r>
      <w:r>
        <w:rPr>
          <w:rFonts w:hint="default" w:ascii="Times New Roman" w:hAnsi="Times New Roman" w:eastAsia="宋体" w:cs="Times New Roman"/>
          <w:color w:val="auto"/>
        </w:rPr>
        <w:t xml:space="preserve"> </w:t>
      </w:r>
      <w:r>
        <w:rPr>
          <w:rFonts w:hint="eastAsia" w:ascii="Times New Roman" w:hAnsi="Times New Roman" w:cs="Times New Roman"/>
          <w:color w:val="auto"/>
          <w:lang w:eastAsia="zh-CN"/>
        </w:rPr>
        <w:t>现有项目</w:t>
      </w:r>
      <w:r>
        <w:rPr>
          <w:rFonts w:hint="default" w:ascii="Times New Roman" w:hAnsi="Times New Roman" w:eastAsia="宋体" w:cs="Times New Roman"/>
          <w:color w:val="auto"/>
        </w:rPr>
        <w:t>主要噪声污染源强、治理及排放情况</w:t>
      </w:r>
    </w:p>
    <w:tbl>
      <w:tblPr>
        <w:tblStyle w:val="66"/>
        <w:tblW w:w="8322"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488"/>
        <w:gridCol w:w="1793"/>
        <w:gridCol w:w="853"/>
        <w:gridCol w:w="1068"/>
        <w:gridCol w:w="1493"/>
        <w:gridCol w:w="1766"/>
        <w:gridCol w:w="861"/>
      </w:tblGrid>
      <w:tr w14:paraId="284E353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bottom w:val="single" w:color="auto" w:sz="4" w:space="0"/>
              <w:right w:val="single" w:color="auto" w:sz="4" w:space="0"/>
            </w:tcBorders>
            <w:noWrap w:val="0"/>
            <w:vAlign w:val="center"/>
          </w:tcPr>
          <w:p w14:paraId="4CE0C002">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793" w:type="dxa"/>
            <w:tcBorders>
              <w:left w:val="single" w:color="auto" w:sz="4" w:space="0"/>
              <w:bottom w:val="single" w:color="auto" w:sz="4" w:space="0"/>
              <w:right w:val="single" w:color="auto" w:sz="4" w:space="0"/>
            </w:tcBorders>
            <w:noWrap w:val="0"/>
            <w:vAlign w:val="center"/>
          </w:tcPr>
          <w:p w14:paraId="267B1E60">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噪声源</w:t>
            </w:r>
          </w:p>
        </w:tc>
        <w:tc>
          <w:tcPr>
            <w:tcW w:w="853" w:type="dxa"/>
            <w:tcBorders>
              <w:left w:val="single" w:color="auto" w:sz="4" w:space="0"/>
              <w:bottom w:val="single" w:color="auto" w:sz="4" w:space="0"/>
              <w:right w:val="single" w:color="auto" w:sz="4" w:space="0"/>
            </w:tcBorders>
            <w:noWrap w:val="0"/>
            <w:vAlign w:val="center"/>
          </w:tcPr>
          <w:p w14:paraId="41F3E7EB">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p w14:paraId="7B91D58A">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台/套</w:t>
            </w:r>
          </w:p>
        </w:tc>
        <w:tc>
          <w:tcPr>
            <w:tcW w:w="1068" w:type="dxa"/>
            <w:tcBorders>
              <w:left w:val="single" w:color="auto" w:sz="4" w:space="0"/>
              <w:bottom w:val="single" w:color="auto" w:sz="4" w:space="0"/>
              <w:right w:val="single" w:color="auto" w:sz="4" w:space="0"/>
            </w:tcBorders>
            <w:noWrap w:val="0"/>
            <w:vAlign w:val="center"/>
          </w:tcPr>
          <w:p w14:paraId="40842CD3">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源强dB(A)</w:t>
            </w:r>
          </w:p>
        </w:tc>
        <w:tc>
          <w:tcPr>
            <w:tcW w:w="1493" w:type="dxa"/>
            <w:tcBorders>
              <w:left w:val="single" w:color="auto" w:sz="4" w:space="0"/>
              <w:bottom w:val="single" w:color="auto" w:sz="4" w:space="0"/>
              <w:right w:val="single" w:color="auto" w:sz="4" w:space="0"/>
            </w:tcBorders>
            <w:noWrap w:val="0"/>
            <w:vAlign w:val="center"/>
          </w:tcPr>
          <w:p w14:paraId="3E858DE9">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产生位置</w:t>
            </w:r>
          </w:p>
        </w:tc>
        <w:tc>
          <w:tcPr>
            <w:tcW w:w="1766" w:type="dxa"/>
            <w:tcBorders>
              <w:left w:val="single" w:color="auto" w:sz="4" w:space="0"/>
              <w:bottom w:val="single" w:color="auto" w:sz="4" w:space="0"/>
              <w:right w:val="single" w:color="auto" w:sz="4" w:space="0"/>
            </w:tcBorders>
            <w:noWrap w:val="0"/>
            <w:vAlign w:val="center"/>
          </w:tcPr>
          <w:p w14:paraId="25354D33">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拟采取措施</w:t>
            </w:r>
          </w:p>
        </w:tc>
        <w:tc>
          <w:tcPr>
            <w:tcW w:w="861" w:type="dxa"/>
            <w:tcBorders>
              <w:left w:val="single" w:color="auto" w:sz="4" w:space="0"/>
              <w:bottom w:val="single" w:color="auto" w:sz="4" w:space="0"/>
            </w:tcBorders>
            <w:noWrap w:val="0"/>
            <w:vAlign w:val="center"/>
          </w:tcPr>
          <w:p w14:paraId="19B9CD1C">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降噪量</w:t>
            </w:r>
          </w:p>
          <w:p w14:paraId="5FAE692A">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r>
      <w:tr w14:paraId="1A323AA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60835E4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47B9FC9A">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电脑平缝机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177AFFAE">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160</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2E495C6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c>
          <w:tcPr>
            <w:tcW w:w="1493" w:type="dxa"/>
            <w:vMerge w:val="restart"/>
            <w:tcBorders>
              <w:top w:val="single" w:color="auto" w:sz="4" w:space="0"/>
              <w:left w:val="single" w:color="auto" w:sz="4" w:space="0"/>
              <w:right w:val="single" w:color="auto" w:sz="4" w:space="0"/>
            </w:tcBorders>
            <w:noWrap w:val="0"/>
            <w:vAlign w:val="center"/>
          </w:tcPr>
          <w:p w14:paraId="299223F1">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p w14:paraId="7AFB27B1">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p w14:paraId="44E8644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p w14:paraId="61444FF5">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p w14:paraId="1FD07B9B">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p w14:paraId="32F0DB7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p w14:paraId="0A5EE910">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p w14:paraId="2FD0C9E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生产车间</w:t>
            </w:r>
          </w:p>
        </w:tc>
        <w:tc>
          <w:tcPr>
            <w:tcW w:w="1766" w:type="dxa"/>
            <w:vMerge w:val="restart"/>
            <w:tcBorders>
              <w:top w:val="single" w:color="auto" w:sz="4" w:space="0"/>
              <w:left w:val="single" w:color="auto" w:sz="4" w:space="0"/>
              <w:right w:val="single" w:color="auto" w:sz="4" w:space="0"/>
            </w:tcBorders>
            <w:noWrap w:val="0"/>
            <w:vAlign w:val="center"/>
          </w:tcPr>
          <w:p w14:paraId="73943C39">
            <w:pPr>
              <w:overflowPunct w:val="0"/>
              <w:spacing w:line="240" w:lineRule="auto"/>
              <w:ind w:firstLine="0" w:firstLineChars="0"/>
              <w:jc w:val="center"/>
              <w:textAlignment w:val="baseline"/>
              <w:rPr>
                <w:rFonts w:hint="default" w:ascii="Times New Roman" w:hAnsi="Times New Roman" w:eastAsia="宋体" w:cs="Times New Roman"/>
                <w:color w:val="auto"/>
                <w:sz w:val="21"/>
                <w:szCs w:val="21"/>
              </w:rPr>
            </w:pPr>
          </w:p>
          <w:p w14:paraId="1CCE070C">
            <w:pPr>
              <w:overflowPunct w:val="0"/>
              <w:spacing w:line="240" w:lineRule="auto"/>
              <w:ind w:firstLine="0" w:firstLineChars="0"/>
              <w:jc w:val="center"/>
              <w:textAlignment w:val="baseline"/>
              <w:rPr>
                <w:rFonts w:hint="default" w:ascii="Times New Roman" w:hAnsi="Times New Roman" w:eastAsia="宋体" w:cs="Times New Roman"/>
                <w:color w:val="auto"/>
                <w:sz w:val="21"/>
                <w:szCs w:val="21"/>
              </w:rPr>
            </w:pPr>
          </w:p>
          <w:p w14:paraId="6E65E68A">
            <w:pPr>
              <w:overflowPunct w:val="0"/>
              <w:spacing w:line="240" w:lineRule="auto"/>
              <w:ind w:firstLine="0" w:firstLineChars="0"/>
              <w:jc w:val="center"/>
              <w:textAlignment w:val="baseline"/>
              <w:rPr>
                <w:rFonts w:hint="default" w:ascii="Times New Roman" w:hAnsi="Times New Roman" w:eastAsia="宋体" w:cs="Times New Roman"/>
                <w:color w:val="auto"/>
                <w:sz w:val="21"/>
                <w:szCs w:val="21"/>
              </w:rPr>
            </w:pPr>
          </w:p>
          <w:p w14:paraId="68935D71">
            <w:pPr>
              <w:overflowPunct w:val="0"/>
              <w:spacing w:line="240" w:lineRule="auto"/>
              <w:ind w:firstLine="0" w:firstLineChars="0"/>
              <w:jc w:val="center"/>
              <w:textAlignment w:val="baseline"/>
              <w:rPr>
                <w:rFonts w:hint="default" w:ascii="Times New Roman" w:hAnsi="Times New Roman" w:eastAsia="宋体" w:cs="Times New Roman"/>
                <w:color w:val="auto"/>
                <w:sz w:val="21"/>
                <w:szCs w:val="21"/>
              </w:rPr>
            </w:pPr>
          </w:p>
          <w:p w14:paraId="27DF7C11">
            <w:pPr>
              <w:overflowPunct w:val="0"/>
              <w:spacing w:line="240" w:lineRule="auto"/>
              <w:ind w:firstLine="0" w:firstLineChars="0"/>
              <w:jc w:val="center"/>
              <w:textAlignment w:val="baseline"/>
              <w:rPr>
                <w:rFonts w:hint="default" w:ascii="Times New Roman" w:hAnsi="Times New Roman" w:eastAsia="宋体" w:cs="Times New Roman"/>
                <w:color w:val="auto"/>
                <w:sz w:val="21"/>
                <w:szCs w:val="21"/>
              </w:rPr>
            </w:pPr>
          </w:p>
          <w:p w14:paraId="2300A6DD">
            <w:pPr>
              <w:overflowPunct w:val="0"/>
              <w:spacing w:line="240" w:lineRule="auto"/>
              <w:ind w:firstLine="0" w:firstLineChars="0"/>
              <w:jc w:val="center"/>
              <w:textAlignment w:val="baseline"/>
              <w:rPr>
                <w:rFonts w:hint="default" w:ascii="Times New Roman" w:hAnsi="Times New Roman" w:eastAsia="宋体" w:cs="Times New Roman"/>
                <w:color w:val="auto"/>
                <w:sz w:val="21"/>
                <w:szCs w:val="21"/>
              </w:rPr>
            </w:pPr>
          </w:p>
          <w:p w14:paraId="6DEFB8B1">
            <w:pPr>
              <w:overflowPunct w:val="0"/>
              <w:spacing w:line="240" w:lineRule="auto"/>
              <w:ind w:firstLine="0" w:firstLineChars="0"/>
              <w:jc w:val="center"/>
              <w:textAlignment w:val="baseline"/>
              <w:rPr>
                <w:rFonts w:hint="default" w:ascii="Times New Roman" w:hAnsi="Times New Roman" w:eastAsia="宋体" w:cs="Times New Roman"/>
                <w:color w:val="auto"/>
                <w:sz w:val="21"/>
                <w:szCs w:val="21"/>
              </w:rPr>
            </w:pPr>
          </w:p>
          <w:p w14:paraId="23068BBF">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隔声、减振</w:t>
            </w:r>
          </w:p>
        </w:tc>
        <w:tc>
          <w:tcPr>
            <w:tcW w:w="861" w:type="dxa"/>
            <w:tcBorders>
              <w:top w:val="single" w:color="auto" w:sz="4" w:space="0"/>
              <w:left w:val="single" w:color="auto" w:sz="4" w:space="0"/>
              <w:bottom w:val="single" w:color="auto" w:sz="4" w:space="0"/>
            </w:tcBorders>
            <w:noWrap w:val="0"/>
            <w:vAlign w:val="center"/>
          </w:tcPr>
          <w:p w14:paraId="3B096815">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3185637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240EF825">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3B07590E">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三线包缝机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52B78754">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16</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2DD3EDED">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noWrap w:val="0"/>
            <w:vAlign w:val="center"/>
          </w:tcPr>
          <w:p w14:paraId="295D95F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58D82313">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04460E00">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03E57B6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69360A8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2E55D45F">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五线包缝机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593D0BF1">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16</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6865B36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noWrap w:val="0"/>
            <w:vAlign w:val="center"/>
          </w:tcPr>
          <w:p w14:paraId="0206426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11DE0A0F">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717C77C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41D3715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1F017739">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4</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409F5EAD">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切刀平缝机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4B46885C">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13</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6B198C4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noWrap w:val="0"/>
            <w:vAlign w:val="center"/>
          </w:tcPr>
          <w:p w14:paraId="2696DE2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4664C105">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6F7FC5E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32489FF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15DE7939">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5</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440769B3">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电子钉扣机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3BD5A6BB">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1</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1C906B0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noWrap w:val="0"/>
            <w:vAlign w:val="center"/>
          </w:tcPr>
          <w:p w14:paraId="560EC5A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3CD93BC6">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4F6D27D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71E4227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4695709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31066FEB">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电子套结机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51736785">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2</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6A8CE465">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noWrap w:val="0"/>
            <w:vAlign w:val="center"/>
          </w:tcPr>
          <w:p w14:paraId="0A6DB161">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4ABDB1CC">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7796822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6668FC7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right w:val="single" w:color="auto" w:sz="4" w:space="0"/>
            </w:tcBorders>
            <w:noWrap w:val="0"/>
            <w:vAlign w:val="center"/>
          </w:tcPr>
          <w:p w14:paraId="0A0AF13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7</w:t>
            </w:r>
          </w:p>
        </w:tc>
        <w:tc>
          <w:tcPr>
            <w:tcW w:w="1793" w:type="dxa"/>
            <w:tcBorders>
              <w:top w:val="single" w:color="auto" w:sz="4" w:space="0"/>
              <w:left w:val="single" w:color="auto" w:sz="4" w:space="0"/>
              <w:right w:val="single" w:color="auto" w:sz="4" w:space="0"/>
            </w:tcBorders>
            <w:noWrap w:val="0"/>
            <w:vAlign w:val="top"/>
          </w:tcPr>
          <w:p w14:paraId="6E2FBA4B">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平头锁眼机</w:t>
            </w:r>
          </w:p>
        </w:tc>
        <w:tc>
          <w:tcPr>
            <w:tcW w:w="853" w:type="dxa"/>
            <w:tcBorders>
              <w:top w:val="single" w:color="auto" w:sz="4" w:space="0"/>
              <w:left w:val="single" w:color="auto" w:sz="4" w:space="0"/>
              <w:right w:val="single" w:color="auto" w:sz="4" w:space="0"/>
            </w:tcBorders>
            <w:noWrap w:val="0"/>
            <w:vAlign w:val="top"/>
          </w:tcPr>
          <w:p w14:paraId="5C6FD564">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2</w:t>
            </w:r>
          </w:p>
        </w:tc>
        <w:tc>
          <w:tcPr>
            <w:tcW w:w="1068" w:type="dxa"/>
            <w:tcBorders>
              <w:top w:val="single" w:color="auto" w:sz="4" w:space="0"/>
              <w:left w:val="single" w:color="auto" w:sz="4" w:space="0"/>
              <w:right w:val="single" w:color="auto" w:sz="4" w:space="0"/>
            </w:tcBorders>
            <w:noWrap w:val="0"/>
            <w:vAlign w:val="center"/>
          </w:tcPr>
          <w:p w14:paraId="6F03B87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noWrap w:val="0"/>
            <w:vAlign w:val="center"/>
          </w:tcPr>
          <w:p w14:paraId="0EE6C28D">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70C7FD2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tcBorders>
            <w:noWrap w:val="0"/>
            <w:vAlign w:val="center"/>
          </w:tcPr>
          <w:p w14:paraId="6B5F048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57EC155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22C00A8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w:t>
            </w:r>
          </w:p>
        </w:tc>
        <w:tc>
          <w:tcPr>
            <w:tcW w:w="1793" w:type="dxa"/>
            <w:vAlign w:val="top"/>
          </w:tcPr>
          <w:p w14:paraId="0358B8F0">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粘合机</w:t>
            </w:r>
          </w:p>
        </w:tc>
        <w:tc>
          <w:tcPr>
            <w:tcW w:w="853" w:type="dxa"/>
            <w:vAlign w:val="top"/>
          </w:tcPr>
          <w:p w14:paraId="23C0BBC0">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2</w:t>
            </w:r>
          </w:p>
        </w:tc>
        <w:tc>
          <w:tcPr>
            <w:tcW w:w="1068" w:type="dxa"/>
            <w:vAlign w:val="center"/>
          </w:tcPr>
          <w:p w14:paraId="2986069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c>
          <w:tcPr>
            <w:tcW w:w="1493" w:type="dxa"/>
            <w:vMerge w:val="continue"/>
            <w:tcBorders>
              <w:left w:val="single" w:color="auto" w:sz="4" w:space="0"/>
              <w:right w:val="single" w:color="auto" w:sz="4" w:space="0"/>
            </w:tcBorders>
          </w:tcPr>
          <w:p w14:paraId="6CEE1E8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49A66BD0">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318D2A8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0A4B67C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5C4B0BF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w:t>
            </w:r>
          </w:p>
        </w:tc>
        <w:tc>
          <w:tcPr>
            <w:tcW w:w="1793" w:type="dxa"/>
            <w:vAlign w:val="top"/>
          </w:tcPr>
          <w:p w14:paraId="63FC64AB">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自动模板机</w:t>
            </w:r>
          </w:p>
        </w:tc>
        <w:tc>
          <w:tcPr>
            <w:tcW w:w="853" w:type="dxa"/>
            <w:vAlign w:val="top"/>
          </w:tcPr>
          <w:p w14:paraId="6DA72D8E">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4</w:t>
            </w:r>
          </w:p>
        </w:tc>
        <w:tc>
          <w:tcPr>
            <w:tcW w:w="1068" w:type="dxa"/>
            <w:vAlign w:val="center"/>
          </w:tcPr>
          <w:p w14:paraId="0A0E1BF9">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tcPr>
          <w:p w14:paraId="3E915E6B">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039F2CA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6A8618C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52C3CC13">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02CB6A0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1793" w:type="dxa"/>
            <w:vAlign w:val="top"/>
          </w:tcPr>
          <w:p w14:paraId="1C342867">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模板切割机</w:t>
            </w:r>
          </w:p>
        </w:tc>
        <w:tc>
          <w:tcPr>
            <w:tcW w:w="853" w:type="dxa"/>
            <w:vAlign w:val="top"/>
          </w:tcPr>
          <w:p w14:paraId="5A490DA2">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1</w:t>
            </w:r>
          </w:p>
        </w:tc>
        <w:tc>
          <w:tcPr>
            <w:tcW w:w="1068" w:type="dxa"/>
            <w:vAlign w:val="center"/>
          </w:tcPr>
          <w:p w14:paraId="6425D58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tcPr>
          <w:p w14:paraId="1A101D1B">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7D4C364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36CA009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3C89995A">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3DCCC5DB">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11</w:t>
            </w:r>
          </w:p>
        </w:tc>
        <w:tc>
          <w:tcPr>
            <w:tcW w:w="1793" w:type="dxa"/>
            <w:vAlign w:val="top"/>
          </w:tcPr>
          <w:p w14:paraId="2BFCA2F7">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平板切割机</w:t>
            </w:r>
          </w:p>
        </w:tc>
        <w:tc>
          <w:tcPr>
            <w:tcW w:w="853" w:type="dxa"/>
            <w:vAlign w:val="top"/>
          </w:tcPr>
          <w:p w14:paraId="37D52074">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1</w:t>
            </w:r>
          </w:p>
        </w:tc>
        <w:tc>
          <w:tcPr>
            <w:tcW w:w="1068" w:type="dxa"/>
            <w:vAlign w:val="center"/>
          </w:tcPr>
          <w:p w14:paraId="00E30A4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tcPr>
          <w:p w14:paraId="3AA698A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1DDFF406">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2FEB9FE0">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55AEB91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316182A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w:t>
            </w:r>
          </w:p>
        </w:tc>
        <w:tc>
          <w:tcPr>
            <w:tcW w:w="1793" w:type="dxa"/>
            <w:vAlign w:val="top"/>
          </w:tcPr>
          <w:p w14:paraId="11DCD9B9">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活塞空压机</w:t>
            </w:r>
          </w:p>
        </w:tc>
        <w:tc>
          <w:tcPr>
            <w:tcW w:w="853" w:type="dxa"/>
            <w:vAlign w:val="top"/>
          </w:tcPr>
          <w:p w14:paraId="1511956D">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1</w:t>
            </w:r>
          </w:p>
        </w:tc>
        <w:tc>
          <w:tcPr>
            <w:tcW w:w="1068" w:type="dxa"/>
            <w:vAlign w:val="center"/>
          </w:tcPr>
          <w:p w14:paraId="004F0AB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tcPr>
          <w:p w14:paraId="3DB9B06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7C699E6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31E1C66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bl>
    <w:p w14:paraId="0129B76D">
      <w:pPr>
        <w:pStyle w:val="11"/>
        <w:adjustRightInd w:val="0"/>
        <w:snapToGrid w:val="0"/>
        <w:spacing w:before="0" w:after="0" w:line="360" w:lineRule="auto"/>
        <w:ind w:firstLine="140" w:firstLineChars="50"/>
        <w:rPr>
          <w:rFonts w:hint="default" w:ascii="Times New Roman" w:hAnsi="Times New Roman" w:eastAsia="宋体" w:cs="Times New Roman"/>
          <w:color w:val="auto"/>
          <w:sz w:val="28"/>
          <w:szCs w:val="28"/>
        </w:rPr>
      </w:pPr>
      <w:r>
        <w:rPr>
          <w:rFonts w:hint="eastAsia" w:ascii="Times New Roman" w:hAnsi="Times New Roman" w:cs="Times New Roman"/>
          <w:color w:val="auto"/>
          <w:sz w:val="28"/>
          <w:szCs w:val="28"/>
          <w:lang w:val="en-US" w:eastAsia="zh-CN"/>
        </w:rPr>
        <w:t>2.8.4现有项目</w:t>
      </w:r>
      <w:r>
        <w:rPr>
          <w:rFonts w:hint="default" w:ascii="Times New Roman" w:hAnsi="Times New Roman" w:eastAsia="宋体" w:cs="Times New Roman"/>
          <w:color w:val="auto"/>
          <w:sz w:val="28"/>
          <w:szCs w:val="28"/>
        </w:rPr>
        <w:t>固废污染源分析</w:t>
      </w:r>
    </w:p>
    <w:p w14:paraId="44B38C98">
      <w:pPr>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现有</w:t>
      </w:r>
      <w:r>
        <w:rPr>
          <w:rFonts w:hint="default" w:ascii="Times New Roman" w:hAnsi="Times New Roman" w:eastAsia="宋体" w:cs="Times New Roman"/>
          <w:color w:val="auto"/>
          <w:sz w:val="24"/>
          <w:szCs w:val="24"/>
        </w:rPr>
        <w:t>项目产生固体废弃物包括一般固体废弃物</w:t>
      </w:r>
      <w:r>
        <w:rPr>
          <w:rFonts w:hint="default" w:ascii="Times New Roman" w:hAnsi="Times New Roman" w:eastAsia="宋体" w:cs="Times New Roman"/>
          <w:color w:val="auto"/>
          <w:sz w:val="24"/>
          <w:szCs w:val="24"/>
          <w:lang w:eastAsia="zh-CN"/>
        </w:rPr>
        <w:t>和危险废弃物</w:t>
      </w:r>
      <w:r>
        <w:rPr>
          <w:rFonts w:hint="default" w:ascii="Times New Roman" w:hAnsi="Times New Roman" w:eastAsia="宋体" w:cs="Times New Roman"/>
          <w:color w:val="auto"/>
          <w:sz w:val="24"/>
          <w:szCs w:val="24"/>
        </w:rPr>
        <w:t>。一般固体废弃物包括边角料及残次品</w:t>
      </w:r>
      <w:r>
        <w:rPr>
          <w:rFonts w:hint="default" w:ascii="Times New Roman" w:hAnsi="Times New Roman" w:eastAsia="宋体" w:cs="Times New Roman"/>
          <w:color w:val="auto"/>
          <w:sz w:val="24"/>
          <w:szCs w:val="24"/>
          <w:lang w:eastAsia="zh-CN"/>
        </w:rPr>
        <w:t>、废包装材料</w:t>
      </w:r>
      <w:r>
        <w:rPr>
          <w:rFonts w:hint="default" w:ascii="Times New Roman" w:hAnsi="Times New Roman" w:eastAsia="宋体" w:cs="Times New Roman"/>
          <w:color w:val="auto"/>
          <w:sz w:val="24"/>
          <w:szCs w:val="24"/>
        </w:rPr>
        <w:t>、生活垃圾</w:t>
      </w:r>
      <w:r>
        <w:rPr>
          <w:rFonts w:hint="default" w:ascii="Times New Roman" w:hAnsi="Times New Roman" w:eastAsia="宋体" w:cs="Times New Roman"/>
          <w:color w:val="auto"/>
          <w:sz w:val="24"/>
          <w:szCs w:val="24"/>
          <w:lang w:eastAsia="zh-CN"/>
        </w:rPr>
        <w:t>等</w:t>
      </w:r>
      <w:r>
        <w:rPr>
          <w:rFonts w:hint="default" w:ascii="Times New Roman" w:hAnsi="Times New Roman" w:eastAsia="宋体" w:cs="Times New Roman"/>
          <w:color w:val="auto"/>
          <w:sz w:val="24"/>
          <w:szCs w:val="24"/>
        </w:rPr>
        <w:t>。危险废弃物</w:t>
      </w:r>
      <w:r>
        <w:rPr>
          <w:rFonts w:hint="default" w:ascii="Times New Roman" w:hAnsi="Times New Roman" w:eastAsia="宋体" w:cs="Times New Roman"/>
          <w:color w:val="auto"/>
          <w:sz w:val="24"/>
          <w:szCs w:val="24"/>
          <w:lang w:eastAsia="zh-CN"/>
        </w:rPr>
        <w:t>主要为</w:t>
      </w:r>
      <w:r>
        <w:rPr>
          <w:rFonts w:hint="default" w:ascii="Times New Roman" w:hAnsi="Times New Roman" w:eastAsia="宋体" w:cs="Times New Roman"/>
          <w:color w:val="auto"/>
          <w:sz w:val="24"/>
          <w:szCs w:val="24"/>
        </w:rPr>
        <w:t>废机油</w:t>
      </w:r>
      <w:r>
        <w:rPr>
          <w:rFonts w:hint="default" w:ascii="Times New Roman" w:hAnsi="Times New Roman" w:eastAsia="宋体" w:cs="Times New Roman"/>
          <w:color w:val="auto"/>
          <w:sz w:val="24"/>
          <w:szCs w:val="24"/>
          <w:lang w:eastAsia="zh-CN"/>
        </w:rPr>
        <w:t>。</w:t>
      </w:r>
    </w:p>
    <w:p w14:paraId="684F5CB1">
      <w:pPr>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（1）一般固体废弃物</w:t>
      </w:r>
    </w:p>
    <w:p w14:paraId="7A73D8CD">
      <w:pPr>
        <w:spacing w:line="360" w:lineRule="auto"/>
        <w:ind w:firstLine="480" w:firstLineChars="200"/>
        <w:jc w:val="left"/>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①</w:t>
      </w:r>
      <w:r>
        <w:rPr>
          <w:rFonts w:hint="default" w:ascii="Times New Roman" w:hAnsi="Times New Roman" w:eastAsia="宋体" w:cs="Times New Roman"/>
          <w:b/>
          <w:bCs/>
          <w:color w:val="auto"/>
          <w:sz w:val="24"/>
          <w:szCs w:val="24"/>
          <w:lang w:eastAsia="zh-CN"/>
        </w:rPr>
        <w:t>边角料及残次品</w:t>
      </w:r>
    </w:p>
    <w:p w14:paraId="27C74BD6">
      <w:pPr>
        <w:spacing w:line="360" w:lineRule="auto"/>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服装制造</w:t>
      </w:r>
      <w:r>
        <w:rPr>
          <w:rFonts w:hint="default" w:ascii="Times New Roman" w:hAnsi="Times New Roman" w:eastAsia="宋体" w:cs="Times New Roman"/>
          <w:bCs/>
          <w:color w:val="auto"/>
          <w:sz w:val="24"/>
          <w:szCs w:val="24"/>
        </w:rPr>
        <w:t>过程中会产生边角废料和少量的不合格产品，</w:t>
      </w:r>
      <w:r>
        <w:rPr>
          <w:rFonts w:hint="default" w:ascii="Times New Roman" w:hAnsi="Times New Roman" w:eastAsia="宋体" w:cs="Times New Roman"/>
          <w:bCs/>
          <w:color w:val="auto"/>
          <w:sz w:val="24"/>
          <w:szCs w:val="24"/>
          <w:lang w:eastAsia="zh-CN"/>
        </w:rPr>
        <w:t>根据业主提供资料，</w:t>
      </w:r>
      <w:r>
        <w:rPr>
          <w:rFonts w:hint="default" w:ascii="Times New Roman" w:hAnsi="Times New Roman" w:eastAsia="宋体" w:cs="Times New Roman"/>
          <w:bCs/>
          <w:color w:val="auto"/>
          <w:sz w:val="24"/>
          <w:szCs w:val="24"/>
        </w:rPr>
        <w:t>残次品及边角料的产</w:t>
      </w:r>
      <w:r>
        <w:rPr>
          <w:rFonts w:hint="default" w:ascii="Times New Roman" w:hAnsi="Times New Roman" w:eastAsia="宋体" w:cs="Times New Roman"/>
          <w:bCs/>
          <w:color w:val="auto"/>
          <w:sz w:val="24"/>
          <w:szCs w:val="24"/>
          <w:lang w:eastAsia="zh-CN"/>
        </w:rPr>
        <w:t>生</w:t>
      </w:r>
      <w:r>
        <w:rPr>
          <w:rFonts w:hint="default" w:ascii="Times New Roman" w:hAnsi="Times New Roman" w:eastAsia="宋体" w:cs="Times New Roman"/>
          <w:bCs/>
          <w:color w:val="auto"/>
          <w:sz w:val="24"/>
          <w:szCs w:val="24"/>
        </w:rPr>
        <w:t>量为</w:t>
      </w:r>
      <w:r>
        <w:rPr>
          <w:rFonts w:hint="default" w:ascii="Times New Roman" w:hAnsi="Times New Roman" w:eastAsia="宋体" w:cs="Times New Roman"/>
          <w:bCs/>
          <w:color w:val="auto"/>
          <w:sz w:val="24"/>
          <w:szCs w:val="24"/>
          <w:lang w:val="en-US" w:eastAsia="zh-CN"/>
        </w:rPr>
        <w:t>1.8</w:t>
      </w:r>
      <w:r>
        <w:rPr>
          <w:rFonts w:hint="default" w:ascii="Times New Roman" w:hAnsi="Times New Roman" w:eastAsia="宋体" w:cs="Times New Roman"/>
          <w:bCs/>
          <w:color w:val="auto"/>
          <w:sz w:val="24"/>
          <w:szCs w:val="24"/>
        </w:rPr>
        <w:t>t</w:t>
      </w:r>
      <w:r>
        <w:rPr>
          <w:rFonts w:hint="eastAsia" w:ascii="Times New Roman" w:hAnsi="Times New Roman" w:cs="Times New Roman"/>
          <w:bCs/>
          <w:color w:val="auto"/>
          <w:sz w:val="24"/>
          <w:szCs w:val="24"/>
          <w:lang w:val="en-US" w:eastAsia="zh-CN"/>
        </w:rPr>
        <w:t>/a</w:t>
      </w:r>
      <w:r>
        <w:rPr>
          <w:rFonts w:hint="default" w:ascii="Times New Roman" w:hAnsi="Times New Roman" w:eastAsia="宋体" w:cs="Times New Roman"/>
          <w:bCs/>
          <w:color w:val="auto"/>
          <w:sz w:val="24"/>
          <w:szCs w:val="24"/>
        </w:rPr>
        <w:t>，属于一般固体废物，项目产生的边角料经收集后委托环卫部门清运处置</w:t>
      </w:r>
      <w:r>
        <w:rPr>
          <w:rFonts w:hint="default" w:ascii="Times New Roman" w:hAnsi="Times New Roman" w:eastAsia="宋体" w:cs="Times New Roman"/>
          <w:color w:val="auto"/>
          <w:sz w:val="24"/>
          <w:szCs w:val="24"/>
        </w:rPr>
        <w:t>。</w:t>
      </w:r>
    </w:p>
    <w:p w14:paraId="78099DE8">
      <w:pPr>
        <w:spacing w:line="360" w:lineRule="auto"/>
        <w:ind w:firstLine="480" w:firstLineChars="200"/>
        <w:jc w:val="left"/>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szCs w:val="24"/>
          <w:lang w:eastAsia="zh-CN"/>
        </w:rPr>
        <w:t>②废包装材料</w:t>
      </w:r>
    </w:p>
    <w:p w14:paraId="00CC5357">
      <w:pPr>
        <w:adjustRightInd w:val="0"/>
        <w:snapToGrid w:val="0"/>
        <w:spacing w:line="360" w:lineRule="auto"/>
        <w:ind w:firstLine="480"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Cs/>
          <w:color w:val="auto"/>
          <w:kern w:val="0"/>
          <w:sz w:val="24"/>
          <w:szCs w:val="20"/>
          <w:lang w:val="en-US" w:eastAsia="zh-CN" w:bidi="ar-SA"/>
        </w:rPr>
        <w:t>废包装材料主要为原料拆包包装材料和废的成品包装材料，</w:t>
      </w:r>
      <w:r>
        <w:rPr>
          <w:rFonts w:hint="default" w:ascii="Times New Roman" w:hAnsi="Times New Roman" w:eastAsia="宋体" w:cs="Times New Roman"/>
          <w:bCs/>
          <w:color w:val="auto"/>
          <w:sz w:val="24"/>
          <w:szCs w:val="24"/>
          <w:lang w:eastAsia="zh-CN"/>
        </w:rPr>
        <w:t>根据业主提供资料，</w:t>
      </w:r>
      <w:r>
        <w:rPr>
          <w:rFonts w:hint="default" w:ascii="Times New Roman" w:hAnsi="Times New Roman" w:eastAsia="宋体" w:cs="Times New Roman"/>
          <w:bCs/>
          <w:color w:val="auto"/>
          <w:kern w:val="0"/>
          <w:sz w:val="24"/>
          <w:szCs w:val="20"/>
          <w:lang w:val="en-US" w:eastAsia="zh-CN" w:bidi="ar-SA"/>
        </w:rPr>
        <w:t>项目包装过程产生的废包装材料约为1.2t/a，项目产生的废包装材料经收集后外售</w:t>
      </w:r>
      <w:r>
        <w:rPr>
          <w:rFonts w:hint="default" w:ascii="Times New Roman" w:hAnsi="Times New Roman" w:eastAsia="宋体" w:cs="Times New Roman"/>
          <w:color w:val="auto"/>
          <w:kern w:val="0"/>
          <w:sz w:val="24"/>
          <w:szCs w:val="20"/>
          <w:lang w:val="en-US" w:eastAsia="zh-CN" w:bidi="ar-SA"/>
        </w:rPr>
        <w:t>。</w:t>
      </w:r>
    </w:p>
    <w:p w14:paraId="38381339">
      <w:pPr>
        <w:adjustRightInd w:val="0"/>
        <w:snapToGrid w:val="0"/>
        <w:spacing w:line="360" w:lineRule="auto"/>
        <w:ind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③</w:t>
      </w:r>
      <w:r>
        <w:rPr>
          <w:rFonts w:hint="default" w:ascii="Times New Roman" w:hAnsi="Times New Roman" w:eastAsia="宋体" w:cs="Times New Roman"/>
          <w:b/>
          <w:bCs/>
          <w:color w:val="auto"/>
          <w:sz w:val="24"/>
          <w:szCs w:val="24"/>
        </w:rPr>
        <w:t>生活垃圾</w:t>
      </w:r>
    </w:p>
    <w:p w14:paraId="2DA1A155">
      <w:pPr>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现有</w:t>
      </w:r>
      <w:r>
        <w:rPr>
          <w:rFonts w:hint="default" w:ascii="Times New Roman" w:hAnsi="Times New Roman" w:eastAsia="宋体" w:cs="Times New Roman"/>
          <w:color w:val="auto"/>
          <w:sz w:val="24"/>
          <w:szCs w:val="24"/>
        </w:rPr>
        <w:t>项目劳动定员为</w:t>
      </w:r>
      <w:r>
        <w:rPr>
          <w:rFonts w:hint="default" w:ascii="Times New Roman" w:hAnsi="Times New Roman" w:eastAsia="宋体" w:cs="Times New Roman"/>
          <w:color w:val="auto"/>
          <w:sz w:val="24"/>
          <w:szCs w:val="24"/>
          <w:lang w:val="en-US" w:eastAsia="zh-CN"/>
        </w:rPr>
        <w:t>580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eastAsia="zh-CN"/>
        </w:rPr>
        <w:t>均不在项目内住宿，在项目食堂用餐</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lang w:eastAsia="zh-CN"/>
        </w:rPr>
        <w:t>根据业主提供资料，</w:t>
      </w:r>
      <w:r>
        <w:rPr>
          <w:rFonts w:hint="default" w:ascii="Times New Roman" w:hAnsi="Times New Roman" w:eastAsia="宋体" w:cs="Times New Roman"/>
          <w:color w:val="auto"/>
          <w:sz w:val="24"/>
          <w:szCs w:val="24"/>
        </w:rPr>
        <w:t>项目员工生活垃圾产生量为</w:t>
      </w:r>
      <w:r>
        <w:rPr>
          <w:rFonts w:hint="default" w:ascii="Times New Roman" w:hAnsi="Times New Roman" w:eastAsia="宋体" w:cs="Times New Roman"/>
          <w:color w:val="auto"/>
          <w:sz w:val="24"/>
          <w:szCs w:val="24"/>
          <w:lang w:val="en-US" w:eastAsia="zh-CN"/>
        </w:rPr>
        <w:t>290</w:t>
      </w:r>
      <w:r>
        <w:rPr>
          <w:rFonts w:hint="default" w:ascii="Times New Roman" w:hAnsi="Times New Roman" w:eastAsia="宋体" w:cs="Times New Roman"/>
          <w:color w:val="auto"/>
          <w:sz w:val="24"/>
          <w:szCs w:val="24"/>
        </w:rPr>
        <w:t>kg/d，</w:t>
      </w:r>
      <w:r>
        <w:rPr>
          <w:rFonts w:hint="default"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t/a，</w:t>
      </w:r>
      <w:r>
        <w:rPr>
          <w:rFonts w:hint="default" w:ascii="Times New Roman" w:hAnsi="Times New Roman" w:eastAsia="宋体" w:cs="Times New Roman"/>
          <w:b w:val="0"/>
          <w:bCs w:val="0"/>
          <w:color w:val="auto"/>
          <w:sz w:val="24"/>
          <w:szCs w:val="24"/>
        </w:rPr>
        <w:t>收集后</w:t>
      </w:r>
      <w:r>
        <w:rPr>
          <w:rFonts w:hint="default" w:ascii="Times New Roman" w:hAnsi="Times New Roman" w:eastAsia="宋体" w:cs="Times New Roman"/>
          <w:color w:val="auto"/>
          <w:sz w:val="24"/>
          <w:szCs w:val="24"/>
        </w:rPr>
        <w:t>委托环卫部门清运处置</w:t>
      </w:r>
      <w:r>
        <w:rPr>
          <w:rFonts w:hint="default" w:ascii="Times New Roman" w:hAnsi="Times New Roman" w:eastAsia="宋体" w:cs="Times New Roman"/>
          <w:color w:val="auto"/>
          <w:sz w:val="24"/>
          <w:szCs w:val="24"/>
          <w:lang w:eastAsia="zh-CN"/>
        </w:rPr>
        <w:t>。</w:t>
      </w:r>
    </w:p>
    <w:p w14:paraId="7EAD453E">
      <w:pPr>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④</w:t>
      </w:r>
      <w:r>
        <w:rPr>
          <w:rFonts w:hint="default" w:ascii="Times New Roman" w:hAnsi="Times New Roman" w:eastAsia="宋体" w:cs="Times New Roman"/>
          <w:b/>
          <w:bCs/>
          <w:color w:val="auto"/>
          <w:sz w:val="24"/>
          <w:szCs w:val="24"/>
        </w:rPr>
        <w:t>食堂泔水及废油</w:t>
      </w:r>
    </w:p>
    <w:p w14:paraId="202A2774">
      <w:pPr>
        <w:spacing w:line="360" w:lineRule="auto"/>
        <w:ind w:firstLine="480" w:firstLineChars="200"/>
        <w:jc w:val="left"/>
        <w:rPr>
          <w:rFonts w:hint="default" w:ascii="Times New Roman" w:hAnsi="Times New Roman" w:eastAsia="宋体" w:cs="Times New Roman"/>
          <w:b/>
          <w:bCs/>
          <w:color w:val="auto"/>
          <w:sz w:val="24"/>
          <w:szCs w:val="24"/>
        </w:rPr>
      </w:pPr>
      <w:r>
        <w:rPr>
          <w:rFonts w:hint="eastAsia" w:ascii="Times New Roman" w:hAnsi="Times New Roman" w:cs="Times New Roman"/>
          <w:color w:val="auto"/>
          <w:sz w:val="24"/>
          <w:szCs w:val="24"/>
          <w:lang w:eastAsia="zh-CN"/>
        </w:rPr>
        <w:t>现有</w:t>
      </w:r>
      <w:r>
        <w:rPr>
          <w:rFonts w:hint="default" w:ascii="Times New Roman" w:hAnsi="Times New Roman" w:eastAsia="宋体" w:cs="Times New Roman"/>
          <w:color w:val="auto"/>
          <w:sz w:val="24"/>
          <w:szCs w:val="24"/>
        </w:rPr>
        <w:t>项目食堂就餐人员共</w:t>
      </w:r>
      <w:r>
        <w:rPr>
          <w:rFonts w:hint="default" w:ascii="Times New Roman" w:hAnsi="Times New Roman" w:eastAsia="宋体" w:cs="Times New Roman"/>
          <w:color w:val="auto"/>
          <w:sz w:val="24"/>
          <w:szCs w:val="24"/>
          <w:lang w:val="en-US" w:eastAsia="zh-CN"/>
        </w:rPr>
        <w:t>580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bCs/>
          <w:color w:val="auto"/>
          <w:sz w:val="24"/>
          <w:szCs w:val="24"/>
          <w:lang w:eastAsia="zh-CN"/>
        </w:rPr>
        <w:t>根据业主提供资料，</w:t>
      </w:r>
      <w:r>
        <w:rPr>
          <w:rFonts w:hint="default" w:ascii="Times New Roman" w:hAnsi="Times New Roman" w:eastAsia="宋体" w:cs="Times New Roman"/>
          <w:color w:val="auto"/>
          <w:sz w:val="24"/>
          <w:szCs w:val="24"/>
        </w:rPr>
        <w:t>项目食宿人员产生的食堂泔水量约为</w:t>
      </w:r>
      <w:r>
        <w:rPr>
          <w:rFonts w:hint="default" w:ascii="Times New Roman" w:hAnsi="Times New Roman" w:eastAsia="宋体" w:cs="Times New Roman"/>
          <w:color w:val="auto"/>
          <w:sz w:val="24"/>
          <w:szCs w:val="24"/>
          <w:lang w:val="en-US" w:eastAsia="zh-CN"/>
        </w:rPr>
        <w:t>290</w:t>
      </w:r>
      <w:r>
        <w:rPr>
          <w:rFonts w:hint="default" w:ascii="Times New Roman" w:hAnsi="Times New Roman" w:eastAsia="宋体" w:cs="Times New Roman"/>
          <w:color w:val="auto"/>
          <w:sz w:val="24"/>
          <w:szCs w:val="24"/>
        </w:rPr>
        <w:t>kg/d，</w:t>
      </w:r>
      <w:r>
        <w:rPr>
          <w:rFonts w:hint="default"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t/a。隔油池产生的废油约0.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该部分废物总量共为：</w:t>
      </w:r>
      <w:r>
        <w:rPr>
          <w:rFonts w:hint="default" w:ascii="Times New Roman" w:hAnsi="Times New Roman" w:eastAsia="宋体" w:cs="Times New Roman"/>
          <w:color w:val="auto"/>
          <w:sz w:val="24"/>
          <w:szCs w:val="24"/>
          <w:lang w:val="en-US" w:eastAsia="zh-CN"/>
        </w:rPr>
        <w:t>87.1t/a。</w:t>
      </w:r>
      <w:r>
        <w:rPr>
          <w:rFonts w:hint="default" w:ascii="Times New Roman" w:hAnsi="Times New Roman" w:eastAsia="宋体" w:cs="Times New Roman"/>
          <w:color w:val="auto"/>
          <w:sz w:val="24"/>
          <w:szCs w:val="24"/>
        </w:rPr>
        <w:t>项目食堂泔水和废油用塑料桶</w:t>
      </w:r>
      <w:r>
        <w:rPr>
          <w:rFonts w:hint="default" w:ascii="Times New Roman" w:hAnsi="Times New Roman" w:eastAsia="宋体" w:cs="Times New Roman"/>
          <w:color w:val="auto"/>
          <w:sz w:val="24"/>
          <w:szCs w:val="24"/>
          <w:lang w:eastAsia="zh-CN"/>
        </w:rPr>
        <w:t>单独</w:t>
      </w:r>
      <w:r>
        <w:rPr>
          <w:rFonts w:hint="default" w:ascii="Times New Roman" w:hAnsi="Times New Roman" w:eastAsia="宋体" w:cs="Times New Roman"/>
          <w:color w:val="auto"/>
          <w:sz w:val="24"/>
          <w:szCs w:val="24"/>
        </w:rPr>
        <w:t>收集后，委托</w:t>
      </w:r>
      <w:r>
        <w:rPr>
          <w:rFonts w:hint="default" w:ascii="Times New Roman" w:hAnsi="Times New Roman" w:eastAsia="宋体" w:cs="Times New Roman"/>
          <w:color w:val="auto"/>
          <w:sz w:val="24"/>
          <w:szCs w:val="24"/>
          <w:lang w:eastAsia="zh-CN"/>
        </w:rPr>
        <w:t>环卫部门</w:t>
      </w:r>
      <w:r>
        <w:rPr>
          <w:rFonts w:hint="default" w:ascii="Times New Roman" w:hAnsi="Times New Roman" w:eastAsia="宋体" w:cs="Times New Roman"/>
          <w:color w:val="auto"/>
          <w:sz w:val="24"/>
          <w:szCs w:val="24"/>
        </w:rPr>
        <w:t>进行处理。</w:t>
      </w:r>
    </w:p>
    <w:p w14:paraId="4CA5BA82">
      <w:pPr>
        <w:adjustRightInd w:val="0"/>
        <w:snapToGrid w:val="0"/>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（2）危险废弃物</w:t>
      </w:r>
    </w:p>
    <w:p w14:paraId="4EF06B7D">
      <w:pPr>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①废机油</w:t>
      </w:r>
    </w:p>
    <w:p w14:paraId="7E20A202">
      <w:pPr>
        <w:spacing w:line="360" w:lineRule="auto"/>
        <w:ind w:firstLine="480" w:firstLineChars="200"/>
        <w:jc w:val="left"/>
        <w:rPr>
          <w:rFonts w:hint="default" w:ascii="Times New Roman" w:hAnsi="Times New Roman" w:eastAsia="宋体" w:cs="Times New Roman"/>
          <w:bCs/>
          <w:color w:val="auto"/>
          <w:sz w:val="24"/>
          <w:szCs w:val="24"/>
        </w:rPr>
      </w:pPr>
      <w:r>
        <w:rPr>
          <w:rFonts w:hint="eastAsia" w:ascii="Times New Roman" w:hAnsi="Times New Roman" w:cs="Times New Roman"/>
          <w:bCs/>
          <w:color w:val="auto"/>
          <w:sz w:val="24"/>
          <w:szCs w:val="24"/>
          <w:lang w:eastAsia="zh-CN"/>
        </w:rPr>
        <w:t>现有</w:t>
      </w:r>
      <w:r>
        <w:rPr>
          <w:rFonts w:hint="default" w:ascii="Times New Roman" w:hAnsi="Times New Roman" w:eastAsia="宋体" w:cs="Times New Roman"/>
          <w:bCs/>
          <w:color w:val="auto"/>
          <w:sz w:val="24"/>
          <w:szCs w:val="24"/>
        </w:rPr>
        <w:t>项目机械设备在维护、保养过程中，会产生少量废机油。根据《国家危险废物名录》（</w:t>
      </w:r>
      <w:r>
        <w:rPr>
          <w:rFonts w:hint="eastAsia" w:ascii="Times New Roman" w:hAnsi="Times New Roman" w:cs="Times New Roman"/>
          <w:bCs/>
          <w:color w:val="auto"/>
          <w:sz w:val="24"/>
          <w:szCs w:val="24"/>
          <w:lang w:eastAsia="zh-CN"/>
        </w:rPr>
        <w:t>生态环境局部</w:t>
      </w:r>
      <w:r>
        <w:rPr>
          <w:rFonts w:hint="default" w:ascii="Times New Roman" w:hAnsi="Times New Roman" w:eastAsia="宋体" w:cs="Times New Roman"/>
          <w:bCs/>
          <w:color w:val="auto"/>
          <w:sz w:val="24"/>
          <w:szCs w:val="24"/>
        </w:rPr>
        <w:t>令第39号，自2016年8月1日起实施），废机油因具有毒性、易燃性，属于危险废物（HW08废矿物油与含矿物油废物），废物代码为900-249-08，该部分危废产生量较少，约0.0</w:t>
      </w:r>
      <w:r>
        <w:rPr>
          <w:rFonts w:hint="default"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rPr>
        <w:t>t/a，统一收集后存贮在密闭的收集</w:t>
      </w:r>
      <w:r>
        <w:rPr>
          <w:rFonts w:hint="default" w:ascii="Times New Roman" w:hAnsi="Times New Roman" w:eastAsia="宋体" w:cs="Times New Roman"/>
          <w:bCs/>
          <w:color w:val="auto"/>
          <w:sz w:val="24"/>
          <w:szCs w:val="24"/>
          <w:lang w:eastAsia="zh-CN"/>
        </w:rPr>
        <w:t>容器</w:t>
      </w:r>
      <w:r>
        <w:rPr>
          <w:rFonts w:hint="default" w:ascii="Times New Roman" w:hAnsi="Times New Roman" w:eastAsia="宋体" w:cs="Times New Roman"/>
          <w:bCs/>
          <w:color w:val="auto"/>
          <w:sz w:val="24"/>
          <w:szCs w:val="24"/>
        </w:rPr>
        <w:t>中，暂存于危险废物暂存间</w:t>
      </w:r>
      <w:r>
        <w:rPr>
          <w:rFonts w:hint="default" w:ascii="Times New Roman" w:hAnsi="Times New Roman" w:eastAsia="宋体" w:cs="Times New Roman"/>
          <w:bCs/>
          <w:color w:val="auto"/>
          <w:sz w:val="24"/>
          <w:szCs w:val="24"/>
          <w:lang w:eastAsia="zh-CN"/>
        </w:rPr>
        <w:t>内</w:t>
      </w:r>
      <w:r>
        <w:rPr>
          <w:rFonts w:hint="default" w:ascii="Times New Roman" w:hAnsi="Times New Roman" w:eastAsia="宋体" w:cs="Times New Roman"/>
          <w:bCs/>
          <w:color w:val="auto"/>
          <w:sz w:val="24"/>
          <w:szCs w:val="24"/>
        </w:rPr>
        <w:t>，定期</w:t>
      </w:r>
      <w:r>
        <w:rPr>
          <w:rFonts w:hint="default" w:ascii="Times New Roman" w:hAnsi="Times New Roman" w:eastAsia="宋体" w:cs="Times New Roman"/>
          <w:bCs/>
          <w:color w:val="auto"/>
          <w:sz w:val="24"/>
          <w:szCs w:val="24"/>
          <w:lang w:eastAsia="zh-CN"/>
        </w:rPr>
        <w:t>委托</w:t>
      </w:r>
      <w:r>
        <w:rPr>
          <w:rFonts w:hint="default" w:ascii="Times New Roman" w:hAnsi="Times New Roman" w:eastAsia="宋体" w:cs="Times New Roman"/>
          <w:bCs/>
          <w:color w:val="auto"/>
          <w:sz w:val="24"/>
          <w:szCs w:val="24"/>
        </w:rPr>
        <w:t>有资质的单位处理处置。</w:t>
      </w:r>
    </w:p>
    <w:p w14:paraId="7BB175D5">
      <w:pPr>
        <w:spacing w:line="360" w:lineRule="auto"/>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项目内固体废弃物产生及处理情况详见下表。</w:t>
      </w:r>
    </w:p>
    <w:p w14:paraId="0C36AC96">
      <w:pPr>
        <w:pStyle w:val="12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eastAsia" w:ascii="Times New Roman" w:hAnsi="Times New Roman" w:cs="Times New Roman"/>
          <w:color w:val="auto"/>
          <w:lang w:val="en-US" w:eastAsia="zh-CN"/>
        </w:rPr>
        <w:t>2.8-6</w:t>
      </w:r>
      <w:r>
        <w:rPr>
          <w:rFonts w:hint="default" w:ascii="Times New Roman" w:hAnsi="Times New Roman" w:eastAsia="宋体" w:cs="Times New Roman"/>
          <w:color w:val="auto"/>
          <w:lang w:val="en-US" w:eastAsia="zh-CN"/>
        </w:rPr>
        <w:t xml:space="preserve">  </w:t>
      </w:r>
      <w:r>
        <w:rPr>
          <w:rFonts w:hint="eastAsia" w:ascii="Times New Roman" w:hAnsi="Times New Roman" w:cs="Times New Roman"/>
          <w:color w:val="auto"/>
          <w:lang w:val="en-US" w:eastAsia="zh-CN"/>
        </w:rPr>
        <w:t>现有项目</w:t>
      </w:r>
      <w:r>
        <w:rPr>
          <w:rFonts w:hint="default" w:ascii="Times New Roman" w:hAnsi="Times New Roman" w:eastAsia="宋体" w:cs="Times New Roman"/>
          <w:color w:val="auto"/>
          <w:lang w:val="en-US" w:eastAsia="zh-CN"/>
        </w:rPr>
        <w:t>固体废弃物产生及处理情况</w:t>
      </w:r>
    </w:p>
    <w:tbl>
      <w:tblPr>
        <w:tblStyle w:val="66"/>
        <w:tblpPr w:leftFromText="180" w:rightFromText="180" w:vertAnchor="text" w:horzAnchor="page" w:tblpX="1675" w:tblpY="419"/>
        <w:tblOverlap w:val="never"/>
        <w:tblW w:w="8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477"/>
        <w:gridCol w:w="1035"/>
        <w:gridCol w:w="780"/>
        <w:gridCol w:w="1905"/>
        <w:gridCol w:w="3151"/>
      </w:tblGrid>
      <w:tr w14:paraId="4E0D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3B3A067D">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477" w:type="dxa"/>
            <w:noWrap w:val="0"/>
            <w:vAlign w:val="center"/>
          </w:tcPr>
          <w:p w14:paraId="122865F7">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035" w:type="dxa"/>
            <w:noWrap w:val="0"/>
            <w:vAlign w:val="center"/>
          </w:tcPr>
          <w:p w14:paraId="4F616D7E">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14:paraId="3D8DAAB2">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780" w:type="dxa"/>
            <w:noWrap w:val="0"/>
            <w:vAlign w:val="center"/>
          </w:tcPr>
          <w:p w14:paraId="2288DAC4">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属性</w:t>
            </w:r>
          </w:p>
        </w:tc>
        <w:tc>
          <w:tcPr>
            <w:tcW w:w="1905" w:type="dxa"/>
            <w:noWrap w:val="0"/>
            <w:vAlign w:val="center"/>
          </w:tcPr>
          <w:p w14:paraId="2683FEF8">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《国家危险废物名录》废物代码</w:t>
            </w:r>
          </w:p>
        </w:tc>
        <w:tc>
          <w:tcPr>
            <w:tcW w:w="3151" w:type="dxa"/>
            <w:noWrap w:val="0"/>
            <w:vAlign w:val="center"/>
          </w:tcPr>
          <w:p w14:paraId="2D1369E9">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处理去向</w:t>
            </w:r>
          </w:p>
        </w:tc>
      </w:tr>
      <w:tr w14:paraId="1188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6D300597">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77" w:type="dxa"/>
            <w:noWrap w:val="0"/>
            <w:vAlign w:val="center"/>
          </w:tcPr>
          <w:p w14:paraId="46F32F60">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边角料及残次品</w:t>
            </w:r>
          </w:p>
        </w:tc>
        <w:tc>
          <w:tcPr>
            <w:tcW w:w="1035" w:type="dxa"/>
            <w:noWrap w:val="0"/>
            <w:vAlign w:val="center"/>
          </w:tcPr>
          <w:p w14:paraId="3E8D1944">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780" w:type="dxa"/>
            <w:vMerge w:val="restart"/>
            <w:noWrap w:val="0"/>
            <w:vAlign w:val="center"/>
          </w:tcPr>
          <w:p w14:paraId="49740807">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1905" w:type="dxa"/>
            <w:noWrap w:val="0"/>
            <w:vAlign w:val="center"/>
          </w:tcPr>
          <w:p w14:paraId="505EACF3">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51" w:type="dxa"/>
            <w:noWrap w:val="0"/>
            <w:vAlign w:val="center"/>
          </w:tcPr>
          <w:p w14:paraId="6DBB47EF">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收集后委托环卫部门清运处置。</w:t>
            </w:r>
          </w:p>
        </w:tc>
      </w:tr>
      <w:tr w14:paraId="3EF5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31044A12">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77" w:type="dxa"/>
            <w:noWrap w:val="0"/>
            <w:vAlign w:val="center"/>
          </w:tcPr>
          <w:p w14:paraId="5FF3C182">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废包装材料</w:t>
            </w:r>
          </w:p>
        </w:tc>
        <w:tc>
          <w:tcPr>
            <w:tcW w:w="1035" w:type="dxa"/>
            <w:noWrap w:val="0"/>
            <w:vAlign w:val="center"/>
          </w:tcPr>
          <w:p w14:paraId="35157C76">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780" w:type="dxa"/>
            <w:vMerge w:val="continue"/>
            <w:noWrap w:val="0"/>
            <w:vAlign w:val="center"/>
          </w:tcPr>
          <w:p w14:paraId="48D6876D">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05" w:type="dxa"/>
            <w:noWrap w:val="0"/>
            <w:vAlign w:val="center"/>
          </w:tcPr>
          <w:p w14:paraId="620E1D7E">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51" w:type="dxa"/>
            <w:noWrap w:val="0"/>
            <w:vAlign w:val="center"/>
          </w:tcPr>
          <w:p w14:paraId="2D8769F9">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外售</w:t>
            </w:r>
          </w:p>
        </w:tc>
      </w:tr>
      <w:tr w14:paraId="1134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70281259">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77" w:type="dxa"/>
            <w:noWrap w:val="0"/>
            <w:vAlign w:val="center"/>
          </w:tcPr>
          <w:p w14:paraId="6490866B">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1035" w:type="dxa"/>
            <w:noWrap w:val="0"/>
            <w:vAlign w:val="center"/>
          </w:tcPr>
          <w:p w14:paraId="3C7BCCA1">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w:t>
            </w:r>
          </w:p>
        </w:tc>
        <w:tc>
          <w:tcPr>
            <w:tcW w:w="780" w:type="dxa"/>
            <w:vMerge w:val="continue"/>
            <w:noWrap w:val="0"/>
            <w:vAlign w:val="center"/>
          </w:tcPr>
          <w:p w14:paraId="00583D52">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05" w:type="dxa"/>
            <w:noWrap w:val="0"/>
            <w:vAlign w:val="center"/>
          </w:tcPr>
          <w:p w14:paraId="567F503F">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151" w:type="dxa"/>
            <w:noWrap w:val="0"/>
            <w:vAlign w:val="center"/>
          </w:tcPr>
          <w:p w14:paraId="02C2122D">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收集后委托环卫部门清运处置。</w:t>
            </w:r>
          </w:p>
        </w:tc>
      </w:tr>
      <w:tr w14:paraId="222A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94" w:type="dxa"/>
            <w:noWrap w:val="0"/>
            <w:vAlign w:val="center"/>
          </w:tcPr>
          <w:p w14:paraId="65CB806D">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477" w:type="dxa"/>
            <w:noWrap w:val="0"/>
            <w:vAlign w:val="center"/>
          </w:tcPr>
          <w:p w14:paraId="5E13F39B">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食堂泔水及废油</w:t>
            </w:r>
          </w:p>
        </w:tc>
        <w:tc>
          <w:tcPr>
            <w:tcW w:w="1035" w:type="dxa"/>
            <w:noWrap w:val="0"/>
            <w:vAlign w:val="center"/>
          </w:tcPr>
          <w:p w14:paraId="1979FC02">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87.1</w:t>
            </w:r>
          </w:p>
        </w:tc>
        <w:tc>
          <w:tcPr>
            <w:tcW w:w="780" w:type="dxa"/>
            <w:vMerge w:val="continue"/>
            <w:noWrap w:val="0"/>
            <w:vAlign w:val="center"/>
          </w:tcPr>
          <w:p w14:paraId="30BE5A4D">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05" w:type="dxa"/>
            <w:noWrap w:val="0"/>
            <w:vAlign w:val="center"/>
          </w:tcPr>
          <w:p w14:paraId="42D4133A">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51" w:type="dxa"/>
            <w:noWrap w:val="0"/>
            <w:vAlign w:val="center"/>
          </w:tcPr>
          <w:p w14:paraId="09894EEF">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食堂泔水和废油用塑料桶</w:t>
            </w:r>
            <w:r>
              <w:rPr>
                <w:rFonts w:hint="default" w:ascii="Times New Roman" w:hAnsi="Times New Roman" w:eastAsia="宋体" w:cs="Times New Roman"/>
                <w:color w:val="auto"/>
                <w:sz w:val="21"/>
                <w:szCs w:val="21"/>
                <w:lang w:eastAsia="zh-CN"/>
              </w:rPr>
              <w:t>单独</w:t>
            </w:r>
            <w:r>
              <w:rPr>
                <w:rFonts w:hint="default" w:ascii="Times New Roman" w:hAnsi="Times New Roman" w:eastAsia="宋体" w:cs="Times New Roman"/>
                <w:color w:val="auto"/>
                <w:sz w:val="21"/>
                <w:szCs w:val="21"/>
              </w:rPr>
              <w:t>收集后，委托</w:t>
            </w:r>
            <w:r>
              <w:rPr>
                <w:rFonts w:hint="default" w:ascii="Times New Roman" w:hAnsi="Times New Roman" w:eastAsia="宋体" w:cs="Times New Roman"/>
                <w:color w:val="auto"/>
                <w:sz w:val="21"/>
                <w:szCs w:val="21"/>
                <w:lang w:eastAsia="zh-CN"/>
              </w:rPr>
              <w:t>环卫部门</w:t>
            </w:r>
            <w:r>
              <w:rPr>
                <w:rFonts w:hint="default" w:ascii="Times New Roman" w:hAnsi="Times New Roman" w:eastAsia="宋体" w:cs="Times New Roman"/>
                <w:color w:val="auto"/>
                <w:sz w:val="21"/>
                <w:szCs w:val="21"/>
              </w:rPr>
              <w:t>进行处理</w:t>
            </w:r>
            <w:r>
              <w:rPr>
                <w:rFonts w:hint="default" w:ascii="Times New Roman" w:hAnsi="Times New Roman" w:eastAsia="宋体" w:cs="Times New Roman"/>
                <w:color w:val="auto"/>
                <w:sz w:val="21"/>
                <w:szCs w:val="21"/>
                <w:lang w:eastAsia="zh-CN"/>
              </w:rPr>
              <w:t>。</w:t>
            </w:r>
          </w:p>
        </w:tc>
      </w:tr>
      <w:tr w14:paraId="61493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dxa"/>
            <w:noWrap w:val="0"/>
            <w:vAlign w:val="center"/>
          </w:tcPr>
          <w:p w14:paraId="72A84C2E">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477" w:type="dxa"/>
            <w:noWrap w:val="0"/>
            <w:vAlign w:val="center"/>
          </w:tcPr>
          <w:p w14:paraId="78BBE2A6">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1035" w:type="dxa"/>
            <w:noWrap w:val="0"/>
            <w:vAlign w:val="center"/>
          </w:tcPr>
          <w:p w14:paraId="63280B5C">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780" w:type="dxa"/>
            <w:noWrap w:val="0"/>
            <w:vAlign w:val="center"/>
          </w:tcPr>
          <w:p w14:paraId="4D7228A8">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905" w:type="dxa"/>
            <w:noWrap w:val="0"/>
            <w:vAlign w:val="center"/>
          </w:tcPr>
          <w:p w14:paraId="7B462EF3">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900-249-08</w:t>
            </w:r>
          </w:p>
        </w:tc>
        <w:tc>
          <w:tcPr>
            <w:tcW w:w="3151" w:type="dxa"/>
            <w:noWrap w:val="0"/>
            <w:vAlign w:val="center"/>
          </w:tcPr>
          <w:p w14:paraId="27C49643">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委托</w:t>
            </w:r>
            <w:r>
              <w:rPr>
                <w:rFonts w:hint="default" w:ascii="Times New Roman" w:hAnsi="Times New Roman" w:eastAsia="宋体" w:cs="Times New Roman"/>
                <w:color w:val="auto"/>
                <w:sz w:val="21"/>
                <w:szCs w:val="21"/>
              </w:rPr>
              <w:t>有资质的单位回收处置。</w:t>
            </w:r>
          </w:p>
        </w:tc>
      </w:tr>
      <w:tr w14:paraId="6FBD1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6700F244">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477" w:type="dxa"/>
            <w:noWrap w:val="0"/>
            <w:vAlign w:val="center"/>
          </w:tcPr>
          <w:p w14:paraId="4FA556BA">
            <w:pPr>
              <w:autoSpaceDE w:val="0"/>
              <w:autoSpaceDN w:val="0"/>
              <w:adjustRightInd w:val="0"/>
              <w:spacing w:line="240" w:lineRule="auto"/>
              <w:jc w:val="center"/>
              <w:rPr>
                <w:rFonts w:hint="default" w:ascii="Times New Roman" w:hAnsi="Times New Roman" w:eastAsia="宋体" w:cs="Times New Roman"/>
                <w:b/>
                <w:bCs/>
                <w:color w:val="auto"/>
                <w:sz w:val="21"/>
                <w:szCs w:val="24"/>
                <w:lang w:eastAsia="zh-CN"/>
              </w:rPr>
            </w:pPr>
            <w:r>
              <w:rPr>
                <w:rFonts w:hint="default" w:ascii="Times New Roman" w:hAnsi="Times New Roman" w:eastAsia="宋体" w:cs="Times New Roman"/>
                <w:b/>
                <w:bCs/>
                <w:color w:val="auto"/>
                <w:sz w:val="21"/>
                <w:szCs w:val="24"/>
                <w:lang w:eastAsia="zh-CN"/>
              </w:rPr>
              <w:t>合计</w:t>
            </w:r>
          </w:p>
        </w:tc>
        <w:tc>
          <w:tcPr>
            <w:tcW w:w="1035" w:type="dxa"/>
            <w:noWrap w:val="0"/>
            <w:vAlign w:val="center"/>
          </w:tcPr>
          <w:p w14:paraId="3853D134">
            <w:pPr>
              <w:autoSpaceDE w:val="0"/>
              <w:autoSpaceDN w:val="0"/>
              <w:adjustRightIn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position w:val="-10"/>
                <w:sz w:val="21"/>
                <w:szCs w:val="21"/>
                <w:lang w:val="en-US" w:eastAsia="zh-CN"/>
              </w:rPr>
              <w:object>
                <v:shape id="_x0000_i1027" o:spt="75" type="#_x0000_t75" style="height:17pt;width:72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r>
              <w:rPr>
                <w:rFonts w:hint="eastAsia" w:ascii="Times New Roman" w:hAnsi="Times New Roman" w:cs="Times New Roman"/>
                <w:b/>
                <w:bCs/>
                <w:color w:val="auto"/>
                <w:position w:val="-10"/>
                <w:sz w:val="21"/>
                <w:szCs w:val="21"/>
                <w:lang w:val="en-US" w:eastAsia="zh-CN"/>
              </w:rPr>
              <w:t>177.15</w:t>
            </w:r>
          </w:p>
        </w:tc>
        <w:tc>
          <w:tcPr>
            <w:tcW w:w="780" w:type="dxa"/>
            <w:noWrap w:val="0"/>
            <w:vAlign w:val="center"/>
          </w:tcPr>
          <w:p w14:paraId="0F9C107E">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05" w:type="dxa"/>
            <w:tcBorders>
              <w:left w:val="single" w:color="000000" w:sz="4" w:space="0"/>
            </w:tcBorders>
            <w:noWrap w:val="0"/>
            <w:vAlign w:val="center"/>
          </w:tcPr>
          <w:p w14:paraId="329A630D">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51" w:type="dxa"/>
            <w:tcBorders>
              <w:left w:val="single" w:color="000000" w:sz="4" w:space="0"/>
            </w:tcBorders>
            <w:noWrap w:val="0"/>
            <w:vAlign w:val="center"/>
          </w:tcPr>
          <w:p w14:paraId="0AF62FF9">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分类收集、处置，处置率100%</w:t>
            </w:r>
          </w:p>
        </w:tc>
      </w:tr>
    </w:tbl>
    <w:p w14:paraId="2DB05550">
      <w:pPr>
        <w:adjustRightInd w:val="0"/>
        <w:snapToGrid w:val="0"/>
        <w:spacing w:beforeLines="50"/>
        <w:outlineLvl w:val="1"/>
        <w:rPr>
          <w:rFonts w:hint="default" w:ascii="Times New Roman" w:hAnsi="Times New Roman" w:eastAsia="宋体" w:cs="Times New Roman"/>
          <w:b/>
          <w:color w:val="auto"/>
          <w:sz w:val="32"/>
          <w:szCs w:val="32"/>
        </w:rPr>
      </w:pPr>
      <w:bookmarkStart w:id="211" w:name="_Toc29113"/>
      <w:r>
        <w:rPr>
          <w:rFonts w:hint="eastAsia" w:ascii="Times New Roman" w:hAnsi="Times New Roman" w:cs="Times New Roman"/>
          <w:b/>
          <w:color w:val="auto"/>
          <w:sz w:val="32"/>
          <w:szCs w:val="32"/>
          <w:lang w:val="en-US" w:eastAsia="zh-CN"/>
        </w:rPr>
        <w:t>2.9现有</w:t>
      </w:r>
      <w:r>
        <w:rPr>
          <w:rFonts w:hint="default" w:ascii="Times New Roman" w:hAnsi="Times New Roman" w:eastAsia="宋体" w:cs="Times New Roman"/>
          <w:b/>
          <w:color w:val="auto"/>
          <w:sz w:val="32"/>
          <w:szCs w:val="32"/>
        </w:rPr>
        <w:t>项目污染物排放汇总</w:t>
      </w:r>
      <w:bookmarkEnd w:id="211"/>
    </w:p>
    <w:p w14:paraId="3383B82E">
      <w:pPr>
        <w:ind w:firstLine="480" w:firstLineChars="200"/>
        <w:jc w:val="left"/>
        <w:rPr>
          <w:rFonts w:hint="default" w:ascii="Times New Roman" w:hAnsi="Times New Roman" w:eastAsia="宋体" w:cs="Times New Roman"/>
          <w:color w:val="auto"/>
        </w:rPr>
      </w:pPr>
      <w:r>
        <w:rPr>
          <w:rFonts w:hint="eastAsia" w:ascii="Times New Roman" w:hAnsi="Times New Roman" w:cs="Times New Roman"/>
          <w:color w:val="auto"/>
          <w:lang w:eastAsia="zh-CN"/>
        </w:rPr>
        <w:t>现有</w:t>
      </w:r>
      <w:r>
        <w:rPr>
          <w:rFonts w:hint="default" w:ascii="Times New Roman" w:hAnsi="Times New Roman" w:eastAsia="宋体" w:cs="Times New Roman"/>
          <w:color w:val="auto"/>
        </w:rPr>
        <w:t>项目污染物排放情况见表</w:t>
      </w:r>
      <w:r>
        <w:rPr>
          <w:rFonts w:hint="eastAsia" w:ascii="Times New Roman" w:hAnsi="Times New Roman" w:cs="Times New Roman"/>
          <w:color w:val="auto"/>
          <w:lang w:val="en-US" w:eastAsia="zh-CN"/>
        </w:rPr>
        <w:t>2.9-1</w:t>
      </w:r>
      <w:r>
        <w:rPr>
          <w:rFonts w:hint="default" w:ascii="Times New Roman" w:hAnsi="Times New Roman" w:eastAsia="宋体" w:cs="Times New Roman"/>
          <w:color w:val="auto"/>
        </w:rPr>
        <w:t>。</w:t>
      </w:r>
    </w:p>
    <w:p w14:paraId="26701422">
      <w:pPr>
        <w:rPr>
          <w:rFonts w:hint="default"/>
          <w:color w:val="auto"/>
        </w:rPr>
      </w:pPr>
    </w:p>
    <w:p w14:paraId="17E9CFD8">
      <w:pPr>
        <w:pStyle w:val="72"/>
        <w:rPr>
          <w:rFonts w:hint="default"/>
          <w:color w:val="auto"/>
        </w:rPr>
        <w:sectPr>
          <w:footerReference r:id="rId8" w:type="default"/>
          <w:pgSz w:w="11906" w:h="16838"/>
          <w:pgMar w:top="1440" w:right="1797" w:bottom="1440" w:left="1797" w:header="851" w:footer="992" w:gutter="0"/>
          <w:pgNumType w:fmt="decimal" w:start="1"/>
          <w:cols w:space="425" w:num="1"/>
          <w:docGrid w:type="linesAndChars" w:linePitch="312" w:charSpace="0"/>
        </w:sectPr>
      </w:pPr>
    </w:p>
    <w:p w14:paraId="72CDF97C">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eastAsia" w:ascii="Times New Roman" w:hAnsi="Times New Roman" w:cs="Times New Roman"/>
          <w:b/>
          <w:color w:val="auto"/>
          <w:lang w:val="en-US" w:eastAsia="zh-CN"/>
        </w:rPr>
        <w:t>2.9-1现有</w:t>
      </w:r>
      <w:r>
        <w:rPr>
          <w:rFonts w:hint="default" w:ascii="Times New Roman" w:hAnsi="Times New Roman" w:eastAsia="宋体" w:cs="Times New Roman"/>
          <w:b/>
          <w:color w:val="auto"/>
        </w:rPr>
        <w:t>项目污染物产排情况汇总表</w:t>
      </w:r>
    </w:p>
    <w:tbl>
      <w:tblPr>
        <w:tblStyle w:val="66"/>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303"/>
        <w:gridCol w:w="1666"/>
        <w:gridCol w:w="1559"/>
        <w:gridCol w:w="2"/>
        <w:gridCol w:w="1224"/>
        <w:gridCol w:w="2963"/>
        <w:gridCol w:w="1140"/>
        <w:gridCol w:w="116"/>
        <w:gridCol w:w="1113"/>
        <w:gridCol w:w="1623"/>
        <w:gridCol w:w="707"/>
        <w:gridCol w:w="3"/>
      </w:tblGrid>
      <w:tr w14:paraId="1B9A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tblHeader/>
          <w:jc w:val="center"/>
        </w:trPr>
        <w:tc>
          <w:tcPr>
            <w:tcW w:w="754" w:type="dxa"/>
            <w:vMerge w:val="restart"/>
            <w:tcBorders>
              <w:top w:val="single" w:color="auto" w:sz="4" w:space="0"/>
              <w:left w:val="single" w:color="auto" w:sz="4" w:space="0"/>
              <w:right w:val="single" w:color="auto" w:sz="4" w:space="0"/>
            </w:tcBorders>
            <w:vAlign w:val="center"/>
          </w:tcPr>
          <w:p w14:paraId="6CC0C349">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分类</w:t>
            </w:r>
          </w:p>
        </w:tc>
        <w:tc>
          <w:tcPr>
            <w:tcW w:w="1303" w:type="dxa"/>
            <w:vMerge w:val="restart"/>
            <w:tcBorders>
              <w:top w:val="single" w:color="auto" w:sz="4" w:space="0"/>
              <w:left w:val="single" w:color="auto" w:sz="4" w:space="0"/>
              <w:bottom w:val="single" w:color="auto" w:sz="4" w:space="0"/>
              <w:right w:val="single" w:color="auto" w:sz="4" w:space="0"/>
            </w:tcBorders>
            <w:vAlign w:val="center"/>
          </w:tcPr>
          <w:p w14:paraId="55BC0E7C">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1666" w:type="dxa"/>
            <w:vMerge w:val="restart"/>
            <w:tcBorders>
              <w:top w:val="single" w:color="auto" w:sz="4" w:space="0"/>
              <w:left w:val="single" w:color="auto" w:sz="4" w:space="0"/>
              <w:bottom w:val="single" w:color="auto" w:sz="4" w:space="0"/>
              <w:right w:val="single" w:color="auto" w:sz="4" w:space="0"/>
            </w:tcBorders>
            <w:vAlign w:val="center"/>
          </w:tcPr>
          <w:p w14:paraId="3849484C">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785" w:type="dxa"/>
            <w:gridSpan w:val="3"/>
            <w:tcBorders>
              <w:top w:val="single" w:color="auto" w:sz="4" w:space="0"/>
              <w:left w:val="single" w:color="auto" w:sz="4" w:space="0"/>
              <w:bottom w:val="single" w:color="auto" w:sz="4" w:space="0"/>
              <w:right w:val="single" w:color="auto" w:sz="4" w:space="0"/>
            </w:tcBorders>
            <w:vAlign w:val="center"/>
          </w:tcPr>
          <w:p w14:paraId="056B3BEC">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2963" w:type="dxa"/>
            <w:vMerge w:val="restart"/>
            <w:tcBorders>
              <w:top w:val="single" w:color="auto" w:sz="4" w:space="0"/>
              <w:left w:val="single" w:color="auto" w:sz="4" w:space="0"/>
              <w:bottom w:val="single" w:color="auto" w:sz="4" w:space="0"/>
              <w:right w:val="single" w:color="auto" w:sz="4" w:space="0"/>
            </w:tcBorders>
            <w:vAlign w:val="center"/>
          </w:tcPr>
          <w:p w14:paraId="164343AE">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w:t>
            </w:r>
          </w:p>
        </w:tc>
        <w:tc>
          <w:tcPr>
            <w:tcW w:w="2369" w:type="dxa"/>
            <w:gridSpan w:val="3"/>
            <w:tcBorders>
              <w:top w:val="single" w:color="auto" w:sz="4" w:space="0"/>
              <w:left w:val="single" w:color="auto" w:sz="4" w:space="0"/>
              <w:bottom w:val="single" w:color="auto" w:sz="4" w:space="0"/>
              <w:right w:val="single" w:color="auto" w:sz="4" w:space="0"/>
            </w:tcBorders>
            <w:vAlign w:val="center"/>
          </w:tcPr>
          <w:p w14:paraId="48800262">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1623" w:type="dxa"/>
            <w:vMerge w:val="restart"/>
            <w:tcBorders>
              <w:top w:val="single" w:color="auto" w:sz="4" w:space="0"/>
              <w:left w:val="single" w:color="auto" w:sz="4" w:space="0"/>
              <w:bottom w:val="single" w:color="auto" w:sz="4" w:space="0"/>
              <w:right w:val="single" w:color="auto" w:sz="4" w:space="0"/>
            </w:tcBorders>
            <w:vAlign w:val="center"/>
          </w:tcPr>
          <w:p w14:paraId="09CBCDF8">
            <w:pPr>
              <w:adjustRightInd w:val="0"/>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标准值</w:t>
            </w:r>
          </w:p>
        </w:tc>
        <w:tc>
          <w:tcPr>
            <w:tcW w:w="707" w:type="dxa"/>
            <w:vMerge w:val="restart"/>
            <w:tcBorders>
              <w:top w:val="single" w:color="auto" w:sz="4" w:space="0"/>
              <w:left w:val="single" w:color="auto" w:sz="4" w:space="0"/>
              <w:bottom w:val="single" w:color="auto" w:sz="4" w:space="0"/>
              <w:right w:val="single" w:color="auto" w:sz="4" w:space="0"/>
            </w:tcBorders>
            <w:vAlign w:val="center"/>
          </w:tcPr>
          <w:p w14:paraId="3D015264">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7ACD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tblHeader/>
          <w:jc w:val="center"/>
        </w:trPr>
        <w:tc>
          <w:tcPr>
            <w:tcW w:w="754" w:type="dxa"/>
            <w:vMerge w:val="continue"/>
            <w:tcBorders>
              <w:left w:val="single" w:color="auto" w:sz="4" w:space="0"/>
              <w:right w:val="single" w:color="auto" w:sz="4" w:space="0"/>
            </w:tcBorders>
            <w:vAlign w:val="center"/>
          </w:tcPr>
          <w:p w14:paraId="4884D6BD">
            <w:pPr>
              <w:widowControl/>
              <w:spacing w:line="240" w:lineRule="auto"/>
              <w:jc w:val="left"/>
              <w:rPr>
                <w:rFonts w:hint="default" w:ascii="Times New Roman" w:hAnsi="Times New Roman" w:eastAsia="宋体" w:cs="Times New Roman"/>
                <w:b/>
                <w:bCs/>
                <w:color w:val="auto"/>
                <w:sz w:val="21"/>
                <w:szCs w:val="21"/>
              </w:rPr>
            </w:pPr>
          </w:p>
        </w:tc>
        <w:tc>
          <w:tcPr>
            <w:tcW w:w="1303" w:type="dxa"/>
            <w:vMerge w:val="continue"/>
            <w:tcBorders>
              <w:top w:val="single" w:color="auto" w:sz="4" w:space="0"/>
              <w:left w:val="single" w:color="auto" w:sz="4" w:space="0"/>
              <w:bottom w:val="single" w:color="auto" w:sz="4" w:space="0"/>
              <w:right w:val="single" w:color="auto" w:sz="4" w:space="0"/>
            </w:tcBorders>
            <w:vAlign w:val="center"/>
          </w:tcPr>
          <w:p w14:paraId="7E479DC6">
            <w:pPr>
              <w:widowControl/>
              <w:spacing w:line="240" w:lineRule="auto"/>
              <w:jc w:val="left"/>
              <w:rPr>
                <w:rFonts w:hint="default" w:ascii="Times New Roman" w:hAnsi="Times New Roman" w:eastAsia="宋体" w:cs="Times New Roman"/>
                <w:b/>
                <w:bCs/>
                <w:color w:val="auto"/>
                <w:sz w:val="21"/>
                <w:szCs w:val="21"/>
              </w:rPr>
            </w:pPr>
          </w:p>
        </w:tc>
        <w:tc>
          <w:tcPr>
            <w:tcW w:w="1666" w:type="dxa"/>
            <w:vMerge w:val="continue"/>
            <w:tcBorders>
              <w:top w:val="single" w:color="auto" w:sz="4" w:space="0"/>
              <w:left w:val="single" w:color="auto" w:sz="4" w:space="0"/>
              <w:bottom w:val="single" w:color="auto" w:sz="4" w:space="0"/>
              <w:right w:val="single" w:color="auto" w:sz="4" w:space="0"/>
            </w:tcBorders>
            <w:vAlign w:val="center"/>
          </w:tcPr>
          <w:p w14:paraId="16FF2B41">
            <w:pPr>
              <w:widowControl/>
              <w:spacing w:line="240" w:lineRule="auto"/>
              <w:jc w:val="left"/>
              <w:rPr>
                <w:rFonts w:hint="default" w:ascii="Times New Roman" w:hAnsi="Times New Roman" w:eastAsia="宋体" w:cs="Times New Roman"/>
                <w:b/>
                <w:bCs/>
                <w:color w:val="auto"/>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0080EF2B">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产生浓度</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22F59301">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w:t>
            </w:r>
          </w:p>
        </w:tc>
        <w:tc>
          <w:tcPr>
            <w:tcW w:w="2963" w:type="dxa"/>
            <w:vMerge w:val="continue"/>
            <w:tcBorders>
              <w:top w:val="single" w:color="auto" w:sz="4" w:space="0"/>
              <w:left w:val="single" w:color="auto" w:sz="4" w:space="0"/>
              <w:bottom w:val="single" w:color="auto" w:sz="4" w:space="0"/>
              <w:right w:val="single" w:color="auto" w:sz="4" w:space="0"/>
            </w:tcBorders>
            <w:vAlign w:val="center"/>
          </w:tcPr>
          <w:p w14:paraId="1ED2FD53">
            <w:pPr>
              <w:widowControl/>
              <w:spacing w:line="240" w:lineRule="auto"/>
              <w:jc w:val="left"/>
              <w:rPr>
                <w:rFonts w:hint="default" w:ascii="Times New Roman" w:hAnsi="Times New Roman" w:eastAsia="宋体" w:cs="Times New Roman"/>
                <w:b/>
                <w:bCs/>
                <w:color w:val="auto"/>
                <w:sz w:val="21"/>
                <w:szCs w:val="21"/>
              </w:rPr>
            </w:pP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3F6A4B41">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w:t>
            </w:r>
          </w:p>
        </w:tc>
        <w:tc>
          <w:tcPr>
            <w:tcW w:w="1113" w:type="dxa"/>
            <w:tcBorders>
              <w:top w:val="single" w:color="auto" w:sz="4" w:space="0"/>
              <w:left w:val="single" w:color="auto" w:sz="4" w:space="0"/>
              <w:bottom w:val="single" w:color="auto" w:sz="4" w:space="0"/>
              <w:right w:val="single" w:color="auto" w:sz="4" w:space="0"/>
            </w:tcBorders>
            <w:vAlign w:val="center"/>
          </w:tcPr>
          <w:p w14:paraId="390B0482">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1623" w:type="dxa"/>
            <w:vMerge w:val="continue"/>
            <w:tcBorders>
              <w:top w:val="single" w:color="auto" w:sz="4" w:space="0"/>
              <w:left w:val="single" w:color="auto" w:sz="4" w:space="0"/>
              <w:bottom w:val="single" w:color="auto" w:sz="4" w:space="0"/>
              <w:right w:val="single" w:color="auto" w:sz="4" w:space="0"/>
            </w:tcBorders>
            <w:vAlign w:val="center"/>
          </w:tcPr>
          <w:p w14:paraId="5958486C">
            <w:pPr>
              <w:widowControl/>
              <w:spacing w:line="240" w:lineRule="auto"/>
              <w:jc w:val="left"/>
              <w:rPr>
                <w:rFonts w:hint="default" w:ascii="Times New Roman" w:hAnsi="Times New Roman" w:eastAsia="宋体" w:cs="Times New Roman"/>
                <w:b/>
                <w:bCs/>
                <w:color w:val="auto"/>
                <w:sz w:val="21"/>
                <w:szCs w:val="21"/>
              </w:rPr>
            </w:pPr>
          </w:p>
        </w:tc>
        <w:tc>
          <w:tcPr>
            <w:tcW w:w="707" w:type="dxa"/>
            <w:vMerge w:val="continue"/>
            <w:tcBorders>
              <w:top w:val="single" w:color="auto" w:sz="4" w:space="0"/>
              <w:left w:val="single" w:color="auto" w:sz="4" w:space="0"/>
              <w:bottom w:val="single" w:color="auto" w:sz="4" w:space="0"/>
              <w:right w:val="single" w:color="auto" w:sz="4" w:space="0"/>
            </w:tcBorders>
            <w:vAlign w:val="center"/>
          </w:tcPr>
          <w:p w14:paraId="27692C80">
            <w:pPr>
              <w:widowControl/>
              <w:spacing w:line="240" w:lineRule="auto"/>
              <w:jc w:val="left"/>
              <w:rPr>
                <w:rFonts w:hint="default" w:ascii="Times New Roman" w:hAnsi="Times New Roman" w:eastAsia="宋体" w:cs="Times New Roman"/>
                <w:b/>
                <w:bCs/>
                <w:color w:val="auto"/>
                <w:sz w:val="21"/>
                <w:szCs w:val="21"/>
              </w:rPr>
            </w:pPr>
          </w:p>
        </w:tc>
      </w:tr>
      <w:tr w14:paraId="5B89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535" w:hRule="atLeast"/>
          <w:jc w:val="center"/>
        </w:trPr>
        <w:tc>
          <w:tcPr>
            <w:tcW w:w="754" w:type="dxa"/>
            <w:vMerge w:val="restart"/>
            <w:tcBorders>
              <w:left w:val="single" w:color="auto" w:sz="4" w:space="0"/>
              <w:right w:val="single" w:color="auto" w:sz="4" w:space="0"/>
            </w:tcBorders>
            <w:vAlign w:val="center"/>
          </w:tcPr>
          <w:p w14:paraId="09CB3BDE">
            <w:pPr>
              <w:widowControl/>
              <w:spacing w:line="240" w:lineRule="auto"/>
              <w:jc w:val="left"/>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废水</w:t>
            </w:r>
          </w:p>
        </w:tc>
        <w:tc>
          <w:tcPr>
            <w:tcW w:w="1303" w:type="dxa"/>
            <w:vMerge w:val="restart"/>
            <w:tcBorders>
              <w:left w:val="single" w:color="auto" w:sz="4" w:space="0"/>
              <w:right w:val="single" w:color="auto" w:sz="4" w:space="0"/>
            </w:tcBorders>
            <w:vAlign w:val="center"/>
          </w:tcPr>
          <w:p w14:paraId="4488A246">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生活废水</w:t>
            </w:r>
          </w:p>
        </w:tc>
        <w:tc>
          <w:tcPr>
            <w:tcW w:w="1666" w:type="dxa"/>
            <w:tcBorders>
              <w:top w:val="single" w:color="auto" w:sz="4" w:space="0"/>
              <w:left w:val="single" w:color="auto" w:sz="4" w:space="0"/>
              <w:bottom w:val="single" w:color="auto" w:sz="4" w:space="0"/>
              <w:right w:val="single" w:color="auto" w:sz="4" w:space="0"/>
            </w:tcBorders>
            <w:vAlign w:val="center"/>
          </w:tcPr>
          <w:p w14:paraId="72EF0456">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2785" w:type="dxa"/>
            <w:gridSpan w:val="3"/>
            <w:tcBorders>
              <w:top w:val="single" w:color="auto" w:sz="4" w:space="0"/>
              <w:left w:val="single" w:color="auto" w:sz="4" w:space="0"/>
              <w:bottom w:val="single" w:color="auto" w:sz="4" w:space="0"/>
              <w:right w:val="single" w:color="auto" w:sz="4" w:space="0"/>
            </w:tcBorders>
            <w:vAlign w:val="center"/>
          </w:tcPr>
          <w:p w14:paraId="3E64C541">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6960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c>
          <w:tcPr>
            <w:tcW w:w="2963" w:type="dxa"/>
            <w:vMerge w:val="restart"/>
            <w:tcBorders>
              <w:left w:val="single" w:color="auto" w:sz="4" w:space="0"/>
              <w:right w:val="single" w:color="auto" w:sz="4" w:space="0"/>
            </w:tcBorders>
            <w:vAlign w:val="center"/>
          </w:tcPr>
          <w:p w14:paraId="26FBCF8A">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隔油池、化粪池</w:t>
            </w:r>
          </w:p>
        </w:tc>
        <w:tc>
          <w:tcPr>
            <w:tcW w:w="2369" w:type="dxa"/>
            <w:gridSpan w:val="3"/>
            <w:tcBorders>
              <w:top w:val="single" w:color="auto" w:sz="4" w:space="0"/>
              <w:left w:val="single" w:color="auto" w:sz="4" w:space="0"/>
              <w:bottom w:val="single" w:color="auto" w:sz="4" w:space="0"/>
              <w:right w:val="single" w:color="auto" w:sz="4" w:space="0"/>
            </w:tcBorders>
            <w:vAlign w:val="center"/>
          </w:tcPr>
          <w:p w14:paraId="7DA11CFE">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6960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c>
          <w:tcPr>
            <w:tcW w:w="1623" w:type="dxa"/>
            <w:tcBorders>
              <w:top w:val="single" w:color="auto" w:sz="4" w:space="0"/>
              <w:left w:val="single" w:color="auto" w:sz="4" w:space="0"/>
              <w:bottom w:val="single" w:color="auto" w:sz="4" w:space="0"/>
              <w:right w:val="single" w:color="auto" w:sz="4" w:space="0"/>
            </w:tcBorders>
            <w:vAlign w:val="center"/>
          </w:tcPr>
          <w:p w14:paraId="448A935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707" w:type="dxa"/>
            <w:tcBorders>
              <w:top w:val="single" w:color="auto" w:sz="4" w:space="0"/>
              <w:left w:val="single" w:color="auto" w:sz="4" w:space="0"/>
              <w:bottom w:val="single" w:color="auto" w:sz="4" w:space="0"/>
              <w:right w:val="single" w:color="auto" w:sz="4" w:space="0"/>
            </w:tcBorders>
            <w:vAlign w:val="center"/>
          </w:tcPr>
          <w:p w14:paraId="2F582AE2">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p>
        </w:tc>
      </w:tr>
      <w:tr w14:paraId="6C37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33A858F4">
            <w:pPr>
              <w:widowControl/>
              <w:spacing w:line="240" w:lineRule="auto"/>
              <w:jc w:val="left"/>
              <w:rPr>
                <w:rFonts w:hint="default" w:ascii="Times New Roman" w:hAnsi="Times New Roman" w:eastAsia="宋体" w:cs="Times New Roman"/>
                <w:color w:val="auto"/>
                <w:sz w:val="21"/>
                <w:szCs w:val="21"/>
                <w:lang w:eastAsia="zh-CN"/>
              </w:rPr>
            </w:pPr>
          </w:p>
        </w:tc>
        <w:tc>
          <w:tcPr>
            <w:tcW w:w="1303" w:type="dxa"/>
            <w:vMerge w:val="continue"/>
            <w:tcBorders>
              <w:left w:val="single" w:color="auto" w:sz="4" w:space="0"/>
              <w:right w:val="single" w:color="auto" w:sz="4" w:space="0"/>
            </w:tcBorders>
            <w:vAlign w:val="center"/>
          </w:tcPr>
          <w:p w14:paraId="0687A554">
            <w:pPr>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666" w:type="dxa"/>
            <w:tcBorders>
              <w:top w:val="single" w:color="auto" w:sz="4" w:space="0"/>
              <w:left w:val="single" w:color="auto" w:sz="4" w:space="0"/>
              <w:bottom w:val="single" w:color="auto" w:sz="4" w:space="0"/>
              <w:right w:val="single" w:color="auto" w:sz="4" w:space="0"/>
            </w:tcBorders>
            <w:vAlign w:val="center"/>
          </w:tcPr>
          <w:p w14:paraId="42938FA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2AF62E5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78757CB1">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2.44</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5374144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2CF24097">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300mg/m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5AD09A3D">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2.088</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7551ECFF">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1EBDEA1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1652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5333DD87">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5133965E">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164C207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4D5D3E0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66E67C72">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1.34</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1599B34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257DE0B3">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180mg/m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3C02D370">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1.25</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743462A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477FB41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7791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2A5402B7">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2F71C136">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139A669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395A7E3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1DE5355E">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1.34</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464FE61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2D64E5C1">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140mg/m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245B2CEE">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0.97</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2C0DD33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0D1A3A61">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2363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614DCD8">
            <w:pPr>
              <w:widowControl/>
              <w:spacing w:line="240" w:lineRule="auto"/>
              <w:jc w:val="left"/>
              <w:rPr>
                <w:rFonts w:hint="default" w:ascii="Times New Roman" w:hAnsi="Times New Roman" w:eastAsia="宋体" w:cs="Times New Roman"/>
                <w:color w:val="auto"/>
                <w:sz w:val="21"/>
                <w:szCs w:val="21"/>
                <w:lang w:eastAsia="zh-CN"/>
              </w:rPr>
            </w:pPr>
          </w:p>
        </w:tc>
        <w:tc>
          <w:tcPr>
            <w:tcW w:w="1303" w:type="dxa"/>
            <w:vMerge w:val="continue"/>
            <w:tcBorders>
              <w:left w:val="single" w:color="auto" w:sz="4" w:space="0"/>
              <w:right w:val="single" w:color="auto" w:sz="4" w:space="0"/>
            </w:tcBorders>
            <w:vAlign w:val="center"/>
          </w:tcPr>
          <w:p w14:paraId="4B281850">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011D689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6122005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1E5B751A">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4D48E1B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7C520BE3">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214C34A8">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4029C15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6949D8C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3A8E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49F5BA29">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bottom w:val="single" w:color="auto" w:sz="4" w:space="0"/>
              <w:right w:val="single" w:color="auto" w:sz="4" w:space="0"/>
            </w:tcBorders>
            <w:vAlign w:val="center"/>
          </w:tcPr>
          <w:p w14:paraId="34170588">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4AF3DF9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386CC8A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23AE3425">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bottom w:val="single" w:color="auto" w:sz="4" w:space="0"/>
              <w:right w:val="single" w:color="auto" w:sz="4" w:space="0"/>
            </w:tcBorders>
            <w:vAlign w:val="center"/>
          </w:tcPr>
          <w:p w14:paraId="6B28B04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41938919">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25mg/m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79F2A633">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2E662BBC">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2E072097">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127E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72" w:hRule="atLeast"/>
          <w:jc w:val="center"/>
        </w:trPr>
        <w:tc>
          <w:tcPr>
            <w:tcW w:w="754" w:type="dxa"/>
            <w:vMerge w:val="restart"/>
            <w:tcBorders>
              <w:left w:val="single" w:color="auto" w:sz="4" w:space="0"/>
              <w:right w:val="single" w:color="auto" w:sz="4" w:space="0"/>
            </w:tcBorders>
            <w:vAlign w:val="center"/>
          </w:tcPr>
          <w:p w14:paraId="3E1C912B">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废气</w:t>
            </w:r>
          </w:p>
        </w:tc>
        <w:tc>
          <w:tcPr>
            <w:tcW w:w="1303" w:type="dxa"/>
            <w:tcBorders>
              <w:top w:val="single" w:color="auto" w:sz="4" w:space="0"/>
              <w:left w:val="single" w:color="auto" w:sz="4" w:space="0"/>
              <w:bottom w:val="single" w:color="auto" w:sz="4" w:space="0"/>
              <w:right w:val="single" w:color="auto" w:sz="4" w:space="0"/>
            </w:tcBorders>
            <w:vAlign w:val="center"/>
          </w:tcPr>
          <w:p w14:paraId="083A5712">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服装制造</w:t>
            </w:r>
          </w:p>
        </w:tc>
        <w:tc>
          <w:tcPr>
            <w:tcW w:w="1666" w:type="dxa"/>
            <w:tcBorders>
              <w:top w:val="single" w:color="auto" w:sz="4" w:space="0"/>
              <w:left w:val="single" w:color="auto" w:sz="4" w:space="0"/>
              <w:bottom w:val="single" w:color="auto" w:sz="4" w:space="0"/>
              <w:right w:val="single" w:color="auto" w:sz="4" w:space="0"/>
            </w:tcBorders>
            <w:vAlign w:val="center"/>
          </w:tcPr>
          <w:p w14:paraId="5122BD0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1559" w:type="dxa"/>
            <w:tcBorders>
              <w:top w:val="single" w:color="auto" w:sz="4" w:space="0"/>
              <w:left w:val="single" w:color="auto" w:sz="4" w:space="0"/>
              <w:bottom w:val="single" w:color="auto" w:sz="4" w:space="0"/>
              <w:right w:val="single" w:color="auto" w:sz="4" w:space="0"/>
            </w:tcBorders>
            <w:vAlign w:val="center"/>
          </w:tcPr>
          <w:p w14:paraId="7238231B">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1C2D28BA">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少量</w:t>
            </w:r>
          </w:p>
        </w:tc>
        <w:tc>
          <w:tcPr>
            <w:tcW w:w="2963" w:type="dxa"/>
            <w:tcBorders>
              <w:top w:val="single" w:color="auto" w:sz="4" w:space="0"/>
              <w:left w:val="single" w:color="auto" w:sz="4" w:space="0"/>
              <w:bottom w:val="single" w:color="auto" w:sz="4" w:space="0"/>
              <w:right w:val="single" w:color="auto" w:sz="4" w:space="0"/>
            </w:tcBorders>
            <w:vAlign w:val="center"/>
          </w:tcPr>
          <w:p w14:paraId="65407E28">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室内沉降</w:t>
            </w:r>
            <w:r>
              <w:rPr>
                <w:rFonts w:hint="default" w:ascii="Times New Roman" w:hAnsi="Times New Roman" w:eastAsia="宋体" w:cs="Times New Roman"/>
                <w:color w:val="auto"/>
                <w:sz w:val="21"/>
                <w:szCs w:val="21"/>
                <w:lang w:eastAsia="zh-CN"/>
              </w:rPr>
              <w:t>、自由扩散</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4C2CF691">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113" w:type="dxa"/>
            <w:tcBorders>
              <w:top w:val="single" w:color="auto" w:sz="4" w:space="0"/>
              <w:left w:val="single" w:color="auto" w:sz="4" w:space="0"/>
              <w:bottom w:val="single" w:color="auto" w:sz="4" w:space="0"/>
              <w:right w:val="single" w:color="auto" w:sz="4" w:space="0"/>
            </w:tcBorders>
            <w:vAlign w:val="center"/>
          </w:tcPr>
          <w:p w14:paraId="07C623AB">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少量</w:t>
            </w:r>
          </w:p>
        </w:tc>
        <w:tc>
          <w:tcPr>
            <w:tcW w:w="1623" w:type="dxa"/>
            <w:tcBorders>
              <w:top w:val="single" w:color="auto" w:sz="4" w:space="0"/>
              <w:left w:val="single" w:color="auto" w:sz="4" w:space="0"/>
              <w:bottom w:val="single" w:color="auto" w:sz="4" w:space="0"/>
              <w:right w:val="single" w:color="auto" w:sz="4" w:space="0"/>
            </w:tcBorders>
            <w:vAlign w:val="center"/>
          </w:tcPr>
          <w:p w14:paraId="488672C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07" w:type="dxa"/>
            <w:tcBorders>
              <w:top w:val="single" w:color="auto" w:sz="4" w:space="0"/>
              <w:left w:val="single" w:color="auto" w:sz="4" w:space="0"/>
              <w:bottom w:val="single" w:color="auto" w:sz="4" w:space="0"/>
              <w:right w:val="single" w:color="auto" w:sz="4" w:space="0"/>
            </w:tcBorders>
            <w:vAlign w:val="center"/>
          </w:tcPr>
          <w:p w14:paraId="30035E9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DCC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F6ACD06">
            <w:pPr>
              <w:widowControl/>
              <w:spacing w:line="240" w:lineRule="auto"/>
              <w:jc w:val="left"/>
              <w:rPr>
                <w:rFonts w:hint="default" w:ascii="Times New Roman" w:hAnsi="Times New Roman" w:eastAsia="宋体" w:cs="Times New Roman"/>
                <w:color w:val="auto"/>
                <w:sz w:val="21"/>
                <w:szCs w:val="21"/>
              </w:rPr>
            </w:pPr>
          </w:p>
        </w:tc>
        <w:tc>
          <w:tcPr>
            <w:tcW w:w="1303" w:type="dxa"/>
            <w:tcBorders>
              <w:top w:val="single" w:color="auto" w:sz="4" w:space="0"/>
              <w:left w:val="single" w:color="auto" w:sz="4" w:space="0"/>
              <w:bottom w:val="single" w:color="auto" w:sz="4" w:space="0"/>
              <w:right w:val="single" w:color="auto" w:sz="4" w:space="0"/>
            </w:tcBorders>
            <w:vAlign w:val="center"/>
          </w:tcPr>
          <w:p w14:paraId="28DD213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食堂油烟</w:t>
            </w:r>
          </w:p>
        </w:tc>
        <w:tc>
          <w:tcPr>
            <w:tcW w:w="1666" w:type="dxa"/>
            <w:tcBorders>
              <w:top w:val="single" w:color="auto" w:sz="4" w:space="0"/>
              <w:left w:val="single" w:color="auto" w:sz="4" w:space="0"/>
              <w:bottom w:val="single" w:color="auto" w:sz="4" w:space="0"/>
              <w:right w:val="single" w:color="auto" w:sz="4" w:space="0"/>
            </w:tcBorders>
            <w:vAlign w:val="center"/>
          </w:tcPr>
          <w:p w14:paraId="2098D93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w:t>
            </w:r>
          </w:p>
        </w:tc>
        <w:tc>
          <w:tcPr>
            <w:tcW w:w="1559" w:type="dxa"/>
            <w:tcBorders>
              <w:top w:val="single" w:color="auto" w:sz="4" w:space="0"/>
              <w:left w:val="single" w:color="auto" w:sz="4" w:space="0"/>
              <w:bottom w:val="single" w:color="auto" w:sz="4" w:space="0"/>
              <w:right w:val="single" w:color="auto" w:sz="4" w:space="0"/>
            </w:tcBorders>
            <w:vAlign w:val="center"/>
          </w:tcPr>
          <w:p w14:paraId="5A33080F">
            <w:pPr>
              <w:adjustRightInd w:val="0"/>
              <w:snapToGrid w:val="0"/>
              <w:spacing w:line="240" w:lineRule="auto"/>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lang w:val="en-US" w:eastAsia="zh-CN"/>
              </w:rPr>
              <w:t>3.75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37B3BEF1">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0.147t/a</w:t>
            </w:r>
          </w:p>
        </w:tc>
        <w:tc>
          <w:tcPr>
            <w:tcW w:w="2963" w:type="dxa"/>
            <w:tcBorders>
              <w:top w:val="single" w:color="auto" w:sz="4" w:space="0"/>
              <w:left w:val="single" w:color="auto" w:sz="4" w:space="0"/>
              <w:bottom w:val="single" w:color="auto" w:sz="4" w:space="0"/>
              <w:right w:val="single" w:color="auto" w:sz="4" w:space="0"/>
            </w:tcBorders>
            <w:vAlign w:val="center"/>
          </w:tcPr>
          <w:p w14:paraId="41D851A5">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油烟机1台，净化效率不低于</w:t>
            </w: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459E387F">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94</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113" w:type="dxa"/>
            <w:tcBorders>
              <w:top w:val="single" w:color="auto" w:sz="4" w:space="0"/>
              <w:left w:val="single" w:color="auto" w:sz="4" w:space="0"/>
              <w:bottom w:val="single" w:color="auto" w:sz="4" w:space="0"/>
              <w:right w:val="single" w:color="auto" w:sz="4" w:space="0"/>
            </w:tcBorders>
            <w:vAlign w:val="center"/>
          </w:tcPr>
          <w:p w14:paraId="093B880F">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0.036t</w:t>
            </w:r>
            <w:r>
              <w:rPr>
                <w:rFonts w:hint="default" w:ascii="Times New Roman" w:hAnsi="Times New Roman" w:eastAsia="宋体" w:cs="Times New Roman"/>
                <w:color w:val="auto"/>
                <w:sz w:val="21"/>
                <w:szCs w:val="21"/>
              </w:rPr>
              <w:t>/a</w:t>
            </w:r>
          </w:p>
        </w:tc>
        <w:tc>
          <w:tcPr>
            <w:tcW w:w="1623" w:type="dxa"/>
            <w:tcBorders>
              <w:top w:val="single" w:color="auto" w:sz="4" w:space="0"/>
              <w:left w:val="single" w:color="auto" w:sz="4" w:space="0"/>
              <w:bottom w:val="single" w:color="auto" w:sz="4" w:space="0"/>
              <w:right w:val="single" w:color="auto" w:sz="4" w:space="0"/>
            </w:tcBorders>
            <w:vAlign w:val="center"/>
          </w:tcPr>
          <w:p w14:paraId="0D0C11C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2.0mg/m</w:t>
            </w:r>
            <w:r>
              <w:rPr>
                <w:rFonts w:hint="default" w:ascii="Times New Roman" w:hAnsi="Times New Roman" w:eastAsia="宋体" w:cs="Times New Roman"/>
                <w:bCs/>
                <w:color w:val="auto"/>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4205804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8B5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50ADFE0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969" w:type="dxa"/>
            <w:gridSpan w:val="2"/>
            <w:tcBorders>
              <w:top w:val="single" w:color="auto" w:sz="4" w:space="0"/>
              <w:left w:val="single" w:color="auto" w:sz="4" w:space="0"/>
              <w:bottom w:val="single" w:color="auto" w:sz="4" w:space="0"/>
              <w:right w:val="single" w:color="auto" w:sz="4" w:space="0"/>
            </w:tcBorders>
            <w:vAlign w:val="center"/>
          </w:tcPr>
          <w:p w14:paraId="6EEDFE9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设备噪声</w:t>
            </w:r>
          </w:p>
        </w:tc>
        <w:tc>
          <w:tcPr>
            <w:tcW w:w="2785" w:type="dxa"/>
            <w:gridSpan w:val="3"/>
            <w:tcBorders>
              <w:top w:val="single" w:color="auto" w:sz="4" w:space="0"/>
              <w:left w:val="single" w:color="auto" w:sz="4" w:space="0"/>
              <w:bottom w:val="single" w:color="auto" w:sz="4" w:space="0"/>
              <w:right w:val="single" w:color="auto" w:sz="4" w:space="0"/>
            </w:tcBorders>
            <w:vAlign w:val="center"/>
          </w:tcPr>
          <w:p w14:paraId="1B92CD8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r>
              <w:rPr>
                <w:rFonts w:hint="default" w:ascii="Times New Roman" w:hAnsi="Times New Roman" w:eastAsia="宋体" w:cs="Times New Roman"/>
                <w:color w:val="auto"/>
                <w:sz w:val="21"/>
                <w:szCs w:val="21"/>
              </w:rPr>
              <w:t>dB(A)</w:t>
            </w:r>
          </w:p>
        </w:tc>
        <w:tc>
          <w:tcPr>
            <w:tcW w:w="2963" w:type="dxa"/>
            <w:tcBorders>
              <w:top w:val="single" w:color="auto" w:sz="4" w:space="0"/>
              <w:left w:val="single" w:color="auto" w:sz="4" w:space="0"/>
              <w:bottom w:val="single" w:color="auto" w:sz="4" w:space="0"/>
              <w:right w:val="single" w:color="auto" w:sz="4" w:space="0"/>
            </w:tcBorders>
            <w:vAlign w:val="center"/>
          </w:tcPr>
          <w:p w14:paraId="5BC87A66">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基础</w:t>
            </w:r>
            <w:r>
              <w:rPr>
                <w:rFonts w:hint="default" w:ascii="Times New Roman" w:hAnsi="Times New Roman" w:eastAsia="宋体" w:cs="Times New Roman"/>
                <w:color w:val="auto"/>
                <w:sz w:val="21"/>
                <w:szCs w:val="21"/>
              </w:rPr>
              <w:t>震垫、厂房隔声</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1995108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13" w:type="dxa"/>
            <w:tcBorders>
              <w:top w:val="single" w:color="auto" w:sz="4" w:space="0"/>
              <w:left w:val="single" w:color="auto" w:sz="4" w:space="0"/>
              <w:bottom w:val="single" w:color="auto" w:sz="4" w:space="0"/>
              <w:right w:val="single" w:color="auto" w:sz="4" w:space="0"/>
            </w:tcBorders>
            <w:vAlign w:val="center"/>
          </w:tcPr>
          <w:p w14:paraId="0034768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23" w:type="dxa"/>
            <w:tcBorders>
              <w:top w:val="single" w:color="auto" w:sz="4" w:space="0"/>
              <w:left w:val="single" w:color="auto" w:sz="4" w:space="0"/>
              <w:bottom w:val="single" w:color="auto" w:sz="4" w:space="0"/>
              <w:right w:val="single" w:color="auto" w:sz="4" w:space="0"/>
            </w:tcBorders>
            <w:vAlign w:val="center"/>
          </w:tcPr>
          <w:p w14:paraId="744AB03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昼间≤65dB(A)</w:t>
            </w:r>
          </w:p>
          <w:p w14:paraId="799DB88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夜间≤55dB(A)</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3F5AFB8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372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restart"/>
            <w:tcBorders>
              <w:top w:val="single" w:color="auto" w:sz="4" w:space="0"/>
              <w:left w:val="single" w:color="auto" w:sz="4" w:space="0"/>
              <w:bottom w:val="single" w:color="auto" w:sz="4" w:space="0"/>
              <w:right w:val="single" w:color="auto" w:sz="4" w:space="0"/>
            </w:tcBorders>
            <w:vAlign w:val="center"/>
          </w:tcPr>
          <w:p w14:paraId="0E42730D">
            <w:pPr>
              <w:adjustRightInd w:val="0"/>
              <w:snapToGrid w:val="0"/>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固废</w:t>
            </w:r>
          </w:p>
        </w:tc>
        <w:tc>
          <w:tcPr>
            <w:tcW w:w="1303" w:type="dxa"/>
            <w:tcBorders>
              <w:top w:val="single" w:color="auto" w:sz="4" w:space="0"/>
              <w:left w:val="single" w:color="auto" w:sz="4" w:space="0"/>
              <w:bottom w:val="single" w:color="auto" w:sz="4" w:space="0"/>
              <w:right w:val="single" w:color="auto" w:sz="4" w:space="0"/>
            </w:tcBorders>
            <w:vAlign w:val="center"/>
          </w:tcPr>
          <w:p w14:paraId="2F21FBB9">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服装制造</w:t>
            </w:r>
          </w:p>
        </w:tc>
        <w:tc>
          <w:tcPr>
            <w:tcW w:w="1666" w:type="dxa"/>
            <w:tcBorders>
              <w:top w:val="single" w:color="auto" w:sz="4" w:space="0"/>
              <w:left w:val="single" w:color="auto" w:sz="4" w:space="0"/>
              <w:bottom w:val="single" w:color="auto" w:sz="4" w:space="0"/>
              <w:right w:val="single" w:color="auto" w:sz="4" w:space="0"/>
            </w:tcBorders>
            <w:vAlign w:val="center"/>
          </w:tcPr>
          <w:p w14:paraId="68DA8AA9">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边角料及残次品</w:t>
            </w:r>
          </w:p>
        </w:tc>
        <w:tc>
          <w:tcPr>
            <w:tcW w:w="1559" w:type="dxa"/>
            <w:tcBorders>
              <w:top w:val="single" w:color="auto" w:sz="4" w:space="0"/>
              <w:left w:val="single" w:color="auto" w:sz="4" w:space="0"/>
              <w:bottom w:val="single" w:color="auto" w:sz="4" w:space="0"/>
              <w:right w:val="single" w:color="auto" w:sz="4" w:space="0"/>
            </w:tcBorders>
            <w:vAlign w:val="center"/>
          </w:tcPr>
          <w:p w14:paraId="426C67A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274D4454">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1.8t/a</w:t>
            </w:r>
          </w:p>
        </w:tc>
        <w:tc>
          <w:tcPr>
            <w:tcW w:w="2963" w:type="dxa"/>
            <w:tcBorders>
              <w:top w:val="single" w:color="auto" w:sz="4" w:space="0"/>
              <w:left w:val="single" w:color="auto" w:sz="4" w:space="0"/>
              <w:bottom w:val="single" w:color="auto" w:sz="4" w:space="0"/>
              <w:right w:val="single" w:color="auto" w:sz="4" w:space="0"/>
            </w:tcBorders>
            <w:vAlign w:val="center"/>
          </w:tcPr>
          <w:p w14:paraId="38E3AE36">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收集后委托环卫部门清运处置</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45A09C0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restart"/>
            <w:tcBorders>
              <w:top w:val="single" w:color="auto" w:sz="4" w:space="0"/>
              <w:left w:val="single" w:color="auto" w:sz="4" w:space="0"/>
              <w:right w:val="single" w:color="auto" w:sz="4" w:space="0"/>
            </w:tcBorders>
            <w:vAlign w:val="center"/>
          </w:tcPr>
          <w:p w14:paraId="5238F38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固废100%处置。</w:t>
            </w:r>
          </w:p>
        </w:tc>
        <w:tc>
          <w:tcPr>
            <w:tcW w:w="1623" w:type="dxa"/>
            <w:tcBorders>
              <w:top w:val="single" w:color="auto" w:sz="4" w:space="0"/>
              <w:left w:val="single" w:color="auto" w:sz="4" w:space="0"/>
              <w:bottom w:val="single" w:color="auto" w:sz="4" w:space="0"/>
              <w:right w:val="single" w:color="auto" w:sz="4" w:space="0"/>
            </w:tcBorders>
            <w:vAlign w:val="center"/>
          </w:tcPr>
          <w:p w14:paraId="0152571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710" w:type="dxa"/>
            <w:gridSpan w:val="2"/>
            <w:vMerge w:val="restart"/>
            <w:tcBorders>
              <w:top w:val="single" w:color="auto" w:sz="4" w:space="0"/>
              <w:left w:val="single" w:color="auto" w:sz="4" w:space="0"/>
              <w:bottom w:val="single" w:color="auto" w:sz="4" w:space="0"/>
              <w:right w:val="single" w:color="auto" w:sz="4" w:space="0"/>
            </w:tcBorders>
            <w:vAlign w:val="center"/>
          </w:tcPr>
          <w:p w14:paraId="5D51BE3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符合环保要求</w:t>
            </w:r>
          </w:p>
        </w:tc>
      </w:tr>
      <w:tr w14:paraId="1B27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6C8A2F03">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1477D05C">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包装</w:t>
            </w:r>
          </w:p>
        </w:tc>
        <w:tc>
          <w:tcPr>
            <w:tcW w:w="1666" w:type="dxa"/>
            <w:tcBorders>
              <w:top w:val="single" w:color="auto" w:sz="4" w:space="0"/>
              <w:left w:val="single" w:color="auto" w:sz="4" w:space="0"/>
              <w:bottom w:val="single" w:color="auto" w:sz="4" w:space="0"/>
              <w:right w:val="single" w:color="auto" w:sz="4" w:space="0"/>
            </w:tcBorders>
            <w:vAlign w:val="center"/>
          </w:tcPr>
          <w:p w14:paraId="17BF2D65">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废包装材料</w:t>
            </w:r>
          </w:p>
        </w:tc>
        <w:tc>
          <w:tcPr>
            <w:tcW w:w="1559" w:type="dxa"/>
            <w:tcBorders>
              <w:top w:val="single" w:color="auto" w:sz="4" w:space="0"/>
              <w:left w:val="single" w:color="auto" w:sz="4" w:space="0"/>
              <w:bottom w:val="single" w:color="auto" w:sz="4" w:space="0"/>
              <w:right w:val="single" w:color="auto" w:sz="4" w:space="0"/>
            </w:tcBorders>
            <w:vAlign w:val="center"/>
          </w:tcPr>
          <w:p w14:paraId="0578F644">
            <w:pPr>
              <w:pStyle w:val="57"/>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7D420F5B">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1.2t/a</w:t>
            </w:r>
          </w:p>
        </w:tc>
        <w:tc>
          <w:tcPr>
            <w:tcW w:w="2963" w:type="dxa"/>
            <w:tcBorders>
              <w:top w:val="single" w:color="auto" w:sz="4" w:space="0"/>
              <w:left w:val="single" w:color="auto" w:sz="4" w:space="0"/>
              <w:bottom w:val="single" w:color="auto" w:sz="4" w:space="0"/>
              <w:right w:val="single" w:color="auto" w:sz="4" w:space="0"/>
            </w:tcBorders>
            <w:vAlign w:val="center"/>
          </w:tcPr>
          <w:p w14:paraId="05FB4623">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外售</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6FA7EFE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continue"/>
            <w:tcBorders>
              <w:left w:val="single" w:color="auto" w:sz="4" w:space="0"/>
              <w:right w:val="single" w:color="auto" w:sz="4" w:space="0"/>
            </w:tcBorders>
            <w:vAlign w:val="center"/>
          </w:tcPr>
          <w:p w14:paraId="0A735673">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766A6D10">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65A53CE6">
            <w:pPr>
              <w:widowControl/>
              <w:spacing w:line="240" w:lineRule="auto"/>
              <w:jc w:val="left"/>
              <w:rPr>
                <w:rFonts w:hint="default" w:ascii="Times New Roman" w:hAnsi="Times New Roman" w:eastAsia="宋体" w:cs="Times New Roman"/>
                <w:color w:val="auto"/>
                <w:sz w:val="21"/>
                <w:szCs w:val="21"/>
              </w:rPr>
            </w:pPr>
          </w:p>
        </w:tc>
      </w:tr>
      <w:tr w14:paraId="7D524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4B54B18E">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7E175A76">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职工生活</w:t>
            </w:r>
          </w:p>
        </w:tc>
        <w:tc>
          <w:tcPr>
            <w:tcW w:w="1666" w:type="dxa"/>
            <w:tcBorders>
              <w:top w:val="single" w:color="auto" w:sz="4" w:space="0"/>
              <w:left w:val="single" w:color="auto" w:sz="4" w:space="0"/>
              <w:bottom w:val="single" w:color="auto" w:sz="4" w:space="0"/>
              <w:right w:val="single" w:color="auto" w:sz="4" w:space="0"/>
            </w:tcBorders>
            <w:vAlign w:val="center"/>
          </w:tcPr>
          <w:p w14:paraId="595D80BE">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生活垃圾</w:t>
            </w:r>
          </w:p>
        </w:tc>
        <w:tc>
          <w:tcPr>
            <w:tcW w:w="1559" w:type="dxa"/>
            <w:tcBorders>
              <w:top w:val="single" w:color="auto" w:sz="4" w:space="0"/>
              <w:left w:val="single" w:color="auto" w:sz="4" w:space="0"/>
              <w:bottom w:val="single" w:color="auto" w:sz="4" w:space="0"/>
              <w:right w:val="single" w:color="auto" w:sz="4" w:space="0"/>
            </w:tcBorders>
            <w:vAlign w:val="center"/>
          </w:tcPr>
          <w:p w14:paraId="1B5B3A87">
            <w:pPr>
              <w:pStyle w:val="57"/>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212E1B69">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87t/a</w:t>
            </w:r>
          </w:p>
        </w:tc>
        <w:tc>
          <w:tcPr>
            <w:tcW w:w="2963" w:type="dxa"/>
            <w:tcBorders>
              <w:top w:val="single" w:color="auto" w:sz="4" w:space="0"/>
              <w:left w:val="single" w:color="auto" w:sz="4" w:space="0"/>
              <w:bottom w:val="single" w:color="auto" w:sz="4" w:space="0"/>
              <w:right w:val="single" w:color="auto" w:sz="4" w:space="0"/>
            </w:tcBorders>
            <w:vAlign w:val="center"/>
          </w:tcPr>
          <w:p w14:paraId="2C1A6600">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收集后委托环卫部门清运处置</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3341D3EF">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13" w:type="dxa"/>
            <w:vMerge w:val="continue"/>
            <w:tcBorders>
              <w:left w:val="single" w:color="auto" w:sz="4" w:space="0"/>
              <w:right w:val="single" w:color="auto" w:sz="4" w:space="0"/>
            </w:tcBorders>
            <w:vAlign w:val="center"/>
          </w:tcPr>
          <w:p w14:paraId="4DAB2133">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4E09787C">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353109D9">
            <w:pPr>
              <w:widowControl/>
              <w:spacing w:line="240" w:lineRule="auto"/>
              <w:jc w:val="left"/>
              <w:rPr>
                <w:rFonts w:hint="default" w:ascii="Times New Roman" w:hAnsi="Times New Roman" w:eastAsia="宋体" w:cs="Times New Roman"/>
                <w:color w:val="auto"/>
                <w:sz w:val="21"/>
                <w:szCs w:val="21"/>
              </w:rPr>
            </w:pPr>
          </w:p>
        </w:tc>
      </w:tr>
      <w:tr w14:paraId="37E6C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08CB3FF7">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5AC49BBA">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食堂</w:t>
            </w:r>
          </w:p>
        </w:tc>
        <w:tc>
          <w:tcPr>
            <w:tcW w:w="1666" w:type="dxa"/>
            <w:tcBorders>
              <w:top w:val="single" w:color="auto" w:sz="4" w:space="0"/>
              <w:left w:val="single" w:color="auto" w:sz="4" w:space="0"/>
              <w:bottom w:val="single" w:color="auto" w:sz="4" w:space="0"/>
              <w:right w:val="single" w:color="auto" w:sz="4" w:space="0"/>
            </w:tcBorders>
            <w:vAlign w:val="center"/>
          </w:tcPr>
          <w:p w14:paraId="2F3C9D01">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食堂泔水及废油</w:t>
            </w:r>
          </w:p>
        </w:tc>
        <w:tc>
          <w:tcPr>
            <w:tcW w:w="1559" w:type="dxa"/>
            <w:tcBorders>
              <w:top w:val="single" w:color="auto" w:sz="4" w:space="0"/>
              <w:left w:val="single" w:color="auto" w:sz="4" w:space="0"/>
              <w:bottom w:val="single" w:color="auto" w:sz="4" w:space="0"/>
              <w:right w:val="single" w:color="auto" w:sz="4" w:space="0"/>
            </w:tcBorders>
            <w:vAlign w:val="center"/>
          </w:tcPr>
          <w:p w14:paraId="1693144B">
            <w:pPr>
              <w:pStyle w:val="57"/>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420FA725">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87.1t/a</w:t>
            </w:r>
          </w:p>
        </w:tc>
        <w:tc>
          <w:tcPr>
            <w:tcW w:w="2963" w:type="dxa"/>
            <w:tcBorders>
              <w:top w:val="single" w:color="auto" w:sz="4" w:space="0"/>
              <w:left w:val="single" w:color="auto" w:sz="4" w:space="0"/>
              <w:bottom w:val="single" w:color="auto" w:sz="4" w:space="0"/>
              <w:right w:val="single" w:color="auto" w:sz="4" w:space="0"/>
            </w:tcBorders>
            <w:vAlign w:val="center"/>
          </w:tcPr>
          <w:p w14:paraId="74467F34">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食堂泔水和废油用塑料桶</w:t>
            </w:r>
            <w:r>
              <w:rPr>
                <w:rFonts w:hint="default" w:ascii="Times New Roman" w:hAnsi="Times New Roman" w:eastAsia="宋体" w:cs="Times New Roman"/>
                <w:color w:val="auto"/>
                <w:sz w:val="21"/>
                <w:szCs w:val="21"/>
                <w:lang w:eastAsia="zh-CN"/>
              </w:rPr>
              <w:t>单独</w:t>
            </w:r>
            <w:r>
              <w:rPr>
                <w:rFonts w:hint="default" w:ascii="Times New Roman" w:hAnsi="Times New Roman" w:eastAsia="宋体" w:cs="Times New Roman"/>
                <w:color w:val="auto"/>
                <w:sz w:val="21"/>
                <w:szCs w:val="21"/>
              </w:rPr>
              <w:t>收集后，委托</w:t>
            </w:r>
            <w:r>
              <w:rPr>
                <w:rFonts w:hint="default" w:ascii="Times New Roman" w:hAnsi="Times New Roman" w:eastAsia="宋体" w:cs="Times New Roman"/>
                <w:color w:val="auto"/>
                <w:sz w:val="21"/>
                <w:szCs w:val="21"/>
                <w:lang w:eastAsia="zh-CN"/>
              </w:rPr>
              <w:t>环卫部门</w:t>
            </w:r>
            <w:r>
              <w:rPr>
                <w:rFonts w:hint="default" w:ascii="Times New Roman" w:hAnsi="Times New Roman" w:eastAsia="宋体" w:cs="Times New Roman"/>
                <w:color w:val="auto"/>
                <w:sz w:val="21"/>
                <w:szCs w:val="21"/>
              </w:rPr>
              <w:t>进行处理</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111345E3">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continue"/>
            <w:tcBorders>
              <w:left w:val="single" w:color="auto" w:sz="4" w:space="0"/>
              <w:right w:val="single" w:color="auto" w:sz="4" w:space="0"/>
            </w:tcBorders>
            <w:vAlign w:val="center"/>
          </w:tcPr>
          <w:p w14:paraId="733E6A16">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068406C1">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2D735B57">
            <w:pPr>
              <w:widowControl/>
              <w:spacing w:line="240" w:lineRule="auto"/>
              <w:jc w:val="left"/>
              <w:rPr>
                <w:rFonts w:hint="default" w:ascii="Times New Roman" w:hAnsi="Times New Roman" w:eastAsia="宋体" w:cs="Times New Roman"/>
                <w:color w:val="auto"/>
                <w:sz w:val="21"/>
                <w:szCs w:val="21"/>
              </w:rPr>
            </w:pPr>
          </w:p>
        </w:tc>
      </w:tr>
      <w:tr w14:paraId="10B0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19B9F65F">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674A3FD6">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w:t>
            </w:r>
          </w:p>
        </w:tc>
        <w:tc>
          <w:tcPr>
            <w:tcW w:w="1666" w:type="dxa"/>
            <w:tcBorders>
              <w:top w:val="single" w:color="auto" w:sz="4" w:space="0"/>
              <w:left w:val="single" w:color="auto" w:sz="4" w:space="0"/>
              <w:bottom w:val="single" w:color="auto" w:sz="4" w:space="0"/>
              <w:right w:val="single" w:color="auto" w:sz="4" w:space="0"/>
            </w:tcBorders>
            <w:vAlign w:val="center"/>
          </w:tcPr>
          <w:p w14:paraId="414D601C">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废机油</w:t>
            </w:r>
          </w:p>
        </w:tc>
        <w:tc>
          <w:tcPr>
            <w:tcW w:w="1559" w:type="dxa"/>
            <w:tcBorders>
              <w:top w:val="single" w:color="auto" w:sz="4" w:space="0"/>
              <w:left w:val="single" w:color="auto" w:sz="4" w:space="0"/>
              <w:bottom w:val="single" w:color="auto" w:sz="4" w:space="0"/>
              <w:right w:val="single" w:color="auto" w:sz="4" w:space="0"/>
            </w:tcBorders>
            <w:vAlign w:val="center"/>
          </w:tcPr>
          <w:p w14:paraId="1D414BA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4B898F45">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0.05t/a</w:t>
            </w:r>
          </w:p>
        </w:tc>
        <w:tc>
          <w:tcPr>
            <w:tcW w:w="2963" w:type="dxa"/>
            <w:tcBorders>
              <w:top w:val="single" w:color="auto" w:sz="4" w:space="0"/>
              <w:left w:val="single" w:color="auto" w:sz="4" w:space="0"/>
              <w:bottom w:val="single" w:color="auto" w:sz="4" w:space="0"/>
              <w:right w:val="single" w:color="auto" w:sz="4" w:space="0"/>
            </w:tcBorders>
            <w:vAlign w:val="center"/>
          </w:tcPr>
          <w:p w14:paraId="43903CE1">
            <w:pPr>
              <w:autoSpaceDE w:val="0"/>
              <w:autoSpaceDN w:val="0"/>
              <w:adjustRightIn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eastAsia="zh-CN"/>
              </w:rPr>
              <w:t>委托</w:t>
            </w:r>
            <w:r>
              <w:rPr>
                <w:rFonts w:hint="default" w:ascii="Times New Roman" w:hAnsi="Times New Roman" w:eastAsia="宋体" w:cs="Times New Roman"/>
                <w:color w:val="auto"/>
                <w:sz w:val="21"/>
                <w:szCs w:val="21"/>
              </w:rPr>
              <w:t>有资质的单位回收处置</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2D95505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continue"/>
            <w:tcBorders>
              <w:left w:val="single" w:color="auto" w:sz="4" w:space="0"/>
              <w:right w:val="single" w:color="auto" w:sz="4" w:space="0"/>
            </w:tcBorders>
            <w:vAlign w:val="center"/>
          </w:tcPr>
          <w:p w14:paraId="1F1BCB66">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72C49F1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2337C9F3">
            <w:pPr>
              <w:widowControl/>
              <w:spacing w:line="240" w:lineRule="auto"/>
              <w:jc w:val="left"/>
              <w:rPr>
                <w:rFonts w:hint="default" w:ascii="Times New Roman" w:hAnsi="Times New Roman" w:eastAsia="宋体" w:cs="Times New Roman"/>
                <w:color w:val="auto"/>
                <w:sz w:val="21"/>
                <w:szCs w:val="21"/>
              </w:rPr>
            </w:pPr>
          </w:p>
        </w:tc>
      </w:tr>
    </w:tbl>
    <w:p w14:paraId="77B10A86">
      <w:pPr>
        <w:rPr>
          <w:rFonts w:hint="default" w:ascii="Times New Roman" w:hAnsi="Times New Roman" w:eastAsia="宋体" w:cs="Times New Roman"/>
          <w:color w:val="auto"/>
          <w:sz w:val="24"/>
          <w:szCs w:val="24"/>
        </w:rPr>
        <w:sectPr>
          <w:pgSz w:w="16838" w:h="11906" w:orient="landscape"/>
          <w:pgMar w:top="1797" w:right="1440" w:bottom="1797" w:left="1440" w:header="851" w:footer="992" w:gutter="0"/>
          <w:pgNumType w:fmt="decimal"/>
          <w:cols w:space="720" w:num="1"/>
          <w:docGrid w:linePitch="312" w:charSpace="0"/>
        </w:sectPr>
      </w:pPr>
    </w:p>
    <w:p w14:paraId="71B23C26">
      <w:pPr>
        <w:pStyle w:val="10"/>
        <w:adjustRightInd w:val="0"/>
        <w:snapToGrid w:val="0"/>
        <w:spacing w:beforeLines="50" w:after="0" w:line="360" w:lineRule="auto"/>
        <w:rPr>
          <w:rFonts w:hint="default" w:ascii="Times New Roman" w:hAnsi="Times New Roman" w:eastAsia="宋体" w:cs="Times New Roman"/>
          <w:color w:val="auto"/>
          <w:lang w:val="en-US" w:eastAsia="zh-CN"/>
        </w:rPr>
      </w:pPr>
      <w:bookmarkStart w:id="212" w:name="_Toc12077"/>
      <w:r>
        <w:rPr>
          <w:rFonts w:hint="eastAsia" w:ascii="Times New Roman" w:hAnsi="Times New Roman" w:eastAsia="宋体" w:cs="Times New Roman"/>
          <w:color w:val="auto"/>
          <w:lang w:val="en-US" w:eastAsia="zh-CN"/>
        </w:rPr>
        <w:t>2.10现有项目存在的问题</w:t>
      </w:r>
      <w:bookmarkEnd w:id="212"/>
    </w:p>
    <w:p w14:paraId="31818E6D">
      <w:pPr>
        <w:numPr>
          <w:ilvl w:val="0"/>
          <w:numId w:val="4"/>
        </w:numPr>
        <w:adjustRightInd w:val="0"/>
        <w:snapToGrid w:val="0"/>
        <w:ind w:firstLine="480" w:firstLineChars="200"/>
        <w:rPr>
          <w:rFonts w:hint="eastAsia" w:ascii="Times New Roman" w:hAnsi="Times New Roman" w:cs="Times New Roman"/>
          <w:color w:val="auto"/>
          <w:szCs w:val="28"/>
          <w:lang w:val="en-US" w:eastAsia="zh-CN"/>
        </w:rPr>
      </w:pPr>
      <w:r>
        <w:rPr>
          <w:rFonts w:hint="eastAsia" w:ascii="Times New Roman" w:hAnsi="Times New Roman" w:cs="Times New Roman"/>
          <w:color w:val="auto"/>
          <w:szCs w:val="28"/>
          <w:lang w:val="en-US" w:eastAsia="zh-CN"/>
        </w:rPr>
        <w:t>未建危险废物暂存间；</w:t>
      </w:r>
    </w:p>
    <w:p w14:paraId="1A6DF008">
      <w:pPr>
        <w:numPr>
          <w:ilvl w:val="0"/>
          <w:numId w:val="4"/>
        </w:numPr>
        <w:adjustRightInd w:val="0"/>
        <w:snapToGrid w:val="0"/>
        <w:ind w:firstLine="480" w:firstLineChars="200"/>
        <w:rPr>
          <w:rFonts w:hint="default" w:ascii="Times New Roman" w:hAnsi="Times New Roman" w:cs="Times New Roman"/>
          <w:color w:val="auto"/>
          <w:szCs w:val="28"/>
          <w:lang w:val="en-US" w:eastAsia="zh-CN"/>
        </w:rPr>
      </w:pPr>
      <w:r>
        <w:rPr>
          <w:rFonts w:hint="eastAsia" w:ascii="Times New Roman" w:hAnsi="Times New Roman" w:cs="Times New Roman"/>
          <w:color w:val="auto"/>
          <w:szCs w:val="28"/>
          <w:lang w:val="en-US" w:eastAsia="zh-CN"/>
        </w:rPr>
        <w:t>未建一般固废间；</w:t>
      </w:r>
    </w:p>
    <w:p w14:paraId="2EA17BAD">
      <w:pPr>
        <w:numPr>
          <w:ilvl w:val="0"/>
          <w:numId w:val="0"/>
        </w:numPr>
        <w:adjustRightInd w:val="0"/>
        <w:snapToGrid w:val="0"/>
        <w:ind w:firstLine="480" w:firstLineChars="200"/>
        <w:rPr>
          <w:rFonts w:hint="default" w:ascii="Times New Roman" w:hAnsi="Times New Roman" w:cs="Times New Roman"/>
          <w:color w:val="auto"/>
          <w:szCs w:val="28"/>
          <w:lang w:val="en-US" w:eastAsia="zh-CN"/>
        </w:rPr>
      </w:pPr>
      <w:r>
        <w:rPr>
          <w:rFonts w:hint="eastAsia" w:ascii="Times New Roman" w:hAnsi="Times New Roman" w:cs="Times New Roman"/>
          <w:color w:val="auto"/>
          <w:szCs w:val="28"/>
          <w:lang w:val="en-US" w:eastAsia="zh-CN"/>
        </w:rPr>
        <w:t>整改措施：于项目机修车间南侧设置一间10m</w:t>
      </w:r>
      <w:r>
        <w:rPr>
          <w:rFonts w:hint="eastAsia" w:ascii="Times New Roman" w:hAnsi="Times New Roman" w:cs="Times New Roman"/>
          <w:color w:val="auto"/>
          <w:szCs w:val="28"/>
          <w:vertAlign w:val="superscript"/>
          <w:lang w:val="en-US" w:eastAsia="zh-CN"/>
        </w:rPr>
        <w:t>2</w:t>
      </w:r>
      <w:r>
        <w:rPr>
          <w:rFonts w:hint="eastAsia" w:ascii="Times New Roman" w:hAnsi="Times New Roman" w:cs="Times New Roman"/>
          <w:color w:val="auto"/>
          <w:szCs w:val="28"/>
          <w:lang w:val="en-US" w:eastAsia="zh-CN"/>
        </w:rPr>
        <w:t>的危险废物暂存间，于项目成品仓库西侧设置一间20m</w:t>
      </w:r>
      <w:r>
        <w:rPr>
          <w:rFonts w:hint="eastAsia" w:ascii="Times New Roman" w:hAnsi="Times New Roman" w:cs="Times New Roman"/>
          <w:color w:val="auto"/>
          <w:szCs w:val="28"/>
          <w:vertAlign w:val="superscript"/>
          <w:lang w:val="en-US" w:eastAsia="zh-CN"/>
        </w:rPr>
        <w:t>2</w:t>
      </w:r>
      <w:r>
        <w:rPr>
          <w:rFonts w:hint="eastAsia" w:ascii="Times New Roman" w:hAnsi="Times New Roman" w:cs="Times New Roman"/>
          <w:color w:val="auto"/>
          <w:szCs w:val="28"/>
          <w:lang w:val="en-US" w:eastAsia="zh-CN"/>
        </w:rPr>
        <w:t>的一般固废间。</w:t>
      </w:r>
    </w:p>
    <w:p w14:paraId="319076B6">
      <w:pPr>
        <w:pStyle w:val="10"/>
        <w:adjustRightInd w:val="0"/>
        <w:snapToGrid w:val="0"/>
        <w:spacing w:beforeLines="50" w:after="0" w:line="360" w:lineRule="auto"/>
        <w:rPr>
          <w:rFonts w:hint="default" w:ascii="Times New Roman" w:hAnsi="Times New Roman" w:eastAsia="宋体" w:cs="Times New Roman"/>
          <w:color w:val="auto"/>
        </w:rPr>
      </w:pPr>
      <w:bookmarkStart w:id="213" w:name="_Toc23522"/>
      <w:r>
        <w:rPr>
          <w:rFonts w:hint="default" w:ascii="Times New Roman" w:hAnsi="Times New Roman" w:eastAsia="宋体" w:cs="Times New Roman"/>
          <w:color w:val="auto"/>
        </w:rPr>
        <w:t>2.</w:t>
      </w:r>
      <w:r>
        <w:rPr>
          <w:rFonts w:hint="eastAsia" w:ascii="Times New Roman" w:hAnsi="Times New Roman" w:eastAsia="宋体" w:cs="Times New Roman"/>
          <w:color w:val="auto"/>
          <w:lang w:val="en-US" w:eastAsia="zh-CN"/>
        </w:rPr>
        <w:t>11扩建</w:t>
      </w:r>
      <w:r>
        <w:rPr>
          <w:rFonts w:hint="default" w:ascii="Times New Roman" w:hAnsi="Times New Roman" w:eastAsia="宋体" w:cs="Times New Roman"/>
          <w:color w:val="auto"/>
        </w:rPr>
        <w:t>项目基本情况</w:t>
      </w:r>
      <w:bookmarkEnd w:id="213"/>
    </w:p>
    <w:p w14:paraId="74ED51CC">
      <w:pPr>
        <w:adjustRightInd w:val="0"/>
        <w:snapToGrid w:val="0"/>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（1）项目名称：</w:t>
      </w:r>
      <w:r>
        <w:rPr>
          <w:rFonts w:hint="default" w:ascii="Times New Roman" w:hAnsi="Times New Roman" w:eastAsia="宋体" w:cs="Times New Roman"/>
          <w:color w:val="auto"/>
          <w:lang w:eastAsia="zh-CN"/>
        </w:rPr>
        <w:t>云南业勤服饰有限公司建设</w:t>
      </w:r>
      <w:r>
        <w:rPr>
          <w:rFonts w:hint="default" w:ascii="Times New Roman" w:hAnsi="Times New Roman" w:eastAsia="宋体" w:cs="Times New Roman"/>
          <w:color w:val="auto"/>
        </w:rPr>
        <w:t>项目</w:t>
      </w:r>
    </w:p>
    <w:p w14:paraId="6178CC38">
      <w:pPr>
        <w:adjustRightInd w:val="0"/>
        <w:snapToGrid w:val="0"/>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（2）建设单位：</w:t>
      </w:r>
      <w:r>
        <w:rPr>
          <w:rFonts w:hint="default" w:ascii="Times New Roman" w:hAnsi="Times New Roman" w:eastAsia="宋体" w:cs="Times New Roman"/>
          <w:color w:val="auto"/>
          <w:lang w:eastAsia="zh-CN"/>
        </w:rPr>
        <w:t>云南业勤服饰有限公司</w:t>
      </w:r>
    </w:p>
    <w:p w14:paraId="7F0CB82D">
      <w:pPr>
        <w:adjustRightInd w:val="0"/>
        <w:snapToGrid w:val="0"/>
        <w:ind w:firstLine="482"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b/>
          <w:color w:val="auto"/>
        </w:rPr>
        <w:t>（3）项目地点：</w:t>
      </w:r>
      <w:r>
        <w:rPr>
          <w:rFonts w:hint="default" w:ascii="Times New Roman" w:hAnsi="Times New Roman" w:eastAsia="宋体" w:cs="Times New Roman"/>
          <w:color w:val="auto"/>
          <w:lang w:eastAsia="zh-CN"/>
        </w:rPr>
        <w:t>芒市帕底工业园区</w:t>
      </w:r>
    </w:p>
    <w:p w14:paraId="36B3A825">
      <w:pPr>
        <w:adjustRightInd w:val="0"/>
        <w:snapToGrid w:val="0"/>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color w:val="auto"/>
        </w:rPr>
        <w:t>（4）项目性质：</w:t>
      </w:r>
      <w:r>
        <w:rPr>
          <w:rFonts w:hint="default" w:ascii="Times New Roman" w:hAnsi="Times New Roman" w:eastAsia="宋体" w:cs="Times New Roman"/>
          <w:color w:val="auto"/>
          <w:lang w:eastAsia="zh-CN"/>
        </w:rPr>
        <w:t>扩</w:t>
      </w:r>
      <w:r>
        <w:rPr>
          <w:rFonts w:hint="default" w:ascii="Times New Roman" w:hAnsi="Times New Roman" w:eastAsia="宋体" w:cs="Times New Roman"/>
          <w:color w:val="auto"/>
        </w:rPr>
        <w:t>建</w:t>
      </w:r>
    </w:p>
    <w:p w14:paraId="0CB2B786">
      <w:pPr>
        <w:adjustRightInd w:val="0"/>
        <w:snapToGrid w:val="0"/>
        <w:ind w:firstLine="472" w:firstLineChars="196"/>
        <w:rPr>
          <w:rFonts w:hint="default" w:ascii="Times New Roman" w:hAnsi="Times New Roman" w:eastAsia="宋体" w:cs="Times New Roman"/>
          <w:color w:val="auto"/>
        </w:rPr>
      </w:pPr>
      <w:r>
        <w:rPr>
          <w:rFonts w:hint="default" w:ascii="Times New Roman" w:hAnsi="Times New Roman" w:eastAsia="宋体" w:cs="Times New Roman"/>
          <w:b/>
          <w:color w:val="auto"/>
        </w:rPr>
        <w:t>（5）总投资：</w:t>
      </w:r>
      <w:r>
        <w:rPr>
          <w:rFonts w:hint="default" w:ascii="Times New Roman" w:hAnsi="Times New Roman" w:eastAsia="宋体" w:cs="Times New Roman"/>
          <w:color w:val="auto"/>
          <w:szCs w:val="28"/>
          <w:lang w:val="en-US" w:eastAsia="zh-CN"/>
        </w:rPr>
        <w:t>1200万元</w:t>
      </w:r>
      <w:r>
        <w:rPr>
          <w:rFonts w:hint="default" w:ascii="Times New Roman" w:hAnsi="Times New Roman" w:eastAsia="宋体" w:cs="Times New Roman"/>
          <w:color w:val="auto"/>
          <w:szCs w:val="28"/>
        </w:rPr>
        <w:t xml:space="preserve">。 </w:t>
      </w:r>
    </w:p>
    <w:p w14:paraId="39714D42">
      <w:pPr>
        <w:pStyle w:val="10"/>
        <w:adjustRightInd w:val="0"/>
        <w:snapToGrid w:val="0"/>
        <w:spacing w:beforeLines="50" w:after="0" w:line="360" w:lineRule="auto"/>
        <w:rPr>
          <w:rFonts w:hint="default" w:ascii="Times New Roman" w:hAnsi="Times New Roman" w:eastAsia="宋体" w:cs="Times New Roman"/>
          <w:color w:val="auto"/>
        </w:rPr>
      </w:pPr>
      <w:bookmarkStart w:id="214" w:name="_Toc4972"/>
      <w:bookmarkStart w:id="215" w:name="_Toc3651"/>
      <w:r>
        <w:rPr>
          <w:rFonts w:hint="default" w:ascii="Times New Roman" w:hAnsi="Times New Roman" w:eastAsia="宋体" w:cs="Times New Roman"/>
          <w:color w:val="auto"/>
        </w:rPr>
        <w:t>2.</w:t>
      </w:r>
      <w:r>
        <w:rPr>
          <w:rFonts w:hint="eastAsia" w:ascii="Times New Roman" w:hAnsi="Times New Roman" w:eastAsia="宋体" w:cs="Times New Roman"/>
          <w:color w:val="auto"/>
          <w:lang w:val="en-US" w:eastAsia="zh-CN"/>
        </w:rPr>
        <w:t>12</w:t>
      </w:r>
      <w:r>
        <w:rPr>
          <w:rFonts w:hint="eastAsia" w:ascii="Times New Roman" w:hAnsi="Times New Roman" w:eastAsia="宋体" w:cs="Times New Roman"/>
          <w:color w:val="auto"/>
          <w:lang w:eastAsia="zh-CN"/>
        </w:rPr>
        <w:t>扩建</w:t>
      </w:r>
      <w:r>
        <w:rPr>
          <w:rFonts w:hint="default" w:ascii="Times New Roman" w:hAnsi="Times New Roman" w:eastAsia="宋体" w:cs="Times New Roman"/>
          <w:color w:val="auto"/>
        </w:rPr>
        <w:t>项目建设内容</w:t>
      </w:r>
      <w:bookmarkEnd w:id="214"/>
      <w:bookmarkEnd w:id="215"/>
    </w:p>
    <w:p w14:paraId="4BFE3AF0">
      <w:pPr>
        <w:adjustRightInd w:val="0"/>
        <w:snapToGrid w:val="0"/>
        <w:ind w:firstLine="480" w:firstLineChars="200"/>
        <w:rPr>
          <w:rFonts w:hint="default" w:ascii="Times New Roman" w:hAnsi="Times New Roman" w:eastAsia="宋体" w:cs="Times New Roman"/>
          <w:color w:val="auto"/>
          <w:szCs w:val="28"/>
        </w:rPr>
      </w:pPr>
      <w:r>
        <w:rPr>
          <w:rFonts w:hint="eastAsia" w:ascii="Times New Roman" w:hAnsi="Times New Roman" w:cs="Times New Roman"/>
          <w:color w:val="auto"/>
          <w:szCs w:val="28"/>
          <w:lang w:eastAsia="zh-CN"/>
        </w:rPr>
        <w:t>扩建</w:t>
      </w:r>
      <w:r>
        <w:rPr>
          <w:rFonts w:hint="default" w:ascii="Times New Roman" w:hAnsi="Times New Roman" w:eastAsia="宋体" w:cs="Times New Roman"/>
          <w:color w:val="auto"/>
          <w:szCs w:val="28"/>
        </w:rPr>
        <w:t>项目建设地点位于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占地</w:t>
      </w:r>
      <w:r>
        <w:rPr>
          <w:rFonts w:hint="default" w:ascii="Times New Roman" w:hAnsi="Times New Roman" w:eastAsia="宋体" w:cs="Times New Roman"/>
          <w:color w:val="auto"/>
          <w:szCs w:val="28"/>
        </w:rPr>
        <w:t>面积</w:t>
      </w:r>
      <w:r>
        <w:rPr>
          <w:rFonts w:hint="default" w:ascii="Times New Roman" w:hAnsi="Times New Roman" w:eastAsia="宋体" w:cs="Times New Roman"/>
          <w:color w:val="auto"/>
          <w:szCs w:val="28"/>
          <w:lang w:eastAsia="zh-CN"/>
        </w:rPr>
        <w:t>约</w:t>
      </w:r>
      <w:r>
        <w:rPr>
          <w:rFonts w:hint="eastAsia" w:ascii="Times New Roman" w:hAnsi="Times New Roman" w:cs="Times New Roman"/>
          <w:color w:val="auto"/>
          <w:szCs w:val="28"/>
          <w:lang w:val="en-US" w:eastAsia="zh-CN"/>
        </w:rPr>
        <w:t>493</w:t>
      </w:r>
      <w:r>
        <w:rPr>
          <w:rFonts w:hint="default" w:ascii="Times New Roman" w:hAnsi="Times New Roman" w:eastAsia="宋体" w:cs="Times New Roman"/>
          <w:color w:val="auto"/>
          <w:szCs w:val="28"/>
          <w:lang w:val="en-US" w:eastAsia="zh-CN"/>
        </w:rPr>
        <w:t>m</w:t>
      </w:r>
      <w:r>
        <w:rPr>
          <w:rFonts w:hint="default" w:ascii="Times New Roman" w:hAnsi="Times New Roman" w:eastAsia="宋体" w:cs="Times New Roman"/>
          <w:color w:val="auto"/>
          <w:szCs w:val="28"/>
          <w:vertAlign w:val="superscript"/>
          <w:lang w:val="en-US" w:eastAsia="zh-CN"/>
        </w:rPr>
        <w:t>2</w:t>
      </w:r>
      <w:r>
        <w:rPr>
          <w:rFonts w:hint="default" w:ascii="Times New Roman" w:hAnsi="Times New Roman" w:eastAsia="宋体" w:cs="Times New Roman"/>
          <w:color w:val="auto"/>
          <w:szCs w:val="28"/>
        </w:rPr>
        <w:t>，建筑面积</w:t>
      </w:r>
      <w:r>
        <w:rPr>
          <w:rFonts w:hint="eastAsia" w:ascii="Times New Roman" w:hAnsi="Times New Roman" w:cs="Times New Roman"/>
          <w:color w:val="auto"/>
          <w:szCs w:val="28"/>
          <w:lang w:val="en-US" w:eastAsia="zh-CN"/>
        </w:rPr>
        <w:t>493.</w:t>
      </w:r>
      <w:r>
        <w:rPr>
          <w:rFonts w:hint="default" w:ascii="Times New Roman" w:hAnsi="Times New Roman" w:eastAsia="宋体" w:cs="Times New Roman"/>
          <w:color w:val="auto"/>
          <w:szCs w:val="28"/>
        </w:rPr>
        <w:t>m</w:t>
      </w:r>
      <w:r>
        <w:rPr>
          <w:rFonts w:hint="default" w:ascii="Times New Roman" w:hAnsi="Times New Roman" w:eastAsia="宋体" w:cs="Times New Roman"/>
          <w:color w:val="auto"/>
          <w:szCs w:val="28"/>
          <w:vertAlign w:val="superscript"/>
        </w:rPr>
        <w:t>2</w:t>
      </w:r>
      <w:r>
        <w:rPr>
          <w:rFonts w:hint="default" w:ascii="Times New Roman" w:hAnsi="Times New Roman" w:eastAsia="宋体" w:cs="Times New Roman"/>
          <w:color w:val="auto"/>
          <w:szCs w:val="28"/>
        </w:rPr>
        <w:t>，土建</w:t>
      </w:r>
      <w:r>
        <w:rPr>
          <w:rFonts w:hint="default" w:ascii="Times New Roman" w:hAnsi="Times New Roman" w:eastAsia="宋体" w:cs="Times New Roman"/>
          <w:color w:val="auto"/>
        </w:rPr>
        <w:t>技术指标见表2.</w:t>
      </w:r>
      <w:r>
        <w:rPr>
          <w:rFonts w:hint="eastAsia" w:ascii="Times New Roman" w:hAnsi="Times New Roman" w:cs="Times New Roman"/>
          <w:color w:val="auto"/>
          <w:lang w:val="en-US" w:eastAsia="zh-CN"/>
        </w:rPr>
        <w:t>12</w:t>
      </w:r>
      <w:r>
        <w:rPr>
          <w:rFonts w:hint="default" w:ascii="Times New Roman" w:hAnsi="Times New Roman" w:eastAsia="宋体" w:cs="Times New Roman"/>
          <w:color w:val="auto"/>
        </w:rPr>
        <w:t>-1。</w:t>
      </w:r>
    </w:p>
    <w:p w14:paraId="290762FB">
      <w:pPr>
        <w:autoSpaceDE w:val="0"/>
        <w:autoSpaceDN w:val="0"/>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w:t>
      </w:r>
      <w:r>
        <w:rPr>
          <w:rFonts w:hint="eastAsia" w:ascii="Times New Roman" w:hAnsi="Times New Roman" w:cs="Times New Roman"/>
          <w:b/>
          <w:color w:val="auto"/>
          <w:lang w:val="en-US" w:eastAsia="zh-CN"/>
        </w:rPr>
        <w:t>12</w:t>
      </w:r>
      <w:r>
        <w:rPr>
          <w:rFonts w:hint="default" w:ascii="Times New Roman" w:hAnsi="Times New Roman" w:eastAsia="宋体" w:cs="Times New Roman"/>
          <w:b/>
          <w:color w:val="auto"/>
        </w:rPr>
        <w:t>-1  工程土建技术指标一览表</w:t>
      </w:r>
    </w:p>
    <w:tbl>
      <w:tblPr>
        <w:tblStyle w:val="6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704"/>
        <w:gridCol w:w="1055"/>
        <w:gridCol w:w="1983"/>
        <w:gridCol w:w="2039"/>
      </w:tblGrid>
      <w:tr w14:paraId="789C2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18BF64BE">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2704" w:type="dxa"/>
            <w:tcBorders>
              <w:top w:val="single" w:color="auto" w:sz="4" w:space="0"/>
              <w:left w:val="single" w:color="auto" w:sz="4" w:space="0"/>
              <w:bottom w:val="single" w:color="auto" w:sz="4" w:space="0"/>
              <w:right w:val="single" w:color="auto" w:sz="4" w:space="0"/>
            </w:tcBorders>
            <w:vAlign w:val="center"/>
          </w:tcPr>
          <w:p w14:paraId="46FA17EA">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名称</w:t>
            </w:r>
          </w:p>
        </w:tc>
        <w:tc>
          <w:tcPr>
            <w:tcW w:w="1055" w:type="dxa"/>
            <w:tcBorders>
              <w:top w:val="single" w:color="auto" w:sz="4" w:space="0"/>
              <w:left w:val="single" w:color="auto" w:sz="4" w:space="0"/>
              <w:bottom w:val="single" w:color="auto" w:sz="4" w:space="0"/>
              <w:right w:val="single" w:color="auto" w:sz="4" w:space="0"/>
            </w:tcBorders>
            <w:vAlign w:val="center"/>
          </w:tcPr>
          <w:p w14:paraId="73FD608A">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单位</w:t>
            </w:r>
          </w:p>
        </w:tc>
        <w:tc>
          <w:tcPr>
            <w:tcW w:w="1983" w:type="dxa"/>
            <w:tcBorders>
              <w:top w:val="single" w:color="auto" w:sz="4" w:space="0"/>
              <w:left w:val="single" w:color="auto" w:sz="4" w:space="0"/>
              <w:bottom w:val="single" w:color="auto" w:sz="4" w:space="0"/>
              <w:right w:val="single" w:color="auto" w:sz="4" w:space="0"/>
            </w:tcBorders>
            <w:vAlign w:val="center"/>
          </w:tcPr>
          <w:p w14:paraId="2AA4B726">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数量</w:t>
            </w:r>
          </w:p>
        </w:tc>
        <w:tc>
          <w:tcPr>
            <w:tcW w:w="2039" w:type="dxa"/>
            <w:tcBorders>
              <w:top w:val="single" w:color="auto" w:sz="4" w:space="0"/>
              <w:left w:val="single" w:color="auto" w:sz="4" w:space="0"/>
              <w:bottom w:val="single" w:color="auto" w:sz="4" w:space="0"/>
              <w:right w:val="single" w:color="auto" w:sz="4" w:space="0"/>
            </w:tcBorders>
            <w:vAlign w:val="center"/>
          </w:tcPr>
          <w:p w14:paraId="3B753942">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备注</w:t>
            </w:r>
          </w:p>
        </w:tc>
      </w:tr>
      <w:tr w14:paraId="093C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37B5D332">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2704" w:type="dxa"/>
            <w:tcBorders>
              <w:top w:val="single" w:color="auto" w:sz="4" w:space="0"/>
              <w:left w:val="single" w:color="auto" w:sz="4" w:space="0"/>
              <w:bottom w:val="single" w:color="auto" w:sz="4" w:space="0"/>
              <w:right w:val="single" w:color="auto" w:sz="4" w:space="0"/>
            </w:tcBorders>
            <w:vAlign w:val="center"/>
          </w:tcPr>
          <w:p w14:paraId="3E6B12AA">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总用地面积</w:t>
            </w:r>
          </w:p>
        </w:tc>
        <w:tc>
          <w:tcPr>
            <w:tcW w:w="1055" w:type="dxa"/>
            <w:tcBorders>
              <w:top w:val="single" w:color="auto" w:sz="4" w:space="0"/>
              <w:left w:val="single" w:color="auto" w:sz="4" w:space="0"/>
              <w:bottom w:val="single" w:color="auto" w:sz="4" w:space="0"/>
              <w:right w:val="single" w:color="auto" w:sz="4" w:space="0"/>
            </w:tcBorders>
            <w:vAlign w:val="center"/>
          </w:tcPr>
          <w:p w14:paraId="1D7851FC">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7A282D3A">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493</w:t>
            </w:r>
          </w:p>
        </w:tc>
        <w:tc>
          <w:tcPr>
            <w:tcW w:w="2039" w:type="dxa"/>
            <w:tcBorders>
              <w:top w:val="single" w:color="auto" w:sz="4" w:space="0"/>
              <w:left w:val="single" w:color="auto" w:sz="4" w:space="0"/>
              <w:bottom w:val="single" w:color="auto" w:sz="4" w:space="0"/>
              <w:right w:val="single" w:color="auto" w:sz="4" w:space="0"/>
            </w:tcBorders>
            <w:vAlign w:val="center"/>
          </w:tcPr>
          <w:p w14:paraId="049EC61B">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w:t>
            </w:r>
          </w:p>
        </w:tc>
      </w:tr>
      <w:tr w14:paraId="313D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7BA69A3C">
            <w:pPr>
              <w:autoSpaceDE w:val="0"/>
              <w:autoSpaceDN w:val="0"/>
              <w:adjustRightInd w:val="0"/>
              <w:snapToGrid w:val="0"/>
              <w:spacing w:line="240" w:lineRule="auto"/>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w:t>
            </w:r>
          </w:p>
        </w:tc>
        <w:tc>
          <w:tcPr>
            <w:tcW w:w="2704" w:type="dxa"/>
            <w:tcBorders>
              <w:top w:val="single" w:color="auto" w:sz="4" w:space="0"/>
              <w:left w:val="single" w:color="auto" w:sz="4" w:space="0"/>
              <w:bottom w:val="single" w:color="auto" w:sz="4" w:space="0"/>
              <w:right w:val="single" w:color="auto" w:sz="4" w:space="0"/>
            </w:tcBorders>
            <w:vAlign w:val="center"/>
          </w:tcPr>
          <w:p w14:paraId="56C49DD4">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建筑面积</w:t>
            </w:r>
          </w:p>
        </w:tc>
        <w:tc>
          <w:tcPr>
            <w:tcW w:w="1055" w:type="dxa"/>
            <w:tcBorders>
              <w:top w:val="single" w:color="auto" w:sz="4" w:space="0"/>
              <w:left w:val="single" w:color="auto" w:sz="4" w:space="0"/>
              <w:bottom w:val="single" w:color="auto" w:sz="4" w:space="0"/>
              <w:right w:val="single" w:color="auto" w:sz="4" w:space="0"/>
            </w:tcBorders>
            <w:vAlign w:val="center"/>
          </w:tcPr>
          <w:p w14:paraId="0CC5D356">
            <w:pPr>
              <w:autoSpaceDE w:val="0"/>
              <w:autoSpaceDN w:val="0"/>
              <w:adjustRightInd w:val="0"/>
              <w:snapToGrid w:val="0"/>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52A5FB63">
            <w:pPr>
              <w:autoSpaceDE w:val="0"/>
              <w:autoSpaceDN w:val="0"/>
              <w:adjustRightInd w:val="0"/>
              <w:snapToGrid w:val="0"/>
              <w:spacing w:line="240" w:lineRule="auto"/>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493</w:t>
            </w:r>
          </w:p>
        </w:tc>
        <w:tc>
          <w:tcPr>
            <w:tcW w:w="2039" w:type="dxa"/>
            <w:tcBorders>
              <w:top w:val="single" w:color="auto" w:sz="4" w:space="0"/>
              <w:left w:val="single" w:color="auto" w:sz="4" w:space="0"/>
              <w:bottom w:val="single" w:color="auto" w:sz="4" w:space="0"/>
              <w:right w:val="single" w:color="auto" w:sz="4" w:space="0"/>
            </w:tcBorders>
            <w:vAlign w:val="center"/>
          </w:tcPr>
          <w:p w14:paraId="333594E0">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r>
      <w:tr w14:paraId="6604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5D05569E">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2704" w:type="dxa"/>
            <w:tcBorders>
              <w:top w:val="single" w:color="auto" w:sz="4" w:space="0"/>
              <w:left w:val="single" w:color="auto" w:sz="4" w:space="0"/>
              <w:bottom w:val="single" w:color="auto" w:sz="4" w:space="0"/>
              <w:right w:val="single" w:color="auto" w:sz="4" w:space="0"/>
            </w:tcBorders>
            <w:vAlign w:val="center"/>
          </w:tcPr>
          <w:p w14:paraId="4A5A2D4F">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建筑占地总面积</w:t>
            </w:r>
          </w:p>
        </w:tc>
        <w:tc>
          <w:tcPr>
            <w:tcW w:w="1055" w:type="dxa"/>
            <w:tcBorders>
              <w:top w:val="single" w:color="auto" w:sz="4" w:space="0"/>
              <w:left w:val="single" w:color="auto" w:sz="4" w:space="0"/>
              <w:bottom w:val="single" w:color="auto" w:sz="4" w:space="0"/>
              <w:right w:val="single" w:color="auto" w:sz="4" w:space="0"/>
            </w:tcBorders>
            <w:vAlign w:val="center"/>
          </w:tcPr>
          <w:p w14:paraId="2EB2DAA2">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3A0B71E0">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493</w:t>
            </w:r>
          </w:p>
        </w:tc>
        <w:tc>
          <w:tcPr>
            <w:tcW w:w="2039" w:type="dxa"/>
            <w:tcBorders>
              <w:top w:val="single" w:color="auto" w:sz="4" w:space="0"/>
              <w:left w:val="single" w:color="auto" w:sz="4" w:space="0"/>
              <w:bottom w:val="single" w:color="auto" w:sz="4" w:space="0"/>
              <w:right w:val="single" w:color="auto" w:sz="4" w:space="0"/>
            </w:tcBorders>
            <w:vAlign w:val="center"/>
          </w:tcPr>
          <w:p w14:paraId="7AC6789E">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377D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tcBorders>
              <w:top w:val="single" w:color="auto" w:sz="4" w:space="0"/>
              <w:left w:val="single" w:color="auto" w:sz="4" w:space="0"/>
              <w:bottom w:val="single" w:color="auto" w:sz="4" w:space="0"/>
              <w:right w:val="single" w:color="auto" w:sz="4" w:space="0"/>
            </w:tcBorders>
            <w:vAlign w:val="center"/>
          </w:tcPr>
          <w:p w14:paraId="180B1738">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w:t>
            </w:r>
          </w:p>
        </w:tc>
        <w:tc>
          <w:tcPr>
            <w:tcW w:w="2704" w:type="dxa"/>
            <w:tcBorders>
              <w:top w:val="single" w:color="auto" w:sz="4" w:space="0"/>
              <w:left w:val="single" w:color="auto" w:sz="4" w:space="0"/>
              <w:bottom w:val="single" w:color="auto" w:sz="4" w:space="0"/>
              <w:right w:val="single" w:color="auto" w:sz="4" w:space="0"/>
            </w:tcBorders>
            <w:vAlign w:val="center"/>
          </w:tcPr>
          <w:p w14:paraId="6966FDB1">
            <w:pPr>
              <w:autoSpaceDE w:val="0"/>
              <w:autoSpaceDN w:val="0"/>
              <w:adjustRightInd w:val="0"/>
              <w:snapToGrid w:val="0"/>
              <w:spacing w:line="240" w:lineRule="auto"/>
              <w:jc w:val="center"/>
              <w:rPr>
                <w:rFonts w:hint="eastAsia" w:ascii="Times New Roman" w:hAnsi="Times New Roman" w:cs="Times New Roman"/>
                <w:color w:val="auto"/>
                <w:sz w:val="21"/>
                <w:lang w:eastAsia="zh-CN"/>
              </w:rPr>
            </w:pPr>
            <w:r>
              <w:rPr>
                <w:rFonts w:hint="eastAsia" w:ascii="Times New Roman" w:hAnsi="Times New Roman" w:cs="Times New Roman"/>
                <w:color w:val="auto"/>
                <w:sz w:val="21"/>
                <w:lang w:eastAsia="zh-CN"/>
              </w:rPr>
              <w:t>水洗车间</w:t>
            </w:r>
          </w:p>
        </w:tc>
        <w:tc>
          <w:tcPr>
            <w:tcW w:w="1055" w:type="dxa"/>
            <w:tcBorders>
              <w:top w:val="single" w:color="auto" w:sz="4" w:space="0"/>
              <w:left w:val="single" w:color="auto" w:sz="4" w:space="0"/>
              <w:bottom w:val="single" w:color="auto" w:sz="4" w:space="0"/>
              <w:right w:val="single" w:color="auto" w:sz="4" w:space="0"/>
            </w:tcBorders>
            <w:vAlign w:val="center"/>
          </w:tcPr>
          <w:p w14:paraId="35CDAEF1">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p>
        </w:tc>
        <w:tc>
          <w:tcPr>
            <w:tcW w:w="1983" w:type="dxa"/>
            <w:tcBorders>
              <w:top w:val="single" w:color="auto" w:sz="4" w:space="0"/>
              <w:left w:val="single" w:color="auto" w:sz="4" w:space="0"/>
              <w:bottom w:val="single" w:color="auto" w:sz="4" w:space="0"/>
              <w:right w:val="single" w:color="auto" w:sz="4" w:space="0"/>
            </w:tcBorders>
            <w:vAlign w:val="center"/>
          </w:tcPr>
          <w:p w14:paraId="6DDCDC10">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493</w:t>
            </w:r>
          </w:p>
        </w:tc>
        <w:tc>
          <w:tcPr>
            <w:tcW w:w="2039" w:type="dxa"/>
            <w:tcBorders>
              <w:top w:val="single" w:color="auto" w:sz="4" w:space="0"/>
              <w:left w:val="single" w:color="auto" w:sz="4" w:space="0"/>
              <w:bottom w:val="single" w:color="auto" w:sz="4" w:space="0"/>
              <w:right w:val="single" w:color="auto" w:sz="4" w:space="0"/>
            </w:tcBorders>
            <w:vAlign w:val="center"/>
          </w:tcPr>
          <w:p w14:paraId="6BE942F8">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w:t>
            </w:r>
          </w:p>
        </w:tc>
      </w:tr>
    </w:tbl>
    <w:p w14:paraId="7C99A987">
      <w:pPr>
        <w:autoSpaceDE w:val="0"/>
        <w:autoSpaceDN w:val="0"/>
        <w:adjustRightInd w:val="0"/>
        <w:snapToGrid w:val="0"/>
        <w:ind w:firstLine="480" w:firstLineChars="200"/>
        <w:rPr>
          <w:rFonts w:hint="default" w:ascii="Times New Roman" w:hAnsi="Times New Roman" w:eastAsia="宋体" w:cs="Times New Roman"/>
          <w:b/>
          <w:color w:val="auto"/>
        </w:rPr>
      </w:pPr>
      <w:r>
        <w:rPr>
          <w:rFonts w:hint="eastAsia" w:ascii="Times New Roman" w:hAnsi="Times New Roman" w:cs="Times New Roman"/>
          <w:color w:val="auto"/>
          <w:lang w:eastAsia="zh-CN"/>
        </w:rPr>
        <w:t>扩建</w:t>
      </w:r>
      <w:r>
        <w:rPr>
          <w:rFonts w:hint="default" w:ascii="Times New Roman" w:hAnsi="Times New Roman" w:eastAsia="宋体" w:cs="Times New Roman"/>
          <w:color w:val="auto"/>
        </w:rPr>
        <w:t>项目建设内容</w:t>
      </w:r>
      <w:r>
        <w:rPr>
          <w:rFonts w:hint="eastAsia" w:ascii="Times New Roman" w:hAnsi="Times New Roman" w:cs="Times New Roman"/>
          <w:color w:val="auto"/>
          <w:lang w:eastAsia="zh-CN"/>
        </w:rPr>
        <w:t>为扩建一间水洗车间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水洗</w:t>
      </w:r>
      <w:r>
        <w:rPr>
          <w:rFonts w:hint="default" w:ascii="Times New Roman" w:hAnsi="Times New Roman" w:eastAsia="宋体" w:cs="Times New Roman"/>
          <w:color w:val="auto"/>
        </w:rPr>
        <w:t>生产线1条。详细工程组成</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内容见表2.</w:t>
      </w:r>
      <w:r>
        <w:rPr>
          <w:rFonts w:hint="eastAsia" w:ascii="Times New Roman" w:hAnsi="Times New Roman" w:cs="Times New Roman"/>
          <w:color w:val="auto"/>
          <w:lang w:val="en-US" w:eastAsia="zh-CN"/>
        </w:rPr>
        <w:t>12</w:t>
      </w:r>
      <w:r>
        <w:rPr>
          <w:rFonts w:hint="default" w:ascii="Times New Roman" w:hAnsi="Times New Roman" w:eastAsia="宋体" w:cs="Times New Roman"/>
          <w:color w:val="auto"/>
        </w:rPr>
        <w:t>-2。</w:t>
      </w:r>
    </w:p>
    <w:p w14:paraId="664EE9C4">
      <w:pPr>
        <w:autoSpaceDE w:val="0"/>
        <w:autoSpaceDN w:val="0"/>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表2.</w:t>
      </w:r>
      <w:r>
        <w:rPr>
          <w:rFonts w:hint="eastAsia" w:ascii="Times New Roman" w:hAnsi="Times New Roman" w:cs="Times New Roman"/>
          <w:b/>
          <w:color w:val="auto"/>
          <w:lang w:val="en-US" w:eastAsia="zh-CN"/>
        </w:rPr>
        <w:t>12</w:t>
      </w:r>
      <w:r>
        <w:rPr>
          <w:rFonts w:hint="default" w:ascii="Times New Roman" w:hAnsi="Times New Roman" w:eastAsia="宋体" w:cs="Times New Roman"/>
          <w:b/>
          <w:color w:val="auto"/>
        </w:rPr>
        <w:t>-2  项目工程组成一览表</w:t>
      </w:r>
    </w:p>
    <w:tbl>
      <w:tblPr>
        <w:tblStyle w:val="6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428"/>
        <w:gridCol w:w="281"/>
        <w:gridCol w:w="1004"/>
        <w:gridCol w:w="5300"/>
        <w:gridCol w:w="836"/>
      </w:tblGrid>
      <w:tr w14:paraId="12C37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tcBorders>
              <w:top w:val="single" w:color="auto" w:sz="4" w:space="0"/>
              <w:left w:val="single" w:color="auto" w:sz="4" w:space="0"/>
              <w:bottom w:val="single" w:color="auto" w:sz="4" w:space="0"/>
              <w:right w:val="single" w:color="auto" w:sz="4" w:space="0"/>
            </w:tcBorders>
            <w:vAlign w:val="center"/>
          </w:tcPr>
          <w:p w14:paraId="151FFC92">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项目</w:t>
            </w: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6901AFCD">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名称</w:t>
            </w:r>
          </w:p>
        </w:tc>
        <w:tc>
          <w:tcPr>
            <w:tcW w:w="5300" w:type="dxa"/>
            <w:tcBorders>
              <w:top w:val="single" w:color="auto" w:sz="4" w:space="0"/>
              <w:left w:val="single" w:color="auto" w:sz="4" w:space="0"/>
              <w:bottom w:val="single" w:color="auto" w:sz="4" w:space="0"/>
              <w:right w:val="single" w:color="auto" w:sz="4" w:space="0"/>
            </w:tcBorders>
            <w:vAlign w:val="center"/>
          </w:tcPr>
          <w:p w14:paraId="2A116ABF">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建设内容</w:t>
            </w:r>
          </w:p>
        </w:tc>
        <w:tc>
          <w:tcPr>
            <w:tcW w:w="836" w:type="dxa"/>
            <w:tcBorders>
              <w:top w:val="single" w:color="auto" w:sz="4" w:space="0"/>
              <w:left w:val="single" w:color="auto" w:sz="4" w:space="0"/>
              <w:bottom w:val="single" w:color="auto" w:sz="4" w:space="0"/>
              <w:right w:val="single" w:color="auto" w:sz="4" w:space="0"/>
            </w:tcBorders>
            <w:vAlign w:val="center"/>
          </w:tcPr>
          <w:p w14:paraId="35EAC019">
            <w:pPr>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备注</w:t>
            </w:r>
          </w:p>
        </w:tc>
      </w:tr>
      <w:tr w14:paraId="77E9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673" w:type="dxa"/>
            <w:tcBorders>
              <w:left w:val="single" w:color="auto" w:sz="4" w:space="0"/>
              <w:right w:val="single" w:color="auto" w:sz="4" w:space="0"/>
            </w:tcBorders>
            <w:vAlign w:val="center"/>
          </w:tcPr>
          <w:p w14:paraId="6261A953">
            <w:pPr>
              <w:widowControl/>
              <w:spacing w:line="240" w:lineRule="auto"/>
              <w:jc w:val="left"/>
              <w:rPr>
                <w:rFonts w:hint="eastAsia" w:ascii="Times New Roman" w:hAnsi="Times New Roman" w:eastAsia="宋体" w:cs="Times New Roman"/>
                <w:b/>
                <w:bCs/>
                <w:color w:val="auto"/>
                <w:sz w:val="21"/>
                <w:lang w:eastAsia="zh-CN"/>
              </w:rPr>
            </w:pPr>
            <w:r>
              <w:rPr>
                <w:rFonts w:hint="eastAsia" w:ascii="Times New Roman" w:hAnsi="Times New Roman" w:cs="Times New Roman"/>
                <w:b/>
                <w:bCs/>
                <w:color w:val="auto"/>
                <w:sz w:val="21"/>
                <w:lang w:eastAsia="zh-CN"/>
              </w:rPr>
              <w:t>主体工程</w:t>
            </w:r>
          </w:p>
        </w:tc>
        <w:tc>
          <w:tcPr>
            <w:tcW w:w="428" w:type="dxa"/>
            <w:tcBorders>
              <w:left w:val="single" w:color="auto" w:sz="4" w:space="0"/>
              <w:right w:val="single" w:color="auto" w:sz="4" w:space="0"/>
            </w:tcBorders>
            <w:vAlign w:val="center"/>
          </w:tcPr>
          <w:p w14:paraId="39B3350E">
            <w:pPr>
              <w:widowControl/>
              <w:spacing w:line="240" w:lineRule="auto"/>
              <w:jc w:val="left"/>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水洗车间</w:t>
            </w:r>
          </w:p>
        </w:tc>
        <w:tc>
          <w:tcPr>
            <w:tcW w:w="1285" w:type="dxa"/>
            <w:gridSpan w:val="2"/>
            <w:tcBorders>
              <w:top w:val="single" w:color="auto" w:sz="4" w:space="0"/>
              <w:left w:val="single" w:color="auto" w:sz="4" w:space="0"/>
              <w:right w:val="single" w:color="auto" w:sz="4" w:space="0"/>
            </w:tcBorders>
            <w:vAlign w:val="center"/>
          </w:tcPr>
          <w:p w14:paraId="7AF44709">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水洗车间</w:t>
            </w:r>
          </w:p>
        </w:tc>
        <w:tc>
          <w:tcPr>
            <w:tcW w:w="5300" w:type="dxa"/>
            <w:tcBorders>
              <w:top w:val="single" w:color="auto" w:sz="4" w:space="0"/>
              <w:left w:val="single" w:color="auto" w:sz="4" w:space="0"/>
              <w:right w:val="single" w:color="auto" w:sz="4" w:space="0"/>
            </w:tcBorders>
            <w:vAlign w:val="center"/>
          </w:tcPr>
          <w:p w14:paraId="375997DD">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位于项目</w:t>
            </w:r>
            <w:r>
              <w:rPr>
                <w:rFonts w:hint="eastAsia" w:ascii="Times New Roman" w:hAnsi="Times New Roman" w:cs="Times New Roman"/>
                <w:color w:val="auto"/>
                <w:sz w:val="21"/>
                <w:lang w:eastAsia="zh-CN"/>
              </w:rPr>
              <w:t>区南部，生产厂房南部</w:t>
            </w:r>
            <w:r>
              <w:rPr>
                <w:rFonts w:hint="default" w:ascii="Times New Roman" w:hAnsi="Times New Roman" w:eastAsia="宋体" w:cs="Times New Roman"/>
                <w:color w:val="auto"/>
                <w:sz w:val="21"/>
                <w:lang w:eastAsia="zh-CN"/>
              </w:rPr>
              <w:t>，占地面积</w:t>
            </w:r>
            <w:r>
              <w:rPr>
                <w:rFonts w:hint="eastAsia" w:ascii="Times New Roman" w:hAnsi="Times New Roman" w:cs="Times New Roman"/>
                <w:color w:val="auto"/>
                <w:sz w:val="21"/>
                <w:lang w:val="en-US" w:eastAsia="zh-CN"/>
              </w:rPr>
              <w:t>493</w:t>
            </w:r>
            <w:r>
              <w:rPr>
                <w:rFonts w:hint="default" w:ascii="Times New Roman" w:hAnsi="Times New Roman" w:eastAsia="宋体" w:cs="Times New Roman"/>
                <w:color w:val="auto"/>
                <w:sz w:val="21"/>
                <w:lang w:val="en-US" w:eastAsia="zh-CN"/>
              </w:rPr>
              <w:t>m</w:t>
            </w:r>
            <w:r>
              <w:rPr>
                <w:rFonts w:hint="eastAsia" w:ascii="Times New Roman" w:hAnsi="Times New Roman" w:cs="Times New Roman"/>
                <w:color w:val="auto"/>
                <w:sz w:val="21"/>
                <w:vertAlign w:val="superscript"/>
                <w:lang w:val="en-US" w:eastAsia="zh-CN"/>
              </w:rPr>
              <w:t>2</w:t>
            </w:r>
            <w:r>
              <w:rPr>
                <w:rFonts w:hint="eastAsia" w:ascii="Times New Roman" w:hAnsi="Times New Roman" w:cs="Times New Roman"/>
                <w:color w:val="auto"/>
                <w:sz w:val="21"/>
                <w:lang w:val="en-US" w:eastAsia="zh-CN"/>
              </w:rPr>
              <w:t>，</w:t>
            </w:r>
            <w:r>
              <w:rPr>
                <w:rFonts w:hint="default" w:ascii="Times New Roman" w:hAnsi="Times New Roman" w:eastAsia="宋体" w:cs="Times New Roman"/>
                <w:color w:val="auto"/>
                <w:sz w:val="21"/>
                <w:lang w:eastAsia="zh-CN"/>
              </w:rPr>
              <w:t>用于</w:t>
            </w:r>
            <w:r>
              <w:rPr>
                <w:rFonts w:hint="eastAsia" w:ascii="Times New Roman" w:hAnsi="Times New Roman" w:cs="Times New Roman"/>
                <w:color w:val="auto"/>
                <w:sz w:val="21"/>
                <w:lang w:eastAsia="zh-CN"/>
              </w:rPr>
              <w:t>服装水洗</w:t>
            </w:r>
          </w:p>
        </w:tc>
        <w:tc>
          <w:tcPr>
            <w:tcW w:w="836" w:type="dxa"/>
            <w:tcBorders>
              <w:top w:val="single" w:color="auto" w:sz="4" w:space="0"/>
              <w:left w:val="single" w:color="auto" w:sz="4" w:space="0"/>
              <w:bottom w:val="single" w:color="auto" w:sz="4" w:space="0"/>
              <w:right w:val="single" w:color="auto" w:sz="4" w:space="0"/>
            </w:tcBorders>
            <w:vAlign w:val="center"/>
          </w:tcPr>
          <w:p w14:paraId="25329E67">
            <w:pPr>
              <w:widowControl/>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已建厂房进行装修</w:t>
            </w:r>
          </w:p>
        </w:tc>
      </w:tr>
      <w:tr w14:paraId="214D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73" w:type="dxa"/>
            <w:vMerge w:val="restart"/>
            <w:tcBorders>
              <w:top w:val="single" w:color="auto" w:sz="4" w:space="0"/>
              <w:left w:val="single" w:color="auto" w:sz="4" w:space="0"/>
              <w:right w:val="single" w:color="auto" w:sz="4" w:space="0"/>
            </w:tcBorders>
            <w:vAlign w:val="center"/>
          </w:tcPr>
          <w:p w14:paraId="455350F8">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辅助工程</w:t>
            </w: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359EE1A6">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办公</w:t>
            </w:r>
            <w:r>
              <w:rPr>
                <w:rFonts w:hint="default" w:ascii="Times New Roman" w:hAnsi="Times New Roman" w:eastAsia="宋体" w:cs="Times New Roman"/>
                <w:color w:val="auto"/>
                <w:sz w:val="21"/>
                <w:lang w:eastAsia="zh-CN"/>
              </w:rPr>
              <w:t>楼</w:t>
            </w:r>
          </w:p>
        </w:tc>
        <w:tc>
          <w:tcPr>
            <w:tcW w:w="5300" w:type="dxa"/>
            <w:tcBorders>
              <w:top w:val="single" w:color="auto" w:sz="4" w:space="0"/>
              <w:left w:val="single" w:color="auto" w:sz="4" w:space="0"/>
              <w:bottom w:val="single" w:color="auto" w:sz="4" w:space="0"/>
              <w:right w:val="single" w:color="auto" w:sz="4" w:space="0"/>
            </w:tcBorders>
            <w:vAlign w:val="center"/>
          </w:tcPr>
          <w:p w14:paraId="46657CB0">
            <w:pPr>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sz w:val="21"/>
                <w:lang w:eastAsia="zh-CN"/>
              </w:rPr>
              <w:t>依托原有工程办公楼，</w:t>
            </w:r>
            <w:r>
              <w:rPr>
                <w:rFonts w:hint="default" w:ascii="Times New Roman" w:hAnsi="Times New Roman" w:eastAsia="宋体" w:cs="Times New Roman"/>
                <w:color w:val="auto"/>
                <w:sz w:val="21"/>
                <w:lang w:eastAsia="zh-CN"/>
              </w:rPr>
              <w:t>位于项目厂区</w:t>
            </w:r>
            <w:r>
              <w:rPr>
                <w:rFonts w:hint="eastAsia" w:ascii="Times New Roman" w:hAnsi="Times New Roman" w:cs="Times New Roman"/>
                <w:color w:val="auto"/>
                <w:sz w:val="21"/>
                <w:lang w:eastAsia="zh-CN"/>
              </w:rPr>
              <w:t>北</w:t>
            </w:r>
            <w:r>
              <w:rPr>
                <w:rFonts w:hint="default" w:ascii="Times New Roman" w:hAnsi="Times New Roman" w:eastAsia="宋体" w:cs="Times New Roman"/>
                <w:color w:val="auto"/>
                <w:sz w:val="21"/>
                <w:lang w:eastAsia="zh-CN"/>
              </w:rPr>
              <w:t>侧，</w:t>
            </w:r>
            <w:r>
              <w:rPr>
                <w:rFonts w:hint="default" w:ascii="Times New Roman" w:hAnsi="Times New Roman" w:eastAsia="宋体" w:cs="Times New Roman"/>
                <w:color w:val="auto"/>
                <w:sz w:val="21"/>
              </w:rPr>
              <w:t>建筑面积为</w:t>
            </w:r>
            <w:r>
              <w:rPr>
                <w:rFonts w:hint="eastAsia" w:ascii="Times New Roman" w:hAnsi="Times New Roman" w:cs="Times New Roman"/>
                <w:color w:val="auto"/>
                <w:sz w:val="21"/>
                <w:lang w:val="en-US" w:eastAsia="zh-CN"/>
              </w:rPr>
              <w:t>200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p>
        </w:tc>
        <w:tc>
          <w:tcPr>
            <w:tcW w:w="836" w:type="dxa"/>
            <w:tcBorders>
              <w:top w:val="single" w:color="auto" w:sz="4" w:space="0"/>
              <w:left w:val="single" w:color="auto" w:sz="4" w:space="0"/>
              <w:bottom w:val="single" w:color="auto" w:sz="4" w:space="0"/>
              <w:right w:val="single" w:color="auto" w:sz="4" w:space="0"/>
            </w:tcBorders>
            <w:vAlign w:val="center"/>
          </w:tcPr>
          <w:p w14:paraId="191FCEC6">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439B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73" w:type="dxa"/>
            <w:vMerge w:val="continue"/>
            <w:tcBorders>
              <w:left w:val="single" w:color="auto" w:sz="4" w:space="0"/>
              <w:right w:val="single" w:color="auto" w:sz="4" w:space="0"/>
            </w:tcBorders>
            <w:vAlign w:val="center"/>
          </w:tcPr>
          <w:p w14:paraId="3AC7B9BF">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3C9BFD1E">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食堂</w:t>
            </w:r>
          </w:p>
        </w:tc>
        <w:tc>
          <w:tcPr>
            <w:tcW w:w="5300" w:type="dxa"/>
            <w:tcBorders>
              <w:top w:val="single" w:color="auto" w:sz="4" w:space="0"/>
              <w:left w:val="single" w:color="auto" w:sz="4" w:space="0"/>
              <w:bottom w:val="single" w:color="auto" w:sz="4" w:space="0"/>
              <w:right w:val="single" w:color="auto" w:sz="4" w:space="0"/>
            </w:tcBorders>
            <w:vAlign w:val="center"/>
          </w:tcPr>
          <w:p w14:paraId="2440C00C">
            <w:pPr>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sz w:val="21"/>
                <w:lang w:eastAsia="zh-CN"/>
              </w:rPr>
              <w:t>依托原有工程食堂，</w:t>
            </w:r>
            <w:r>
              <w:rPr>
                <w:rFonts w:hint="default" w:ascii="Times New Roman" w:hAnsi="Times New Roman" w:eastAsia="宋体" w:cs="Times New Roman"/>
                <w:color w:val="auto"/>
                <w:sz w:val="21"/>
                <w:lang w:eastAsia="zh-CN"/>
              </w:rPr>
              <w:t>位于项目厂区</w:t>
            </w:r>
            <w:r>
              <w:rPr>
                <w:rFonts w:hint="eastAsia" w:ascii="Times New Roman" w:hAnsi="Times New Roman" w:cs="Times New Roman"/>
                <w:color w:val="auto"/>
                <w:sz w:val="21"/>
                <w:lang w:eastAsia="zh-CN"/>
              </w:rPr>
              <w:t>北</w:t>
            </w:r>
            <w:r>
              <w:rPr>
                <w:rFonts w:hint="default" w:ascii="Times New Roman" w:hAnsi="Times New Roman" w:eastAsia="宋体" w:cs="Times New Roman"/>
                <w:color w:val="auto"/>
                <w:sz w:val="21"/>
                <w:lang w:eastAsia="zh-CN"/>
              </w:rPr>
              <w:t>侧，</w:t>
            </w:r>
            <w:r>
              <w:rPr>
                <w:rFonts w:hint="default" w:ascii="Times New Roman" w:hAnsi="Times New Roman" w:eastAsia="宋体" w:cs="Times New Roman"/>
                <w:color w:val="auto"/>
                <w:sz w:val="21"/>
              </w:rPr>
              <w:t>建筑面积为</w:t>
            </w:r>
            <w:r>
              <w:rPr>
                <w:rFonts w:hint="eastAsia" w:ascii="Times New Roman" w:hAnsi="Times New Roman" w:cs="Times New Roman"/>
                <w:color w:val="auto"/>
                <w:sz w:val="21"/>
                <w:lang w:val="en-US" w:eastAsia="zh-CN"/>
              </w:rPr>
              <w:t>800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p>
        </w:tc>
        <w:tc>
          <w:tcPr>
            <w:tcW w:w="836" w:type="dxa"/>
            <w:tcBorders>
              <w:top w:val="single" w:color="auto" w:sz="4" w:space="0"/>
              <w:left w:val="single" w:color="auto" w:sz="4" w:space="0"/>
              <w:bottom w:val="single" w:color="auto" w:sz="4" w:space="0"/>
              <w:right w:val="single" w:color="auto" w:sz="4" w:space="0"/>
            </w:tcBorders>
            <w:vAlign w:val="center"/>
          </w:tcPr>
          <w:p w14:paraId="3D712DE7">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3B9B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73" w:type="dxa"/>
            <w:vMerge w:val="continue"/>
            <w:tcBorders>
              <w:left w:val="single" w:color="auto" w:sz="4" w:space="0"/>
              <w:bottom w:val="single" w:color="auto" w:sz="4" w:space="0"/>
              <w:right w:val="single" w:color="auto" w:sz="4" w:space="0"/>
            </w:tcBorders>
            <w:vAlign w:val="center"/>
          </w:tcPr>
          <w:p w14:paraId="608E9B58">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4B0E62F2">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卫生间</w:t>
            </w:r>
          </w:p>
        </w:tc>
        <w:tc>
          <w:tcPr>
            <w:tcW w:w="5300" w:type="dxa"/>
            <w:tcBorders>
              <w:top w:val="single" w:color="auto" w:sz="4" w:space="0"/>
              <w:left w:val="single" w:color="auto" w:sz="4" w:space="0"/>
              <w:bottom w:val="single" w:color="auto" w:sz="4" w:space="0"/>
              <w:right w:val="single" w:color="auto" w:sz="4" w:space="0"/>
            </w:tcBorders>
            <w:vAlign w:val="center"/>
          </w:tcPr>
          <w:p w14:paraId="61E80BAD">
            <w:pPr>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依托原有工程卫生间，</w:t>
            </w:r>
            <w:r>
              <w:rPr>
                <w:rFonts w:hint="default" w:ascii="Times New Roman" w:hAnsi="Times New Roman" w:eastAsia="宋体" w:cs="Times New Roman"/>
                <w:color w:val="auto"/>
                <w:sz w:val="21"/>
                <w:lang w:eastAsia="zh-CN"/>
              </w:rPr>
              <w:t>设置于</w:t>
            </w:r>
            <w:r>
              <w:rPr>
                <w:rFonts w:hint="eastAsia" w:ascii="Times New Roman" w:hAnsi="Times New Roman" w:cs="Times New Roman"/>
                <w:color w:val="auto"/>
                <w:sz w:val="21"/>
                <w:lang w:eastAsia="zh-CN"/>
              </w:rPr>
              <w:t>生产厂房内，位于就修车间东部</w:t>
            </w:r>
            <w:r>
              <w:rPr>
                <w:rFonts w:hint="default" w:ascii="Times New Roman" w:hAnsi="Times New Roman" w:eastAsia="宋体" w:cs="Times New Roman"/>
                <w:color w:val="auto"/>
                <w:sz w:val="21"/>
                <w:lang w:eastAsia="zh-CN"/>
              </w:rPr>
              <w:t>，</w:t>
            </w:r>
            <w:r>
              <w:rPr>
                <w:rFonts w:hint="eastAsia" w:ascii="Times New Roman" w:hAnsi="Times New Roman" w:cs="Times New Roman"/>
                <w:color w:val="auto"/>
                <w:sz w:val="21"/>
                <w:lang w:eastAsia="zh-CN"/>
              </w:rPr>
              <w:t>占地</w:t>
            </w:r>
            <w:r>
              <w:rPr>
                <w:rFonts w:hint="default" w:ascii="Times New Roman" w:hAnsi="Times New Roman" w:eastAsia="宋体" w:cs="Times New Roman"/>
                <w:color w:val="auto"/>
                <w:sz w:val="21"/>
              </w:rPr>
              <w:t>面积为</w:t>
            </w:r>
            <w:r>
              <w:rPr>
                <w:rFonts w:hint="eastAsia" w:ascii="Times New Roman" w:hAnsi="Times New Roman" w:cs="Times New Roman"/>
                <w:color w:val="auto"/>
                <w:sz w:val="21"/>
                <w:lang w:val="en-US" w:eastAsia="zh-CN"/>
              </w:rPr>
              <w:t>20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p>
        </w:tc>
        <w:tc>
          <w:tcPr>
            <w:tcW w:w="836" w:type="dxa"/>
            <w:tcBorders>
              <w:top w:val="single" w:color="auto" w:sz="4" w:space="0"/>
              <w:left w:val="single" w:color="auto" w:sz="4" w:space="0"/>
              <w:bottom w:val="single" w:color="auto" w:sz="4" w:space="0"/>
              <w:right w:val="single" w:color="auto" w:sz="4" w:space="0"/>
            </w:tcBorders>
            <w:vAlign w:val="center"/>
          </w:tcPr>
          <w:p w14:paraId="539B93A5">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77CD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restart"/>
            <w:tcBorders>
              <w:top w:val="single" w:color="auto" w:sz="4" w:space="0"/>
              <w:left w:val="single" w:color="auto" w:sz="4" w:space="0"/>
              <w:bottom w:val="single" w:color="auto" w:sz="4" w:space="0"/>
              <w:right w:val="single" w:color="auto" w:sz="4" w:space="0"/>
            </w:tcBorders>
            <w:vAlign w:val="center"/>
          </w:tcPr>
          <w:p w14:paraId="1CBF2375">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公用工程</w:t>
            </w: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3826CD6C">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供水</w:t>
            </w:r>
          </w:p>
        </w:tc>
        <w:tc>
          <w:tcPr>
            <w:tcW w:w="5300" w:type="dxa"/>
            <w:tcBorders>
              <w:top w:val="single" w:color="auto" w:sz="4" w:space="0"/>
              <w:left w:val="single" w:color="auto" w:sz="4" w:space="0"/>
              <w:bottom w:val="single" w:color="auto" w:sz="4" w:space="0"/>
              <w:right w:val="single" w:color="auto" w:sz="4" w:space="0"/>
            </w:tcBorders>
            <w:vAlign w:val="center"/>
          </w:tcPr>
          <w:p w14:paraId="56C318FD">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由工业园区供水管网供给</w:t>
            </w:r>
          </w:p>
        </w:tc>
        <w:tc>
          <w:tcPr>
            <w:tcW w:w="836" w:type="dxa"/>
            <w:tcBorders>
              <w:top w:val="single" w:color="auto" w:sz="4" w:space="0"/>
              <w:left w:val="single" w:color="auto" w:sz="4" w:space="0"/>
              <w:bottom w:val="single" w:color="auto" w:sz="4" w:space="0"/>
              <w:right w:val="single" w:color="auto" w:sz="4" w:space="0"/>
            </w:tcBorders>
            <w:vAlign w:val="center"/>
          </w:tcPr>
          <w:p w14:paraId="79F865E6">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228B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tcBorders>
              <w:top w:val="single" w:color="auto" w:sz="4" w:space="0"/>
              <w:left w:val="single" w:color="auto" w:sz="4" w:space="0"/>
              <w:bottom w:val="single" w:color="auto" w:sz="4" w:space="0"/>
              <w:right w:val="single" w:color="auto" w:sz="4" w:space="0"/>
            </w:tcBorders>
            <w:vAlign w:val="center"/>
          </w:tcPr>
          <w:p w14:paraId="4004401F">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1347002A">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排水</w:t>
            </w:r>
          </w:p>
        </w:tc>
        <w:tc>
          <w:tcPr>
            <w:tcW w:w="5300" w:type="dxa"/>
            <w:tcBorders>
              <w:top w:val="single" w:color="auto" w:sz="4" w:space="0"/>
              <w:left w:val="single" w:color="auto" w:sz="4" w:space="0"/>
              <w:bottom w:val="single" w:color="auto" w:sz="4" w:space="0"/>
              <w:right w:val="single" w:color="auto" w:sz="4" w:space="0"/>
            </w:tcBorders>
            <w:vAlign w:val="center"/>
          </w:tcPr>
          <w:p w14:paraId="49E6F93B">
            <w:pPr>
              <w:adjustRightInd w:val="0"/>
              <w:snapToGrid w:val="0"/>
              <w:spacing w:line="240" w:lineRule="auto"/>
              <w:ind w:firstLine="42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 w:val="21"/>
              </w:rPr>
              <w:t>运营期企业产生的生产废水</w:t>
            </w:r>
            <w:r>
              <w:rPr>
                <w:rFonts w:hint="default" w:ascii="Times New Roman" w:hAnsi="Times New Roman" w:eastAsia="宋体" w:cs="Times New Roman"/>
                <w:color w:val="auto"/>
                <w:sz w:val="21"/>
                <w:lang w:eastAsia="zh-CN"/>
              </w:rPr>
              <w:t>经三级沉淀池处理后排入项目自建污水处理设施内，经处理后排入</w:t>
            </w:r>
            <w:r>
              <w:rPr>
                <w:rFonts w:hint="default" w:ascii="Times New Roman" w:hAnsi="Times New Roman" w:eastAsia="宋体" w:cs="Times New Roman"/>
                <w:color w:val="auto"/>
                <w:sz w:val="21"/>
              </w:rPr>
              <w:t>工业园区污水管网</w:t>
            </w:r>
            <w:r>
              <w:rPr>
                <w:rFonts w:hint="default" w:ascii="Times New Roman" w:hAnsi="Times New Roman" w:eastAsia="宋体" w:cs="Times New Roman"/>
                <w:color w:val="auto"/>
                <w:sz w:val="21"/>
                <w:lang w:eastAsia="zh-CN"/>
              </w:rPr>
              <w:t>，</w:t>
            </w:r>
            <w:r>
              <w:rPr>
                <w:rFonts w:hint="eastAsia" w:ascii="Times New Roman" w:hAnsi="Times New Roman" w:cs="Times New Roman"/>
                <w:color w:val="auto"/>
                <w:sz w:val="21"/>
                <w:lang w:eastAsia="zh-CN"/>
              </w:rPr>
              <w:t>不新增员工，生活废水不增加</w:t>
            </w:r>
          </w:p>
        </w:tc>
        <w:tc>
          <w:tcPr>
            <w:tcW w:w="836" w:type="dxa"/>
            <w:tcBorders>
              <w:top w:val="single" w:color="auto" w:sz="4" w:space="0"/>
              <w:left w:val="single" w:color="auto" w:sz="4" w:space="0"/>
              <w:bottom w:val="single" w:color="auto" w:sz="4" w:space="0"/>
              <w:right w:val="single" w:color="auto" w:sz="4" w:space="0"/>
            </w:tcBorders>
            <w:vAlign w:val="center"/>
          </w:tcPr>
          <w:p w14:paraId="25B769DB">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2369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tcBorders>
              <w:top w:val="single" w:color="auto" w:sz="4" w:space="0"/>
              <w:left w:val="single" w:color="auto" w:sz="4" w:space="0"/>
              <w:bottom w:val="single" w:color="auto" w:sz="4" w:space="0"/>
              <w:right w:val="single" w:color="auto" w:sz="4" w:space="0"/>
            </w:tcBorders>
            <w:vAlign w:val="center"/>
          </w:tcPr>
          <w:p w14:paraId="46C20547">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76AF725C">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供电</w:t>
            </w:r>
          </w:p>
        </w:tc>
        <w:tc>
          <w:tcPr>
            <w:tcW w:w="5300" w:type="dxa"/>
            <w:tcBorders>
              <w:top w:val="single" w:color="auto" w:sz="4" w:space="0"/>
              <w:left w:val="single" w:color="auto" w:sz="4" w:space="0"/>
              <w:bottom w:val="single" w:color="auto" w:sz="4" w:space="0"/>
              <w:right w:val="single" w:color="auto" w:sz="4" w:space="0"/>
            </w:tcBorders>
            <w:vAlign w:val="center"/>
          </w:tcPr>
          <w:p w14:paraId="48CFCAB8">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由工业园区供电系统供给</w:t>
            </w:r>
          </w:p>
        </w:tc>
        <w:tc>
          <w:tcPr>
            <w:tcW w:w="836" w:type="dxa"/>
            <w:tcBorders>
              <w:top w:val="single" w:color="auto" w:sz="4" w:space="0"/>
              <w:left w:val="single" w:color="auto" w:sz="4" w:space="0"/>
              <w:bottom w:val="single" w:color="auto" w:sz="4" w:space="0"/>
              <w:right w:val="single" w:color="auto" w:sz="4" w:space="0"/>
            </w:tcBorders>
            <w:vAlign w:val="center"/>
          </w:tcPr>
          <w:p w14:paraId="7EA99495">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47F1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Merge w:val="continue"/>
            <w:tcBorders>
              <w:top w:val="single" w:color="auto" w:sz="4" w:space="0"/>
              <w:left w:val="single" w:color="auto" w:sz="4" w:space="0"/>
              <w:bottom w:val="single" w:color="auto" w:sz="4" w:space="0"/>
              <w:right w:val="single" w:color="auto" w:sz="4" w:space="0"/>
            </w:tcBorders>
            <w:vAlign w:val="center"/>
          </w:tcPr>
          <w:p w14:paraId="620AA1F2">
            <w:pPr>
              <w:widowControl/>
              <w:spacing w:line="240" w:lineRule="auto"/>
              <w:jc w:val="left"/>
              <w:rPr>
                <w:rFonts w:hint="default" w:ascii="Times New Roman" w:hAnsi="Times New Roman" w:eastAsia="宋体" w:cs="Times New Roman"/>
                <w:b/>
                <w:bCs/>
                <w:color w:val="auto"/>
                <w:sz w:val="21"/>
              </w:rPr>
            </w:pPr>
          </w:p>
        </w:tc>
        <w:tc>
          <w:tcPr>
            <w:tcW w:w="1713" w:type="dxa"/>
            <w:gridSpan w:val="3"/>
            <w:tcBorders>
              <w:top w:val="single" w:color="auto" w:sz="4" w:space="0"/>
              <w:left w:val="single" w:color="auto" w:sz="4" w:space="0"/>
              <w:bottom w:val="single" w:color="auto" w:sz="4" w:space="0"/>
              <w:right w:val="single" w:color="auto" w:sz="4" w:space="0"/>
            </w:tcBorders>
            <w:vAlign w:val="center"/>
          </w:tcPr>
          <w:p w14:paraId="5D5245AB">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消防</w:t>
            </w:r>
          </w:p>
        </w:tc>
        <w:tc>
          <w:tcPr>
            <w:tcW w:w="5300" w:type="dxa"/>
            <w:tcBorders>
              <w:top w:val="single" w:color="auto" w:sz="4" w:space="0"/>
              <w:left w:val="single" w:color="auto" w:sz="4" w:space="0"/>
              <w:bottom w:val="single" w:color="auto" w:sz="4" w:space="0"/>
              <w:right w:val="single" w:color="auto" w:sz="4" w:space="0"/>
            </w:tcBorders>
            <w:vAlign w:val="center"/>
          </w:tcPr>
          <w:p w14:paraId="24657B3B">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各车间内配置灭火器</w:t>
            </w:r>
          </w:p>
        </w:tc>
        <w:tc>
          <w:tcPr>
            <w:tcW w:w="836" w:type="dxa"/>
            <w:tcBorders>
              <w:top w:val="single" w:color="auto" w:sz="4" w:space="0"/>
              <w:left w:val="single" w:color="auto" w:sz="4" w:space="0"/>
              <w:bottom w:val="single" w:color="auto" w:sz="4" w:space="0"/>
              <w:right w:val="single" w:color="auto" w:sz="4" w:space="0"/>
            </w:tcBorders>
            <w:vAlign w:val="center"/>
          </w:tcPr>
          <w:p w14:paraId="780BC261">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新建</w:t>
            </w:r>
          </w:p>
        </w:tc>
      </w:tr>
      <w:tr w14:paraId="2509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3" w:type="dxa"/>
            <w:vMerge w:val="restart"/>
            <w:tcBorders>
              <w:top w:val="single" w:color="auto" w:sz="4" w:space="0"/>
              <w:left w:val="single" w:color="auto" w:sz="4" w:space="0"/>
              <w:right w:val="single" w:color="auto" w:sz="4" w:space="0"/>
            </w:tcBorders>
            <w:vAlign w:val="center"/>
          </w:tcPr>
          <w:p w14:paraId="32D580D7">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环保工程</w:t>
            </w:r>
          </w:p>
        </w:tc>
        <w:tc>
          <w:tcPr>
            <w:tcW w:w="709" w:type="dxa"/>
            <w:gridSpan w:val="2"/>
            <w:tcBorders>
              <w:top w:val="single" w:color="auto" w:sz="4" w:space="0"/>
              <w:left w:val="single" w:color="auto" w:sz="4" w:space="0"/>
              <w:right w:val="single" w:color="auto" w:sz="4" w:space="0"/>
            </w:tcBorders>
            <w:vAlign w:val="center"/>
          </w:tcPr>
          <w:p w14:paraId="6ADD9DC2">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废气治理</w:t>
            </w:r>
          </w:p>
        </w:tc>
        <w:tc>
          <w:tcPr>
            <w:tcW w:w="1004" w:type="dxa"/>
            <w:tcBorders>
              <w:top w:val="single" w:color="auto" w:sz="4" w:space="0"/>
              <w:left w:val="single" w:color="auto" w:sz="4" w:space="0"/>
              <w:bottom w:val="single" w:color="auto" w:sz="4" w:space="0"/>
              <w:right w:val="single" w:color="auto" w:sz="4" w:space="0"/>
            </w:tcBorders>
            <w:vAlign w:val="center"/>
          </w:tcPr>
          <w:p w14:paraId="097D6D15">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油烟</w:t>
            </w:r>
            <w:r>
              <w:rPr>
                <w:rFonts w:hint="default" w:ascii="Times New Roman" w:hAnsi="Times New Roman" w:eastAsia="宋体" w:cs="Times New Roman"/>
                <w:color w:val="auto"/>
                <w:sz w:val="21"/>
                <w:lang w:eastAsia="zh-CN"/>
              </w:rPr>
              <w:t>净化器</w:t>
            </w:r>
          </w:p>
        </w:tc>
        <w:tc>
          <w:tcPr>
            <w:tcW w:w="5300" w:type="dxa"/>
            <w:tcBorders>
              <w:top w:val="single" w:color="auto" w:sz="4" w:space="0"/>
              <w:left w:val="single" w:color="auto" w:sz="4" w:space="0"/>
              <w:bottom w:val="single" w:color="auto" w:sz="4" w:space="0"/>
              <w:right w:val="single" w:color="auto" w:sz="4" w:space="0"/>
            </w:tcBorders>
            <w:vAlign w:val="center"/>
          </w:tcPr>
          <w:p w14:paraId="16029537">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eastAsia" w:ascii="Times New Roman" w:hAnsi="Times New Roman" w:cs="Times New Roman"/>
                <w:color w:val="auto"/>
                <w:sz w:val="21"/>
                <w:lang w:eastAsia="zh-CN"/>
              </w:rPr>
              <w:t>依托现有工程食堂，</w:t>
            </w:r>
            <w:r>
              <w:rPr>
                <w:rFonts w:hint="default" w:ascii="Times New Roman" w:hAnsi="Times New Roman" w:eastAsia="宋体" w:cs="Times New Roman"/>
                <w:color w:val="auto"/>
                <w:sz w:val="21"/>
              </w:rPr>
              <w:t>项目食堂设置一台最低去除效率为</w:t>
            </w:r>
            <w:r>
              <w:rPr>
                <w:rFonts w:hint="eastAsia" w:ascii="Times New Roman" w:hAnsi="Times New Roman" w:cs="Times New Roman"/>
                <w:color w:val="auto"/>
                <w:sz w:val="21"/>
                <w:lang w:val="en-US" w:eastAsia="zh-CN"/>
              </w:rPr>
              <w:t>75</w:t>
            </w:r>
            <w:r>
              <w:rPr>
                <w:rFonts w:hint="default" w:ascii="Times New Roman" w:hAnsi="Times New Roman" w:eastAsia="宋体" w:cs="Times New Roman"/>
                <w:color w:val="auto"/>
                <w:sz w:val="21"/>
              </w:rPr>
              <w:t>%的油烟净化器，排气筒外置，高于楼顶1.5m</w:t>
            </w:r>
          </w:p>
        </w:tc>
        <w:tc>
          <w:tcPr>
            <w:tcW w:w="836" w:type="dxa"/>
            <w:tcBorders>
              <w:top w:val="single" w:color="auto" w:sz="4" w:space="0"/>
              <w:left w:val="single" w:color="auto" w:sz="4" w:space="0"/>
              <w:bottom w:val="single" w:color="auto" w:sz="4" w:space="0"/>
              <w:right w:val="single" w:color="auto" w:sz="4" w:space="0"/>
            </w:tcBorders>
            <w:vAlign w:val="center"/>
          </w:tcPr>
          <w:p w14:paraId="0346B025">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760C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73" w:type="dxa"/>
            <w:vMerge w:val="continue"/>
            <w:tcBorders>
              <w:left w:val="single" w:color="auto" w:sz="4" w:space="0"/>
              <w:right w:val="single" w:color="auto" w:sz="4" w:space="0"/>
            </w:tcBorders>
            <w:vAlign w:val="center"/>
          </w:tcPr>
          <w:p w14:paraId="4F5A1529">
            <w:pPr>
              <w:widowControl/>
              <w:spacing w:line="240" w:lineRule="auto"/>
              <w:jc w:val="left"/>
              <w:rPr>
                <w:rFonts w:hint="default" w:ascii="Times New Roman" w:hAnsi="Times New Roman" w:eastAsia="宋体" w:cs="Times New Roman"/>
                <w:color w:val="auto"/>
                <w:sz w:val="21"/>
              </w:rPr>
            </w:pPr>
          </w:p>
        </w:tc>
        <w:tc>
          <w:tcPr>
            <w:tcW w:w="709" w:type="dxa"/>
            <w:gridSpan w:val="2"/>
            <w:vMerge w:val="restart"/>
            <w:tcBorders>
              <w:top w:val="single" w:color="auto" w:sz="4" w:space="0"/>
              <w:left w:val="single" w:color="auto" w:sz="4" w:space="0"/>
              <w:right w:val="single" w:color="auto" w:sz="4" w:space="0"/>
            </w:tcBorders>
            <w:vAlign w:val="center"/>
          </w:tcPr>
          <w:p w14:paraId="3DDCFFF5">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废水处理</w:t>
            </w:r>
          </w:p>
        </w:tc>
        <w:tc>
          <w:tcPr>
            <w:tcW w:w="1004" w:type="dxa"/>
            <w:tcBorders>
              <w:top w:val="single" w:color="auto" w:sz="4" w:space="0"/>
              <w:left w:val="single" w:color="auto" w:sz="4" w:space="0"/>
              <w:bottom w:val="single" w:color="auto" w:sz="4" w:space="0"/>
              <w:right w:val="single" w:color="auto" w:sz="4" w:space="0"/>
            </w:tcBorders>
            <w:vAlign w:val="center"/>
          </w:tcPr>
          <w:p w14:paraId="67BB9BF7">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化粪池</w:t>
            </w:r>
          </w:p>
        </w:tc>
        <w:tc>
          <w:tcPr>
            <w:tcW w:w="5300" w:type="dxa"/>
            <w:tcBorders>
              <w:top w:val="single" w:color="auto" w:sz="4" w:space="0"/>
              <w:left w:val="single" w:color="auto" w:sz="4" w:space="0"/>
              <w:bottom w:val="single" w:color="auto" w:sz="4" w:space="0"/>
              <w:right w:val="single" w:color="auto" w:sz="4" w:space="0"/>
            </w:tcBorders>
            <w:vAlign w:val="center"/>
          </w:tcPr>
          <w:p w14:paraId="217EFE58">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highlight w:val="none"/>
                <w:lang w:eastAsia="zh-CN"/>
              </w:rPr>
              <w:t>设置于项目区</w:t>
            </w:r>
            <w:r>
              <w:rPr>
                <w:rFonts w:hint="eastAsia" w:ascii="Times New Roman" w:hAnsi="Times New Roman" w:cs="Times New Roman"/>
                <w:color w:val="auto"/>
                <w:sz w:val="21"/>
                <w:highlight w:val="none"/>
                <w:lang w:eastAsia="zh-CN"/>
              </w:rPr>
              <w:t>卫生间</w:t>
            </w:r>
            <w:r>
              <w:rPr>
                <w:rFonts w:hint="default" w:ascii="Times New Roman" w:hAnsi="Times New Roman" w:eastAsia="宋体" w:cs="Times New Roman"/>
                <w:color w:val="auto"/>
                <w:sz w:val="21"/>
                <w:highlight w:val="none"/>
                <w:lang w:eastAsia="zh-CN"/>
              </w:rPr>
              <w:t>南侧，</w:t>
            </w:r>
            <w:r>
              <w:rPr>
                <w:rFonts w:hint="default" w:ascii="Times New Roman" w:hAnsi="Times New Roman" w:eastAsia="宋体" w:cs="Times New Roman"/>
                <w:color w:val="auto"/>
                <w:sz w:val="21"/>
                <w:highlight w:val="none"/>
              </w:rPr>
              <w:t>1个，容积</w:t>
            </w:r>
            <w:r>
              <w:rPr>
                <w:rFonts w:hint="eastAsia" w:ascii="Times New Roman" w:hAnsi="Times New Roman" w:cs="Times New Roman"/>
                <w:color w:val="auto"/>
                <w:sz w:val="21"/>
                <w:highlight w:val="none"/>
                <w:lang w:val="en-US" w:eastAsia="zh-CN"/>
              </w:rPr>
              <w:t>50</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3</w:t>
            </w:r>
          </w:p>
        </w:tc>
        <w:tc>
          <w:tcPr>
            <w:tcW w:w="836" w:type="dxa"/>
            <w:tcBorders>
              <w:top w:val="single" w:color="auto" w:sz="4" w:space="0"/>
              <w:left w:val="single" w:color="auto" w:sz="4" w:space="0"/>
              <w:bottom w:val="single" w:color="auto" w:sz="4" w:space="0"/>
              <w:right w:val="single" w:color="auto" w:sz="4" w:space="0"/>
            </w:tcBorders>
            <w:vAlign w:val="center"/>
          </w:tcPr>
          <w:p w14:paraId="22DFB4B4">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7415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673" w:type="dxa"/>
            <w:vMerge w:val="continue"/>
            <w:tcBorders>
              <w:left w:val="single" w:color="auto" w:sz="4" w:space="0"/>
              <w:right w:val="single" w:color="auto" w:sz="4" w:space="0"/>
            </w:tcBorders>
            <w:vAlign w:val="center"/>
          </w:tcPr>
          <w:p w14:paraId="527C75A1">
            <w:pPr>
              <w:widowControl/>
              <w:spacing w:line="240" w:lineRule="auto"/>
              <w:jc w:val="left"/>
              <w:rPr>
                <w:rFonts w:hint="default" w:ascii="Times New Roman" w:hAnsi="Times New Roman" w:eastAsia="宋体" w:cs="Times New Roman"/>
                <w:color w:val="auto"/>
                <w:sz w:val="21"/>
              </w:rPr>
            </w:pPr>
          </w:p>
        </w:tc>
        <w:tc>
          <w:tcPr>
            <w:tcW w:w="709" w:type="dxa"/>
            <w:gridSpan w:val="2"/>
            <w:vMerge w:val="continue"/>
            <w:tcBorders>
              <w:left w:val="single" w:color="auto" w:sz="4" w:space="0"/>
              <w:right w:val="single" w:color="auto" w:sz="4" w:space="0"/>
            </w:tcBorders>
            <w:vAlign w:val="center"/>
          </w:tcPr>
          <w:p w14:paraId="36874C1D">
            <w:pPr>
              <w:widowControl/>
              <w:spacing w:line="240" w:lineRule="auto"/>
              <w:jc w:val="left"/>
              <w:rPr>
                <w:rFonts w:hint="default" w:ascii="Times New Roman" w:hAnsi="Times New Roman" w:eastAsia="宋体" w:cs="Times New Roman"/>
                <w:color w:val="auto"/>
                <w:sz w:val="21"/>
              </w:rPr>
            </w:pPr>
          </w:p>
        </w:tc>
        <w:tc>
          <w:tcPr>
            <w:tcW w:w="1004" w:type="dxa"/>
            <w:tcBorders>
              <w:top w:val="single" w:color="auto" w:sz="4" w:space="0"/>
              <w:left w:val="single" w:color="auto" w:sz="4" w:space="0"/>
              <w:bottom w:val="single" w:color="auto" w:sz="4" w:space="0"/>
              <w:right w:val="single" w:color="auto" w:sz="4" w:space="0"/>
            </w:tcBorders>
            <w:vAlign w:val="center"/>
          </w:tcPr>
          <w:p w14:paraId="4073A099">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隔油池</w:t>
            </w:r>
          </w:p>
        </w:tc>
        <w:tc>
          <w:tcPr>
            <w:tcW w:w="5300" w:type="dxa"/>
            <w:tcBorders>
              <w:top w:val="single" w:color="auto" w:sz="4" w:space="0"/>
              <w:left w:val="single" w:color="auto" w:sz="4" w:space="0"/>
              <w:bottom w:val="single" w:color="auto" w:sz="4" w:space="0"/>
              <w:right w:val="single" w:color="auto" w:sz="4" w:space="0"/>
            </w:tcBorders>
            <w:vAlign w:val="center"/>
          </w:tcPr>
          <w:p w14:paraId="461F7BB7">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highlight w:val="none"/>
                <w:lang w:eastAsia="zh-CN"/>
              </w:rPr>
              <w:t>设置于食堂西侧</w:t>
            </w:r>
            <w:r>
              <w:rPr>
                <w:rFonts w:hint="default" w:ascii="Times New Roman" w:hAnsi="Times New Roman" w:eastAsia="宋体" w:cs="Times New Roman"/>
                <w:color w:val="auto"/>
                <w:sz w:val="21"/>
                <w:highlight w:val="none"/>
              </w:rPr>
              <w:t>， 1个，容积</w:t>
            </w:r>
            <w:r>
              <w:rPr>
                <w:rFonts w:hint="eastAsia" w:ascii="Times New Roman" w:hAnsi="Times New Roman" w:cs="Times New Roman"/>
                <w:color w:val="auto"/>
                <w:sz w:val="21"/>
                <w:highlight w:val="none"/>
                <w:lang w:val="en-US" w:eastAsia="zh-CN"/>
              </w:rPr>
              <w:t>5</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3</w:t>
            </w:r>
          </w:p>
        </w:tc>
        <w:tc>
          <w:tcPr>
            <w:tcW w:w="836" w:type="dxa"/>
            <w:tcBorders>
              <w:top w:val="single" w:color="auto" w:sz="4" w:space="0"/>
              <w:left w:val="single" w:color="auto" w:sz="4" w:space="0"/>
              <w:bottom w:val="single" w:color="auto" w:sz="4" w:space="0"/>
              <w:right w:val="single" w:color="auto" w:sz="4" w:space="0"/>
            </w:tcBorders>
            <w:vAlign w:val="center"/>
          </w:tcPr>
          <w:p w14:paraId="26F4053B">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已建</w:t>
            </w:r>
          </w:p>
        </w:tc>
      </w:tr>
      <w:tr w14:paraId="1D987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73" w:type="dxa"/>
            <w:vMerge w:val="continue"/>
            <w:tcBorders>
              <w:left w:val="single" w:color="auto" w:sz="4" w:space="0"/>
              <w:right w:val="single" w:color="auto" w:sz="4" w:space="0"/>
            </w:tcBorders>
            <w:vAlign w:val="center"/>
          </w:tcPr>
          <w:p w14:paraId="1C3F1A6C">
            <w:pPr>
              <w:widowControl/>
              <w:spacing w:line="240" w:lineRule="auto"/>
              <w:jc w:val="left"/>
              <w:rPr>
                <w:rFonts w:hint="default" w:ascii="Times New Roman" w:hAnsi="Times New Roman" w:eastAsia="宋体" w:cs="Times New Roman"/>
                <w:color w:val="auto"/>
                <w:sz w:val="21"/>
              </w:rPr>
            </w:pPr>
          </w:p>
        </w:tc>
        <w:tc>
          <w:tcPr>
            <w:tcW w:w="709" w:type="dxa"/>
            <w:gridSpan w:val="2"/>
            <w:vMerge w:val="continue"/>
            <w:tcBorders>
              <w:left w:val="single" w:color="auto" w:sz="4" w:space="0"/>
              <w:right w:val="single" w:color="auto" w:sz="4" w:space="0"/>
            </w:tcBorders>
            <w:vAlign w:val="center"/>
          </w:tcPr>
          <w:p w14:paraId="606C5319">
            <w:pPr>
              <w:widowControl/>
              <w:spacing w:line="240" w:lineRule="auto"/>
              <w:jc w:val="left"/>
              <w:rPr>
                <w:rFonts w:hint="default" w:ascii="Times New Roman" w:hAnsi="Times New Roman" w:eastAsia="宋体" w:cs="Times New Roman"/>
                <w:color w:val="auto"/>
                <w:sz w:val="21"/>
              </w:rPr>
            </w:pPr>
          </w:p>
        </w:tc>
        <w:tc>
          <w:tcPr>
            <w:tcW w:w="1004" w:type="dxa"/>
            <w:tcBorders>
              <w:top w:val="single" w:color="auto" w:sz="4" w:space="0"/>
              <w:left w:val="single" w:color="auto" w:sz="4" w:space="0"/>
              <w:bottom w:val="single" w:color="auto" w:sz="4" w:space="0"/>
              <w:right w:val="single" w:color="auto" w:sz="4" w:space="0"/>
            </w:tcBorders>
            <w:vAlign w:val="center"/>
          </w:tcPr>
          <w:p w14:paraId="53483205">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一体化</w:t>
            </w:r>
            <w:r>
              <w:rPr>
                <w:rFonts w:hint="eastAsia" w:ascii="Times New Roman" w:hAnsi="Times New Roman" w:cs="Times New Roman"/>
                <w:color w:val="auto"/>
                <w:sz w:val="21"/>
                <w:lang w:eastAsia="zh-CN"/>
              </w:rPr>
              <w:t>污水处理</w:t>
            </w:r>
            <w:r>
              <w:rPr>
                <w:rFonts w:hint="default" w:ascii="Times New Roman" w:hAnsi="Times New Roman" w:eastAsia="宋体" w:cs="Times New Roman"/>
                <w:color w:val="auto"/>
                <w:sz w:val="21"/>
                <w:lang w:eastAsia="zh-CN"/>
              </w:rPr>
              <w:t>设备</w:t>
            </w:r>
          </w:p>
        </w:tc>
        <w:tc>
          <w:tcPr>
            <w:tcW w:w="5300" w:type="dxa"/>
            <w:tcBorders>
              <w:top w:val="single" w:color="auto" w:sz="4" w:space="0"/>
              <w:left w:val="single" w:color="auto" w:sz="4" w:space="0"/>
              <w:bottom w:val="single" w:color="auto" w:sz="4" w:space="0"/>
              <w:right w:val="single" w:color="auto" w:sz="4" w:space="0"/>
            </w:tcBorders>
            <w:vAlign w:val="center"/>
          </w:tcPr>
          <w:p w14:paraId="2CBED04B">
            <w:pPr>
              <w:autoSpaceDE w:val="0"/>
              <w:autoSpaceDN w:val="0"/>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highlight w:val="none"/>
                <w:lang w:eastAsia="zh-CN"/>
              </w:rPr>
              <w:t>拟设置于项目区</w:t>
            </w:r>
            <w:r>
              <w:rPr>
                <w:rFonts w:hint="eastAsia" w:ascii="Times New Roman" w:hAnsi="Times New Roman" w:cs="Times New Roman"/>
                <w:color w:val="auto"/>
                <w:sz w:val="21"/>
                <w:highlight w:val="none"/>
                <w:lang w:eastAsia="zh-CN"/>
              </w:rPr>
              <w:t>西</w:t>
            </w:r>
            <w:r>
              <w:rPr>
                <w:rFonts w:hint="default" w:ascii="Times New Roman" w:hAnsi="Times New Roman" w:eastAsia="宋体" w:cs="Times New Roman"/>
                <w:color w:val="auto"/>
                <w:sz w:val="21"/>
                <w:highlight w:val="none"/>
                <w:lang w:eastAsia="zh-CN"/>
              </w:rPr>
              <w:t>南侧</w:t>
            </w:r>
            <w:r>
              <w:rPr>
                <w:rFonts w:hint="default" w:ascii="Times New Roman" w:hAnsi="Times New Roman" w:eastAsia="宋体" w:cs="Times New Roman"/>
                <w:color w:val="auto"/>
                <w:sz w:val="21"/>
                <w:highlight w:val="none"/>
              </w:rPr>
              <w:t>，一</w:t>
            </w:r>
            <w:r>
              <w:rPr>
                <w:rFonts w:hint="default" w:ascii="Times New Roman" w:hAnsi="Times New Roman" w:eastAsia="宋体" w:cs="Times New Roman"/>
                <w:color w:val="auto"/>
                <w:sz w:val="21"/>
                <w:highlight w:val="none"/>
                <w:lang w:eastAsia="zh-CN"/>
              </w:rPr>
              <w:t>套</w:t>
            </w:r>
            <w:r>
              <w:rPr>
                <w:rFonts w:hint="default" w:ascii="Times New Roman" w:hAnsi="Times New Roman" w:eastAsia="宋体" w:cs="Times New Roman"/>
                <w:color w:val="auto"/>
                <w:sz w:val="21"/>
                <w:highlight w:val="none"/>
              </w:rPr>
              <w:t>，</w:t>
            </w:r>
            <w:r>
              <w:rPr>
                <w:rFonts w:hint="default" w:ascii="Times New Roman" w:hAnsi="Times New Roman" w:eastAsia="宋体" w:cs="Times New Roman"/>
                <w:color w:val="auto"/>
                <w:sz w:val="21"/>
                <w:highlight w:val="none"/>
                <w:lang w:eastAsia="zh-CN"/>
              </w:rPr>
              <w:t>处理规模为</w:t>
            </w:r>
            <w:r>
              <w:rPr>
                <w:rFonts w:hint="eastAsia" w:ascii="Times New Roman" w:hAnsi="Times New Roman" w:cs="Times New Roman"/>
                <w:color w:val="auto"/>
                <w:sz w:val="21"/>
                <w:highlight w:val="none"/>
                <w:lang w:val="en-US" w:eastAsia="zh-CN"/>
              </w:rPr>
              <w:t>20</w:t>
            </w:r>
            <w:r>
              <w:rPr>
                <w:rFonts w:hint="default" w:ascii="Times New Roman" w:hAnsi="Times New Roman" w:eastAsia="宋体" w:cs="Times New Roman"/>
                <w:color w:val="auto"/>
                <w:sz w:val="21"/>
                <w:highlight w:val="none"/>
                <w:lang w:val="en-US" w:eastAsia="zh-CN"/>
              </w:rPr>
              <w:t>m</w:t>
            </w:r>
            <w:r>
              <w:rPr>
                <w:rFonts w:hint="default" w:ascii="Times New Roman" w:hAnsi="Times New Roman" w:eastAsia="宋体" w:cs="Times New Roman"/>
                <w:color w:val="auto"/>
                <w:sz w:val="21"/>
                <w:highlight w:val="none"/>
                <w:vertAlign w:val="superscript"/>
                <w:lang w:val="en-US" w:eastAsia="zh-CN"/>
              </w:rPr>
              <w:t>3</w:t>
            </w:r>
            <w:r>
              <w:rPr>
                <w:rFonts w:hint="default" w:ascii="Times New Roman" w:hAnsi="Times New Roman" w:eastAsia="宋体" w:cs="Times New Roman"/>
                <w:color w:val="auto"/>
                <w:sz w:val="21"/>
                <w:highlight w:val="none"/>
                <w:lang w:val="en-US" w:eastAsia="zh-CN"/>
              </w:rPr>
              <w:t>/d</w:t>
            </w:r>
          </w:p>
        </w:tc>
        <w:tc>
          <w:tcPr>
            <w:tcW w:w="836" w:type="dxa"/>
            <w:tcBorders>
              <w:top w:val="single" w:color="auto" w:sz="4" w:space="0"/>
              <w:left w:val="single" w:color="auto" w:sz="4" w:space="0"/>
              <w:bottom w:val="single" w:color="auto" w:sz="4" w:space="0"/>
              <w:right w:val="single" w:color="auto" w:sz="4" w:space="0"/>
            </w:tcBorders>
            <w:vAlign w:val="center"/>
          </w:tcPr>
          <w:p w14:paraId="67C62F21">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新建</w:t>
            </w:r>
          </w:p>
        </w:tc>
      </w:tr>
      <w:tr w14:paraId="08A0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73" w:type="dxa"/>
            <w:vMerge w:val="continue"/>
            <w:tcBorders>
              <w:left w:val="single" w:color="auto" w:sz="4" w:space="0"/>
              <w:right w:val="single" w:color="auto" w:sz="4" w:space="0"/>
            </w:tcBorders>
            <w:vAlign w:val="center"/>
          </w:tcPr>
          <w:p w14:paraId="7B9A335A">
            <w:pPr>
              <w:widowControl/>
              <w:spacing w:line="240" w:lineRule="auto"/>
              <w:jc w:val="left"/>
              <w:rPr>
                <w:rFonts w:hint="default" w:ascii="Times New Roman" w:hAnsi="Times New Roman" w:eastAsia="宋体" w:cs="Times New Roman"/>
                <w:color w:val="auto"/>
                <w:sz w:val="21"/>
              </w:rPr>
            </w:pPr>
          </w:p>
        </w:tc>
        <w:tc>
          <w:tcPr>
            <w:tcW w:w="709" w:type="dxa"/>
            <w:gridSpan w:val="2"/>
            <w:vMerge w:val="continue"/>
            <w:tcBorders>
              <w:left w:val="single" w:color="auto" w:sz="4" w:space="0"/>
              <w:bottom w:val="single" w:color="auto" w:sz="4" w:space="0"/>
              <w:right w:val="single" w:color="auto" w:sz="4" w:space="0"/>
            </w:tcBorders>
            <w:vAlign w:val="center"/>
          </w:tcPr>
          <w:p w14:paraId="0C2483E5">
            <w:pPr>
              <w:widowControl/>
              <w:spacing w:line="240" w:lineRule="auto"/>
              <w:jc w:val="left"/>
              <w:rPr>
                <w:rFonts w:hint="default" w:ascii="Times New Roman" w:hAnsi="Times New Roman" w:eastAsia="宋体" w:cs="Times New Roman"/>
                <w:color w:val="auto"/>
                <w:sz w:val="21"/>
              </w:rPr>
            </w:pPr>
          </w:p>
        </w:tc>
        <w:tc>
          <w:tcPr>
            <w:tcW w:w="1004" w:type="dxa"/>
            <w:tcBorders>
              <w:top w:val="single" w:color="auto" w:sz="4" w:space="0"/>
              <w:left w:val="single" w:color="auto" w:sz="4" w:space="0"/>
              <w:bottom w:val="single" w:color="auto" w:sz="4" w:space="0"/>
              <w:right w:val="single" w:color="auto" w:sz="4" w:space="0"/>
            </w:tcBorders>
            <w:vAlign w:val="center"/>
          </w:tcPr>
          <w:p w14:paraId="26F6937B">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三级沉淀池</w:t>
            </w:r>
          </w:p>
        </w:tc>
        <w:tc>
          <w:tcPr>
            <w:tcW w:w="5300" w:type="dxa"/>
            <w:tcBorders>
              <w:top w:val="single" w:color="auto" w:sz="4" w:space="0"/>
              <w:left w:val="single" w:color="auto" w:sz="4" w:space="0"/>
              <w:bottom w:val="single" w:color="auto" w:sz="4" w:space="0"/>
              <w:right w:val="single" w:color="auto" w:sz="4" w:space="0"/>
            </w:tcBorders>
            <w:vAlign w:val="center"/>
          </w:tcPr>
          <w:p w14:paraId="08D34695">
            <w:pPr>
              <w:autoSpaceDE w:val="0"/>
              <w:autoSpaceDN w:val="0"/>
              <w:adjustRightInd w:val="0"/>
              <w:snapToGrid w:val="0"/>
              <w:spacing w:line="240" w:lineRule="auto"/>
              <w:jc w:val="cente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lang w:eastAsia="zh-CN"/>
              </w:rPr>
              <w:t>设置于</w:t>
            </w:r>
            <w:r>
              <w:rPr>
                <w:rFonts w:hint="eastAsia" w:ascii="Times New Roman" w:hAnsi="Times New Roman" w:cs="Times New Roman"/>
                <w:color w:val="auto"/>
                <w:sz w:val="21"/>
                <w:highlight w:val="none"/>
                <w:lang w:eastAsia="zh-CN"/>
              </w:rPr>
              <w:t>水洗车间北侧</w:t>
            </w:r>
            <w:r>
              <w:rPr>
                <w:rFonts w:hint="default" w:ascii="Times New Roman" w:hAnsi="Times New Roman" w:eastAsia="宋体" w:cs="Times New Roman"/>
                <w:color w:val="auto"/>
                <w:sz w:val="21"/>
                <w:highlight w:val="none"/>
              </w:rPr>
              <w:t>， 1个，容积</w:t>
            </w:r>
            <w:r>
              <w:rPr>
                <w:rFonts w:hint="eastAsia" w:ascii="Times New Roman" w:hAnsi="Times New Roman" w:cs="Times New Roman"/>
                <w:color w:val="auto"/>
                <w:sz w:val="21"/>
                <w:highlight w:val="none"/>
                <w:lang w:val="en-US" w:eastAsia="zh-CN"/>
              </w:rPr>
              <w:t>169</w:t>
            </w:r>
            <w:r>
              <w:rPr>
                <w:rFonts w:hint="default" w:ascii="Times New Roman" w:hAnsi="Times New Roman" w:eastAsia="宋体" w:cs="Times New Roman"/>
                <w:color w:val="auto"/>
                <w:sz w:val="21"/>
                <w:highlight w:val="none"/>
              </w:rPr>
              <w:t>m</w:t>
            </w:r>
            <w:r>
              <w:rPr>
                <w:rFonts w:hint="default" w:ascii="Times New Roman" w:hAnsi="Times New Roman" w:eastAsia="宋体" w:cs="Times New Roman"/>
                <w:color w:val="auto"/>
                <w:sz w:val="21"/>
                <w:highlight w:val="none"/>
                <w:vertAlign w:val="superscript"/>
              </w:rPr>
              <w:t>3</w:t>
            </w:r>
          </w:p>
        </w:tc>
        <w:tc>
          <w:tcPr>
            <w:tcW w:w="836" w:type="dxa"/>
            <w:tcBorders>
              <w:top w:val="single" w:color="auto" w:sz="4" w:space="0"/>
              <w:left w:val="single" w:color="auto" w:sz="4" w:space="0"/>
              <w:bottom w:val="single" w:color="auto" w:sz="4" w:space="0"/>
              <w:right w:val="single" w:color="auto" w:sz="4" w:space="0"/>
            </w:tcBorders>
            <w:vAlign w:val="center"/>
          </w:tcPr>
          <w:p w14:paraId="4A188B1D">
            <w:pPr>
              <w:autoSpaceDE w:val="0"/>
              <w:autoSpaceDN w:val="0"/>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新建</w:t>
            </w:r>
          </w:p>
        </w:tc>
      </w:tr>
      <w:tr w14:paraId="2F3D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673" w:type="dxa"/>
            <w:vMerge w:val="continue"/>
            <w:tcBorders>
              <w:left w:val="single" w:color="auto" w:sz="4" w:space="0"/>
              <w:right w:val="single" w:color="auto" w:sz="4" w:space="0"/>
            </w:tcBorders>
            <w:vAlign w:val="center"/>
          </w:tcPr>
          <w:p w14:paraId="69453897">
            <w:pPr>
              <w:widowControl/>
              <w:spacing w:line="240" w:lineRule="auto"/>
              <w:jc w:val="left"/>
              <w:rPr>
                <w:rFonts w:hint="default" w:ascii="Times New Roman" w:hAnsi="Times New Roman" w:eastAsia="宋体" w:cs="Times New Roman"/>
                <w:color w:val="auto"/>
                <w:sz w:val="21"/>
              </w:rPr>
            </w:pPr>
          </w:p>
        </w:tc>
        <w:tc>
          <w:tcPr>
            <w:tcW w:w="709" w:type="dxa"/>
            <w:gridSpan w:val="2"/>
            <w:vMerge w:val="restart"/>
            <w:tcBorders>
              <w:top w:val="single" w:color="auto" w:sz="4" w:space="0"/>
              <w:left w:val="single" w:color="auto" w:sz="4" w:space="0"/>
              <w:right w:val="single" w:color="auto" w:sz="4" w:space="0"/>
            </w:tcBorders>
            <w:vAlign w:val="center"/>
          </w:tcPr>
          <w:p w14:paraId="35D5B0ED">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固废处置</w:t>
            </w:r>
          </w:p>
        </w:tc>
        <w:tc>
          <w:tcPr>
            <w:tcW w:w="1004" w:type="dxa"/>
            <w:tcBorders>
              <w:top w:val="single" w:color="auto" w:sz="4" w:space="0"/>
              <w:left w:val="single" w:color="auto" w:sz="4" w:space="0"/>
              <w:bottom w:val="single" w:color="auto" w:sz="4" w:space="0"/>
              <w:right w:val="single" w:color="auto" w:sz="4" w:space="0"/>
            </w:tcBorders>
            <w:vAlign w:val="center"/>
          </w:tcPr>
          <w:p w14:paraId="32435B33">
            <w:pPr>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危险废物暂存间</w:t>
            </w:r>
          </w:p>
        </w:tc>
        <w:tc>
          <w:tcPr>
            <w:tcW w:w="5300" w:type="dxa"/>
            <w:tcBorders>
              <w:top w:val="single" w:color="auto" w:sz="4" w:space="0"/>
              <w:left w:val="single" w:color="auto" w:sz="4" w:space="0"/>
              <w:bottom w:val="single" w:color="auto" w:sz="4" w:space="0"/>
              <w:right w:val="single" w:color="auto" w:sz="4" w:space="0"/>
            </w:tcBorders>
            <w:vAlign w:val="center"/>
          </w:tcPr>
          <w:p w14:paraId="573D981D">
            <w:pPr>
              <w:adjustRightInd w:val="0"/>
              <w:spacing w:line="240" w:lineRule="auto"/>
              <w:jc w:val="both"/>
              <w:rPr>
                <w:rFonts w:hint="default" w:ascii="Times New Roman" w:hAnsi="Times New Roman" w:eastAsia="宋体" w:cs="Times New Roman"/>
                <w:color w:val="auto"/>
                <w:spacing w:val="-2"/>
                <w:sz w:val="21"/>
                <w:highlight w:val="yellow"/>
                <w:lang w:eastAsia="zh-CN"/>
              </w:rPr>
            </w:pPr>
            <w:r>
              <w:rPr>
                <w:rFonts w:hint="default" w:ascii="Times New Roman" w:hAnsi="Times New Roman" w:eastAsia="宋体" w:cs="Times New Roman"/>
                <w:color w:val="auto"/>
                <w:sz w:val="21"/>
                <w:highlight w:val="none"/>
                <w:lang w:eastAsia="zh-CN"/>
              </w:rPr>
              <w:t>拟设置于项目</w:t>
            </w:r>
            <w:r>
              <w:rPr>
                <w:rFonts w:hint="eastAsia" w:ascii="Times New Roman" w:hAnsi="Times New Roman" w:cs="Times New Roman"/>
                <w:color w:val="auto"/>
                <w:sz w:val="21"/>
                <w:highlight w:val="none"/>
                <w:lang w:eastAsia="zh-CN"/>
              </w:rPr>
              <w:t>机修车间南侧</w:t>
            </w:r>
            <w:r>
              <w:rPr>
                <w:rFonts w:hint="default" w:ascii="Times New Roman" w:hAnsi="Times New Roman" w:eastAsia="宋体" w:cs="Times New Roman"/>
                <w:color w:val="auto"/>
                <w:sz w:val="21"/>
                <w:highlight w:val="none"/>
                <w:lang w:eastAsia="zh-CN"/>
              </w:rPr>
              <w:t>，</w:t>
            </w:r>
            <w:r>
              <w:rPr>
                <w:rFonts w:hint="default" w:ascii="Times New Roman" w:hAnsi="Times New Roman" w:eastAsia="宋体" w:cs="Times New Roman"/>
                <w:color w:val="auto"/>
                <w:spacing w:val="-2"/>
                <w:sz w:val="21"/>
                <w:highlight w:val="none"/>
              </w:rPr>
              <w:t>共1间，</w:t>
            </w:r>
            <w:r>
              <w:rPr>
                <w:rFonts w:hint="default" w:ascii="Times New Roman" w:hAnsi="Times New Roman" w:eastAsia="宋体" w:cs="Times New Roman"/>
                <w:color w:val="auto"/>
                <w:spacing w:val="-2"/>
                <w:sz w:val="21"/>
                <w:highlight w:val="none"/>
                <w:lang w:eastAsia="zh-CN"/>
              </w:rPr>
              <w:t>建筑</w:t>
            </w:r>
            <w:r>
              <w:rPr>
                <w:rFonts w:hint="default" w:ascii="Times New Roman" w:hAnsi="Times New Roman" w:eastAsia="宋体" w:cs="Times New Roman"/>
                <w:color w:val="auto"/>
                <w:spacing w:val="-2"/>
                <w:sz w:val="21"/>
                <w:highlight w:val="none"/>
              </w:rPr>
              <w:t>面积</w:t>
            </w:r>
            <w:r>
              <w:rPr>
                <w:rFonts w:hint="eastAsia" w:ascii="Times New Roman" w:hAnsi="Times New Roman" w:cs="Times New Roman"/>
                <w:color w:val="auto"/>
                <w:spacing w:val="-2"/>
                <w:sz w:val="21"/>
                <w:highlight w:val="none"/>
                <w:lang w:val="en-US" w:eastAsia="zh-CN"/>
              </w:rPr>
              <w:t>10</w:t>
            </w:r>
            <w:r>
              <w:rPr>
                <w:rFonts w:hint="default" w:ascii="Times New Roman" w:hAnsi="Times New Roman" w:eastAsia="宋体" w:cs="Times New Roman"/>
                <w:color w:val="auto"/>
                <w:spacing w:val="-2"/>
                <w:sz w:val="21"/>
                <w:highlight w:val="none"/>
              </w:rPr>
              <w:t>m</w:t>
            </w:r>
            <w:r>
              <w:rPr>
                <w:rFonts w:hint="default" w:ascii="Times New Roman" w:hAnsi="Times New Roman" w:eastAsia="宋体" w:cs="Times New Roman"/>
                <w:color w:val="auto"/>
                <w:spacing w:val="-2"/>
                <w:sz w:val="21"/>
                <w:highlight w:val="none"/>
                <w:vertAlign w:val="superscript"/>
              </w:rPr>
              <w:t>2</w:t>
            </w:r>
            <w:r>
              <w:rPr>
                <w:rFonts w:hint="default" w:ascii="Times New Roman" w:hAnsi="Times New Roman" w:eastAsia="宋体" w:cs="Times New Roman"/>
                <w:color w:val="auto"/>
                <w:spacing w:val="-2"/>
                <w:sz w:val="21"/>
                <w:highlight w:val="none"/>
              </w:rPr>
              <w:t>，</w:t>
            </w:r>
            <w:r>
              <w:rPr>
                <w:rFonts w:hint="default" w:ascii="Times New Roman" w:hAnsi="Times New Roman" w:eastAsia="宋体" w:cs="Times New Roman"/>
                <w:color w:val="auto"/>
                <w:spacing w:val="-2"/>
                <w:sz w:val="21"/>
                <w:highlight w:val="none"/>
                <w:lang w:eastAsia="zh-CN"/>
              </w:rPr>
              <w:t>用于</w:t>
            </w:r>
            <w:r>
              <w:rPr>
                <w:rFonts w:hint="default" w:ascii="Times New Roman" w:hAnsi="Times New Roman" w:eastAsia="宋体" w:cs="Times New Roman"/>
                <w:color w:val="auto"/>
                <w:spacing w:val="-2"/>
                <w:sz w:val="21"/>
                <w:highlight w:val="none"/>
              </w:rPr>
              <w:t>收集、</w:t>
            </w:r>
            <w:r>
              <w:rPr>
                <w:rFonts w:hint="default" w:ascii="Times New Roman" w:hAnsi="Times New Roman" w:eastAsia="宋体" w:cs="Times New Roman"/>
                <w:color w:val="auto"/>
                <w:spacing w:val="-2"/>
                <w:sz w:val="21"/>
                <w:highlight w:val="none"/>
                <w:lang w:eastAsia="zh-CN"/>
              </w:rPr>
              <w:t>暂存</w:t>
            </w:r>
            <w:r>
              <w:rPr>
                <w:rFonts w:hint="default" w:ascii="Times New Roman" w:hAnsi="Times New Roman" w:eastAsia="宋体" w:cs="Times New Roman"/>
                <w:color w:val="auto"/>
                <w:spacing w:val="-2"/>
                <w:sz w:val="21"/>
                <w:highlight w:val="none"/>
              </w:rPr>
              <w:t>项目内危险废物。危废间的</w:t>
            </w:r>
            <w:r>
              <w:rPr>
                <w:rFonts w:hint="default" w:ascii="Times New Roman" w:hAnsi="Times New Roman" w:eastAsia="宋体" w:cs="Times New Roman"/>
                <w:color w:val="auto"/>
                <w:spacing w:val="-2"/>
                <w:sz w:val="21"/>
                <w:highlight w:val="none"/>
                <w:lang w:eastAsia="zh-CN"/>
              </w:rPr>
              <w:t>建设</w:t>
            </w:r>
            <w:r>
              <w:rPr>
                <w:rFonts w:hint="default" w:ascii="Times New Roman" w:hAnsi="Times New Roman" w:eastAsia="宋体" w:cs="Times New Roman"/>
                <w:color w:val="auto"/>
                <w:spacing w:val="-2"/>
                <w:sz w:val="21"/>
                <w:highlight w:val="none"/>
              </w:rPr>
              <w:t>严格按照《危险废物贮存污染控制标准》（GB18597-2001）及2013年修改单的要求</w:t>
            </w:r>
            <w:r>
              <w:rPr>
                <w:rFonts w:hint="default" w:ascii="Times New Roman" w:hAnsi="Times New Roman" w:eastAsia="宋体" w:cs="Times New Roman"/>
                <w:color w:val="auto"/>
                <w:spacing w:val="-2"/>
                <w:sz w:val="21"/>
                <w:highlight w:val="none"/>
                <w:lang w:eastAsia="zh-CN"/>
              </w:rPr>
              <w:t>进行</w:t>
            </w:r>
          </w:p>
        </w:tc>
        <w:tc>
          <w:tcPr>
            <w:tcW w:w="836" w:type="dxa"/>
            <w:tcBorders>
              <w:top w:val="single" w:color="auto" w:sz="4" w:space="0"/>
              <w:left w:val="single" w:color="auto" w:sz="4" w:space="0"/>
              <w:bottom w:val="single" w:color="auto" w:sz="4" w:space="0"/>
              <w:right w:val="single" w:color="auto" w:sz="4" w:space="0"/>
            </w:tcBorders>
            <w:vAlign w:val="center"/>
          </w:tcPr>
          <w:p w14:paraId="4E7C18DB">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新建</w:t>
            </w:r>
          </w:p>
        </w:tc>
      </w:tr>
      <w:tr w14:paraId="5ABB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73" w:type="dxa"/>
            <w:vMerge w:val="continue"/>
            <w:tcBorders>
              <w:left w:val="single" w:color="auto" w:sz="4" w:space="0"/>
              <w:right w:val="single" w:color="auto" w:sz="4" w:space="0"/>
            </w:tcBorders>
            <w:vAlign w:val="center"/>
          </w:tcPr>
          <w:p w14:paraId="07CD6553">
            <w:pPr>
              <w:widowControl/>
              <w:spacing w:line="240" w:lineRule="auto"/>
              <w:jc w:val="left"/>
              <w:rPr>
                <w:rFonts w:hint="default" w:ascii="Times New Roman" w:hAnsi="Times New Roman" w:eastAsia="宋体" w:cs="Times New Roman"/>
                <w:color w:val="auto"/>
                <w:sz w:val="21"/>
              </w:rPr>
            </w:pPr>
          </w:p>
        </w:tc>
        <w:tc>
          <w:tcPr>
            <w:tcW w:w="709" w:type="dxa"/>
            <w:gridSpan w:val="2"/>
            <w:vMerge w:val="continue"/>
            <w:tcBorders>
              <w:left w:val="single" w:color="auto" w:sz="4" w:space="0"/>
              <w:right w:val="single" w:color="auto" w:sz="4" w:space="0"/>
            </w:tcBorders>
            <w:vAlign w:val="center"/>
          </w:tcPr>
          <w:p w14:paraId="3F6A4209">
            <w:pPr>
              <w:widowControl/>
              <w:spacing w:line="240" w:lineRule="auto"/>
              <w:jc w:val="left"/>
              <w:rPr>
                <w:rFonts w:hint="default" w:ascii="Times New Roman" w:hAnsi="Times New Roman" w:eastAsia="宋体" w:cs="Times New Roman"/>
                <w:color w:val="auto"/>
                <w:sz w:val="21"/>
              </w:rPr>
            </w:pPr>
          </w:p>
        </w:tc>
        <w:tc>
          <w:tcPr>
            <w:tcW w:w="1004" w:type="dxa"/>
            <w:tcBorders>
              <w:top w:val="single" w:color="auto" w:sz="4" w:space="0"/>
              <w:left w:val="single" w:color="auto" w:sz="4" w:space="0"/>
              <w:bottom w:val="single" w:color="auto" w:sz="4" w:space="0"/>
              <w:right w:val="single" w:color="auto" w:sz="4" w:space="0"/>
            </w:tcBorders>
            <w:vAlign w:val="center"/>
          </w:tcPr>
          <w:p w14:paraId="338C716F">
            <w:pPr>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一般固废间</w:t>
            </w:r>
          </w:p>
        </w:tc>
        <w:tc>
          <w:tcPr>
            <w:tcW w:w="5300" w:type="dxa"/>
            <w:tcBorders>
              <w:top w:val="single" w:color="auto" w:sz="4" w:space="0"/>
              <w:left w:val="single" w:color="auto" w:sz="4" w:space="0"/>
              <w:bottom w:val="single" w:color="auto" w:sz="4" w:space="0"/>
              <w:right w:val="single" w:color="auto" w:sz="4" w:space="0"/>
            </w:tcBorders>
            <w:vAlign w:val="center"/>
          </w:tcPr>
          <w:p w14:paraId="622ECB20">
            <w:pPr>
              <w:adjustRightInd w:val="0"/>
              <w:spacing w:line="240" w:lineRule="auto"/>
              <w:jc w:val="center"/>
              <w:rPr>
                <w:rFonts w:hint="default" w:ascii="Times New Roman" w:hAnsi="Times New Roman" w:eastAsia="宋体" w:cs="Times New Roman"/>
                <w:color w:val="auto"/>
                <w:spacing w:val="-2"/>
                <w:sz w:val="21"/>
                <w:highlight w:val="yellow"/>
              </w:rPr>
            </w:pPr>
            <w:r>
              <w:rPr>
                <w:rFonts w:hint="default" w:ascii="Times New Roman" w:hAnsi="Times New Roman" w:eastAsia="宋体" w:cs="Times New Roman"/>
                <w:color w:val="auto"/>
                <w:sz w:val="21"/>
                <w:highlight w:val="none"/>
                <w:lang w:eastAsia="zh-CN"/>
              </w:rPr>
              <w:t>位于项目</w:t>
            </w:r>
            <w:r>
              <w:rPr>
                <w:rFonts w:hint="eastAsia" w:ascii="Times New Roman" w:hAnsi="Times New Roman" w:cs="Times New Roman"/>
                <w:color w:val="auto"/>
                <w:sz w:val="21"/>
                <w:highlight w:val="none"/>
                <w:lang w:eastAsia="zh-CN"/>
              </w:rPr>
              <w:t>成品仓库</w:t>
            </w:r>
            <w:r>
              <w:rPr>
                <w:rFonts w:hint="default" w:ascii="Times New Roman" w:hAnsi="Times New Roman" w:eastAsia="宋体" w:cs="Times New Roman"/>
                <w:color w:val="auto"/>
                <w:sz w:val="21"/>
                <w:highlight w:val="none"/>
                <w:lang w:eastAsia="zh-CN"/>
              </w:rPr>
              <w:t>西侧，</w:t>
            </w:r>
            <w:r>
              <w:rPr>
                <w:rFonts w:hint="default" w:ascii="Times New Roman" w:hAnsi="Times New Roman" w:eastAsia="宋体" w:cs="Times New Roman"/>
                <w:color w:val="auto"/>
                <w:sz w:val="21"/>
                <w:highlight w:val="none"/>
                <w:lang w:val="en-US" w:eastAsia="zh-CN"/>
              </w:rPr>
              <w:t>1间，建筑面积20m</w:t>
            </w:r>
            <w:r>
              <w:rPr>
                <w:rFonts w:hint="default" w:ascii="Times New Roman" w:hAnsi="Times New Roman" w:eastAsia="宋体" w:cs="Times New Roman"/>
                <w:color w:val="auto"/>
                <w:sz w:val="21"/>
                <w:highlight w:val="none"/>
                <w:vertAlign w:val="superscript"/>
                <w:lang w:val="en-US" w:eastAsia="zh-CN"/>
              </w:rPr>
              <w:t>2</w:t>
            </w:r>
            <w:r>
              <w:rPr>
                <w:rFonts w:hint="default" w:ascii="Times New Roman" w:hAnsi="Times New Roman" w:eastAsia="宋体" w:cs="Times New Roman"/>
                <w:color w:val="auto"/>
                <w:sz w:val="21"/>
                <w:highlight w:val="none"/>
                <w:lang w:val="en-US" w:eastAsia="zh-CN"/>
              </w:rPr>
              <w:t>，用于收集暂存项目内生产过程中产出的一般工业固体废物</w:t>
            </w:r>
          </w:p>
        </w:tc>
        <w:tc>
          <w:tcPr>
            <w:tcW w:w="836" w:type="dxa"/>
            <w:tcBorders>
              <w:top w:val="single" w:color="auto" w:sz="4" w:space="0"/>
              <w:left w:val="single" w:color="auto" w:sz="4" w:space="0"/>
              <w:bottom w:val="single" w:color="auto" w:sz="4" w:space="0"/>
              <w:right w:val="single" w:color="auto" w:sz="4" w:space="0"/>
            </w:tcBorders>
            <w:vAlign w:val="center"/>
          </w:tcPr>
          <w:p w14:paraId="147B916A">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新建</w:t>
            </w:r>
          </w:p>
        </w:tc>
      </w:tr>
      <w:tr w14:paraId="1D68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73" w:type="dxa"/>
            <w:vMerge w:val="continue"/>
            <w:tcBorders>
              <w:left w:val="single" w:color="auto" w:sz="4" w:space="0"/>
              <w:right w:val="single" w:color="auto" w:sz="4" w:space="0"/>
            </w:tcBorders>
            <w:vAlign w:val="center"/>
          </w:tcPr>
          <w:p w14:paraId="71F3F085">
            <w:pPr>
              <w:widowControl/>
              <w:spacing w:line="240" w:lineRule="auto"/>
              <w:jc w:val="left"/>
              <w:rPr>
                <w:rFonts w:hint="default" w:ascii="Times New Roman" w:hAnsi="Times New Roman" w:eastAsia="宋体" w:cs="Times New Roman"/>
                <w:color w:val="auto"/>
                <w:sz w:val="21"/>
              </w:rPr>
            </w:pPr>
          </w:p>
        </w:tc>
        <w:tc>
          <w:tcPr>
            <w:tcW w:w="709" w:type="dxa"/>
            <w:gridSpan w:val="2"/>
            <w:vMerge w:val="continue"/>
            <w:tcBorders>
              <w:left w:val="single" w:color="auto" w:sz="4" w:space="0"/>
              <w:bottom w:val="single" w:color="auto" w:sz="4" w:space="0"/>
              <w:right w:val="single" w:color="auto" w:sz="4" w:space="0"/>
            </w:tcBorders>
            <w:vAlign w:val="center"/>
          </w:tcPr>
          <w:p w14:paraId="1A1374F7">
            <w:pPr>
              <w:adjustRightInd w:val="0"/>
              <w:spacing w:line="240" w:lineRule="auto"/>
              <w:jc w:val="center"/>
              <w:rPr>
                <w:rFonts w:hint="default" w:ascii="Times New Roman" w:hAnsi="Times New Roman" w:eastAsia="宋体" w:cs="Times New Roman"/>
                <w:color w:val="auto"/>
                <w:sz w:val="21"/>
              </w:rPr>
            </w:pPr>
          </w:p>
        </w:tc>
        <w:tc>
          <w:tcPr>
            <w:tcW w:w="1004" w:type="dxa"/>
            <w:tcBorders>
              <w:top w:val="single" w:color="auto" w:sz="4" w:space="0"/>
              <w:left w:val="single" w:color="auto" w:sz="4" w:space="0"/>
              <w:bottom w:val="single" w:color="auto" w:sz="4" w:space="0"/>
              <w:right w:val="single" w:color="auto" w:sz="4" w:space="0"/>
            </w:tcBorders>
            <w:vAlign w:val="center"/>
          </w:tcPr>
          <w:p w14:paraId="13300C31">
            <w:pPr>
              <w:adjustRightInd w:val="0"/>
              <w:spacing w:line="24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highlight w:val="none"/>
              </w:rPr>
              <w:t>生活垃圾桶</w:t>
            </w:r>
          </w:p>
        </w:tc>
        <w:tc>
          <w:tcPr>
            <w:tcW w:w="5300" w:type="dxa"/>
            <w:tcBorders>
              <w:top w:val="single" w:color="auto" w:sz="4" w:space="0"/>
              <w:left w:val="single" w:color="auto" w:sz="4" w:space="0"/>
              <w:bottom w:val="single" w:color="auto" w:sz="4" w:space="0"/>
              <w:right w:val="single" w:color="auto" w:sz="4" w:space="0"/>
            </w:tcBorders>
            <w:vAlign w:val="center"/>
          </w:tcPr>
          <w:p w14:paraId="258C9E2D">
            <w:pPr>
              <w:adjustRightInd w:val="0"/>
              <w:spacing w:line="240" w:lineRule="auto"/>
              <w:jc w:val="center"/>
              <w:rPr>
                <w:rFonts w:hint="default" w:ascii="Times New Roman" w:hAnsi="Times New Roman" w:eastAsia="宋体" w:cs="Times New Roman"/>
                <w:color w:val="auto"/>
                <w:spacing w:val="-2"/>
                <w:sz w:val="21"/>
                <w:highlight w:val="yellow"/>
              </w:rPr>
            </w:pPr>
            <w:r>
              <w:rPr>
                <w:rFonts w:hint="default" w:ascii="Times New Roman" w:hAnsi="Times New Roman" w:eastAsia="宋体" w:cs="Times New Roman"/>
                <w:color w:val="auto"/>
                <w:spacing w:val="-2"/>
                <w:sz w:val="21"/>
                <w:highlight w:val="none"/>
              </w:rPr>
              <w:t>于</w:t>
            </w:r>
            <w:r>
              <w:rPr>
                <w:rFonts w:hint="eastAsia" w:ascii="Times New Roman" w:hAnsi="Times New Roman" w:cs="Times New Roman"/>
                <w:color w:val="auto"/>
                <w:spacing w:val="-2"/>
                <w:sz w:val="21"/>
                <w:highlight w:val="none"/>
                <w:lang w:eastAsia="zh-CN"/>
              </w:rPr>
              <w:t>水洗车间</w:t>
            </w:r>
            <w:r>
              <w:rPr>
                <w:rFonts w:hint="default" w:ascii="Times New Roman" w:hAnsi="Times New Roman" w:eastAsia="宋体" w:cs="Times New Roman"/>
                <w:color w:val="auto"/>
                <w:spacing w:val="-2"/>
                <w:sz w:val="21"/>
                <w:highlight w:val="none"/>
              </w:rPr>
              <w:t>各角落</w:t>
            </w:r>
            <w:r>
              <w:rPr>
                <w:rFonts w:hint="default" w:ascii="Times New Roman" w:hAnsi="Times New Roman" w:eastAsia="宋体" w:cs="Times New Roman"/>
                <w:color w:val="auto"/>
                <w:spacing w:val="-2"/>
                <w:sz w:val="21"/>
                <w:highlight w:val="none"/>
                <w:lang w:eastAsia="zh-CN"/>
              </w:rPr>
              <w:t>设置多个垃圾桶</w:t>
            </w:r>
            <w:r>
              <w:rPr>
                <w:rFonts w:hint="default" w:ascii="Times New Roman" w:hAnsi="Times New Roman" w:eastAsia="宋体" w:cs="Times New Roman"/>
                <w:color w:val="auto"/>
                <w:spacing w:val="-2"/>
                <w:sz w:val="21"/>
                <w:highlight w:val="none"/>
              </w:rPr>
              <w:t>，收集项目内生活垃圾，</w:t>
            </w:r>
            <w:r>
              <w:rPr>
                <w:rFonts w:hint="default" w:ascii="Times New Roman" w:hAnsi="Times New Roman" w:eastAsia="宋体" w:cs="Times New Roman"/>
                <w:color w:val="auto"/>
                <w:spacing w:val="-2"/>
                <w:sz w:val="21"/>
                <w:highlight w:val="none"/>
                <w:lang w:eastAsia="zh-CN"/>
              </w:rPr>
              <w:t>收集后委托环卫部门进行清运处置</w:t>
            </w:r>
          </w:p>
        </w:tc>
        <w:tc>
          <w:tcPr>
            <w:tcW w:w="836" w:type="dxa"/>
            <w:tcBorders>
              <w:top w:val="single" w:color="auto" w:sz="4" w:space="0"/>
              <w:left w:val="single" w:color="auto" w:sz="4" w:space="0"/>
              <w:bottom w:val="single" w:color="auto" w:sz="4" w:space="0"/>
              <w:right w:val="single" w:color="auto" w:sz="4" w:space="0"/>
            </w:tcBorders>
            <w:vAlign w:val="center"/>
          </w:tcPr>
          <w:p w14:paraId="237C14B2">
            <w:pPr>
              <w:autoSpaceDE w:val="0"/>
              <w:autoSpaceDN w:val="0"/>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新建</w:t>
            </w:r>
          </w:p>
        </w:tc>
      </w:tr>
    </w:tbl>
    <w:p w14:paraId="242A38C1">
      <w:pPr>
        <w:pStyle w:val="10"/>
        <w:adjustRightInd w:val="0"/>
        <w:snapToGrid w:val="0"/>
        <w:spacing w:beforeLines="50" w:after="0" w:line="360" w:lineRule="auto"/>
        <w:rPr>
          <w:rFonts w:hint="default" w:ascii="Times New Roman" w:hAnsi="Times New Roman" w:eastAsia="宋体" w:cs="Times New Roman"/>
          <w:color w:val="auto"/>
        </w:rPr>
      </w:pPr>
      <w:bookmarkStart w:id="216" w:name="_Toc15185"/>
      <w:bookmarkStart w:id="217" w:name="_Toc10378"/>
      <w:r>
        <w:rPr>
          <w:rFonts w:hint="default" w:ascii="Times New Roman" w:hAnsi="Times New Roman" w:eastAsia="宋体" w:cs="Times New Roman"/>
          <w:color w:val="auto"/>
        </w:rPr>
        <w:t>2.</w:t>
      </w:r>
      <w:r>
        <w:rPr>
          <w:rFonts w:hint="eastAsia" w:ascii="Times New Roman" w:hAnsi="Times New Roman" w:eastAsia="宋体" w:cs="Times New Roman"/>
          <w:color w:val="auto"/>
          <w:lang w:val="en-US" w:eastAsia="zh-CN"/>
        </w:rPr>
        <w:t>13</w:t>
      </w:r>
      <w:r>
        <w:rPr>
          <w:rFonts w:hint="default" w:ascii="Times New Roman" w:hAnsi="Times New Roman" w:eastAsia="宋体" w:cs="Times New Roman"/>
          <w:color w:val="auto"/>
        </w:rPr>
        <w:t>项目产品方案、主要原辅材料及能源消耗</w:t>
      </w:r>
      <w:bookmarkEnd w:id="216"/>
      <w:bookmarkEnd w:id="217"/>
    </w:p>
    <w:p w14:paraId="4AAAB2E2">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218" w:name="_Toc22373"/>
      <w:r>
        <w:rPr>
          <w:rFonts w:hint="default" w:ascii="Times New Roman" w:hAnsi="Times New Roman" w:eastAsia="宋体" w:cs="Times New Roman"/>
          <w:color w:val="auto"/>
          <w:sz w:val="28"/>
          <w:szCs w:val="28"/>
        </w:rPr>
        <w:t>2.</w:t>
      </w:r>
      <w:r>
        <w:rPr>
          <w:rFonts w:hint="eastAsia" w:ascii="Times New Roman" w:hAnsi="Times New Roman" w:cs="Times New Roman"/>
          <w:color w:val="auto"/>
          <w:sz w:val="28"/>
          <w:szCs w:val="28"/>
          <w:lang w:val="en-US" w:eastAsia="zh-CN"/>
        </w:rPr>
        <w:t>13</w:t>
      </w:r>
      <w:r>
        <w:rPr>
          <w:rFonts w:hint="default" w:ascii="Times New Roman" w:hAnsi="Times New Roman" w:eastAsia="宋体" w:cs="Times New Roman"/>
          <w:color w:val="auto"/>
          <w:sz w:val="28"/>
          <w:szCs w:val="28"/>
        </w:rPr>
        <w:t>.1产品方案及规模</w:t>
      </w:r>
      <w:bookmarkEnd w:id="218"/>
    </w:p>
    <w:p w14:paraId="191AF785">
      <w:pPr>
        <w:ind w:firstLine="480"/>
        <w:rPr>
          <w:rFonts w:hint="default" w:ascii="Times New Roman" w:hAnsi="Times New Roman" w:eastAsia="宋体" w:cs="Times New Roman"/>
          <w:color w:val="auto"/>
        </w:rPr>
      </w:pPr>
      <w:bookmarkStart w:id="219" w:name="_Toc25683"/>
      <w:r>
        <w:rPr>
          <w:rFonts w:hint="default" w:ascii="Times New Roman" w:hAnsi="Times New Roman" w:eastAsia="宋体" w:cs="Times New Roman"/>
          <w:bCs/>
          <w:color w:val="auto"/>
        </w:rPr>
        <w:t>本</w:t>
      </w:r>
      <w:r>
        <w:rPr>
          <w:rFonts w:hint="eastAsia" w:ascii="Times New Roman" w:hAnsi="Times New Roman" w:cs="Times New Roman"/>
          <w:bCs/>
          <w:color w:val="auto"/>
          <w:lang w:eastAsia="zh-CN"/>
        </w:rPr>
        <w:t>扩建</w:t>
      </w:r>
      <w:r>
        <w:rPr>
          <w:rFonts w:hint="default" w:ascii="Times New Roman" w:hAnsi="Times New Roman" w:eastAsia="宋体" w:cs="Times New Roman"/>
          <w:bCs/>
          <w:color w:val="auto"/>
        </w:rPr>
        <w:t>项目主要是根据市场需要，可形成年</w:t>
      </w:r>
      <w:r>
        <w:rPr>
          <w:rFonts w:hint="default" w:ascii="Times New Roman" w:hAnsi="Times New Roman" w:eastAsia="宋体" w:cs="Times New Roman"/>
          <w:color w:val="auto"/>
        </w:rPr>
        <w:t>洗加工服装</w:t>
      </w:r>
      <w:r>
        <w:rPr>
          <w:rFonts w:hint="default" w:ascii="Times New Roman" w:hAnsi="Times New Roman" w:eastAsia="宋体" w:cs="Times New Roman"/>
          <w:color w:val="auto"/>
          <w:lang w:val="en-US" w:eastAsia="zh-CN"/>
        </w:rPr>
        <w:t>45</w:t>
      </w:r>
      <w:r>
        <w:rPr>
          <w:rFonts w:hint="default" w:ascii="Times New Roman" w:hAnsi="Times New Roman" w:eastAsia="宋体" w:cs="Times New Roman"/>
          <w:color w:val="auto"/>
        </w:rPr>
        <w:t>万件</w:t>
      </w:r>
      <w:r>
        <w:rPr>
          <w:rFonts w:hint="default" w:ascii="Times New Roman" w:hAnsi="Times New Roman" w:eastAsia="宋体" w:cs="Times New Roman"/>
          <w:bCs/>
          <w:color w:val="auto"/>
        </w:rPr>
        <w:t>的生产能力。</w:t>
      </w:r>
      <w:r>
        <w:rPr>
          <w:rFonts w:hint="default" w:ascii="Times New Roman" w:hAnsi="Times New Roman" w:eastAsia="宋体" w:cs="Times New Roman"/>
          <w:color w:val="auto"/>
        </w:rPr>
        <w:t>具体规模见表</w:t>
      </w:r>
      <w:r>
        <w:rPr>
          <w:rFonts w:hint="default" w:ascii="Times New Roman" w:hAnsi="Times New Roman" w:eastAsia="宋体" w:cs="Times New Roman"/>
          <w:color w:val="auto"/>
          <w:lang w:val="en-US" w:eastAsia="zh-CN"/>
        </w:rPr>
        <w:t>2.</w:t>
      </w:r>
      <w:r>
        <w:rPr>
          <w:rFonts w:hint="eastAsia" w:ascii="Times New Roman" w:hAnsi="Times New Roman" w:cs="Times New Roman"/>
          <w:color w:val="auto"/>
          <w:lang w:val="en-US" w:eastAsia="zh-CN"/>
        </w:rPr>
        <w:t>13</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w:t>
      </w:r>
    </w:p>
    <w:p w14:paraId="1ADEAE9E">
      <w:pPr>
        <w:autoSpaceDE w:val="0"/>
        <w:autoSpaceDN w:val="0"/>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2.</w:t>
      </w:r>
      <w:r>
        <w:rPr>
          <w:rFonts w:hint="eastAsia" w:ascii="Times New Roman" w:hAnsi="Times New Roman" w:cs="Times New Roman"/>
          <w:b/>
          <w:color w:val="auto"/>
          <w:lang w:val="en-US" w:eastAsia="zh-CN"/>
        </w:rPr>
        <w:t>13</w:t>
      </w:r>
      <w:r>
        <w:rPr>
          <w:rFonts w:hint="default" w:ascii="Times New Roman" w:hAnsi="Times New Roman" w:eastAsia="宋体" w:cs="Times New Roman"/>
          <w:b/>
          <w:color w:val="auto"/>
          <w:lang w:val="en-US" w:eastAsia="zh-CN"/>
        </w:rPr>
        <w:t xml:space="preserve">-1  </w:t>
      </w:r>
      <w:r>
        <w:rPr>
          <w:rFonts w:hint="default" w:ascii="Times New Roman" w:hAnsi="Times New Roman" w:eastAsia="宋体" w:cs="Times New Roman"/>
          <w:b/>
          <w:color w:val="auto"/>
        </w:rPr>
        <w:t>本</w:t>
      </w:r>
      <w:r>
        <w:rPr>
          <w:rFonts w:hint="eastAsia" w:ascii="Times New Roman" w:hAnsi="Times New Roman" w:cs="Times New Roman"/>
          <w:b/>
          <w:color w:val="auto"/>
          <w:lang w:eastAsia="zh-CN"/>
        </w:rPr>
        <w:t>扩建</w:t>
      </w:r>
      <w:r>
        <w:rPr>
          <w:rFonts w:hint="default" w:ascii="Times New Roman" w:hAnsi="Times New Roman" w:eastAsia="宋体" w:cs="Times New Roman"/>
          <w:b/>
          <w:color w:val="auto"/>
        </w:rPr>
        <w:t>项目产品方案一览表</w:t>
      </w:r>
    </w:p>
    <w:tbl>
      <w:tblPr>
        <w:tblStyle w:val="6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2717"/>
        <w:gridCol w:w="2429"/>
        <w:gridCol w:w="2736"/>
      </w:tblGrid>
      <w:tr w14:paraId="19A8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tcBorders>
              <w:bottom w:val="single" w:color="auto" w:sz="4" w:space="0"/>
            </w:tcBorders>
            <w:noWrap w:val="0"/>
            <w:vAlign w:val="center"/>
          </w:tcPr>
          <w:p w14:paraId="7C23B530">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序号</w:t>
            </w:r>
          </w:p>
        </w:tc>
        <w:tc>
          <w:tcPr>
            <w:tcW w:w="2717" w:type="dxa"/>
            <w:tcBorders>
              <w:bottom w:val="single" w:color="auto" w:sz="4" w:space="0"/>
            </w:tcBorders>
            <w:noWrap w:val="0"/>
            <w:vAlign w:val="center"/>
          </w:tcPr>
          <w:p w14:paraId="4FE3DC4B">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产品名称</w:t>
            </w:r>
          </w:p>
        </w:tc>
        <w:tc>
          <w:tcPr>
            <w:tcW w:w="2429" w:type="dxa"/>
            <w:tcBorders>
              <w:bottom w:val="single" w:color="auto" w:sz="4" w:space="0"/>
            </w:tcBorders>
            <w:noWrap w:val="0"/>
            <w:vAlign w:val="center"/>
          </w:tcPr>
          <w:p w14:paraId="04E40B49">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规模（万件/a）</w:t>
            </w:r>
          </w:p>
        </w:tc>
        <w:tc>
          <w:tcPr>
            <w:tcW w:w="2736" w:type="dxa"/>
            <w:tcBorders>
              <w:bottom w:val="single" w:color="auto" w:sz="4" w:space="0"/>
            </w:tcBorders>
            <w:noWrap w:val="0"/>
            <w:vAlign w:val="center"/>
          </w:tcPr>
          <w:p w14:paraId="35A64410">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生产时间</w:t>
            </w:r>
          </w:p>
        </w:tc>
      </w:tr>
      <w:tr w14:paraId="5D859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0" w:type="dxa"/>
            <w:tcBorders>
              <w:top w:val="single" w:color="auto" w:sz="4" w:space="0"/>
            </w:tcBorders>
            <w:noWrap w:val="0"/>
            <w:vAlign w:val="center"/>
          </w:tcPr>
          <w:p w14:paraId="4A3C607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717" w:type="dxa"/>
            <w:tcBorders>
              <w:top w:val="single" w:color="auto" w:sz="4" w:space="0"/>
              <w:bottom w:val="single" w:color="auto" w:sz="4" w:space="0"/>
            </w:tcBorders>
            <w:noWrap w:val="0"/>
            <w:vAlign w:val="center"/>
          </w:tcPr>
          <w:p w14:paraId="15576B7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服装水洗</w:t>
            </w:r>
          </w:p>
        </w:tc>
        <w:tc>
          <w:tcPr>
            <w:tcW w:w="2429" w:type="dxa"/>
            <w:tcBorders>
              <w:top w:val="single" w:color="auto" w:sz="4" w:space="0"/>
              <w:bottom w:val="single" w:color="auto" w:sz="4" w:space="0"/>
            </w:tcBorders>
            <w:noWrap w:val="0"/>
            <w:vAlign w:val="center"/>
          </w:tcPr>
          <w:p w14:paraId="6F039D58">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2736" w:type="dxa"/>
            <w:tcBorders>
              <w:top w:val="single" w:color="auto" w:sz="4" w:space="0"/>
            </w:tcBorders>
            <w:noWrap w:val="0"/>
            <w:vAlign w:val="center"/>
          </w:tcPr>
          <w:p w14:paraId="5370E37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2400h</w:t>
            </w:r>
          </w:p>
        </w:tc>
      </w:tr>
      <w:bookmarkEnd w:id="219"/>
    </w:tbl>
    <w:p w14:paraId="4D109EF0">
      <w:pPr>
        <w:pStyle w:val="11"/>
        <w:adjustRightInd w:val="0"/>
        <w:snapToGrid w:val="0"/>
        <w:spacing w:beforeLines="50" w:after="0" w:line="360" w:lineRule="auto"/>
        <w:rPr>
          <w:rFonts w:hint="eastAsia" w:ascii="Times New Roman" w:hAnsi="Times New Roman" w:eastAsia="宋体"/>
          <w:color w:val="auto"/>
          <w:sz w:val="28"/>
          <w:szCs w:val="28"/>
          <w:lang w:eastAsia="zh-CN"/>
        </w:rPr>
      </w:pPr>
      <w:bookmarkStart w:id="220" w:name="_Toc24894"/>
      <w:r>
        <w:rPr>
          <w:rFonts w:ascii="Times New Roman" w:hAnsi="Times New Roman"/>
          <w:color w:val="auto"/>
          <w:sz w:val="28"/>
          <w:szCs w:val="28"/>
        </w:rPr>
        <w:t>2.</w:t>
      </w:r>
      <w:r>
        <w:rPr>
          <w:rFonts w:hint="eastAsia" w:ascii="Times New Roman" w:hAnsi="Times New Roman"/>
          <w:color w:val="auto"/>
          <w:sz w:val="28"/>
          <w:szCs w:val="28"/>
          <w:lang w:val="en-US" w:eastAsia="zh-CN"/>
        </w:rPr>
        <w:t>13</w:t>
      </w:r>
      <w:r>
        <w:rPr>
          <w:rFonts w:ascii="Times New Roman" w:hAnsi="Times New Roman"/>
          <w:color w:val="auto"/>
          <w:sz w:val="28"/>
          <w:szCs w:val="28"/>
        </w:rPr>
        <w:t>.2主要原辅材料及</w:t>
      </w:r>
      <w:r>
        <w:rPr>
          <w:rFonts w:hint="eastAsia" w:ascii="Times New Roman" w:hAnsi="Times New Roman"/>
          <w:color w:val="auto"/>
          <w:sz w:val="28"/>
          <w:szCs w:val="28"/>
          <w:lang w:eastAsia="zh-CN"/>
        </w:rPr>
        <w:t>理化性质</w:t>
      </w:r>
    </w:p>
    <w:p w14:paraId="6914FD7A">
      <w:pPr>
        <w:spacing w:line="360" w:lineRule="auto"/>
        <w:ind w:firstLine="480"/>
        <w:rPr>
          <w:rFonts w:ascii="Times New Roman" w:hAnsi="Times New Roman"/>
          <w:color w:val="auto"/>
        </w:rPr>
      </w:pPr>
      <w:r>
        <w:rPr>
          <w:rFonts w:hint="eastAsia" w:ascii="Times New Roman" w:hAnsi="Times New Roman"/>
          <w:color w:val="auto"/>
          <w:lang w:eastAsia="zh-CN"/>
        </w:rPr>
        <w:t>（</w:t>
      </w:r>
      <w:r>
        <w:rPr>
          <w:rFonts w:hint="eastAsia" w:ascii="Times New Roman" w:hAnsi="Times New Roman"/>
          <w:color w:val="auto"/>
          <w:lang w:val="en-US" w:eastAsia="zh-CN"/>
        </w:rPr>
        <w:t>1</w:t>
      </w:r>
      <w:r>
        <w:rPr>
          <w:rFonts w:hint="eastAsia" w:ascii="Times New Roman" w:hAnsi="Times New Roman"/>
          <w:color w:val="auto"/>
          <w:lang w:eastAsia="zh-CN"/>
        </w:rPr>
        <w:t>）扩建</w:t>
      </w:r>
      <w:r>
        <w:rPr>
          <w:rFonts w:hint="default" w:ascii="Times New Roman" w:hAnsi="Times New Roman"/>
          <w:color w:val="auto"/>
        </w:rPr>
        <w:t>项目</w:t>
      </w:r>
      <w:r>
        <w:rPr>
          <w:rFonts w:ascii="Times New Roman" w:hAnsi="Times New Roman"/>
          <w:color w:val="auto"/>
        </w:rPr>
        <w:t>原辅材料消耗情况见表2.</w:t>
      </w:r>
      <w:r>
        <w:rPr>
          <w:rFonts w:hint="eastAsia" w:ascii="Times New Roman" w:hAnsi="Times New Roman"/>
          <w:color w:val="auto"/>
          <w:lang w:val="en-US" w:eastAsia="zh-CN"/>
        </w:rPr>
        <w:t>13</w:t>
      </w:r>
      <w:r>
        <w:rPr>
          <w:rFonts w:ascii="Times New Roman" w:hAnsi="Times New Roman"/>
          <w:color w:val="auto"/>
        </w:rPr>
        <w:t>-2。</w:t>
      </w:r>
    </w:p>
    <w:p w14:paraId="407AD67E">
      <w:pPr>
        <w:autoSpaceDE w:val="0"/>
        <w:autoSpaceDN w:val="0"/>
        <w:adjustRightInd w:val="0"/>
        <w:snapToGrid w:val="0"/>
        <w:spacing w:line="360" w:lineRule="auto"/>
        <w:jc w:val="center"/>
        <w:rPr>
          <w:rFonts w:ascii="Times New Roman" w:hAnsi="Times New Roman"/>
          <w:b/>
          <w:color w:val="auto"/>
        </w:rPr>
      </w:pPr>
      <w:r>
        <w:rPr>
          <w:rFonts w:ascii="Times New Roman" w:hAnsi="Times New Roman"/>
          <w:b/>
          <w:color w:val="auto"/>
        </w:rPr>
        <w:t>表2.</w:t>
      </w:r>
      <w:r>
        <w:rPr>
          <w:rFonts w:hint="eastAsia" w:ascii="Times New Roman" w:hAnsi="Times New Roman"/>
          <w:b/>
          <w:color w:val="auto"/>
          <w:lang w:val="en-US" w:eastAsia="zh-CN"/>
        </w:rPr>
        <w:t>13</w:t>
      </w:r>
      <w:r>
        <w:rPr>
          <w:rFonts w:ascii="Times New Roman" w:hAnsi="Times New Roman"/>
          <w:b/>
          <w:color w:val="auto"/>
        </w:rPr>
        <w:t xml:space="preserve">-2 </w:t>
      </w:r>
      <w:r>
        <w:rPr>
          <w:rFonts w:hint="eastAsia" w:ascii="Times New Roman" w:hAnsi="Times New Roman"/>
          <w:b/>
          <w:color w:val="auto"/>
          <w:lang w:eastAsia="zh-CN"/>
        </w:rPr>
        <w:t>扩建</w:t>
      </w:r>
      <w:r>
        <w:rPr>
          <w:rFonts w:hint="default" w:ascii="Times New Roman" w:hAnsi="Times New Roman"/>
          <w:b/>
          <w:color w:val="auto"/>
        </w:rPr>
        <w:t>项目</w:t>
      </w:r>
      <w:r>
        <w:rPr>
          <w:rFonts w:ascii="Times New Roman" w:hAnsi="Times New Roman"/>
          <w:b/>
          <w:color w:val="auto"/>
        </w:rPr>
        <w:t>主要原辅材料</w:t>
      </w:r>
      <w:r>
        <w:rPr>
          <w:rFonts w:hint="eastAsia" w:ascii="Times New Roman" w:hAnsi="Times New Roman"/>
          <w:b/>
          <w:color w:val="auto"/>
          <w:lang w:eastAsia="zh-CN"/>
        </w:rPr>
        <w:t>一览</w:t>
      </w:r>
      <w:r>
        <w:rPr>
          <w:rFonts w:ascii="Times New Roman" w:hAnsi="Times New Roman"/>
          <w:b/>
          <w:color w:val="auto"/>
        </w:rPr>
        <w:t>表</w:t>
      </w:r>
    </w:p>
    <w:tbl>
      <w:tblPr>
        <w:tblStyle w:val="66"/>
        <w:tblW w:w="500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964"/>
        <w:gridCol w:w="1705"/>
        <w:gridCol w:w="1658"/>
        <w:gridCol w:w="2701"/>
        <w:gridCol w:w="1311"/>
      </w:tblGrid>
      <w:tr w14:paraId="7634FA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2" w:hRule="atLeast"/>
          <w:tblHeader/>
          <w:jc w:val="center"/>
        </w:trPr>
        <w:tc>
          <w:tcPr>
            <w:tcW w:w="578" w:type="pct"/>
            <w:tcBorders>
              <w:top w:val="single" w:color="auto" w:sz="8" w:space="0"/>
              <w:left w:val="single" w:color="auto" w:sz="8" w:space="0"/>
              <w:bottom w:val="single" w:color="auto" w:sz="8" w:space="0"/>
              <w:right w:val="single" w:color="auto" w:sz="8" w:space="0"/>
            </w:tcBorders>
            <w:vAlign w:val="center"/>
          </w:tcPr>
          <w:p w14:paraId="5491A0EF">
            <w:pPr>
              <w:autoSpaceDE w:val="0"/>
              <w:autoSpaceDN w:val="0"/>
              <w:adjustRightInd w:val="0"/>
              <w:snapToGrid w:val="0"/>
              <w:spacing w:line="240" w:lineRule="auto"/>
              <w:jc w:val="center"/>
              <w:rPr>
                <w:rFonts w:ascii="Times New Roman" w:hAnsi="Times New Roman"/>
                <w:b/>
                <w:bCs/>
                <w:color w:val="auto"/>
                <w:kern w:val="0"/>
                <w:sz w:val="21"/>
              </w:rPr>
            </w:pPr>
            <w:r>
              <w:rPr>
                <w:rFonts w:ascii="Times New Roman" w:hAnsi="Times New Roman"/>
                <w:b/>
                <w:bCs/>
                <w:color w:val="auto"/>
                <w:kern w:val="0"/>
                <w:sz w:val="21"/>
              </w:rPr>
              <w:t>序号</w:t>
            </w:r>
          </w:p>
        </w:tc>
        <w:tc>
          <w:tcPr>
            <w:tcW w:w="1022" w:type="pct"/>
            <w:tcBorders>
              <w:top w:val="single" w:color="auto" w:sz="8" w:space="0"/>
              <w:left w:val="single" w:color="auto" w:sz="8" w:space="0"/>
              <w:bottom w:val="single" w:color="auto" w:sz="8" w:space="0"/>
              <w:right w:val="single" w:color="auto" w:sz="8" w:space="0"/>
            </w:tcBorders>
            <w:vAlign w:val="center"/>
          </w:tcPr>
          <w:p w14:paraId="3281A30C">
            <w:pPr>
              <w:autoSpaceDE w:val="0"/>
              <w:autoSpaceDN w:val="0"/>
              <w:adjustRightInd w:val="0"/>
              <w:snapToGrid w:val="0"/>
              <w:spacing w:line="240" w:lineRule="auto"/>
              <w:jc w:val="center"/>
              <w:rPr>
                <w:rFonts w:ascii="Times New Roman" w:hAnsi="Times New Roman"/>
                <w:b/>
                <w:bCs/>
                <w:color w:val="auto"/>
                <w:kern w:val="0"/>
                <w:sz w:val="21"/>
              </w:rPr>
            </w:pPr>
            <w:r>
              <w:rPr>
                <w:rFonts w:ascii="Times New Roman" w:hAnsi="Times New Roman"/>
                <w:b/>
                <w:bCs/>
                <w:color w:val="auto"/>
                <w:kern w:val="0"/>
                <w:sz w:val="21"/>
              </w:rPr>
              <w:t>名称</w:t>
            </w:r>
          </w:p>
        </w:tc>
        <w:tc>
          <w:tcPr>
            <w:tcW w:w="994" w:type="pct"/>
            <w:tcBorders>
              <w:top w:val="single" w:color="auto" w:sz="8" w:space="0"/>
              <w:left w:val="single" w:color="auto" w:sz="8" w:space="0"/>
              <w:bottom w:val="single" w:color="auto" w:sz="8" w:space="0"/>
              <w:right w:val="single" w:color="auto" w:sz="8" w:space="0"/>
            </w:tcBorders>
            <w:vAlign w:val="center"/>
          </w:tcPr>
          <w:p w14:paraId="25EA7161">
            <w:pPr>
              <w:autoSpaceDE w:val="0"/>
              <w:autoSpaceDN w:val="0"/>
              <w:adjustRightInd w:val="0"/>
              <w:snapToGrid w:val="0"/>
              <w:spacing w:line="240" w:lineRule="auto"/>
              <w:jc w:val="center"/>
              <w:rPr>
                <w:rFonts w:ascii="Times New Roman" w:hAnsi="Times New Roman"/>
                <w:b/>
                <w:bCs/>
                <w:color w:val="auto"/>
                <w:kern w:val="0"/>
                <w:sz w:val="21"/>
              </w:rPr>
            </w:pPr>
            <w:r>
              <w:rPr>
                <w:rFonts w:ascii="Times New Roman" w:hAnsi="Times New Roman"/>
                <w:b/>
                <w:bCs/>
                <w:color w:val="auto"/>
                <w:kern w:val="0"/>
                <w:sz w:val="21"/>
              </w:rPr>
              <w:t>年用量</w:t>
            </w:r>
          </w:p>
        </w:tc>
        <w:tc>
          <w:tcPr>
            <w:tcW w:w="1619" w:type="pct"/>
            <w:tcBorders>
              <w:top w:val="single" w:color="auto" w:sz="8" w:space="0"/>
              <w:left w:val="single" w:color="auto" w:sz="4" w:space="0"/>
              <w:bottom w:val="single" w:color="auto" w:sz="8" w:space="0"/>
              <w:right w:val="single" w:color="auto" w:sz="4" w:space="0"/>
            </w:tcBorders>
            <w:vAlign w:val="center"/>
          </w:tcPr>
          <w:p w14:paraId="7634999F">
            <w:pPr>
              <w:autoSpaceDE w:val="0"/>
              <w:autoSpaceDN w:val="0"/>
              <w:adjustRightInd w:val="0"/>
              <w:snapToGrid w:val="0"/>
              <w:spacing w:line="240" w:lineRule="auto"/>
              <w:jc w:val="center"/>
              <w:rPr>
                <w:rFonts w:hint="eastAsia" w:ascii="Times New Roman" w:hAnsi="Times New Roman"/>
                <w:b/>
                <w:bCs/>
                <w:color w:val="auto"/>
                <w:kern w:val="0"/>
                <w:sz w:val="21"/>
                <w:lang w:eastAsia="zh-CN"/>
              </w:rPr>
            </w:pPr>
            <w:r>
              <w:rPr>
                <w:rFonts w:hint="eastAsia" w:ascii="Times New Roman" w:hAnsi="Times New Roman"/>
                <w:b/>
                <w:bCs/>
                <w:color w:val="auto"/>
                <w:kern w:val="0"/>
                <w:sz w:val="21"/>
                <w:lang w:eastAsia="zh-CN"/>
              </w:rPr>
              <w:t>储存方式</w:t>
            </w:r>
          </w:p>
        </w:tc>
        <w:tc>
          <w:tcPr>
            <w:tcW w:w="785" w:type="pct"/>
            <w:tcBorders>
              <w:top w:val="single" w:color="auto" w:sz="8" w:space="0"/>
              <w:left w:val="single" w:color="auto" w:sz="4" w:space="0"/>
              <w:bottom w:val="single" w:color="auto" w:sz="8" w:space="0"/>
              <w:right w:val="single" w:color="auto" w:sz="4" w:space="0"/>
            </w:tcBorders>
            <w:vAlign w:val="center"/>
          </w:tcPr>
          <w:p w14:paraId="061B5E60">
            <w:pPr>
              <w:autoSpaceDE w:val="0"/>
              <w:autoSpaceDN w:val="0"/>
              <w:adjustRightInd w:val="0"/>
              <w:snapToGrid w:val="0"/>
              <w:spacing w:line="240" w:lineRule="auto"/>
              <w:jc w:val="center"/>
              <w:rPr>
                <w:rFonts w:ascii="Times New Roman" w:hAnsi="Times New Roman"/>
                <w:b/>
                <w:bCs/>
                <w:color w:val="auto"/>
                <w:kern w:val="0"/>
                <w:sz w:val="21"/>
              </w:rPr>
            </w:pPr>
            <w:r>
              <w:rPr>
                <w:rFonts w:ascii="Times New Roman" w:hAnsi="Times New Roman"/>
                <w:b/>
                <w:bCs/>
                <w:color w:val="auto"/>
                <w:kern w:val="0"/>
                <w:sz w:val="21"/>
              </w:rPr>
              <w:t>来源</w:t>
            </w:r>
          </w:p>
        </w:tc>
      </w:tr>
      <w:tr w14:paraId="6D70FB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7F1F8842">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1</w:t>
            </w:r>
          </w:p>
        </w:tc>
        <w:tc>
          <w:tcPr>
            <w:tcW w:w="1022" w:type="pct"/>
            <w:tcBorders>
              <w:top w:val="single" w:color="auto" w:sz="8" w:space="0"/>
              <w:left w:val="single" w:color="auto" w:sz="8" w:space="0"/>
              <w:bottom w:val="single" w:color="auto" w:sz="8" w:space="0"/>
              <w:right w:val="single" w:color="auto" w:sz="8" w:space="0"/>
            </w:tcBorders>
            <w:vAlign w:val="center"/>
          </w:tcPr>
          <w:p w14:paraId="69E212B6">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柔顺剂</w:t>
            </w:r>
          </w:p>
        </w:tc>
        <w:tc>
          <w:tcPr>
            <w:tcW w:w="994" w:type="pct"/>
            <w:tcBorders>
              <w:top w:val="single" w:color="auto" w:sz="8" w:space="0"/>
              <w:left w:val="single" w:color="auto" w:sz="8" w:space="0"/>
              <w:bottom w:val="single" w:color="auto" w:sz="8" w:space="0"/>
              <w:right w:val="single" w:color="auto" w:sz="8" w:space="0"/>
            </w:tcBorders>
            <w:vAlign w:val="center"/>
          </w:tcPr>
          <w:p w14:paraId="63B72302">
            <w:pPr>
              <w:autoSpaceDE w:val="0"/>
              <w:autoSpaceDN w:val="0"/>
              <w:adjustRightInd w:val="0"/>
              <w:snapToGrid w:val="0"/>
              <w:spacing w:line="240" w:lineRule="auto"/>
              <w:jc w:val="center"/>
              <w:rPr>
                <w:rFonts w:hint="default" w:ascii="Times New Roman" w:hAnsi="Times New Roman"/>
                <w:color w:val="auto"/>
                <w:sz w:val="21"/>
                <w:lang w:val="en-US" w:eastAsia="zh-CN"/>
              </w:rPr>
            </w:pPr>
            <w:r>
              <w:rPr>
                <w:rFonts w:hint="eastAsia" w:ascii="Times New Roman" w:hAnsi="Times New Roman"/>
                <w:color w:val="auto"/>
                <w:sz w:val="21"/>
                <w:lang w:val="en-US" w:eastAsia="zh-CN"/>
              </w:rPr>
              <w:t>1吨/年</w:t>
            </w:r>
          </w:p>
        </w:tc>
        <w:tc>
          <w:tcPr>
            <w:tcW w:w="1619" w:type="pct"/>
            <w:tcBorders>
              <w:left w:val="single" w:color="auto" w:sz="4" w:space="0"/>
              <w:right w:val="single" w:color="auto" w:sz="4" w:space="0"/>
            </w:tcBorders>
            <w:vAlign w:val="center"/>
          </w:tcPr>
          <w:p w14:paraId="2839D57F">
            <w:pPr>
              <w:autoSpaceDE w:val="0"/>
              <w:autoSpaceDN w:val="0"/>
              <w:adjustRightInd w:val="0"/>
              <w:snapToGrid w:val="0"/>
              <w:spacing w:line="240" w:lineRule="auto"/>
              <w:jc w:val="center"/>
              <w:rPr>
                <w:rFonts w:hint="eastAsia" w:ascii="Times New Roman" w:hAnsi="Times New Roman"/>
                <w:color w:val="auto"/>
                <w:kern w:val="0"/>
                <w:sz w:val="21"/>
                <w:lang w:val="en-US" w:eastAsia="zh-CN"/>
              </w:rPr>
            </w:pPr>
            <w:r>
              <w:rPr>
                <w:rFonts w:hint="eastAsia" w:ascii="Times New Roman" w:hAnsi="Times New Roman"/>
                <w:color w:val="auto"/>
                <w:kern w:val="0"/>
                <w:sz w:val="21"/>
                <w:lang w:val="en-US" w:eastAsia="zh-CN"/>
              </w:rPr>
              <w:t>储存于原料仓库</w:t>
            </w:r>
          </w:p>
        </w:tc>
        <w:tc>
          <w:tcPr>
            <w:tcW w:w="785" w:type="pct"/>
            <w:tcBorders>
              <w:top w:val="single" w:color="auto" w:sz="8" w:space="0"/>
              <w:left w:val="single" w:color="auto" w:sz="4" w:space="0"/>
              <w:bottom w:val="single" w:color="auto" w:sz="8" w:space="0"/>
              <w:right w:val="single" w:color="auto" w:sz="4" w:space="0"/>
            </w:tcBorders>
            <w:vAlign w:val="center"/>
          </w:tcPr>
          <w:p w14:paraId="3937F5E2">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外购</w:t>
            </w:r>
          </w:p>
        </w:tc>
      </w:tr>
      <w:tr w14:paraId="6C9BEB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4"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64DD3E81">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5</w:t>
            </w:r>
          </w:p>
        </w:tc>
        <w:tc>
          <w:tcPr>
            <w:tcW w:w="1022" w:type="pct"/>
            <w:tcBorders>
              <w:top w:val="single" w:color="auto" w:sz="8" w:space="0"/>
              <w:left w:val="single" w:color="auto" w:sz="8" w:space="0"/>
              <w:bottom w:val="single" w:color="auto" w:sz="8" w:space="0"/>
              <w:right w:val="single" w:color="auto" w:sz="8" w:space="0"/>
            </w:tcBorders>
            <w:vAlign w:val="center"/>
          </w:tcPr>
          <w:p w14:paraId="32DC3191">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电</w:t>
            </w:r>
          </w:p>
        </w:tc>
        <w:tc>
          <w:tcPr>
            <w:tcW w:w="994" w:type="pct"/>
            <w:tcBorders>
              <w:top w:val="single" w:color="auto" w:sz="8" w:space="0"/>
              <w:left w:val="single" w:color="auto" w:sz="8" w:space="0"/>
              <w:bottom w:val="single" w:color="auto" w:sz="8" w:space="0"/>
              <w:right w:val="single" w:color="auto" w:sz="8" w:space="0"/>
            </w:tcBorders>
            <w:vAlign w:val="center"/>
          </w:tcPr>
          <w:p w14:paraId="008BB6E3">
            <w:pPr>
              <w:autoSpaceDE w:val="0"/>
              <w:autoSpaceDN w:val="0"/>
              <w:adjustRightInd w:val="0"/>
              <w:snapToGrid w:val="0"/>
              <w:spacing w:line="240" w:lineRule="auto"/>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15万kw.h/年</w:t>
            </w:r>
          </w:p>
        </w:tc>
        <w:tc>
          <w:tcPr>
            <w:tcW w:w="1619" w:type="pct"/>
            <w:tcBorders>
              <w:left w:val="single" w:color="auto" w:sz="4" w:space="0"/>
              <w:right w:val="single" w:color="auto" w:sz="4" w:space="0"/>
            </w:tcBorders>
            <w:vAlign w:val="center"/>
          </w:tcPr>
          <w:p w14:paraId="7BF10497">
            <w:pPr>
              <w:autoSpaceDE w:val="0"/>
              <w:autoSpaceDN w:val="0"/>
              <w:adjustRightInd w:val="0"/>
              <w:snapToGrid w:val="0"/>
              <w:spacing w:line="240" w:lineRule="auto"/>
              <w:jc w:val="center"/>
              <w:rPr>
                <w:rFonts w:hint="default" w:ascii="Times New Roman" w:hAnsi="Times New Roman"/>
                <w:color w:val="auto"/>
                <w:kern w:val="0"/>
                <w:sz w:val="21"/>
                <w:lang w:val="en-US" w:eastAsia="zh-CN"/>
              </w:rPr>
            </w:pPr>
            <w:r>
              <w:rPr>
                <w:rFonts w:hint="eastAsia" w:ascii="Times New Roman" w:hAnsi="Times New Roman"/>
                <w:color w:val="auto"/>
                <w:kern w:val="0"/>
                <w:sz w:val="21"/>
                <w:lang w:val="en-US" w:eastAsia="zh-CN"/>
              </w:rPr>
              <w:t>/</w:t>
            </w:r>
          </w:p>
        </w:tc>
        <w:tc>
          <w:tcPr>
            <w:tcW w:w="785" w:type="pct"/>
            <w:tcBorders>
              <w:top w:val="single" w:color="auto" w:sz="8" w:space="0"/>
              <w:left w:val="single" w:color="auto" w:sz="4" w:space="0"/>
              <w:bottom w:val="single" w:color="auto" w:sz="8" w:space="0"/>
              <w:right w:val="single" w:color="auto" w:sz="4" w:space="0"/>
            </w:tcBorders>
            <w:vAlign w:val="center"/>
          </w:tcPr>
          <w:p w14:paraId="243A98A8">
            <w:pPr>
              <w:autoSpaceDE w:val="0"/>
              <w:autoSpaceDN w:val="0"/>
              <w:adjustRightInd w:val="0"/>
              <w:snapToGrid w:val="0"/>
              <w:spacing w:line="240" w:lineRule="auto"/>
              <w:jc w:val="center"/>
              <w:rPr>
                <w:rFonts w:hint="eastAsia" w:ascii="Times New Roman" w:hAnsi="Times New Roman"/>
                <w:color w:val="auto"/>
                <w:kern w:val="0"/>
                <w:sz w:val="21"/>
                <w:lang w:eastAsia="zh-CN"/>
              </w:rPr>
            </w:pPr>
            <w:r>
              <w:rPr>
                <w:rFonts w:hint="eastAsia" w:ascii="Times New Roman" w:hAnsi="Times New Roman"/>
                <w:color w:val="auto"/>
                <w:kern w:val="0"/>
                <w:sz w:val="21"/>
                <w:lang w:eastAsia="zh-CN"/>
              </w:rPr>
              <w:t>国家电网</w:t>
            </w:r>
          </w:p>
        </w:tc>
      </w:tr>
      <w:tr w14:paraId="4351AB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8" w:type="pct"/>
            <w:tcBorders>
              <w:top w:val="single" w:color="auto" w:sz="8" w:space="0"/>
              <w:left w:val="single" w:color="auto" w:sz="8" w:space="0"/>
              <w:bottom w:val="single" w:color="auto" w:sz="8" w:space="0"/>
              <w:right w:val="single" w:color="auto" w:sz="8" w:space="0"/>
            </w:tcBorders>
            <w:vAlign w:val="center"/>
          </w:tcPr>
          <w:p w14:paraId="1E376FDA">
            <w:pPr>
              <w:autoSpaceDE w:val="0"/>
              <w:autoSpaceDN w:val="0"/>
              <w:adjustRightInd w:val="0"/>
              <w:snapToGrid w:val="0"/>
              <w:spacing w:line="240" w:lineRule="auto"/>
              <w:jc w:val="center"/>
              <w:rPr>
                <w:rFonts w:hint="default" w:ascii="Times New Roman" w:hAnsi="Times New Roman"/>
                <w:color w:val="auto"/>
                <w:kern w:val="0"/>
                <w:sz w:val="21"/>
                <w:highlight w:val="none"/>
                <w:lang w:val="en-US" w:eastAsia="zh-CN"/>
              </w:rPr>
            </w:pPr>
            <w:r>
              <w:rPr>
                <w:rFonts w:hint="eastAsia" w:ascii="Times New Roman" w:hAnsi="Times New Roman"/>
                <w:color w:val="auto"/>
                <w:kern w:val="0"/>
                <w:sz w:val="21"/>
                <w:highlight w:val="none"/>
                <w:lang w:val="en-US" w:eastAsia="zh-CN"/>
              </w:rPr>
              <w:t>6</w:t>
            </w:r>
          </w:p>
        </w:tc>
        <w:tc>
          <w:tcPr>
            <w:tcW w:w="1022" w:type="pct"/>
            <w:tcBorders>
              <w:top w:val="single" w:color="auto" w:sz="8" w:space="0"/>
              <w:left w:val="single" w:color="auto" w:sz="8" w:space="0"/>
              <w:bottom w:val="single" w:color="auto" w:sz="8" w:space="0"/>
              <w:right w:val="single" w:color="auto" w:sz="8" w:space="0"/>
            </w:tcBorders>
            <w:vAlign w:val="center"/>
          </w:tcPr>
          <w:p w14:paraId="13E712B7">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color w:val="auto"/>
                <w:kern w:val="0"/>
                <w:sz w:val="21"/>
                <w:highlight w:val="none"/>
                <w:lang w:eastAsia="zh-CN"/>
              </w:rPr>
              <w:t>水</w:t>
            </w:r>
          </w:p>
        </w:tc>
        <w:tc>
          <w:tcPr>
            <w:tcW w:w="994" w:type="pct"/>
            <w:tcBorders>
              <w:top w:val="single" w:color="auto" w:sz="8" w:space="0"/>
              <w:left w:val="single" w:color="auto" w:sz="8" w:space="0"/>
              <w:bottom w:val="single" w:color="auto" w:sz="8" w:space="0"/>
              <w:right w:val="single" w:color="auto" w:sz="8" w:space="0"/>
            </w:tcBorders>
            <w:vAlign w:val="center"/>
          </w:tcPr>
          <w:p w14:paraId="4A50FE7E">
            <w:pPr>
              <w:autoSpaceDE w:val="0"/>
              <w:autoSpaceDN w:val="0"/>
              <w:adjustRightInd w:val="0"/>
              <w:snapToGrid w:val="0"/>
              <w:spacing w:line="240" w:lineRule="auto"/>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13326t/a</w:t>
            </w:r>
          </w:p>
        </w:tc>
        <w:tc>
          <w:tcPr>
            <w:tcW w:w="1619" w:type="pct"/>
            <w:tcBorders>
              <w:left w:val="single" w:color="auto" w:sz="4" w:space="0"/>
              <w:bottom w:val="single" w:color="auto" w:sz="8" w:space="0"/>
              <w:right w:val="single" w:color="auto" w:sz="4" w:space="0"/>
            </w:tcBorders>
            <w:vAlign w:val="center"/>
          </w:tcPr>
          <w:p w14:paraId="0685CCBC">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w:t>
            </w:r>
          </w:p>
        </w:tc>
        <w:tc>
          <w:tcPr>
            <w:tcW w:w="785" w:type="pct"/>
            <w:tcBorders>
              <w:top w:val="single" w:color="auto" w:sz="8" w:space="0"/>
              <w:left w:val="single" w:color="auto" w:sz="4" w:space="0"/>
              <w:bottom w:val="single" w:color="auto" w:sz="8" w:space="0"/>
              <w:right w:val="single" w:color="auto" w:sz="4" w:space="0"/>
            </w:tcBorders>
            <w:vAlign w:val="center"/>
          </w:tcPr>
          <w:p w14:paraId="7914535F">
            <w:pPr>
              <w:autoSpaceDE w:val="0"/>
              <w:autoSpaceDN w:val="0"/>
              <w:adjustRightInd w:val="0"/>
              <w:snapToGrid w:val="0"/>
              <w:spacing w:line="240" w:lineRule="auto"/>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工业园区市政供应系统</w:t>
            </w:r>
          </w:p>
        </w:tc>
      </w:tr>
    </w:tbl>
    <w:p w14:paraId="74833194">
      <w:pPr>
        <w:spacing w:line="360" w:lineRule="auto"/>
        <w:ind w:firstLine="480"/>
        <w:rPr>
          <w:rFonts w:hint="eastAsia" w:ascii="Times New Roman" w:hAnsi="Times New Roman" w:cs="Times New Roman"/>
          <w:color w:val="auto"/>
          <w:lang w:eastAsia="zh-CN"/>
        </w:rPr>
      </w:pPr>
    </w:p>
    <w:p w14:paraId="2FC176D1">
      <w:pPr>
        <w:spacing w:line="360" w:lineRule="auto"/>
        <w:ind w:firstLine="480"/>
        <w:rPr>
          <w:rFonts w:hint="eastAsia" w:ascii="Times New Roman" w:hAnsi="Times New Roman" w:cs="Times New Roman"/>
          <w:color w:val="auto"/>
          <w:lang w:eastAsia="zh-CN"/>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）主要原辅材料理化性质</w:t>
      </w:r>
    </w:p>
    <w:p w14:paraId="1B7826D0">
      <w:pPr>
        <w:ind w:firstLine="480" w:firstLineChars="200"/>
        <w:rPr>
          <w:rFonts w:ascii="Times New Roman" w:hAnsi="Times New Roman"/>
          <w:color w:val="auto"/>
          <w:kern w:val="0"/>
        </w:rPr>
      </w:pPr>
      <w:r>
        <w:rPr>
          <w:rFonts w:hint="eastAsia" w:ascii="Times New Roman" w:hAnsi="Times New Roman"/>
          <w:color w:val="auto"/>
          <w:kern w:val="0"/>
          <w:lang w:eastAsia="zh-CN"/>
        </w:rPr>
        <w:t>扩建</w:t>
      </w:r>
      <w:r>
        <w:rPr>
          <w:rFonts w:hint="eastAsia" w:ascii="Times New Roman" w:hAnsi="Times New Roman"/>
          <w:color w:val="auto"/>
          <w:kern w:val="0"/>
        </w:rPr>
        <w:t>项目</w:t>
      </w:r>
      <w:r>
        <w:rPr>
          <w:rFonts w:hint="eastAsia" w:ascii="Times New Roman" w:hAnsi="Times New Roman"/>
          <w:color w:val="auto"/>
          <w:kern w:val="0"/>
          <w:lang w:eastAsia="zh-CN"/>
        </w:rPr>
        <w:t>主要</w:t>
      </w:r>
      <w:r>
        <w:rPr>
          <w:rFonts w:hint="eastAsia" w:ascii="Times New Roman" w:hAnsi="Times New Roman"/>
          <w:color w:val="auto"/>
          <w:kern w:val="0"/>
        </w:rPr>
        <w:t>原辅料理化性质详见表</w:t>
      </w:r>
      <w:r>
        <w:rPr>
          <w:rFonts w:hint="eastAsia" w:ascii="Times New Roman" w:hAnsi="Times New Roman"/>
          <w:color w:val="auto"/>
          <w:lang w:val="en-US" w:eastAsia="zh-CN"/>
        </w:rPr>
        <w:t>2.13-3</w:t>
      </w:r>
      <w:r>
        <w:rPr>
          <w:rFonts w:ascii="Times New Roman" w:hAnsi="Times New Roman"/>
          <w:color w:val="auto"/>
        </w:rPr>
        <w:t>：</w:t>
      </w:r>
    </w:p>
    <w:p w14:paraId="474E4AAD">
      <w:pPr>
        <w:ind w:firstLine="482" w:firstLineChars="200"/>
        <w:jc w:val="center"/>
        <w:rPr>
          <w:rFonts w:ascii="Times New Roman" w:hAnsi="Times New Roman"/>
          <w:b/>
          <w:bCs/>
          <w:color w:val="auto"/>
        </w:rPr>
      </w:pPr>
      <w:r>
        <w:rPr>
          <w:rFonts w:ascii="Times New Roman" w:hAnsi="Times New Roman"/>
          <w:b/>
          <w:color w:val="auto"/>
        </w:rPr>
        <w:t>表2.</w:t>
      </w:r>
      <w:r>
        <w:rPr>
          <w:rFonts w:hint="eastAsia" w:ascii="Times New Roman" w:hAnsi="Times New Roman"/>
          <w:b/>
          <w:color w:val="auto"/>
          <w:lang w:val="en-US" w:eastAsia="zh-CN"/>
        </w:rPr>
        <w:t>1</w:t>
      </w:r>
      <w:r>
        <w:rPr>
          <w:rFonts w:ascii="Times New Roman" w:hAnsi="Times New Roman"/>
          <w:b/>
          <w:color w:val="auto"/>
        </w:rPr>
        <w:t xml:space="preserve">3-3  </w:t>
      </w:r>
      <w:r>
        <w:rPr>
          <w:rFonts w:hint="eastAsia" w:ascii="Times New Roman" w:hAnsi="Times New Roman"/>
          <w:b/>
          <w:bCs/>
          <w:color w:val="auto"/>
          <w:kern w:val="0"/>
          <w:lang w:eastAsia="zh-CN"/>
        </w:rPr>
        <w:t>项目主要原辅料理化性质一览</w:t>
      </w:r>
      <w:r>
        <w:rPr>
          <w:rStyle w:val="1220"/>
          <w:rFonts w:hint="default" w:ascii="Times New Roman" w:hAnsi="Times New Roman" w:cs="Times New Roman"/>
          <w:b/>
          <w:bCs/>
          <w:color w:val="auto"/>
        </w:rPr>
        <w:t>表</w:t>
      </w:r>
    </w:p>
    <w:tbl>
      <w:tblPr>
        <w:tblStyle w:val="66"/>
        <w:tblW w:w="503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84"/>
        <w:gridCol w:w="947"/>
        <w:gridCol w:w="1533"/>
        <w:gridCol w:w="5315"/>
      </w:tblGrid>
      <w:tr w14:paraId="6C853F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348" w:type="pct"/>
            <w:vAlign w:val="center"/>
          </w:tcPr>
          <w:p w14:paraId="6FF947F5">
            <w:pPr>
              <w:pStyle w:val="1259"/>
              <w:spacing w:line="240" w:lineRule="auto"/>
              <w:ind w:left="107" w:right="9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65" w:type="pct"/>
            <w:vAlign w:val="center"/>
          </w:tcPr>
          <w:p w14:paraId="5CEBC1EF">
            <w:pPr>
              <w:pStyle w:val="1259"/>
              <w:spacing w:line="240" w:lineRule="auto"/>
              <w:ind w:left="214"/>
              <w:jc w:val="both"/>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914" w:type="pct"/>
            <w:vAlign w:val="center"/>
          </w:tcPr>
          <w:p w14:paraId="0951641D">
            <w:pPr>
              <w:pStyle w:val="1259"/>
              <w:spacing w:line="240" w:lineRule="auto"/>
              <w:ind w:left="107" w:right="9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组份</w:t>
            </w:r>
          </w:p>
        </w:tc>
        <w:tc>
          <w:tcPr>
            <w:tcW w:w="3170" w:type="pct"/>
            <w:vAlign w:val="center"/>
          </w:tcPr>
          <w:p w14:paraId="77E1700D">
            <w:pPr>
              <w:pStyle w:val="1259"/>
              <w:spacing w:line="240" w:lineRule="auto"/>
              <w:ind w:left="107" w:right="9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理化性质</w:t>
            </w:r>
          </w:p>
        </w:tc>
      </w:tr>
      <w:tr w14:paraId="7856D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348" w:type="pct"/>
            <w:vAlign w:val="center"/>
          </w:tcPr>
          <w:p w14:paraId="4F8E55F6">
            <w:pPr>
              <w:pStyle w:val="1259"/>
              <w:spacing w:before="4" w:line="240" w:lineRule="auto"/>
              <w:jc w:val="center"/>
              <w:rPr>
                <w:rFonts w:hint="default" w:ascii="Times New Roman" w:hAnsi="Times New Roman" w:eastAsia="宋体" w:cs="Times New Roman"/>
                <w:b/>
                <w:color w:val="auto"/>
                <w:sz w:val="21"/>
                <w:szCs w:val="21"/>
              </w:rPr>
            </w:pPr>
          </w:p>
          <w:p w14:paraId="6E61F617">
            <w:pPr>
              <w:pStyle w:val="1259"/>
              <w:spacing w:line="240" w:lineRule="auto"/>
              <w:ind w:left="7"/>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65" w:type="pct"/>
            <w:vAlign w:val="center"/>
          </w:tcPr>
          <w:p w14:paraId="31BF085A">
            <w:pPr>
              <w:pStyle w:val="1259"/>
              <w:spacing w:before="136" w:line="240" w:lineRule="auto"/>
              <w:ind w:left="214" w:right="99" w:hanging="106"/>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柔顺剂</w:t>
            </w:r>
          </w:p>
        </w:tc>
        <w:tc>
          <w:tcPr>
            <w:tcW w:w="914" w:type="pct"/>
            <w:vAlign w:val="center"/>
          </w:tcPr>
          <w:p w14:paraId="078640D1">
            <w:pPr>
              <w:pStyle w:val="1259"/>
              <w:spacing w:before="136" w:line="240" w:lineRule="auto"/>
              <w:ind w:left="214" w:right="99" w:hanging="106"/>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亲水性有机硅</w:t>
            </w:r>
          </w:p>
        </w:tc>
        <w:tc>
          <w:tcPr>
            <w:tcW w:w="3170" w:type="pct"/>
            <w:vAlign w:val="center"/>
          </w:tcPr>
          <w:p w14:paraId="79551069">
            <w:pPr>
              <w:pStyle w:val="1259"/>
              <w:spacing w:line="240" w:lineRule="auto"/>
              <w:ind w:left="106" w:right="-15"/>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阳离子型柔软剂是使用最广泛的一类，它又可分季铵盐型、脂肪酸酯型、右蜡型、聚乙烯型、有机硅树脂型等，其中季铵盐型柔软剂在阳离子柔软剂中占有较大比重，主要有单烷基季铵盐、二烷基季铵盐、烷基酰基季铵盐、吡啶季铵盐型和咪唑型柔软剂。</w:t>
            </w:r>
          </w:p>
        </w:tc>
      </w:tr>
    </w:tbl>
    <w:p w14:paraId="60A3485F">
      <w:pPr>
        <w:ind w:firstLine="480" w:firstLineChars="200"/>
        <w:rPr>
          <w:rFonts w:hint="default" w:ascii="Times New Roman" w:hAnsi="Times New Roman"/>
          <w:color w:val="auto"/>
          <w:kern w:val="0"/>
          <w:lang w:val="en-US" w:eastAsia="zh-CN"/>
        </w:rPr>
      </w:pPr>
      <w:r>
        <w:rPr>
          <w:rFonts w:hint="eastAsia" w:ascii="Times New Roman" w:hAnsi="Times New Roman"/>
          <w:color w:val="auto"/>
          <w:kern w:val="0"/>
          <w:lang w:val="en-US" w:eastAsia="zh-CN"/>
        </w:rPr>
        <w:t>柔顺剂：米黄色薄片，弱阳离子，易溶于25- -30C冷水，与阳、非离子助剂互溶。耐酸、耐硬水。适用于天然纤维和化学纤维及其混纺的织物的柔软处理。</w:t>
      </w:r>
    </w:p>
    <w:p w14:paraId="0AF8F681">
      <w:pPr>
        <w:ind w:firstLine="482" w:firstLineChars="200"/>
        <w:jc w:val="center"/>
        <w:rPr>
          <w:rFonts w:ascii="Times New Roman" w:hAnsi="Times New Roman"/>
          <w:b/>
          <w:bCs/>
          <w:color w:val="auto"/>
        </w:rPr>
      </w:pPr>
      <w:r>
        <w:rPr>
          <w:rFonts w:ascii="Times New Roman" w:hAnsi="Times New Roman"/>
          <w:b/>
          <w:color w:val="auto"/>
        </w:rPr>
        <w:t>表2.</w:t>
      </w:r>
      <w:r>
        <w:rPr>
          <w:rFonts w:hint="eastAsia" w:ascii="Times New Roman" w:hAnsi="Times New Roman"/>
          <w:b/>
          <w:color w:val="auto"/>
          <w:lang w:val="en-US" w:eastAsia="zh-CN"/>
        </w:rPr>
        <w:t>1</w:t>
      </w:r>
      <w:r>
        <w:rPr>
          <w:rFonts w:ascii="Times New Roman" w:hAnsi="Times New Roman"/>
          <w:b/>
          <w:color w:val="auto"/>
        </w:rPr>
        <w:t>3-</w:t>
      </w:r>
      <w:r>
        <w:rPr>
          <w:rFonts w:hint="eastAsia" w:ascii="Times New Roman" w:hAnsi="Times New Roman"/>
          <w:b/>
          <w:color w:val="auto"/>
          <w:lang w:val="en-US" w:eastAsia="zh-CN"/>
        </w:rPr>
        <w:t>4</w:t>
      </w:r>
      <w:r>
        <w:rPr>
          <w:rFonts w:ascii="Times New Roman" w:hAnsi="Times New Roman"/>
          <w:b/>
          <w:color w:val="auto"/>
        </w:rPr>
        <w:t xml:space="preserve">  </w:t>
      </w:r>
      <w:r>
        <w:rPr>
          <w:rFonts w:hint="eastAsia" w:ascii="Times New Roman" w:hAnsi="Times New Roman"/>
          <w:b/>
          <w:bCs/>
          <w:color w:val="auto"/>
          <w:kern w:val="0"/>
          <w:lang w:eastAsia="zh-CN"/>
        </w:rPr>
        <w:t>柔顺剂主要成分</w:t>
      </w:r>
    </w:p>
    <w:tbl>
      <w:tblPr>
        <w:tblStyle w:val="66"/>
        <w:tblW w:w="501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20"/>
        <w:gridCol w:w="3287"/>
        <w:gridCol w:w="3542"/>
      </w:tblGrid>
      <w:tr w14:paraId="405A4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10" w:type="pct"/>
            <w:vAlign w:val="center"/>
          </w:tcPr>
          <w:p w14:paraId="4229BCD0">
            <w:pPr>
              <w:pStyle w:val="1259"/>
              <w:spacing w:line="240" w:lineRule="auto"/>
              <w:ind w:left="107" w:right="9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968" w:type="pct"/>
            <w:vAlign w:val="center"/>
          </w:tcPr>
          <w:p w14:paraId="67B64CD3">
            <w:pPr>
              <w:pStyle w:val="1259"/>
              <w:spacing w:line="240" w:lineRule="auto"/>
              <w:ind w:left="107" w:right="99"/>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组份</w:t>
            </w:r>
          </w:p>
        </w:tc>
        <w:tc>
          <w:tcPr>
            <w:tcW w:w="2121" w:type="pct"/>
            <w:vAlign w:val="center"/>
          </w:tcPr>
          <w:p w14:paraId="03BE852B">
            <w:pPr>
              <w:pStyle w:val="1259"/>
              <w:spacing w:line="240" w:lineRule="auto"/>
              <w:ind w:left="107" w:right="99"/>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含量（</w:t>
            </w:r>
            <w:r>
              <w:rPr>
                <w:rFonts w:hint="eastAsia" w:ascii="Times New Roman" w:hAnsi="Times New Roman" w:cs="Times New Roman"/>
                <w:b/>
                <w:bCs/>
                <w:color w:val="auto"/>
                <w:sz w:val="21"/>
                <w:szCs w:val="21"/>
                <w:lang w:val="en-US" w:eastAsia="zh-CN"/>
              </w:rPr>
              <w:t>wt%</w:t>
            </w:r>
            <w:r>
              <w:rPr>
                <w:rFonts w:hint="eastAsia" w:ascii="Times New Roman" w:hAnsi="Times New Roman" w:cs="Times New Roman"/>
                <w:b/>
                <w:bCs/>
                <w:color w:val="auto"/>
                <w:sz w:val="21"/>
                <w:szCs w:val="21"/>
                <w:lang w:eastAsia="zh-CN"/>
              </w:rPr>
              <w:t>）</w:t>
            </w:r>
          </w:p>
        </w:tc>
      </w:tr>
      <w:tr w14:paraId="12DF5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10" w:type="pct"/>
            <w:vAlign w:val="center"/>
          </w:tcPr>
          <w:p w14:paraId="5D020742">
            <w:pPr>
              <w:pStyle w:val="1259"/>
              <w:spacing w:line="240" w:lineRule="auto"/>
              <w:ind w:left="7"/>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968" w:type="pct"/>
            <w:vAlign w:val="center"/>
          </w:tcPr>
          <w:p w14:paraId="1F46A324">
            <w:pPr>
              <w:pStyle w:val="1259"/>
              <w:spacing w:before="136" w:line="240" w:lineRule="auto"/>
              <w:ind w:left="214" w:right="99" w:hanging="106"/>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石蜡</w:t>
            </w:r>
          </w:p>
        </w:tc>
        <w:tc>
          <w:tcPr>
            <w:tcW w:w="2121" w:type="pct"/>
            <w:vAlign w:val="center"/>
          </w:tcPr>
          <w:p w14:paraId="790486DC">
            <w:pPr>
              <w:pStyle w:val="1259"/>
              <w:spacing w:line="240" w:lineRule="auto"/>
              <w:ind w:left="106" w:right="-1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r>
      <w:tr w14:paraId="2F338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10" w:type="pct"/>
            <w:vAlign w:val="center"/>
          </w:tcPr>
          <w:p w14:paraId="29CE9CF9">
            <w:pPr>
              <w:pStyle w:val="1259"/>
              <w:spacing w:line="240" w:lineRule="auto"/>
              <w:ind w:left="7"/>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1968" w:type="pct"/>
            <w:vAlign w:val="center"/>
          </w:tcPr>
          <w:p w14:paraId="628E2B12">
            <w:pPr>
              <w:pStyle w:val="1259"/>
              <w:spacing w:before="136" w:line="240" w:lineRule="auto"/>
              <w:ind w:left="214" w:right="99" w:hanging="106"/>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平平加</w:t>
            </w:r>
          </w:p>
        </w:tc>
        <w:tc>
          <w:tcPr>
            <w:tcW w:w="2121" w:type="pct"/>
            <w:vAlign w:val="center"/>
          </w:tcPr>
          <w:p w14:paraId="1436B5F1">
            <w:pPr>
              <w:pStyle w:val="1259"/>
              <w:spacing w:line="240" w:lineRule="auto"/>
              <w:ind w:left="106" w:right="-1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14:paraId="0BD75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10" w:type="pct"/>
            <w:vAlign w:val="center"/>
          </w:tcPr>
          <w:p w14:paraId="64CBE992">
            <w:pPr>
              <w:pStyle w:val="1259"/>
              <w:spacing w:line="240" w:lineRule="auto"/>
              <w:ind w:left="7"/>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1968" w:type="pct"/>
            <w:vAlign w:val="center"/>
          </w:tcPr>
          <w:p w14:paraId="6BECFF41">
            <w:pPr>
              <w:pStyle w:val="1259"/>
              <w:spacing w:before="136" w:line="240" w:lineRule="auto"/>
              <w:ind w:left="214" w:right="99" w:hanging="106"/>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食用催化剂</w:t>
            </w:r>
          </w:p>
        </w:tc>
        <w:tc>
          <w:tcPr>
            <w:tcW w:w="2121" w:type="pct"/>
            <w:vAlign w:val="center"/>
          </w:tcPr>
          <w:p w14:paraId="5932F67D">
            <w:pPr>
              <w:pStyle w:val="1259"/>
              <w:spacing w:line="240" w:lineRule="auto"/>
              <w:ind w:left="106" w:right="-1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r>
      <w:tr w14:paraId="736F5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910" w:type="pct"/>
            <w:vAlign w:val="center"/>
          </w:tcPr>
          <w:p w14:paraId="0E2C01BE">
            <w:pPr>
              <w:pStyle w:val="1259"/>
              <w:spacing w:line="240" w:lineRule="auto"/>
              <w:ind w:left="7"/>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968" w:type="pct"/>
            <w:vAlign w:val="center"/>
          </w:tcPr>
          <w:p w14:paraId="6563443D">
            <w:pPr>
              <w:pStyle w:val="1259"/>
              <w:spacing w:before="136" w:line="240" w:lineRule="auto"/>
              <w:ind w:left="214" w:right="99" w:hanging="106"/>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硬脂酸及其他</w:t>
            </w:r>
          </w:p>
        </w:tc>
        <w:tc>
          <w:tcPr>
            <w:tcW w:w="2121" w:type="pct"/>
            <w:vAlign w:val="center"/>
          </w:tcPr>
          <w:p w14:paraId="22152787">
            <w:pPr>
              <w:pStyle w:val="1259"/>
              <w:spacing w:line="240" w:lineRule="auto"/>
              <w:ind w:left="106" w:right="-1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r>
    </w:tbl>
    <w:p w14:paraId="2266F26F">
      <w:pPr>
        <w:pStyle w:val="11"/>
        <w:adjustRightInd w:val="0"/>
        <w:snapToGrid w:val="0"/>
        <w:spacing w:beforeLines="5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lang w:val="en-US" w:eastAsia="zh-CN"/>
        </w:rPr>
        <w:t>2.</w:t>
      </w:r>
      <w:r>
        <w:rPr>
          <w:rFonts w:hint="eastAsia" w:ascii="Times New Roman" w:hAnsi="Times New Roman" w:cs="Times New Roman"/>
          <w:color w:val="auto"/>
          <w:sz w:val="28"/>
          <w:szCs w:val="28"/>
          <w:lang w:val="en-US" w:eastAsia="zh-CN"/>
        </w:rPr>
        <w:t>13</w:t>
      </w:r>
      <w:r>
        <w:rPr>
          <w:rFonts w:hint="default" w:ascii="Times New Roman" w:hAnsi="Times New Roman" w:eastAsia="宋体" w:cs="Times New Roman"/>
          <w:color w:val="auto"/>
          <w:sz w:val="28"/>
          <w:szCs w:val="28"/>
          <w:lang w:val="en-US" w:eastAsia="zh-CN"/>
        </w:rPr>
        <w:t>.</w:t>
      </w:r>
      <w:r>
        <w:rPr>
          <w:rFonts w:hint="eastAsia" w:ascii="Times New Roman" w:hAnsi="Times New Roman" w:cs="Times New Roman"/>
          <w:color w:val="auto"/>
          <w:sz w:val="28"/>
          <w:szCs w:val="28"/>
          <w:lang w:val="en-US" w:eastAsia="zh-CN"/>
        </w:rPr>
        <w:t>3</w:t>
      </w:r>
      <w:r>
        <w:rPr>
          <w:rFonts w:hint="default" w:ascii="Times New Roman" w:hAnsi="Times New Roman" w:eastAsia="宋体" w:cs="Times New Roman"/>
          <w:color w:val="auto"/>
          <w:sz w:val="28"/>
          <w:szCs w:val="28"/>
          <w:lang w:val="en-US" w:eastAsia="zh-CN"/>
        </w:rPr>
        <w:t xml:space="preserve"> </w:t>
      </w:r>
      <w:r>
        <w:rPr>
          <w:rFonts w:hint="default" w:ascii="Times New Roman" w:hAnsi="Times New Roman" w:eastAsia="宋体" w:cs="Times New Roman"/>
          <w:color w:val="auto"/>
          <w:sz w:val="28"/>
          <w:szCs w:val="28"/>
        </w:rPr>
        <w:t>产品质量标准</w:t>
      </w:r>
    </w:p>
    <w:p w14:paraId="08E4B882">
      <w:pPr>
        <w:ind w:firstLine="480"/>
        <w:rPr>
          <w:rFonts w:hint="default" w:ascii="Times New Roman" w:hAnsi="Times New Roman" w:eastAsia="宋体" w:cs="Times New Roman"/>
          <w:color w:val="auto"/>
        </w:rPr>
      </w:pPr>
      <w:r>
        <w:rPr>
          <w:rFonts w:hint="eastAsia" w:ascii="Times New Roman" w:hAnsi="Times New Roman" w:cs="Times New Roman"/>
          <w:color w:val="auto"/>
          <w:lang w:eastAsia="zh-CN"/>
        </w:rPr>
        <w:t>扩建</w:t>
      </w:r>
      <w:r>
        <w:rPr>
          <w:rFonts w:hint="default" w:ascii="Times New Roman" w:hAnsi="Times New Roman" w:eastAsia="宋体" w:cs="Times New Roman"/>
          <w:color w:val="auto"/>
        </w:rPr>
        <w:t>项目按照《水洗整理服装标准》（GB/T22700--2016）实施，</w:t>
      </w:r>
      <w:bookmarkStart w:id="221" w:name="_Hlk507750865"/>
      <w:r>
        <w:rPr>
          <w:rFonts w:hint="default" w:ascii="Times New Roman" w:hAnsi="Times New Roman" w:eastAsia="宋体" w:cs="Times New Roman"/>
          <w:color w:val="auto"/>
        </w:rPr>
        <w:t>成品外观标准</w:t>
      </w:r>
      <w:bookmarkEnd w:id="221"/>
      <w:r>
        <w:rPr>
          <w:rFonts w:hint="default" w:ascii="Times New Roman" w:hAnsi="Times New Roman" w:eastAsia="宋体" w:cs="Times New Roman"/>
          <w:color w:val="auto"/>
        </w:rPr>
        <w:t>见下表</w:t>
      </w:r>
      <w:r>
        <w:rPr>
          <w:rFonts w:hint="default" w:ascii="Times New Roman" w:hAnsi="Times New Roman" w:eastAsia="宋体" w:cs="Times New Roman"/>
          <w:color w:val="auto"/>
          <w:lang w:val="en-US" w:eastAsia="zh-CN"/>
        </w:rPr>
        <w:t>2.</w:t>
      </w:r>
      <w:r>
        <w:rPr>
          <w:rFonts w:hint="eastAsia" w:ascii="Times New Roman" w:hAnsi="Times New Roman" w:cs="Times New Roman"/>
          <w:color w:val="auto"/>
          <w:lang w:val="en-US" w:eastAsia="zh-CN"/>
        </w:rPr>
        <w:t>13</w:t>
      </w:r>
      <w:r>
        <w:rPr>
          <w:rFonts w:hint="default"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5</w:t>
      </w:r>
      <w:r>
        <w:rPr>
          <w:rFonts w:hint="default" w:ascii="Times New Roman" w:hAnsi="Times New Roman" w:eastAsia="宋体" w:cs="Times New Roman"/>
          <w:color w:val="auto"/>
        </w:rPr>
        <w:t>，成品物理性能见表</w:t>
      </w:r>
      <w:r>
        <w:rPr>
          <w:rFonts w:hint="default" w:ascii="Times New Roman" w:hAnsi="Times New Roman" w:eastAsia="宋体" w:cs="Times New Roman"/>
          <w:color w:val="auto"/>
          <w:lang w:val="en-US" w:eastAsia="zh-CN"/>
        </w:rPr>
        <w:t>2.</w:t>
      </w:r>
      <w:r>
        <w:rPr>
          <w:rFonts w:hint="eastAsia" w:ascii="Times New Roman" w:hAnsi="Times New Roman" w:cs="Times New Roman"/>
          <w:color w:val="auto"/>
          <w:lang w:val="en-US" w:eastAsia="zh-CN"/>
        </w:rPr>
        <w:t>13</w:t>
      </w:r>
      <w:r>
        <w:rPr>
          <w:rFonts w:hint="default"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所示。</w:t>
      </w:r>
    </w:p>
    <w:p w14:paraId="041D1AA8">
      <w:pPr>
        <w:autoSpaceDE w:val="0"/>
        <w:autoSpaceDN w:val="0"/>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default" w:ascii="Times New Roman" w:hAnsi="Times New Roman" w:eastAsia="宋体" w:cs="Times New Roman"/>
          <w:b/>
          <w:color w:val="auto"/>
          <w:lang w:val="en-US" w:eastAsia="zh-CN"/>
        </w:rPr>
        <w:t>2.</w:t>
      </w:r>
      <w:r>
        <w:rPr>
          <w:rFonts w:hint="eastAsia" w:ascii="Times New Roman" w:hAnsi="Times New Roman" w:cs="Times New Roman"/>
          <w:b/>
          <w:color w:val="auto"/>
          <w:lang w:val="en-US" w:eastAsia="zh-CN"/>
        </w:rPr>
        <w:t>13</w:t>
      </w:r>
      <w:r>
        <w:rPr>
          <w:rFonts w:hint="default" w:ascii="Times New Roman" w:hAnsi="Times New Roman" w:eastAsia="宋体" w:cs="Times New Roman"/>
          <w:b/>
          <w:color w:val="auto"/>
          <w:lang w:val="en-US" w:eastAsia="zh-CN"/>
        </w:rPr>
        <w:t>-</w:t>
      </w:r>
      <w:r>
        <w:rPr>
          <w:rFonts w:hint="eastAsia" w:ascii="Times New Roman" w:hAnsi="Times New Roman" w:cs="Times New Roman"/>
          <w:b/>
          <w:color w:val="auto"/>
          <w:lang w:val="en-US" w:eastAsia="zh-CN"/>
        </w:rPr>
        <w:t>5</w:t>
      </w:r>
      <w:r>
        <w:rPr>
          <w:rFonts w:hint="default" w:ascii="Times New Roman" w:hAnsi="Times New Roman" w:eastAsia="宋体" w:cs="Times New Roman"/>
          <w:b/>
          <w:color w:val="auto"/>
        </w:rPr>
        <w:t xml:space="preserve">  </w:t>
      </w:r>
      <w:r>
        <w:rPr>
          <w:rFonts w:hint="default" w:ascii="Times New Roman" w:hAnsi="Times New Roman" w:eastAsia="宋体" w:cs="Times New Roman"/>
          <w:b/>
          <w:color w:val="auto"/>
          <w:lang w:val="en-US"/>
        </w:rPr>
        <w:t>成品外观标准</w:t>
      </w:r>
    </w:p>
    <w:tbl>
      <w:tblPr>
        <w:tblStyle w:val="6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409"/>
        <w:gridCol w:w="2854"/>
        <w:gridCol w:w="2311"/>
      </w:tblGrid>
      <w:tr w14:paraId="3A9F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restart"/>
            <w:noWrap w:val="0"/>
            <w:vAlign w:val="center"/>
          </w:tcPr>
          <w:p w14:paraId="26731052">
            <w:pPr>
              <w:adjustRightInd w:val="0"/>
              <w:snapToGrid w:val="0"/>
              <w:spacing w:line="240" w:lineRule="auto"/>
              <w:ind w:firstLine="422"/>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疵点名称</w:t>
            </w:r>
          </w:p>
        </w:tc>
        <w:tc>
          <w:tcPr>
            <w:tcW w:w="7574" w:type="dxa"/>
            <w:gridSpan w:val="3"/>
            <w:noWrap w:val="0"/>
            <w:vAlign w:val="center"/>
          </w:tcPr>
          <w:p w14:paraId="610812F1">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各部位允许存在程度</w:t>
            </w:r>
          </w:p>
        </w:tc>
      </w:tr>
      <w:tr w14:paraId="2EE0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noWrap w:val="0"/>
            <w:vAlign w:val="center"/>
          </w:tcPr>
          <w:p w14:paraId="38268D16">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p>
        </w:tc>
        <w:tc>
          <w:tcPr>
            <w:tcW w:w="2409" w:type="dxa"/>
            <w:noWrap w:val="0"/>
            <w:vAlign w:val="center"/>
          </w:tcPr>
          <w:p w14:paraId="72000F77">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1号部位</w:t>
            </w:r>
          </w:p>
        </w:tc>
        <w:tc>
          <w:tcPr>
            <w:tcW w:w="2854" w:type="dxa"/>
            <w:noWrap w:val="0"/>
            <w:vAlign w:val="center"/>
          </w:tcPr>
          <w:p w14:paraId="5186D2A7">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2号部位</w:t>
            </w:r>
          </w:p>
        </w:tc>
        <w:tc>
          <w:tcPr>
            <w:tcW w:w="2311" w:type="dxa"/>
            <w:noWrap w:val="0"/>
            <w:vAlign w:val="center"/>
          </w:tcPr>
          <w:p w14:paraId="7B77DD7B">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3号部位</w:t>
            </w:r>
          </w:p>
        </w:tc>
      </w:tr>
      <w:tr w14:paraId="5690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noWrap w:val="0"/>
            <w:vAlign w:val="center"/>
          </w:tcPr>
          <w:p w14:paraId="51A0937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线条状</w:t>
            </w:r>
            <w:r>
              <w:rPr>
                <w:rFonts w:hint="default" w:ascii="Times New Roman" w:hAnsi="Times New Roman" w:eastAsia="宋体" w:cs="Times New Roman"/>
                <w:color w:val="auto"/>
                <w:sz w:val="21"/>
                <w:szCs w:val="20"/>
              </w:rPr>
              <w:t>疵点</w:t>
            </w:r>
          </w:p>
        </w:tc>
        <w:tc>
          <w:tcPr>
            <w:tcW w:w="2409" w:type="dxa"/>
            <w:noWrap w:val="0"/>
            <w:vAlign w:val="center"/>
          </w:tcPr>
          <w:p w14:paraId="7A06F10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长度0.5cm以下，允许1处</w:t>
            </w:r>
          </w:p>
        </w:tc>
        <w:tc>
          <w:tcPr>
            <w:tcW w:w="2854" w:type="dxa"/>
            <w:noWrap w:val="0"/>
            <w:vAlign w:val="center"/>
          </w:tcPr>
          <w:p w14:paraId="12A9AA9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总长度1.5cm或总面积0.5cm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以下，不得超过2处</w:t>
            </w:r>
          </w:p>
        </w:tc>
        <w:tc>
          <w:tcPr>
            <w:tcW w:w="2311" w:type="dxa"/>
            <w:noWrap w:val="0"/>
            <w:vAlign w:val="center"/>
          </w:tcPr>
          <w:p w14:paraId="6B3978F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总长度2.0cm或总面积1.0cm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以下，不得超过2处</w:t>
            </w:r>
          </w:p>
        </w:tc>
      </w:tr>
      <w:tr w14:paraId="295A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noWrap w:val="0"/>
            <w:vAlign w:val="center"/>
          </w:tcPr>
          <w:p w14:paraId="48DBF83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散布性疵点</w:t>
            </w:r>
          </w:p>
        </w:tc>
        <w:tc>
          <w:tcPr>
            <w:tcW w:w="2409" w:type="dxa"/>
            <w:noWrap w:val="0"/>
            <w:vAlign w:val="center"/>
          </w:tcPr>
          <w:p w14:paraId="1846E72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不允许</w:t>
            </w:r>
          </w:p>
        </w:tc>
        <w:tc>
          <w:tcPr>
            <w:tcW w:w="2854" w:type="dxa"/>
            <w:noWrap w:val="0"/>
            <w:vAlign w:val="center"/>
          </w:tcPr>
          <w:p w14:paraId="0E3811B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轻微</w:t>
            </w:r>
          </w:p>
        </w:tc>
        <w:tc>
          <w:tcPr>
            <w:tcW w:w="2311" w:type="dxa"/>
            <w:noWrap w:val="0"/>
            <w:vAlign w:val="center"/>
          </w:tcPr>
          <w:p w14:paraId="5D4AFD2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轻微</w:t>
            </w:r>
          </w:p>
        </w:tc>
      </w:tr>
      <w:tr w14:paraId="77DC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noWrap w:val="0"/>
            <w:vAlign w:val="center"/>
          </w:tcPr>
          <w:p w14:paraId="25F25F1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破损性疵点</w:t>
            </w:r>
          </w:p>
        </w:tc>
        <w:tc>
          <w:tcPr>
            <w:tcW w:w="2409" w:type="dxa"/>
            <w:noWrap w:val="0"/>
            <w:vAlign w:val="center"/>
          </w:tcPr>
          <w:p w14:paraId="7617A5D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不允许</w:t>
            </w:r>
          </w:p>
        </w:tc>
        <w:tc>
          <w:tcPr>
            <w:tcW w:w="2854" w:type="dxa"/>
            <w:noWrap w:val="0"/>
            <w:vAlign w:val="center"/>
          </w:tcPr>
          <w:p w14:paraId="6F9A504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不允许</w:t>
            </w:r>
          </w:p>
        </w:tc>
        <w:tc>
          <w:tcPr>
            <w:tcW w:w="2311" w:type="dxa"/>
            <w:noWrap w:val="0"/>
            <w:vAlign w:val="center"/>
          </w:tcPr>
          <w:p w14:paraId="08BFC9A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不允许</w:t>
            </w:r>
          </w:p>
        </w:tc>
      </w:tr>
      <w:tr w14:paraId="4563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noWrap w:val="0"/>
            <w:vAlign w:val="center"/>
          </w:tcPr>
          <w:p w14:paraId="7EF2A1B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斑渍疵点</w:t>
            </w:r>
          </w:p>
        </w:tc>
        <w:tc>
          <w:tcPr>
            <w:tcW w:w="2409" w:type="dxa"/>
            <w:noWrap w:val="0"/>
            <w:vAlign w:val="center"/>
          </w:tcPr>
          <w:p w14:paraId="40F14A0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不允许</w:t>
            </w:r>
          </w:p>
        </w:tc>
        <w:tc>
          <w:tcPr>
            <w:tcW w:w="2854" w:type="dxa"/>
            <w:noWrap w:val="0"/>
            <w:vAlign w:val="center"/>
          </w:tcPr>
          <w:p w14:paraId="1984223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总长度1.5cm或总面积0.5cm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以下，轻微允许1处</w:t>
            </w:r>
          </w:p>
        </w:tc>
        <w:tc>
          <w:tcPr>
            <w:tcW w:w="2311" w:type="dxa"/>
            <w:noWrap w:val="0"/>
            <w:vAlign w:val="center"/>
          </w:tcPr>
          <w:p w14:paraId="147F09E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总长度2.0cm或总面积1.0cm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以下，轻微允许2处</w:t>
            </w:r>
          </w:p>
        </w:tc>
      </w:tr>
      <w:tr w14:paraId="2E0D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2" w:type="dxa"/>
            <w:gridSpan w:val="4"/>
            <w:noWrap w:val="0"/>
            <w:vAlign w:val="center"/>
          </w:tcPr>
          <w:p w14:paraId="6AD0598F">
            <w:pPr>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注1：各部位疵点每单件产品只允许有1个部位1种类别存在，超出则计为缺陷，可累计。</w:t>
            </w:r>
          </w:p>
          <w:p w14:paraId="2EC08CF0">
            <w:pPr>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注2：特殊磨损、局部破坏性水洗产品破损性疵点不考核。</w:t>
            </w:r>
          </w:p>
          <w:p w14:paraId="55BAC373">
            <w:pPr>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注3：轻微指的是目视不明显，通过仔细辨认才可看到。</w:t>
            </w:r>
          </w:p>
        </w:tc>
      </w:tr>
    </w:tbl>
    <w:p w14:paraId="178AA2C4">
      <w:pPr>
        <w:ind w:firstLine="0" w:firstLineChars="0"/>
        <w:jc w:val="center"/>
        <w:rPr>
          <w:rFonts w:hint="default" w:ascii="Times New Roman" w:hAnsi="Times New Roman" w:eastAsia="宋体" w:cs="Times New Roman"/>
          <w:b/>
          <w:snapToGrid w:val="0"/>
          <w:color w:val="auto"/>
          <w:szCs w:val="21"/>
        </w:rPr>
      </w:pPr>
    </w:p>
    <w:p w14:paraId="4D3F32CD">
      <w:pPr>
        <w:pStyle w:val="2"/>
        <w:rPr>
          <w:rFonts w:hint="default"/>
        </w:rPr>
      </w:pPr>
    </w:p>
    <w:p w14:paraId="2EE8F2A3">
      <w:pPr>
        <w:pStyle w:val="1260"/>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cs="Times New Roman"/>
          <w:color w:val="auto"/>
          <w:lang w:val="en-US" w:eastAsia="zh-CN"/>
        </w:rPr>
        <w:t>2.13-6</w: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lang w:val="en-US"/>
        </w:rPr>
        <w:t>成品物理性标准</w:t>
      </w:r>
    </w:p>
    <w:tbl>
      <w:tblPr>
        <w:tblStyle w:val="66"/>
        <w:tblW w:w="9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1850"/>
        <w:gridCol w:w="1848"/>
        <w:gridCol w:w="1848"/>
        <w:gridCol w:w="1847"/>
      </w:tblGrid>
      <w:tr w14:paraId="7FC0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4C9947A4">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项目</w:t>
            </w:r>
          </w:p>
        </w:tc>
        <w:tc>
          <w:tcPr>
            <w:tcW w:w="1848" w:type="dxa"/>
            <w:noWrap w:val="0"/>
            <w:vAlign w:val="center"/>
          </w:tcPr>
          <w:p w14:paraId="3F070982">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优等品</w:t>
            </w:r>
          </w:p>
        </w:tc>
        <w:tc>
          <w:tcPr>
            <w:tcW w:w="1848" w:type="dxa"/>
            <w:noWrap w:val="0"/>
            <w:vAlign w:val="center"/>
          </w:tcPr>
          <w:p w14:paraId="7E312574">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一等品</w:t>
            </w:r>
          </w:p>
        </w:tc>
        <w:tc>
          <w:tcPr>
            <w:tcW w:w="1847" w:type="dxa"/>
            <w:noWrap w:val="0"/>
            <w:vAlign w:val="center"/>
          </w:tcPr>
          <w:p w14:paraId="259DA022">
            <w:pPr>
              <w:adjustRightInd w:val="0"/>
              <w:snapToGrid w:val="0"/>
              <w:spacing w:line="240" w:lineRule="auto"/>
              <w:ind w:firstLine="0" w:firstLineChars="0"/>
              <w:jc w:val="center"/>
              <w:rPr>
                <w:rFonts w:hint="default" w:ascii="Times New Roman" w:hAnsi="Times New Roman" w:eastAsia="宋体" w:cs="Times New Roman"/>
                <w:b/>
                <w:color w:val="auto"/>
                <w:sz w:val="21"/>
                <w:szCs w:val="20"/>
              </w:rPr>
            </w:pPr>
            <w:r>
              <w:rPr>
                <w:rFonts w:hint="default" w:ascii="Times New Roman" w:hAnsi="Times New Roman" w:eastAsia="宋体" w:cs="Times New Roman"/>
                <w:b/>
                <w:color w:val="auto"/>
                <w:sz w:val="21"/>
                <w:szCs w:val="20"/>
              </w:rPr>
              <w:t>合格品</w:t>
            </w:r>
          </w:p>
        </w:tc>
      </w:tr>
      <w:tr w14:paraId="02221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9" w:type="dxa"/>
            <w:vMerge w:val="restart"/>
            <w:noWrap w:val="0"/>
            <w:vAlign w:val="center"/>
          </w:tcPr>
          <w:p w14:paraId="3B6301A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水洗尺寸变化率/%</w:t>
            </w:r>
          </w:p>
        </w:tc>
        <w:tc>
          <w:tcPr>
            <w:tcW w:w="1850" w:type="dxa"/>
            <w:noWrap w:val="0"/>
            <w:vAlign w:val="center"/>
          </w:tcPr>
          <w:p w14:paraId="4782391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领大</w:t>
            </w:r>
          </w:p>
        </w:tc>
        <w:tc>
          <w:tcPr>
            <w:tcW w:w="1848" w:type="dxa"/>
            <w:noWrap w:val="0"/>
            <w:vAlign w:val="center"/>
          </w:tcPr>
          <w:p w14:paraId="02D6CC9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w:t>
            </w:r>
          </w:p>
        </w:tc>
        <w:tc>
          <w:tcPr>
            <w:tcW w:w="1848" w:type="dxa"/>
            <w:noWrap w:val="0"/>
            <w:vAlign w:val="center"/>
          </w:tcPr>
          <w:p w14:paraId="5010657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-2.0~+1.5</w:t>
            </w:r>
          </w:p>
        </w:tc>
        <w:tc>
          <w:tcPr>
            <w:tcW w:w="1847" w:type="dxa"/>
            <w:noWrap w:val="0"/>
            <w:vAlign w:val="center"/>
          </w:tcPr>
          <w:p w14:paraId="678F7DC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w:t>
            </w:r>
          </w:p>
        </w:tc>
      </w:tr>
      <w:tr w14:paraId="0C55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9" w:type="dxa"/>
            <w:vMerge w:val="continue"/>
            <w:noWrap w:val="0"/>
            <w:vAlign w:val="center"/>
          </w:tcPr>
          <w:p w14:paraId="272E3F4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850" w:type="dxa"/>
            <w:noWrap w:val="0"/>
            <w:vAlign w:val="center"/>
          </w:tcPr>
          <w:p w14:paraId="05FF2AD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胸围</w:t>
            </w:r>
          </w:p>
        </w:tc>
        <w:tc>
          <w:tcPr>
            <w:tcW w:w="1848" w:type="dxa"/>
            <w:noWrap w:val="0"/>
            <w:vAlign w:val="center"/>
          </w:tcPr>
          <w:p w14:paraId="0DBD204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w:t>
            </w:r>
          </w:p>
        </w:tc>
        <w:tc>
          <w:tcPr>
            <w:tcW w:w="1848" w:type="dxa"/>
            <w:noWrap w:val="0"/>
            <w:vAlign w:val="center"/>
          </w:tcPr>
          <w:p w14:paraId="38446C3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-2.5~+1.5</w:t>
            </w:r>
          </w:p>
        </w:tc>
        <w:tc>
          <w:tcPr>
            <w:tcW w:w="1847" w:type="dxa"/>
            <w:noWrap w:val="0"/>
            <w:vAlign w:val="center"/>
          </w:tcPr>
          <w:p w14:paraId="0577FF6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-2.5~+1.5</w:t>
            </w:r>
          </w:p>
        </w:tc>
      </w:tr>
      <w:tr w14:paraId="1112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9" w:type="dxa"/>
            <w:vMerge w:val="continue"/>
            <w:noWrap w:val="0"/>
            <w:vAlign w:val="center"/>
          </w:tcPr>
          <w:p w14:paraId="750139E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850" w:type="dxa"/>
            <w:noWrap w:val="0"/>
            <w:vAlign w:val="center"/>
          </w:tcPr>
          <w:p w14:paraId="35C8468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衣长</w:t>
            </w:r>
          </w:p>
        </w:tc>
        <w:tc>
          <w:tcPr>
            <w:tcW w:w="1848" w:type="dxa"/>
            <w:noWrap w:val="0"/>
            <w:vAlign w:val="center"/>
          </w:tcPr>
          <w:p w14:paraId="581F175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w:t>
            </w:r>
          </w:p>
        </w:tc>
        <w:tc>
          <w:tcPr>
            <w:tcW w:w="1848" w:type="dxa"/>
            <w:noWrap w:val="0"/>
            <w:vAlign w:val="center"/>
          </w:tcPr>
          <w:p w14:paraId="22073B3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-2.5~+1.5</w:t>
            </w:r>
          </w:p>
        </w:tc>
        <w:tc>
          <w:tcPr>
            <w:tcW w:w="1847" w:type="dxa"/>
            <w:noWrap w:val="0"/>
            <w:vAlign w:val="center"/>
          </w:tcPr>
          <w:p w14:paraId="01EBF75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-2.5~+1.5</w:t>
            </w:r>
          </w:p>
        </w:tc>
      </w:tr>
      <w:tr w14:paraId="546E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9" w:type="dxa"/>
            <w:vMerge w:val="continue"/>
            <w:noWrap w:val="0"/>
            <w:vAlign w:val="center"/>
          </w:tcPr>
          <w:p w14:paraId="79BF644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850" w:type="dxa"/>
            <w:noWrap w:val="0"/>
            <w:vAlign w:val="center"/>
          </w:tcPr>
          <w:p w14:paraId="439FD35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腰围</w:t>
            </w:r>
          </w:p>
        </w:tc>
        <w:tc>
          <w:tcPr>
            <w:tcW w:w="1848" w:type="dxa"/>
            <w:noWrap w:val="0"/>
            <w:vAlign w:val="center"/>
          </w:tcPr>
          <w:p w14:paraId="3FFC41E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w:t>
            </w:r>
          </w:p>
        </w:tc>
        <w:tc>
          <w:tcPr>
            <w:tcW w:w="1848" w:type="dxa"/>
            <w:noWrap w:val="0"/>
            <w:vAlign w:val="center"/>
          </w:tcPr>
          <w:p w14:paraId="19CC61B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-2.0~+1.5</w:t>
            </w:r>
          </w:p>
        </w:tc>
        <w:tc>
          <w:tcPr>
            <w:tcW w:w="1847" w:type="dxa"/>
            <w:noWrap w:val="0"/>
            <w:vAlign w:val="center"/>
          </w:tcPr>
          <w:p w14:paraId="2B5684E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-2.0~+1.5</w:t>
            </w:r>
          </w:p>
        </w:tc>
      </w:tr>
      <w:tr w14:paraId="67EC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9" w:type="dxa"/>
            <w:vMerge w:val="continue"/>
            <w:noWrap w:val="0"/>
            <w:vAlign w:val="center"/>
          </w:tcPr>
          <w:p w14:paraId="0F26CC8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850" w:type="dxa"/>
            <w:noWrap w:val="0"/>
            <w:vAlign w:val="center"/>
          </w:tcPr>
          <w:p w14:paraId="29AEB84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裤（裙）长</w:t>
            </w:r>
          </w:p>
        </w:tc>
        <w:tc>
          <w:tcPr>
            <w:tcW w:w="1848" w:type="dxa"/>
            <w:noWrap w:val="0"/>
            <w:vAlign w:val="center"/>
          </w:tcPr>
          <w:p w14:paraId="2C0AD64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w:t>
            </w:r>
          </w:p>
        </w:tc>
        <w:tc>
          <w:tcPr>
            <w:tcW w:w="1848" w:type="dxa"/>
            <w:noWrap w:val="0"/>
            <w:vAlign w:val="center"/>
          </w:tcPr>
          <w:p w14:paraId="463B47F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-2.5~+1.5</w:t>
            </w:r>
          </w:p>
        </w:tc>
        <w:tc>
          <w:tcPr>
            <w:tcW w:w="1847" w:type="dxa"/>
            <w:noWrap w:val="0"/>
            <w:vAlign w:val="center"/>
          </w:tcPr>
          <w:p w14:paraId="70436F0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-2.5~+1.5</w:t>
            </w:r>
          </w:p>
        </w:tc>
      </w:tr>
      <w:tr w14:paraId="3C85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4C3EE7F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洗涤干燥后外观平整度/级</w:t>
            </w:r>
          </w:p>
        </w:tc>
        <w:tc>
          <w:tcPr>
            <w:tcW w:w="1848" w:type="dxa"/>
            <w:vMerge w:val="restart"/>
            <w:noWrap w:val="0"/>
            <w:vAlign w:val="center"/>
          </w:tcPr>
          <w:p w14:paraId="07A00FC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848" w:type="dxa"/>
            <w:vMerge w:val="restart"/>
            <w:noWrap w:val="0"/>
            <w:vAlign w:val="center"/>
          </w:tcPr>
          <w:p w14:paraId="7B44AA3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w:t>
            </w:r>
          </w:p>
        </w:tc>
        <w:tc>
          <w:tcPr>
            <w:tcW w:w="1847" w:type="dxa"/>
            <w:vMerge w:val="restart"/>
            <w:noWrap w:val="0"/>
            <w:vAlign w:val="center"/>
          </w:tcPr>
          <w:p w14:paraId="19C7033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14:paraId="50EA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715DE4C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洗涤干燥后接缝外观平整度/级</w:t>
            </w:r>
          </w:p>
        </w:tc>
        <w:tc>
          <w:tcPr>
            <w:tcW w:w="1848" w:type="dxa"/>
            <w:vMerge w:val="continue"/>
            <w:noWrap w:val="0"/>
            <w:vAlign w:val="center"/>
          </w:tcPr>
          <w:p w14:paraId="09BFD0B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848" w:type="dxa"/>
            <w:vMerge w:val="continue"/>
            <w:noWrap w:val="0"/>
            <w:vAlign w:val="center"/>
          </w:tcPr>
          <w:p w14:paraId="4FDC751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847" w:type="dxa"/>
            <w:vMerge w:val="continue"/>
            <w:noWrap w:val="0"/>
            <w:vAlign w:val="center"/>
          </w:tcPr>
          <w:p w14:paraId="0756321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4745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2E668A0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耐磨性能允许程度/次</w:t>
            </w:r>
          </w:p>
        </w:tc>
        <w:tc>
          <w:tcPr>
            <w:tcW w:w="5543" w:type="dxa"/>
            <w:gridSpan w:val="3"/>
            <w:noWrap w:val="0"/>
            <w:vAlign w:val="center"/>
          </w:tcPr>
          <w:p w14:paraId="4A85A5F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w:t>
            </w:r>
          </w:p>
        </w:tc>
      </w:tr>
      <w:tr w14:paraId="39D8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10A626C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断裂强力/N</w:t>
            </w:r>
          </w:p>
        </w:tc>
        <w:tc>
          <w:tcPr>
            <w:tcW w:w="5543" w:type="dxa"/>
            <w:gridSpan w:val="3"/>
            <w:vMerge w:val="restart"/>
            <w:noWrap w:val="0"/>
            <w:vAlign w:val="center"/>
          </w:tcPr>
          <w:p w14:paraId="324E182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按GB/T 21295</w:t>
            </w:r>
          </w:p>
        </w:tc>
      </w:tr>
      <w:tr w14:paraId="5C1D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12BFA26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撕裂强力/N</w:t>
            </w:r>
          </w:p>
        </w:tc>
        <w:tc>
          <w:tcPr>
            <w:tcW w:w="5543" w:type="dxa"/>
            <w:gridSpan w:val="3"/>
            <w:vMerge w:val="continue"/>
            <w:noWrap w:val="0"/>
            <w:vAlign w:val="center"/>
          </w:tcPr>
          <w:p w14:paraId="4868560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03C3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7D29EEB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覆粘合衬部位玻璃强力/N</w:t>
            </w:r>
          </w:p>
        </w:tc>
        <w:tc>
          <w:tcPr>
            <w:tcW w:w="5543" w:type="dxa"/>
            <w:gridSpan w:val="3"/>
            <w:vMerge w:val="continue"/>
            <w:noWrap w:val="0"/>
            <w:vAlign w:val="center"/>
          </w:tcPr>
          <w:p w14:paraId="0EEB7BA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25DB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26BF2FC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裤后档缝接缝强力/N</w:t>
            </w:r>
          </w:p>
        </w:tc>
        <w:tc>
          <w:tcPr>
            <w:tcW w:w="5543" w:type="dxa"/>
            <w:gridSpan w:val="3"/>
            <w:vMerge w:val="continue"/>
            <w:noWrap w:val="0"/>
            <w:vAlign w:val="center"/>
          </w:tcPr>
          <w:p w14:paraId="3D1101E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31A6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99" w:type="dxa"/>
            <w:gridSpan w:val="2"/>
            <w:noWrap w:val="0"/>
            <w:vAlign w:val="center"/>
          </w:tcPr>
          <w:p w14:paraId="2D9FF40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成品主要部位的缝子纰裂程度/cm</w:t>
            </w:r>
          </w:p>
        </w:tc>
        <w:tc>
          <w:tcPr>
            <w:tcW w:w="5543" w:type="dxa"/>
            <w:gridSpan w:val="3"/>
            <w:vMerge w:val="continue"/>
            <w:noWrap w:val="0"/>
            <w:vAlign w:val="center"/>
          </w:tcPr>
          <w:p w14:paraId="330065C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r>
      <w:tr w14:paraId="50AE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42" w:type="dxa"/>
            <w:gridSpan w:val="5"/>
            <w:noWrap w:val="0"/>
            <w:vAlign w:val="center"/>
          </w:tcPr>
          <w:p w14:paraId="74680AC0">
            <w:pPr>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注1：水洗尺寸变化率中“领大”只考核立领。</w:t>
            </w:r>
          </w:p>
          <w:p w14:paraId="08EDE4B3">
            <w:pPr>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注2：洗涤干燥后外观平整度及接缝外观平整度只考核免烫洗产品。</w:t>
            </w:r>
          </w:p>
          <w:p w14:paraId="35DA4878">
            <w:pPr>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注3：无纺粘合衬如在实验中无法剥离则不考核此项指标。</w:t>
            </w:r>
          </w:p>
          <w:p w14:paraId="3238FDE3">
            <w:pPr>
              <w:adjustRightInd w:val="0"/>
              <w:snapToGrid w:val="0"/>
              <w:spacing w:line="240" w:lineRule="auto"/>
              <w:ind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注4：成品只要部位的缝子纰裂程度如在试验中出现滑移或断裂均为不合格。</w:t>
            </w:r>
          </w:p>
        </w:tc>
      </w:tr>
    </w:tbl>
    <w:p w14:paraId="2B12CF8F">
      <w:pPr>
        <w:pStyle w:val="10"/>
        <w:adjustRightInd w:val="0"/>
        <w:snapToGrid w:val="0"/>
        <w:spacing w:beforeLines="50" w:after="0" w:line="360" w:lineRule="auto"/>
        <w:rPr>
          <w:rFonts w:hint="default" w:ascii="Times New Roman" w:hAnsi="Times New Roman" w:eastAsia="宋体" w:cs="Times New Roman"/>
          <w:color w:val="auto"/>
        </w:rPr>
      </w:pPr>
      <w:bookmarkStart w:id="222" w:name="_Toc24196"/>
      <w:r>
        <w:rPr>
          <w:rFonts w:hint="default" w:ascii="Times New Roman" w:hAnsi="Times New Roman" w:eastAsia="宋体" w:cs="Times New Roman"/>
          <w:color w:val="auto"/>
        </w:rPr>
        <w:t>2.</w:t>
      </w:r>
      <w:r>
        <w:rPr>
          <w:rFonts w:hint="eastAsia" w:ascii="Times New Roman" w:hAnsi="Times New Roman" w:eastAsia="宋体" w:cs="Times New Roman"/>
          <w:color w:val="auto"/>
          <w:lang w:val="en-US" w:eastAsia="zh-CN"/>
        </w:rPr>
        <w:t>14扩建</w:t>
      </w:r>
      <w:r>
        <w:rPr>
          <w:rFonts w:hint="default" w:ascii="Times New Roman" w:hAnsi="Times New Roman" w:eastAsia="宋体" w:cs="Times New Roman"/>
          <w:color w:val="auto"/>
        </w:rPr>
        <w:t>项目主要生产设备</w:t>
      </w:r>
      <w:bookmarkEnd w:id="220"/>
      <w:bookmarkEnd w:id="222"/>
    </w:p>
    <w:p w14:paraId="4C05C8E0">
      <w:pPr>
        <w:adjustRightInd w:val="0"/>
        <w:snapToGrid w:val="0"/>
        <w:ind w:firstLine="480" w:firstLineChars="200"/>
        <w:jc w:val="left"/>
        <w:rPr>
          <w:rFonts w:hint="default" w:ascii="Times New Roman" w:hAnsi="Times New Roman" w:eastAsia="宋体" w:cs="Times New Roman"/>
          <w:color w:val="auto"/>
        </w:rPr>
      </w:pPr>
      <w:r>
        <w:rPr>
          <w:rFonts w:hint="eastAsia" w:ascii="Times New Roman" w:hAnsi="Times New Roman" w:cs="Times New Roman"/>
          <w:color w:val="auto"/>
          <w:lang w:eastAsia="zh-CN"/>
        </w:rPr>
        <w:t>扩建</w:t>
      </w:r>
      <w:r>
        <w:rPr>
          <w:rFonts w:hint="default" w:ascii="Times New Roman" w:hAnsi="Times New Roman" w:eastAsia="宋体" w:cs="Times New Roman"/>
          <w:color w:val="auto"/>
        </w:rPr>
        <w:t>项目主要生产设备列表详见表</w:t>
      </w:r>
      <w:r>
        <w:rPr>
          <w:rFonts w:hint="eastAsia" w:ascii="Times New Roman" w:hAnsi="Times New Roman" w:cs="Times New Roman"/>
          <w:color w:val="auto"/>
          <w:lang w:val="en-US" w:eastAsia="zh-CN"/>
        </w:rPr>
        <w:t>2.14-1</w:t>
      </w:r>
      <w:r>
        <w:rPr>
          <w:rFonts w:hint="default" w:ascii="Times New Roman" w:hAnsi="Times New Roman" w:eastAsia="宋体" w:cs="Times New Roman"/>
          <w:color w:val="auto"/>
        </w:rPr>
        <w:t>。</w:t>
      </w:r>
    </w:p>
    <w:p w14:paraId="04B84AF6">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eastAsia" w:ascii="Times New Roman" w:hAnsi="Times New Roman" w:cs="Times New Roman"/>
          <w:b/>
          <w:color w:val="auto"/>
          <w:lang w:val="en-US" w:eastAsia="zh-CN"/>
        </w:rPr>
        <w:t>2.14-1</w:t>
      </w:r>
      <w:r>
        <w:rPr>
          <w:rFonts w:hint="default" w:ascii="Times New Roman" w:hAnsi="Times New Roman" w:eastAsia="宋体" w:cs="Times New Roman"/>
          <w:b/>
          <w:color w:val="auto"/>
        </w:rPr>
        <w:t xml:space="preserve"> </w:t>
      </w:r>
      <w:r>
        <w:rPr>
          <w:rFonts w:hint="eastAsia" w:ascii="Times New Roman" w:hAnsi="Times New Roman" w:cs="Times New Roman"/>
          <w:b/>
          <w:color w:val="auto"/>
          <w:lang w:eastAsia="zh-CN"/>
        </w:rPr>
        <w:t>扩建</w:t>
      </w:r>
      <w:r>
        <w:rPr>
          <w:rFonts w:hint="default" w:ascii="Times New Roman" w:hAnsi="Times New Roman" w:eastAsia="宋体" w:cs="Times New Roman"/>
          <w:b/>
          <w:color w:val="auto"/>
        </w:rPr>
        <w:t>项目主要生产设备一览表</w:t>
      </w:r>
    </w:p>
    <w:tbl>
      <w:tblPr>
        <w:tblStyle w:val="6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3261"/>
        <w:gridCol w:w="2358"/>
        <w:gridCol w:w="1086"/>
        <w:gridCol w:w="953"/>
      </w:tblGrid>
      <w:tr w14:paraId="58E4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4" w:type="dxa"/>
            <w:tcBorders>
              <w:top w:val="single" w:color="auto" w:sz="4" w:space="0"/>
              <w:left w:val="single" w:color="auto" w:sz="4" w:space="0"/>
              <w:bottom w:val="single" w:color="auto" w:sz="4" w:space="0"/>
              <w:right w:val="single" w:color="auto" w:sz="4" w:space="0"/>
            </w:tcBorders>
            <w:vAlign w:val="center"/>
          </w:tcPr>
          <w:p w14:paraId="2C200303">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序号</w:t>
            </w:r>
          </w:p>
        </w:tc>
        <w:tc>
          <w:tcPr>
            <w:tcW w:w="3261" w:type="dxa"/>
            <w:tcBorders>
              <w:top w:val="single" w:color="auto" w:sz="4" w:space="0"/>
              <w:left w:val="single" w:color="auto" w:sz="4" w:space="0"/>
              <w:bottom w:val="single" w:color="auto" w:sz="4" w:space="0"/>
              <w:right w:val="single" w:color="auto" w:sz="4" w:space="0"/>
            </w:tcBorders>
            <w:vAlign w:val="center"/>
          </w:tcPr>
          <w:p w14:paraId="41A8CDD1">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设备名称</w:t>
            </w:r>
          </w:p>
        </w:tc>
        <w:tc>
          <w:tcPr>
            <w:tcW w:w="2358" w:type="dxa"/>
            <w:tcBorders>
              <w:top w:val="single" w:color="auto" w:sz="4" w:space="0"/>
              <w:left w:val="single" w:color="auto" w:sz="4" w:space="0"/>
              <w:bottom w:val="single" w:color="auto" w:sz="4" w:space="0"/>
              <w:right w:val="single" w:color="auto" w:sz="4" w:space="0"/>
            </w:tcBorders>
            <w:vAlign w:val="center"/>
          </w:tcPr>
          <w:p w14:paraId="1FDC6AC2">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规格、型号</w:t>
            </w:r>
          </w:p>
        </w:tc>
        <w:tc>
          <w:tcPr>
            <w:tcW w:w="1086" w:type="dxa"/>
            <w:tcBorders>
              <w:top w:val="single" w:color="auto" w:sz="4" w:space="0"/>
              <w:left w:val="single" w:color="auto" w:sz="4" w:space="0"/>
              <w:bottom w:val="single" w:color="auto" w:sz="4" w:space="0"/>
              <w:right w:val="single" w:color="auto" w:sz="4" w:space="0"/>
            </w:tcBorders>
            <w:vAlign w:val="center"/>
          </w:tcPr>
          <w:p w14:paraId="69074FFB">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单位</w:t>
            </w:r>
          </w:p>
        </w:tc>
        <w:tc>
          <w:tcPr>
            <w:tcW w:w="953" w:type="dxa"/>
            <w:tcBorders>
              <w:top w:val="single" w:color="auto" w:sz="4" w:space="0"/>
              <w:left w:val="single" w:color="auto" w:sz="4" w:space="0"/>
              <w:bottom w:val="single" w:color="auto" w:sz="4" w:space="0"/>
              <w:right w:val="single" w:color="auto" w:sz="4" w:space="0"/>
            </w:tcBorders>
            <w:vAlign w:val="center"/>
          </w:tcPr>
          <w:p w14:paraId="01F1DE24">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数量</w:t>
            </w:r>
          </w:p>
        </w:tc>
      </w:tr>
      <w:tr w14:paraId="260D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5FEC8374">
            <w:pPr>
              <w:adjustRightInd w:val="0"/>
              <w:snapToGrid w:val="0"/>
              <w:spacing w:line="240" w:lineRule="auto"/>
              <w:jc w:val="center"/>
              <w:rPr>
                <w:rFonts w:hint="default" w:ascii="Times New Roman" w:hAnsi="Times New Roman" w:eastAsia="宋体" w:cs="Times New Roman"/>
                <w:b/>
                <w:bCs/>
                <w:color w:val="auto"/>
                <w:sz w:val="21"/>
                <w:lang w:val="en-US" w:eastAsia="zh-CN"/>
              </w:rPr>
            </w:pPr>
            <w:bookmarkStart w:id="223" w:name="_Toc28364"/>
            <w:r>
              <w:rPr>
                <w:rFonts w:hint="eastAsia" w:ascii="Times New Roman" w:hAnsi="Times New Roman" w:cs="Times New Roman"/>
                <w:b/>
                <w:bCs/>
                <w:color w:val="auto"/>
                <w:sz w:val="21"/>
                <w:lang w:val="en-US" w:eastAsia="zh-CN"/>
              </w:rPr>
              <w:t>1</w:t>
            </w:r>
          </w:p>
        </w:tc>
        <w:tc>
          <w:tcPr>
            <w:tcW w:w="3261" w:type="dxa"/>
            <w:vAlign w:val="top"/>
          </w:tcPr>
          <w:p w14:paraId="22C4C8CD">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工业洗衣机</w:t>
            </w:r>
          </w:p>
        </w:tc>
        <w:tc>
          <w:tcPr>
            <w:tcW w:w="2358" w:type="dxa"/>
            <w:vAlign w:val="top"/>
          </w:tcPr>
          <w:p w14:paraId="24722B31">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GX-100</w:t>
            </w:r>
          </w:p>
        </w:tc>
        <w:tc>
          <w:tcPr>
            <w:tcW w:w="1086" w:type="dxa"/>
            <w:vAlign w:val="top"/>
          </w:tcPr>
          <w:p w14:paraId="0F64EDFC">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台</w:t>
            </w:r>
          </w:p>
        </w:tc>
        <w:tc>
          <w:tcPr>
            <w:tcW w:w="953" w:type="dxa"/>
            <w:vAlign w:val="top"/>
          </w:tcPr>
          <w:p w14:paraId="4E9D9229">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r>
      <w:tr w14:paraId="2E2A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75270C68">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eastAsia" w:ascii="Times New Roman" w:hAnsi="Times New Roman" w:cs="Times New Roman"/>
                <w:b/>
                <w:bCs/>
                <w:color w:val="auto"/>
                <w:sz w:val="21"/>
                <w:lang w:val="en-US" w:eastAsia="zh-CN"/>
              </w:rPr>
              <w:t>2</w:t>
            </w:r>
          </w:p>
        </w:tc>
        <w:tc>
          <w:tcPr>
            <w:tcW w:w="3261" w:type="dxa"/>
            <w:vAlign w:val="top"/>
          </w:tcPr>
          <w:p w14:paraId="7FBF2AF3">
            <w:pPr>
              <w:spacing w:beforeLines="0" w:afterLine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工业洗衣机</w:t>
            </w:r>
          </w:p>
        </w:tc>
        <w:tc>
          <w:tcPr>
            <w:tcW w:w="2358" w:type="dxa"/>
            <w:vAlign w:val="top"/>
          </w:tcPr>
          <w:p w14:paraId="5400A680">
            <w:pPr>
              <w:spacing w:beforeLines="0" w:afterLine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GX-30</w:t>
            </w:r>
          </w:p>
        </w:tc>
        <w:tc>
          <w:tcPr>
            <w:tcW w:w="1086" w:type="dxa"/>
            <w:vAlign w:val="top"/>
          </w:tcPr>
          <w:p w14:paraId="37A2DDF0">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台</w:t>
            </w:r>
          </w:p>
        </w:tc>
        <w:tc>
          <w:tcPr>
            <w:tcW w:w="953" w:type="dxa"/>
            <w:vAlign w:val="top"/>
          </w:tcPr>
          <w:p w14:paraId="38F7ECD9">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6246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4E426606">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eastAsia" w:ascii="Times New Roman" w:hAnsi="Times New Roman" w:cs="Times New Roman"/>
                <w:b/>
                <w:bCs/>
                <w:color w:val="auto"/>
                <w:sz w:val="21"/>
                <w:lang w:val="en-US" w:eastAsia="zh-CN"/>
              </w:rPr>
              <w:t>3</w:t>
            </w:r>
          </w:p>
        </w:tc>
        <w:tc>
          <w:tcPr>
            <w:tcW w:w="3261" w:type="dxa"/>
            <w:vAlign w:val="top"/>
          </w:tcPr>
          <w:p w14:paraId="3F1C0B62">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工业烘干机</w:t>
            </w:r>
          </w:p>
        </w:tc>
        <w:tc>
          <w:tcPr>
            <w:tcW w:w="2358" w:type="dxa"/>
            <w:vAlign w:val="top"/>
          </w:tcPr>
          <w:p w14:paraId="5A48042B">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SWA801-100</w:t>
            </w:r>
          </w:p>
        </w:tc>
        <w:tc>
          <w:tcPr>
            <w:tcW w:w="1086" w:type="dxa"/>
            <w:vAlign w:val="top"/>
          </w:tcPr>
          <w:p w14:paraId="29BC9951">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台</w:t>
            </w:r>
          </w:p>
        </w:tc>
        <w:tc>
          <w:tcPr>
            <w:tcW w:w="953" w:type="dxa"/>
            <w:vAlign w:val="top"/>
          </w:tcPr>
          <w:p w14:paraId="1B717456">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r>
      <w:tr w14:paraId="5519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177EDBA2">
            <w:pPr>
              <w:adjustRightInd w:val="0"/>
              <w:snapToGrid w:val="0"/>
              <w:spacing w:line="240" w:lineRule="auto"/>
              <w:jc w:val="center"/>
              <w:rPr>
                <w:rFonts w:hint="default" w:ascii="Times New Roman" w:hAnsi="Times New Roman" w:cs="Times New Roman"/>
                <w:b/>
                <w:bCs/>
                <w:color w:val="auto"/>
                <w:sz w:val="21"/>
                <w:lang w:val="en-US" w:eastAsia="zh-CN"/>
              </w:rPr>
            </w:pPr>
            <w:r>
              <w:rPr>
                <w:rFonts w:hint="eastAsia" w:ascii="Times New Roman" w:hAnsi="Times New Roman" w:cs="Times New Roman"/>
                <w:b/>
                <w:bCs/>
                <w:color w:val="auto"/>
                <w:sz w:val="21"/>
                <w:lang w:val="en-US" w:eastAsia="zh-CN"/>
              </w:rPr>
              <w:t>4</w:t>
            </w:r>
          </w:p>
        </w:tc>
        <w:tc>
          <w:tcPr>
            <w:tcW w:w="3261" w:type="dxa"/>
            <w:vAlign w:val="top"/>
          </w:tcPr>
          <w:p w14:paraId="09DE3216">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工业脱水机</w:t>
            </w:r>
          </w:p>
        </w:tc>
        <w:tc>
          <w:tcPr>
            <w:tcW w:w="2358" w:type="dxa"/>
            <w:vAlign w:val="top"/>
          </w:tcPr>
          <w:p w14:paraId="70F808A4">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SS751-1000</w:t>
            </w:r>
          </w:p>
        </w:tc>
        <w:tc>
          <w:tcPr>
            <w:tcW w:w="1086" w:type="dxa"/>
            <w:vAlign w:val="top"/>
          </w:tcPr>
          <w:p w14:paraId="2C0160F5">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台</w:t>
            </w:r>
          </w:p>
        </w:tc>
        <w:tc>
          <w:tcPr>
            <w:tcW w:w="953" w:type="dxa"/>
            <w:vAlign w:val="top"/>
          </w:tcPr>
          <w:p w14:paraId="66C74833">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5B0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tcPr>
          <w:p w14:paraId="1A0366CB">
            <w:pPr>
              <w:adjustRightInd w:val="0"/>
              <w:snapToGrid w:val="0"/>
              <w:spacing w:line="240" w:lineRule="auto"/>
              <w:jc w:val="center"/>
              <w:rPr>
                <w:rFonts w:hint="default" w:ascii="Times New Roman" w:hAnsi="Times New Roman" w:cs="Times New Roman"/>
                <w:b/>
                <w:bCs/>
                <w:color w:val="auto"/>
                <w:sz w:val="21"/>
                <w:lang w:val="en-US" w:eastAsia="zh-CN"/>
              </w:rPr>
            </w:pPr>
            <w:r>
              <w:rPr>
                <w:rFonts w:hint="eastAsia" w:ascii="Times New Roman" w:hAnsi="Times New Roman" w:cs="Times New Roman"/>
                <w:b/>
                <w:bCs/>
                <w:color w:val="auto"/>
                <w:sz w:val="21"/>
                <w:lang w:val="en-US" w:eastAsia="zh-CN"/>
              </w:rPr>
              <w:t>5</w:t>
            </w:r>
          </w:p>
        </w:tc>
        <w:tc>
          <w:tcPr>
            <w:tcW w:w="3261" w:type="dxa"/>
            <w:vAlign w:val="top"/>
          </w:tcPr>
          <w:p w14:paraId="71028BFA">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工业脱水机</w:t>
            </w:r>
          </w:p>
        </w:tc>
        <w:tc>
          <w:tcPr>
            <w:tcW w:w="2358" w:type="dxa"/>
            <w:vAlign w:val="top"/>
          </w:tcPr>
          <w:p w14:paraId="1F1276BD">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SS753-600</w:t>
            </w:r>
          </w:p>
        </w:tc>
        <w:tc>
          <w:tcPr>
            <w:tcW w:w="1086" w:type="dxa"/>
            <w:vAlign w:val="top"/>
          </w:tcPr>
          <w:p w14:paraId="12F484C4">
            <w:pPr>
              <w:spacing w:beforeLines="0" w:afterLine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台</w:t>
            </w:r>
          </w:p>
        </w:tc>
        <w:tc>
          <w:tcPr>
            <w:tcW w:w="953" w:type="dxa"/>
            <w:vAlign w:val="top"/>
          </w:tcPr>
          <w:p w14:paraId="3E95E97A">
            <w:pPr>
              <w:spacing w:beforeLines="0" w:afterLine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14:paraId="312AB085">
      <w:pPr>
        <w:pStyle w:val="10"/>
        <w:adjustRightInd w:val="0"/>
        <w:snapToGrid w:val="0"/>
        <w:spacing w:beforeLines="50" w:after="0" w:line="360" w:lineRule="auto"/>
        <w:rPr>
          <w:rFonts w:hint="default" w:ascii="Times New Roman" w:hAnsi="Times New Roman" w:eastAsia="宋体" w:cs="Times New Roman"/>
          <w:color w:val="auto"/>
        </w:rPr>
      </w:pPr>
      <w:bookmarkStart w:id="224" w:name="_Toc470775865"/>
      <w:bookmarkStart w:id="225" w:name="_Toc20740"/>
      <w:r>
        <w:rPr>
          <w:rFonts w:hint="default" w:ascii="Times New Roman" w:hAnsi="Times New Roman" w:eastAsia="宋体" w:cs="Times New Roman"/>
          <w:color w:val="auto"/>
          <w:lang w:eastAsia="zh-CN"/>
        </w:rPr>
        <w:t>2</w:t>
      </w:r>
      <w:r>
        <w:rPr>
          <w:rFonts w:hint="default" w:ascii="Times New Roman" w:hAnsi="Times New Roman" w:eastAsia="宋体" w:cs="Times New Roman"/>
          <w:color w:val="auto"/>
        </w:rPr>
        <w:t>.</w:t>
      </w:r>
      <w:r>
        <w:rPr>
          <w:rFonts w:hint="eastAsia" w:ascii="Times New Roman" w:hAnsi="Times New Roman" w:eastAsia="宋体" w:cs="Times New Roman"/>
          <w:color w:val="auto"/>
          <w:lang w:val="en-US" w:eastAsia="zh-CN"/>
        </w:rPr>
        <w:t>15扩建项目</w:t>
      </w:r>
      <w:r>
        <w:rPr>
          <w:rFonts w:hint="default" w:ascii="Times New Roman" w:hAnsi="Times New Roman" w:eastAsia="宋体" w:cs="Times New Roman"/>
          <w:color w:val="auto"/>
        </w:rPr>
        <w:t>公用工程</w:t>
      </w:r>
      <w:bookmarkEnd w:id="224"/>
      <w:bookmarkEnd w:id="225"/>
    </w:p>
    <w:p w14:paraId="48BB9903">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default" w:ascii="Times New Roman" w:hAnsi="Times New Roman" w:eastAsia="宋体" w:cs="Times New Roman"/>
          <w:color w:val="auto"/>
          <w:sz w:val="28"/>
          <w:szCs w:val="28"/>
          <w:lang w:val="en-US" w:eastAsia="zh-CN"/>
        </w:rPr>
        <w:t>2.</w:t>
      </w:r>
      <w:r>
        <w:rPr>
          <w:rFonts w:hint="eastAsia" w:ascii="Times New Roman" w:hAnsi="Times New Roman" w:cs="Times New Roman"/>
          <w:color w:val="auto"/>
          <w:sz w:val="28"/>
          <w:szCs w:val="28"/>
          <w:lang w:val="en-US" w:eastAsia="zh-CN"/>
        </w:rPr>
        <w:t>15</w:t>
      </w:r>
      <w:r>
        <w:rPr>
          <w:rFonts w:hint="default" w:ascii="Times New Roman" w:hAnsi="Times New Roman" w:eastAsia="宋体" w:cs="Times New Roman"/>
          <w:color w:val="auto"/>
          <w:sz w:val="28"/>
          <w:szCs w:val="28"/>
          <w:lang w:val="en-US" w:eastAsia="zh-CN"/>
        </w:rPr>
        <w:t>.1给水、排水工程</w:t>
      </w:r>
    </w:p>
    <w:p w14:paraId="34C4DF51">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（1）给水工程</w:t>
      </w:r>
    </w:p>
    <w:p w14:paraId="73F306C8">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cs="Times New Roman"/>
          <w:color w:val="auto"/>
          <w:sz w:val="24"/>
          <w:lang w:eastAsia="zh-CN"/>
        </w:rPr>
        <w:t>扩建</w:t>
      </w:r>
      <w:r>
        <w:rPr>
          <w:rFonts w:hint="default" w:ascii="Times New Roman" w:hAnsi="Times New Roman" w:eastAsia="宋体" w:cs="Times New Roman"/>
          <w:color w:val="auto"/>
          <w:sz w:val="24"/>
        </w:rPr>
        <w:t>项目的供水依托工业园区市政供应系统供给，分别作为</w:t>
      </w:r>
      <w:r>
        <w:rPr>
          <w:rFonts w:hint="eastAsia" w:ascii="Times New Roman" w:hAnsi="Times New Roman" w:cs="Times New Roman"/>
          <w:color w:val="auto"/>
          <w:sz w:val="24"/>
          <w:lang w:eastAsia="zh-CN"/>
        </w:rPr>
        <w:t>生产</w:t>
      </w:r>
      <w:r>
        <w:rPr>
          <w:rFonts w:hint="default" w:ascii="Times New Roman" w:hAnsi="Times New Roman" w:eastAsia="宋体" w:cs="Times New Roman"/>
          <w:color w:val="auto"/>
          <w:sz w:val="24"/>
        </w:rPr>
        <w:t>用水、生产用水以及消防用水的水源。</w:t>
      </w:r>
    </w:p>
    <w:p w14:paraId="096BC09F">
      <w:pPr>
        <w:adjustRightInd w:val="0"/>
        <w:snapToGrid w:val="0"/>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（2）排水工程</w:t>
      </w:r>
    </w:p>
    <w:p w14:paraId="1A90F8E3">
      <w:pPr>
        <w:spacing w:line="360" w:lineRule="auto"/>
        <w:ind w:firstLine="480" w:firstLineChars="200"/>
        <w:rPr>
          <w:rFonts w:hint="default" w:ascii="Times New Roman" w:hAnsi="Times New Roman" w:eastAsia="宋体" w:cs="Times New Roman"/>
          <w:iCs/>
          <w:color w:val="auto"/>
          <w:sz w:val="24"/>
        </w:rPr>
      </w:pPr>
      <w:r>
        <w:rPr>
          <w:rFonts w:hint="eastAsia" w:ascii="Times New Roman" w:hAnsi="Times New Roman" w:cs="Times New Roman"/>
          <w:snapToGrid w:val="0"/>
          <w:color w:val="auto"/>
          <w:sz w:val="24"/>
          <w:lang w:eastAsia="zh-CN"/>
        </w:rPr>
        <w:t>扩建</w:t>
      </w:r>
      <w:r>
        <w:rPr>
          <w:rFonts w:hint="default" w:ascii="Times New Roman" w:hAnsi="Times New Roman" w:eastAsia="宋体" w:cs="Times New Roman"/>
          <w:snapToGrid w:val="0"/>
          <w:color w:val="auto"/>
          <w:sz w:val="24"/>
        </w:rPr>
        <w:t>项目厂区排水采用雨污分流制。 雨水、排入厂区雨水管网，汇总后排入工业园区市政雨水管网。</w:t>
      </w:r>
    </w:p>
    <w:p w14:paraId="6AF54998">
      <w:pPr>
        <w:pStyle w:val="603"/>
        <w:spacing w:after="120"/>
        <w:ind w:firstLine="480" w:firstLineChars="200"/>
        <w:rPr>
          <w:rFonts w:hint="default" w:ascii="Times New Roman" w:hAnsi="Times New Roman" w:eastAsia="宋体" w:cs="Times New Roman"/>
          <w:color w:val="auto"/>
          <w:kern w:val="10"/>
          <w:sz w:val="24"/>
        </w:rPr>
      </w:pPr>
      <w:r>
        <w:rPr>
          <w:rFonts w:hint="default" w:ascii="Times New Roman" w:hAnsi="Times New Roman" w:eastAsia="宋体" w:cs="Times New Roman"/>
          <w:color w:val="auto"/>
          <w:sz w:val="24"/>
        </w:rPr>
        <w:t>运营期企业产生的生产废水</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外排废水执行</w:t>
      </w:r>
      <w:r>
        <w:rPr>
          <w:rFonts w:hint="default" w:ascii="Times New Roman" w:hAnsi="Times New Roman" w:eastAsia="宋体" w:cs="Times New Roman"/>
          <w:color w:val="auto"/>
          <w:kern w:val="10"/>
          <w:sz w:val="24"/>
        </w:rPr>
        <w:t>《污水综合排放标准》（GB8978-1996）中三级标准和《污水排入城镇下水道水质标准》（GB/T31962-2015）表1中B级标准。</w:t>
      </w:r>
    </w:p>
    <w:p w14:paraId="1ADC7240">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2.15.2</w:t>
      </w:r>
      <w:r>
        <w:rPr>
          <w:rFonts w:hint="default" w:ascii="Times New Roman" w:hAnsi="Times New Roman" w:eastAsia="宋体" w:cs="Times New Roman"/>
          <w:color w:val="auto"/>
          <w:sz w:val="28"/>
          <w:szCs w:val="28"/>
          <w:lang w:val="en-US" w:eastAsia="zh-CN"/>
        </w:rPr>
        <w:t>供电系统</w:t>
      </w:r>
    </w:p>
    <w:p w14:paraId="131E42FC">
      <w:pPr>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lang w:eastAsia="zh-CN"/>
        </w:rPr>
        <w:t>厂区</w:t>
      </w:r>
      <w:r>
        <w:rPr>
          <w:rFonts w:hint="default" w:ascii="Times New Roman" w:hAnsi="Times New Roman" w:eastAsia="宋体" w:cs="Times New Roman"/>
          <w:snapToGrid w:val="0"/>
          <w:color w:val="auto"/>
          <w:sz w:val="24"/>
        </w:rPr>
        <w:t>供电电源取自国家电网，电源符合国家标准《供配电系统设计规范》（GB 50052-1995）的规定。涂装车间根据工艺要求设置备用柴油发电机房。</w:t>
      </w:r>
    </w:p>
    <w:p w14:paraId="0CDFC783">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2.15.3</w:t>
      </w:r>
      <w:r>
        <w:rPr>
          <w:rFonts w:hint="default" w:ascii="Times New Roman" w:hAnsi="Times New Roman" w:eastAsia="宋体" w:cs="Times New Roman"/>
          <w:color w:val="auto"/>
          <w:sz w:val="28"/>
          <w:szCs w:val="28"/>
          <w:lang w:val="en-US" w:eastAsia="zh-CN"/>
        </w:rPr>
        <w:t>采暖与通风</w:t>
      </w:r>
    </w:p>
    <w:p w14:paraId="7EF14316">
      <w:pPr>
        <w:snapToGrid w:val="0"/>
        <w:spacing w:line="360" w:lineRule="auto"/>
        <w:ind w:firstLine="498" w:firstLineChars="200"/>
        <w:jc w:val="left"/>
        <w:rPr>
          <w:rFonts w:hint="default" w:ascii="Times New Roman" w:hAnsi="Times New Roman" w:eastAsia="宋体" w:cs="Times New Roman"/>
          <w:b/>
          <w:snapToGrid w:val="0"/>
          <w:color w:val="auto"/>
          <w:spacing w:val="4"/>
          <w:sz w:val="24"/>
        </w:rPr>
      </w:pPr>
      <w:r>
        <w:rPr>
          <w:rFonts w:hint="default" w:ascii="Times New Roman" w:hAnsi="Times New Roman" w:eastAsia="宋体" w:cs="Times New Roman"/>
          <w:b/>
          <w:snapToGrid w:val="0"/>
          <w:color w:val="auto"/>
          <w:spacing w:val="4"/>
          <w:sz w:val="24"/>
        </w:rPr>
        <w:t>1、采暖</w:t>
      </w:r>
    </w:p>
    <w:p w14:paraId="1D528640">
      <w:pPr>
        <w:snapToGrid w:val="0"/>
        <w:spacing w:line="360" w:lineRule="auto"/>
        <w:ind w:firstLine="496" w:firstLineChars="200"/>
        <w:jc w:val="left"/>
        <w:rPr>
          <w:rFonts w:hint="default" w:ascii="Times New Roman" w:hAnsi="Times New Roman" w:eastAsia="宋体" w:cs="Times New Roman"/>
          <w:snapToGrid w:val="0"/>
          <w:color w:val="auto"/>
          <w:spacing w:val="4"/>
          <w:sz w:val="24"/>
        </w:rPr>
      </w:pPr>
      <w:r>
        <w:rPr>
          <w:rFonts w:hint="default" w:ascii="Times New Roman" w:hAnsi="Times New Roman" w:eastAsia="宋体" w:cs="Times New Roman"/>
          <w:snapToGrid w:val="0"/>
          <w:color w:val="auto"/>
          <w:spacing w:val="4"/>
          <w:sz w:val="24"/>
        </w:rPr>
        <w:t>根据当地气象资料，本项目不需要整体采暖，所以全厂不设采暖系统。</w:t>
      </w:r>
    </w:p>
    <w:p w14:paraId="6BADC819">
      <w:pPr>
        <w:adjustRightInd w:val="0"/>
        <w:snapToGrid w:val="0"/>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2、通风设计</w:t>
      </w:r>
    </w:p>
    <w:p w14:paraId="64160FAD">
      <w:pPr>
        <w:spacing w:line="360" w:lineRule="auto"/>
        <w:ind w:firstLine="480" w:firstLineChars="200"/>
        <w:rPr>
          <w:rFonts w:hint="default" w:ascii="Times New Roman" w:hAnsi="Times New Roman" w:eastAsia="宋体" w:cs="Times New Roman"/>
          <w:snapToGrid w:val="0"/>
          <w:color w:val="auto"/>
          <w:sz w:val="24"/>
        </w:rPr>
      </w:pPr>
      <w:r>
        <w:rPr>
          <w:rFonts w:hint="default" w:ascii="Times New Roman" w:hAnsi="Times New Roman" w:eastAsia="宋体" w:cs="Times New Roman"/>
          <w:snapToGrid w:val="0"/>
          <w:color w:val="auto"/>
          <w:sz w:val="24"/>
        </w:rPr>
        <w:t>生产厂房</w:t>
      </w:r>
    </w:p>
    <w:p w14:paraId="21A58637">
      <w:pPr>
        <w:spacing w:line="360" w:lineRule="auto"/>
        <w:ind w:firstLine="480" w:firstLineChars="200"/>
        <w:rPr>
          <w:rFonts w:hint="default" w:ascii="Times New Roman" w:hAnsi="Times New Roman" w:eastAsia="宋体" w:cs="Times New Roman"/>
          <w:snapToGrid w:val="0"/>
          <w:color w:val="auto"/>
          <w:sz w:val="24"/>
          <w:lang w:eastAsia="zh-CN"/>
        </w:rPr>
      </w:pPr>
      <w:r>
        <w:rPr>
          <w:rFonts w:hint="default" w:ascii="Times New Roman" w:hAnsi="Times New Roman" w:eastAsia="宋体" w:cs="Times New Roman"/>
          <w:snapToGrid w:val="0"/>
          <w:color w:val="auto"/>
          <w:sz w:val="24"/>
          <w:lang w:eastAsia="zh-CN"/>
        </w:rPr>
        <w:t>生产车间以自然通风为主，同时加设屋顶风机，进行全室通风换气，换气次数分别为4次/h和2次/h。同时对部分设备进行局部通风。在车间内设吊扇、壁扇，在办公室设分体式空调进行夏季防暑降温。</w:t>
      </w:r>
    </w:p>
    <w:p w14:paraId="239D2452">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2.15.4</w:t>
      </w:r>
      <w:r>
        <w:rPr>
          <w:rFonts w:hint="default" w:ascii="Times New Roman" w:hAnsi="Times New Roman" w:eastAsia="宋体" w:cs="Times New Roman"/>
          <w:color w:val="auto"/>
          <w:sz w:val="28"/>
          <w:szCs w:val="28"/>
          <w:lang w:val="en-US" w:eastAsia="zh-CN"/>
        </w:rPr>
        <w:t>供热及制冷</w:t>
      </w:r>
    </w:p>
    <w:p w14:paraId="48672D8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1、供热</w:t>
      </w:r>
    </w:p>
    <w:p w14:paraId="7250F1A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项目生产过程中机械设备的运转使用的能源为电能，烘干需使用的供热能源为</w:t>
      </w:r>
      <w:r>
        <w:rPr>
          <w:rFonts w:hint="default" w:ascii="Times New Roman" w:hAnsi="Times New Roman" w:eastAsia="宋体" w:cs="Times New Roman"/>
          <w:color w:val="auto"/>
          <w:sz w:val="24"/>
          <w:lang w:eastAsia="zh-CN"/>
        </w:rPr>
        <w:t>电能</w:t>
      </w:r>
      <w:r>
        <w:rPr>
          <w:rFonts w:hint="default" w:ascii="Times New Roman" w:hAnsi="Times New Roman" w:eastAsia="宋体" w:cs="Times New Roman"/>
          <w:color w:val="auto"/>
          <w:sz w:val="24"/>
        </w:rPr>
        <w:t>，职工生活过程中使用的供热能源为电能、太阳能等。</w:t>
      </w:r>
    </w:p>
    <w:p w14:paraId="477CAE3F">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2、制冷</w:t>
      </w:r>
    </w:p>
    <w:p w14:paraId="0D2A680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项目生产过程中不涉及制冷系统制冷。      </w:t>
      </w:r>
    </w:p>
    <w:p w14:paraId="79886960">
      <w:pPr>
        <w:pStyle w:val="11"/>
        <w:adjustRightInd w:val="0"/>
        <w:snapToGrid w:val="0"/>
        <w:spacing w:beforeLines="50" w:after="0" w:line="360" w:lineRule="auto"/>
        <w:rPr>
          <w:rFonts w:hint="default" w:ascii="Times New Roman" w:hAnsi="Times New Roman" w:eastAsia="宋体" w:cs="Times New Roman"/>
          <w:color w:val="auto"/>
          <w:sz w:val="28"/>
          <w:szCs w:val="28"/>
          <w:lang w:val="en-US" w:eastAsia="zh-CN"/>
        </w:rPr>
      </w:pPr>
      <w:r>
        <w:rPr>
          <w:rFonts w:hint="eastAsia" w:ascii="Times New Roman" w:hAnsi="Times New Roman" w:cs="Times New Roman"/>
          <w:color w:val="auto"/>
          <w:sz w:val="28"/>
          <w:szCs w:val="28"/>
          <w:lang w:val="en-US" w:eastAsia="zh-CN"/>
        </w:rPr>
        <w:t>2.15.5</w:t>
      </w:r>
      <w:r>
        <w:rPr>
          <w:rFonts w:hint="default" w:ascii="Times New Roman" w:hAnsi="Times New Roman" w:eastAsia="宋体" w:cs="Times New Roman"/>
          <w:color w:val="auto"/>
          <w:sz w:val="28"/>
          <w:szCs w:val="28"/>
          <w:lang w:val="en-US" w:eastAsia="zh-CN"/>
        </w:rPr>
        <w:t xml:space="preserve"> 运输</w:t>
      </w:r>
    </w:p>
    <w:p w14:paraId="1CBF2D9C">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厂外运输采用汽车运输，依靠社会运力解决。成品车输出采用用户自提或雇用社会车辆送货方式；外协件和原材料输入采用厂家送货或雇用社会车辆自提方式。厂内厂房间运输采用叉车，厂房内采用电瓶叉车、电动平板车和拖车。</w:t>
      </w:r>
    </w:p>
    <w:p w14:paraId="3C04FB09">
      <w:pPr>
        <w:pStyle w:val="10"/>
        <w:adjustRightInd w:val="0"/>
        <w:snapToGrid w:val="0"/>
        <w:spacing w:beforeLines="50" w:after="0" w:line="360" w:lineRule="auto"/>
        <w:rPr>
          <w:rFonts w:hint="default" w:ascii="Times New Roman" w:hAnsi="Times New Roman" w:eastAsia="宋体" w:cs="Times New Roman"/>
          <w:color w:val="auto"/>
        </w:rPr>
      </w:pPr>
      <w:bookmarkStart w:id="226" w:name="_Toc5035"/>
      <w:r>
        <w:rPr>
          <w:rFonts w:hint="eastAsia" w:ascii="Times New Roman" w:hAnsi="Times New Roman" w:eastAsia="宋体" w:cs="Times New Roman"/>
          <w:color w:val="auto"/>
          <w:lang w:val="en-US" w:eastAsia="zh-CN"/>
        </w:rPr>
        <w:t>2.16</w:t>
      </w: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rPr>
        <w:t>土地利用及平面布局情况</w:t>
      </w:r>
      <w:bookmarkEnd w:id="223"/>
      <w:bookmarkEnd w:id="226"/>
    </w:p>
    <w:p w14:paraId="085FB1F1">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（1）土地利用情况</w:t>
      </w:r>
    </w:p>
    <w:p w14:paraId="6561E6E4">
      <w:pPr>
        <w:adjustRightInd w:val="0"/>
        <w:snapToGrid w:val="0"/>
        <w:ind w:firstLine="480" w:firstLineChars="200"/>
        <w:rPr>
          <w:rFonts w:hint="default" w:ascii="Times New Roman" w:hAnsi="Times New Roman" w:eastAsia="宋体" w:cs="Times New Roman"/>
          <w:color w:val="auto"/>
          <w:lang w:val="en-US" w:eastAsia="zh-CN"/>
        </w:rPr>
      </w:pPr>
      <w:r>
        <w:rPr>
          <w:rFonts w:hint="eastAsia" w:ascii="Times New Roman" w:hAnsi="Times New Roman" w:cs="Times New Roman"/>
          <w:color w:val="auto"/>
          <w:lang w:eastAsia="zh-CN"/>
        </w:rPr>
        <w:t>扩建</w:t>
      </w:r>
      <w:r>
        <w:rPr>
          <w:rFonts w:hint="default" w:ascii="Times New Roman" w:hAnsi="Times New Roman" w:eastAsia="宋体" w:cs="Times New Roman"/>
          <w:color w:val="auto"/>
        </w:rPr>
        <w:t>项目位于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项目用地现状为废弃厂房，</w:t>
      </w:r>
      <w:r>
        <w:rPr>
          <w:rFonts w:hint="default" w:ascii="Times New Roman" w:hAnsi="Times New Roman" w:eastAsia="宋体" w:cs="Times New Roman"/>
          <w:color w:val="auto"/>
        </w:rPr>
        <w:t>占地面积</w:t>
      </w:r>
      <w:r>
        <w:rPr>
          <w:rFonts w:hint="eastAsia" w:ascii="Times New Roman" w:hAnsi="Times New Roman" w:cs="Times New Roman"/>
          <w:color w:val="auto"/>
          <w:lang w:val="en-US" w:eastAsia="zh-CN"/>
        </w:rPr>
        <w:t>493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用地已取得芒市工业园管理委员会关于云南业勤服饰有限公司建设项目生产厂房使用的证明</w:t>
      </w:r>
      <w:r>
        <w:rPr>
          <w:rFonts w:hint="eastAsia" w:ascii="Times New Roman" w:hAnsi="Times New Roman" w:cs="Times New Roman"/>
          <w:color w:val="auto"/>
          <w:lang w:eastAsia="zh-CN"/>
        </w:rPr>
        <w:t>，于</w:t>
      </w:r>
      <w:r>
        <w:rPr>
          <w:rFonts w:hint="eastAsia" w:ascii="Times New Roman" w:hAnsi="Times New Roman" w:cs="Times New Roman"/>
          <w:color w:val="auto"/>
          <w:lang w:val="en-US" w:eastAsia="zh-CN"/>
        </w:rPr>
        <w:t>2019年11月8日取得芒市工业园区管委会关于</w:t>
      </w:r>
      <w:r>
        <w:rPr>
          <w:rFonts w:hint="default" w:ascii="Times New Roman" w:hAnsi="Times New Roman" w:eastAsia="宋体" w:cs="Times New Roman"/>
          <w:color w:val="auto"/>
          <w:lang w:eastAsia="zh-CN"/>
        </w:rPr>
        <w:t>云南业勤服饰有限公司</w:t>
      </w:r>
      <w:r>
        <w:rPr>
          <w:rFonts w:hint="eastAsia" w:ascii="Times New Roman" w:hAnsi="Times New Roman" w:cs="Times New Roman"/>
          <w:color w:val="auto"/>
          <w:lang w:eastAsia="zh-CN"/>
        </w:rPr>
        <w:t>符合园区规划的证明</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建设用地</w:t>
      </w:r>
      <w:r>
        <w:rPr>
          <w:rFonts w:hint="default" w:ascii="Times New Roman" w:hAnsi="Times New Roman" w:eastAsia="宋体" w:cs="Times New Roman"/>
          <w:color w:val="auto"/>
          <w:lang w:eastAsia="zh-CN"/>
        </w:rPr>
        <w:t>性质</w:t>
      </w:r>
      <w:r>
        <w:rPr>
          <w:rFonts w:hint="default" w:ascii="Times New Roman" w:hAnsi="Times New Roman" w:eastAsia="宋体" w:cs="Times New Roman"/>
          <w:color w:val="auto"/>
        </w:rPr>
        <w:t>为工业用地。</w:t>
      </w:r>
      <w:r>
        <w:rPr>
          <w:rFonts w:hint="default" w:ascii="Times New Roman" w:hAnsi="Times New Roman" w:eastAsia="宋体" w:cs="Times New Roman"/>
          <w:color w:val="auto"/>
          <w:lang w:val="en-US" w:eastAsia="zh-CN"/>
        </w:rPr>
        <w:t xml:space="preserve"> </w:t>
      </w:r>
    </w:p>
    <w:p w14:paraId="08930949">
      <w:pPr>
        <w:adjustRightInd w:val="0"/>
        <w:snapToGrid w:val="0"/>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（2）厂区总平面布置</w:t>
      </w:r>
    </w:p>
    <w:p w14:paraId="175A6884">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项目占地</w:t>
      </w:r>
      <w:r>
        <w:rPr>
          <w:rFonts w:hint="default" w:ascii="Times New Roman" w:hAnsi="Times New Roman" w:eastAsia="宋体" w:cs="Times New Roman"/>
          <w:color w:val="auto"/>
          <w:lang w:eastAsia="zh-CN"/>
        </w:rPr>
        <w:t>总体</w:t>
      </w:r>
      <w:r>
        <w:rPr>
          <w:rFonts w:hint="default" w:ascii="Times New Roman" w:hAnsi="Times New Roman" w:eastAsia="宋体" w:cs="Times New Roman"/>
          <w:color w:val="auto"/>
        </w:rPr>
        <w:t>呈一个矩形，</w:t>
      </w:r>
      <w:r>
        <w:rPr>
          <w:rFonts w:hint="default" w:ascii="Times New Roman" w:hAnsi="Times New Roman" w:eastAsia="宋体" w:cs="Times New Roman"/>
          <w:color w:val="auto"/>
          <w:lang w:eastAsia="zh-CN"/>
        </w:rPr>
        <w:t>北</w:t>
      </w:r>
      <w:r>
        <w:rPr>
          <w:rFonts w:hint="default" w:ascii="Times New Roman" w:hAnsi="Times New Roman" w:eastAsia="宋体" w:cs="Times New Roman"/>
          <w:color w:val="auto"/>
        </w:rPr>
        <w:t>侧为</w:t>
      </w:r>
      <w:r>
        <w:rPr>
          <w:rFonts w:hint="eastAsia" w:ascii="Times New Roman" w:hAnsi="Times New Roman" w:cs="Times New Roman"/>
          <w:color w:val="auto"/>
          <w:lang w:eastAsia="zh-CN"/>
        </w:rPr>
        <w:t>食堂</w:t>
      </w:r>
      <w:r>
        <w:rPr>
          <w:rFonts w:hint="default" w:ascii="Times New Roman" w:hAnsi="Times New Roman" w:eastAsia="宋体" w:cs="Times New Roman"/>
          <w:color w:val="auto"/>
          <w:lang w:eastAsia="zh-CN"/>
        </w:rPr>
        <w:t>，</w:t>
      </w:r>
      <w:r>
        <w:rPr>
          <w:rFonts w:hint="eastAsia" w:ascii="Times New Roman" w:hAnsi="Times New Roman" w:cs="Times New Roman"/>
          <w:color w:val="auto"/>
          <w:lang w:eastAsia="zh-CN"/>
        </w:rPr>
        <w:t>南</w:t>
      </w:r>
      <w:r>
        <w:rPr>
          <w:rFonts w:hint="default" w:ascii="Times New Roman" w:hAnsi="Times New Roman" w:eastAsia="宋体" w:cs="Times New Roman"/>
          <w:color w:val="auto"/>
          <w:lang w:eastAsia="zh-CN"/>
        </w:rPr>
        <w:t>侧为</w:t>
      </w:r>
      <w:r>
        <w:rPr>
          <w:rFonts w:hint="eastAsia" w:ascii="Times New Roman" w:hAnsi="Times New Roman" w:cs="Times New Roman"/>
          <w:color w:val="auto"/>
          <w:lang w:eastAsia="zh-CN"/>
        </w:rPr>
        <w:t>水洗车间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w:t>
      </w:r>
      <w:r>
        <w:rPr>
          <w:rFonts w:hint="eastAsia" w:ascii="Times New Roman" w:hAnsi="Times New Roman" w:cs="Times New Roman"/>
          <w:color w:val="auto"/>
          <w:lang w:eastAsia="zh-CN"/>
        </w:rPr>
        <w:t>水洗车间和食堂中部为生产厂房</w:t>
      </w:r>
      <w:r>
        <w:rPr>
          <w:rFonts w:hint="default" w:ascii="Times New Roman" w:hAnsi="Times New Roman" w:eastAsia="宋体" w:cs="Times New Roman"/>
          <w:color w:val="auto"/>
          <w:lang w:eastAsia="zh-CN"/>
        </w:rPr>
        <w:t>，裁剪区位于项目生产厂房东部。缝制区位于项目生产厂房南部，为一层建筑，钢架结构，设置有缝制生产线12条</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整烫包装车间位于项目厂区东部，为一层建筑，钢架结构，成品仓位于项目整烫包装车间西部，为一层建筑，钢架结构，原料仓库位于项目裁剪区东部，为一层建筑，钢架结构，</w:t>
      </w:r>
    </w:p>
    <w:p w14:paraId="2C39B61D">
      <w:pPr>
        <w:adjustRightInd w:val="0"/>
        <w:snapToGrid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机修车间位于项目原料仓库南部，为一层建筑，钢架结构，水洗车间位于项目区南部，生产厂房南部，办公楼位于项目厂区北侧，食堂位于项目厂区北侧，卫生间设置于生产厂房内，位于就修车间东部，化粪池设置于项目区卫生间南侧，隔油池设置于食堂西侧</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一体化设备拟设置于项目区西南侧，三级沉淀池设置于水洗车间北侧</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危险废物暂存间拟设置于项目机修车间南侧，一般固废间</w:t>
      </w:r>
      <w:r>
        <w:rPr>
          <w:rFonts w:hint="eastAsia" w:ascii="Times New Roman" w:hAnsi="Times New Roman" w:cs="Times New Roman"/>
          <w:color w:val="auto"/>
          <w:lang w:eastAsia="zh-CN"/>
        </w:rPr>
        <w:t>设置于</w:t>
      </w:r>
      <w:r>
        <w:rPr>
          <w:rFonts w:hint="default" w:ascii="Times New Roman" w:hAnsi="Times New Roman" w:eastAsia="宋体" w:cs="Times New Roman"/>
          <w:color w:val="auto"/>
          <w:lang w:eastAsia="zh-CN"/>
        </w:rPr>
        <w:t>项目成品仓库西侧</w:t>
      </w:r>
      <w:r>
        <w:rPr>
          <w:rFonts w:hint="eastAsia" w:ascii="Times New Roman" w:hAnsi="Times New Roman" w:cs="Times New Roman"/>
          <w:color w:val="auto"/>
          <w:lang w:eastAsia="zh-CN"/>
        </w:rPr>
        <w:t>。</w:t>
      </w:r>
    </w:p>
    <w:p w14:paraId="3DBB5873">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项目场地内还布置有</w:t>
      </w:r>
      <w:r>
        <w:rPr>
          <w:rFonts w:hint="default" w:ascii="Times New Roman" w:hAnsi="Times New Roman" w:eastAsia="宋体" w:cs="Times New Roman"/>
          <w:color w:val="auto"/>
          <w:lang w:eastAsia="zh-CN"/>
        </w:rPr>
        <w:t>消防通道</w:t>
      </w:r>
      <w:r>
        <w:rPr>
          <w:rFonts w:hint="default" w:ascii="Times New Roman" w:hAnsi="Times New Roman" w:eastAsia="宋体" w:cs="Times New Roman"/>
          <w:color w:val="auto"/>
        </w:rPr>
        <w:t>、绿化带。项目平面布置图详见附图</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w:t>
      </w:r>
    </w:p>
    <w:p w14:paraId="3AC7A38C">
      <w:pPr>
        <w:pStyle w:val="10"/>
        <w:numPr>
          <w:ilvl w:val="0"/>
          <w:numId w:val="0"/>
        </w:numPr>
        <w:adjustRightInd w:val="0"/>
        <w:snapToGrid w:val="0"/>
        <w:spacing w:before="0" w:after="60" w:line="360" w:lineRule="auto"/>
        <w:rPr>
          <w:rFonts w:hint="default" w:ascii="Times New Roman" w:hAnsi="Times New Roman" w:eastAsia="宋体" w:cs="Times New Roman"/>
          <w:color w:val="auto"/>
        </w:rPr>
      </w:pPr>
      <w:bookmarkStart w:id="227" w:name="_Toc10977"/>
      <w:bookmarkStart w:id="228" w:name="_Toc12790"/>
      <w:r>
        <w:rPr>
          <w:rFonts w:hint="eastAsia" w:ascii="Times New Roman" w:hAnsi="Times New Roman" w:eastAsia="宋体" w:cs="Times New Roman"/>
          <w:color w:val="auto"/>
          <w:lang w:val="en-US" w:eastAsia="zh-CN"/>
        </w:rPr>
        <w:t>2.17扩建</w:t>
      </w:r>
      <w:r>
        <w:rPr>
          <w:rFonts w:hint="default" w:ascii="Times New Roman" w:hAnsi="Times New Roman" w:eastAsia="宋体" w:cs="Times New Roman"/>
          <w:color w:val="auto"/>
        </w:rPr>
        <w:t>项目工作制度、劳动定员</w:t>
      </w:r>
      <w:bookmarkEnd w:id="227"/>
      <w:bookmarkEnd w:id="228"/>
    </w:p>
    <w:p w14:paraId="0C50E88F">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（1）工作制度：</w:t>
      </w:r>
      <w:r>
        <w:rPr>
          <w:rFonts w:hint="eastAsia" w:ascii="Times New Roman" w:hAnsi="Times New Roman" w:cs="Times New Roman"/>
          <w:color w:val="auto"/>
          <w:lang w:eastAsia="zh-CN"/>
        </w:rPr>
        <w:t>扩建项目，工作制度与现有工程一致，</w:t>
      </w:r>
      <w:r>
        <w:rPr>
          <w:rFonts w:hint="default" w:ascii="Times New Roman" w:hAnsi="Times New Roman" w:eastAsia="宋体" w:cs="Times New Roman"/>
          <w:color w:val="auto"/>
        </w:rPr>
        <w:t>年工作日300天，每天</w:t>
      </w:r>
      <w:r>
        <w:rPr>
          <w:rFonts w:hint="default" w:ascii="Times New Roman" w:hAnsi="Times New Roman" w:eastAsia="宋体" w:cs="Times New Roman"/>
          <w:color w:val="auto"/>
          <w:lang w:eastAsia="zh-CN"/>
        </w:rPr>
        <w:t>一</w:t>
      </w:r>
      <w:r>
        <w:rPr>
          <w:rFonts w:hint="default" w:ascii="Times New Roman" w:hAnsi="Times New Roman" w:eastAsia="宋体" w:cs="Times New Roman"/>
          <w:color w:val="auto"/>
        </w:rPr>
        <w:t>班，每班工作8小时。</w:t>
      </w:r>
    </w:p>
    <w:p w14:paraId="2D9AADC5">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（2）定员：</w:t>
      </w:r>
      <w:r>
        <w:rPr>
          <w:rFonts w:hint="eastAsia" w:ascii="Times New Roman" w:hAnsi="Times New Roman" w:cs="Times New Roman"/>
          <w:color w:val="auto"/>
          <w:lang w:eastAsia="zh-CN"/>
        </w:rPr>
        <w:t>扩建</w:t>
      </w:r>
      <w:r>
        <w:rPr>
          <w:rFonts w:hint="default" w:ascii="Times New Roman" w:hAnsi="Times New Roman" w:eastAsia="宋体" w:cs="Times New Roman"/>
          <w:color w:val="auto"/>
        </w:rPr>
        <w:t>项目</w:t>
      </w:r>
      <w:r>
        <w:rPr>
          <w:rFonts w:hint="eastAsia" w:ascii="Times New Roman" w:hAnsi="Times New Roman" w:cs="Times New Roman"/>
          <w:color w:val="auto"/>
          <w:lang w:eastAsia="zh-CN"/>
        </w:rPr>
        <w:t>不新增员工，与现有项目定员一致，</w:t>
      </w:r>
      <w:r>
        <w:rPr>
          <w:rFonts w:hint="default" w:ascii="Times New Roman" w:hAnsi="Times New Roman" w:eastAsia="宋体" w:cs="Times New Roman"/>
          <w:color w:val="auto"/>
        </w:rPr>
        <w:t>共有员工</w:t>
      </w:r>
      <w:r>
        <w:rPr>
          <w:rFonts w:hint="default" w:ascii="Times New Roman" w:hAnsi="Times New Roman" w:eastAsia="宋体" w:cs="Times New Roman"/>
          <w:color w:val="auto"/>
          <w:lang w:val="en-US" w:eastAsia="zh-CN"/>
        </w:rPr>
        <w:t>580</w:t>
      </w:r>
      <w:r>
        <w:rPr>
          <w:rFonts w:hint="default" w:ascii="Times New Roman" w:hAnsi="Times New Roman" w:eastAsia="宋体" w:cs="Times New Roman"/>
          <w:color w:val="auto"/>
        </w:rPr>
        <w:t>人，</w:t>
      </w:r>
      <w:r>
        <w:rPr>
          <w:rFonts w:hint="default" w:ascii="Times New Roman" w:hAnsi="Times New Roman" w:eastAsia="宋体" w:cs="Times New Roman"/>
          <w:color w:val="auto"/>
          <w:lang w:eastAsia="zh-CN"/>
        </w:rPr>
        <w:t>员工均不在项目内住宿，在项目食堂内用餐</w:t>
      </w:r>
      <w:r>
        <w:rPr>
          <w:rFonts w:hint="default" w:ascii="Times New Roman" w:hAnsi="Times New Roman" w:eastAsia="宋体" w:cs="Times New Roman"/>
          <w:color w:val="auto"/>
        </w:rPr>
        <w:t>。</w:t>
      </w:r>
      <w:bookmarkStart w:id="229" w:name="_Toc328725337"/>
    </w:p>
    <w:p w14:paraId="00D5906A">
      <w:pPr>
        <w:autoSpaceDE w:val="0"/>
        <w:autoSpaceDN w:val="0"/>
        <w:adjustRightInd w:val="0"/>
        <w:snapToGrid w:val="0"/>
        <w:spacing w:beforeLines="50"/>
        <w:jc w:val="center"/>
        <w:outlineLvl w:val="0"/>
        <w:rPr>
          <w:rFonts w:hint="default" w:ascii="Times New Roman" w:hAnsi="Times New Roman" w:eastAsia="宋体" w:cs="Times New Roman"/>
          <w:b/>
          <w:color w:val="auto"/>
          <w:sz w:val="36"/>
          <w:szCs w:val="36"/>
        </w:rPr>
      </w:pPr>
      <w:r>
        <w:rPr>
          <w:rFonts w:hint="default" w:ascii="Times New Roman" w:hAnsi="Times New Roman" w:eastAsia="宋体" w:cs="Times New Roman"/>
          <w:b/>
          <w:color w:val="auto"/>
          <w:sz w:val="36"/>
          <w:szCs w:val="36"/>
        </w:rPr>
        <w:br w:type="page"/>
      </w:r>
      <w:bookmarkStart w:id="230" w:name="_Toc17988"/>
      <w:bookmarkStart w:id="231" w:name="_Toc13144"/>
      <w:r>
        <w:rPr>
          <w:rFonts w:hint="default" w:ascii="Times New Roman" w:hAnsi="Times New Roman" w:eastAsia="宋体" w:cs="Times New Roman"/>
          <w:b/>
          <w:color w:val="auto"/>
          <w:sz w:val="36"/>
          <w:szCs w:val="36"/>
        </w:rPr>
        <w:t>3.工程分析</w:t>
      </w:r>
      <w:bookmarkEnd w:id="229"/>
      <w:bookmarkEnd w:id="230"/>
      <w:bookmarkEnd w:id="231"/>
    </w:p>
    <w:p w14:paraId="10FFE7B5">
      <w:pPr>
        <w:adjustRightInd w:val="0"/>
        <w:snapToGrid w:val="0"/>
        <w:outlineLvl w:val="1"/>
        <w:rPr>
          <w:rFonts w:hint="default" w:ascii="Times New Roman" w:hAnsi="Times New Roman" w:eastAsia="宋体" w:cs="Times New Roman"/>
          <w:b/>
          <w:color w:val="auto"/>
          <w:sz w:val="32"/>
          <w:szCs w:val="32"/>
        </w:rPr>
      </w:pPr>
      <w:bookmarkStart w:id="232" w:name="_Toc283889106"/>
      <w:bookmarkStart w:id="233" w:name="_Toc273307070"/>
      <w:bookmarkStart w:id="234" w:name="_Toc281999350"/>
      <w:bookmarkStart w:id="235" w:name="_Toc5624"/>
      <w:bookmarkStart w:id="236" w:name="_Toc25343"/>
      <w:bookmarkStart w:id="237" w:name="_Toc328725338"/>
      <w:r>
        <w:rPr>
          <w:rFonts w:hint="default" w:ascii="Times New Roman" w:hAnsi="Times New Roman" w:eastAsia="宋体" w:cs="Times New Roman"/>
          <w:b/>
          <w:color w:val="auto"/>
          <w:sz w:val="32"/>
          <w:szCs w:val="32"/>
        </w:rPr>
        <w:t>3.1</w:t>
      </w:r>
      <w:bookmarkEnd w:id="232"/>
      <w:bookmarkEnd w:id="233"/>
      <w:bookmarkEnd w:id="234"/>
      <w:r>
        <w:rPr>
          <w:rFonts w:hint="default" w:ascii="Times New Roman" w:hAnsi="Times New Roman" w:eastAsia="宋体" w:cs="Times New Roman"/>
          <w:b/>
          <w:color w:val="auto"/>
          <w:sz w:val="32"/>
          <w:szCs w:val="32"/>
        </w:rPr>
        <w:t>产业符合性分析</w:t>
      </w:r>
      <w:bookmarkEnd w:id="235"/>
      <w:bookmarkEnd w:id="236"/>
      <w:bookmarkEnd w:id="237"/>
    </w:p>
    <w:p w14:paraId="07EF96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bCs/>
          <w:color w:val="auto"/>
          <w:lang w:eastAsia="zh-CN"/>
        </w:rPr>
      </w:pPr>
      <w:bookmarkStart w:id="238" w:name="_Toc328725339"/>
      <w:r>
        <w:rPr>
          <w:rFonts w:hint="default" w:ascii="Times New Roman" w:hAnsi="Times New Roman" w:eastAsia="宋体" w:cs="Times New Roman"/>
          <w:bCs/>
          <w:color w:val="auto"/>
        </w:rPr>
        <w:t>本项目属于</w:t>
      </w:r>
      <w:r>
        <w:rPr>
          <w:rFonts w:hint="default" w:ascii="Times New Roman" w:hAnsi="Times New Roman" w:eastAsia="宋体" w:cs="Times New Roman"/>
          <w:bCs/>
          <w:color w:val="auto"/>
          <w:lang w:eastAsia="zh-CN"/>
        </w:rPr>
        <w:t>服装制造建设项目，主要进行服装生产及水洗</w:t>
      </w:r>
      <w:r>
        <w:rPr>
          <w:rFonts w:hint="default" w:ascii="Times New Roman" w:hAnsi="Times New Roman" w:eastAsia="宋体" w:cs="Times New Roman"/>
          <w:bCs/>
          <w:color w:val="auto"/>
        </w:rPr>
        <w:t>。</w:t>
      </w:r>
      <w:r>
        <w:rPr>
          <w:rFonts w:hint="default" w:ascii="Times New Roman" w:hAnsi="Times New Roman" w:eastAsia="宋体" w:cs="Times New Roman"/>
          <w:bCs/>
          <w:color w:val="auto"/>
          <w:lang w:eastAsia="zh-CN"/>
        </w:rPr>
        <w:t>经查阅国务院批准</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lang w:eastAsia="zh-CN"/>
        </w:rPr>
        <w:t>颁布的中华人民共和国</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lang w:eastAsia="zh-CN"/>
        </w:rPr>
        <w:t>[2011]第9号令《产业结构调整指导目录(2011年本）》以及</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lang w:eastAsia="zh-CN"/>
        </w:rPr>
        <w:t>[2013]第21号令“关于修改《产业结构调整指导目录(2011年本）》有关条款的决定”和《云南省产业结构调整指导目录》（2006年本），本项目不属于国家产业政策鼓励类、限制类及淘汰类项目；同时根据国务院《促进产业结构调整暂行规定》(国发[2005]40号)，第十三条“不属于鼓励类、限制类及淘汰类，且符合国家有关法律、法规和政策规定的，为允许类”。因此，项目符合国家产业政策。</w:t>
      </w:r>
    </w:p>
    <w:p w14:paraId="61DB1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lang w:eastAsia="zh-CN"/>
        </w:rPr>
        <w:t>根据《淘汰落后生产能力、工艺、产品的目录（第一批、第二批、第三批）》，项目所使用的设备均不属于落后生产工艺装备；同时对照《云南省工业产业结构调整指导目录》（2006年本），项目不在限制类及淘汰类之列。</w:t>
      </w:r>
    </w:p>
    <w:p w14:paraId="09C66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lang w:eastAsia="zh-CN"/>
        </w:rPr>
        <w:t>该项目建设有利于促进当地的经济发展，增加当地的财政收入，提高劳动就业率。</w:t>
      </w:r>
      <w:r>
        <w:rPr>
          <w:rFonts w:hint="default" w:ascii="Times New Roman" w:hAnsi="Times New Roman" w:eastAsia="宋体" w:cs="Times New Roman"/>
          <w:color w:val="auto"/>
          <w:lang w:eastAsia="zh-CN"/>
        </w:rPr>
        <w:t>且项目已取得投资项目备案证（项目代码：</w:t>
      </w:r>
      <w:r>
        <w:rPr>
          <w:rFonts w:hint="default" w:ascii="Times New Roman" w:hAnsi="Times New Roman" w:eastAsia="宋体" w:cs="Times New Roman"/>
          <w:color w:val="auto"/>
          <w:lang w:val="en-US" w:eastAsia="zh-CN"/>
        </w:rPr>
        <w:t>2019-533103-18-03-005323</w:t>
      </w:r>
      <w:r>
        <w:rPr>
          <w:rFonts w:hint="default" w:ascii="Times New Roman" w:hAnsi="Times New Roman" w:eastAsia="宋体" w:cs="Times New Roman"/>
          <w:color w:val="auto"/>
          <w:lang w:eastAsia="zh-CN"/>
        </w:rPr>
        <w:t>）</w:t>
      </w:r>
      <w:r>
        <w:rPr>
          <w:rFonts w:hint="default" w:ascii="Times New Roman" w:hAnsi="Times New Roman" w:eastAsia="宋体" w:cs="Times New Roman"/>
          <w:bCs/>
          <w:color w:val="auto"/>
        </w:rPr>
        <w:t>。</w:t>
      </w:r>
    </w:p>
    <w:p w14:paraId="27FB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rPr>
        <w:t>综上所述，项目的建设符合国家有关产业政策要求</w:t>
      </w:r>
      <w:r>
        <w:rPr>
          <w:rFonts w:hint="default" w:ascii="Times New Roman" w:hAnsi="Times New Roman" w:eastAsia="宋体" w:cs="Times New Roman"/>
          <w:color w:val="auto"/>
        </w:rPr>
        <w:t>。</w:t>
      </w:r>
    </w:p>
    <w:p w14:paraId="58C0C1ED">
      <w:pPr>
        <w:adjustRightInd w:val="0"/>
        <w:snapToGrid w:val="0"/>
        <w:spacing w:beforeLines="50"/>
        <w:outlineLvl w:val="1"/>
        <w:rPr>
          <w:rFonts w:hint="default" w:ascii="Times New Roman" w:hAnsi="Times New Roman" w:eastAsia="宋体" w:cs="Times New Roman"/>
          <w:b/>
          <w:color w:val="auto"/>
          <w:sz w:val="32"/>
          <w:szCs w:val="32"/>
        </w:rPr>
      </w:pPr>
      <w:bookmarkStart w:id="239" w:name="_Toc15186"/>
      <w:bookmarkStart w:id="240" w:name="_Toc12916"/>
      <w:r>
        <w:rPr>
          <w:rFonts w:hint="default" w:ascii="Times New Roman" w:hAnsi="Times New Roman" w:eastAsia="宋体" w:cs="Times New Roman"/>
          <w:b/>
          <w:color w:val="auto"/>
          <w:sz w:val="32"/>
          <w:szCs w:val="32"/>
        </w:rPr>
        <w:t>3.2项目施工期产污环节及污染物产排分析</w:t>
      </w:r>
      <w:bookmarkEnd w:id="238"/>
      <w:bookmarkEnd w:id="239"/>
      <w:bookmarkEnd w:id="240"/>
    </w:p>
    <w:p w14:paraId="7C1B8FC2">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241" w:name="_Toc30005"/>
      <w:bookmarkStart w:id="242" w:name="_Toc328725340"/>
      <w:r>
        <w:rPr>
          <w:rFonts w:hint="default" w:ascii="Times New Roman" w:hAnsi="Times New Roman" w:eastAsia="宋体" w:cs="Times New Roman"/>
          <w:color w:val="auto"/>
          <w:sz w:val="28"/>
          <w:szCs w:val="28"/>
        </w:rPr>
        <w:t>3.2.1施工期产污环节分析</w:t>
      </w:r>
      <w:bookmarkEnd w:id="241"/>
      <w:bookmarkEnd w:id="242"/>
    </w:p>
    <w:p w14:paraId="1188EEF3">
      <w:pPr>
        <w:autoSpaceDE w:val="0"/>
        <w:autoSpaceDN w:val="0"/>
        <w:adjustRightInd w:val="0"/>
        <w:snapToGrid w:val="0"/>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rPr>
        <w:t>本项目施工期大体分四步进行：</w:t>
      </w:r>
      <w:r>
        <w:rPr>
          <w:rFonts w:hint="default" w:ascii="Times New Roman" w:hAnsi="Times New Roman" w:eastAsia="宋体" w:cs="Times New Roman"/>
          <w:color w:val="auto"/>
          <w:lang w:eastAsia="zh-CN"/>
        </w:rPr>
        <w:t>厂房装修</w:t>
      </w:r>
      <w:r>
        <w:rPr>
          <w:rFonts w:hint="default" w:ascii="Times New Roman" w:hAnsi="Times New Roman" w:eastAsia="宋体" w:cs="Times New Roman"/>
          <w:color w:val="auto"/>
        </w:rPr>
        <w:t>、设备安装调试</w:t>
      </w:r>
      <w:r>
        <w:rPr>
          <w:rFonts w:hint="default" w:ascii="Times New Roman" w:hAnsi="Times New Roman" w:eastAsia="宋体" w:cs="Times New Roman"/>
          <w:color w:val="auto"/>
          <w:lang w:eastAsia="zh-CN"/>
        </w:rPr>
        <w:t>、环保设施安装</w:t>
      </w:r>
      <w:r>
        <w:rPr>
          <w:rFonts w:hint="default" w:ascii="Times New Roman" w:hAnsi="Times New Roman" w:eastAsia="宋体" w:cs="Times New Roman"/>
          <w:color w:val="auto"/>
        </w:rPr>
        <w:t>等。建筑施工方法：预制构件安装、装饰等。施工机械主要有</w:t>
      </w:r>
      <w:r>
        <w:rPr>
          <w:rFonts w:hint="default" w:ascii="Times New Roman" w:hAnsi="Times New Roman" w:eastAsia="宋体" w:cs="Times New Roman"/>
          <w:color w:val="auto"/>
          <w:kern w:val="0"/>
        </w:rPr>
        <w:t>挖土机、推土机、载重汽车、电</w:t>
      </w:r>
      <w:r>
        <w:rPr>
          <w:rFonts w:hint="default" w:ascii="Times New Roman" w:hAnsi="Times New Roman" w:eastAsia="宋体" w:cs="Times New Roman"/>
          <w:color w:val="auto"/>
          <w:kern w:val="0"/>
          <w:lang w:eastAsia="zh-CN"/>
        </w:rPr>
        <w:t>钻</w:t>
      </w:r>
      <w:r>
        <w:rPr>
          <w:rFonts w:hint="default" w:ascii="Times New Roman" w:hAnsi="Times New Roman" w:eastAsia="宋体" w:cs="Times New Roman"/>
          <w:color w:val="auto"/>
          <w:kern w:val="0"/>
        </w:rPr>
        <w:t>等。</w:t>
      </w:r>
    </w:p>
    <w:p w14:paraId="5A4E9E4E">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施工期间的环境污染因素主要为扬尘、施工废水、固废、噪声等。项目施工流程及产污节点如图3.2-1所示。</w:t>
      </w:r>
    </w:p>
    <w:p w14:paraId="42702E84">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rPr>
        <w:object>
          <v:shape id="_x0000_i1028" o:spt="75" type="#_x0000_t75" style="height:110.8pt;width:311.3pt;" o:ole="t" filled="f" o:preferrelative="t" stroked="t" coordsize="21600,21600">
            <v:path/>
            <v:fill on="f" focussize="0,0"/>
            <v:stroke weight="0.5pt" color="#000000" joinstyle="miter"/>
            <v:imagedata r:id="rId23" o:title=""/>
            <o:lock v:ext="edit" aspectratio="t"/>
            <w10:wrap type="none"/>
            <w10:anchorlock/>
          </v:shape>
          <o:OLEObject Type="Embed" ProgID="Visio.Drawing.11" ShapeID="_x0000_i1028" DrawAspect="Content" ObjectID="_1468075728" r:id="rId22">
            <o:LockedField>false</o:LockedField>
          </o:OLEObject>
        </w:object>
      </w:r>
    </w:p>
    <w:p w14:paraId="0F4955B3">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图3.2-1 施工流程及施工期产污节点示意图</w:t>
      </w:r>
    </w:p>
    <w:p w14:paraId="27FA04CC">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243" w:name="_Toc21734"/>
      <w:bookmarkStart w:id="244" w:name="_Toc377779289"/>
      <w:r>
        <w:rPr>
          <w:rFonts w:hint="default" w:ascii="Times New Roman" w:hAnsi="Times New Roman" w:eastAsia="宋体" w:cs="Times New Roman"/>
          <w:color w:val="auto"/>
          <w:sz w:val="28"/>
          <w:szCs w:val="28"/>
        </w:rPr>
        <w:t>3.2.2项目施工方案</w:t>
      </w:r>
      <w:bookmarkEnd w:id="243"/>
      <w:bookmarkEnd w:id="244"/>
    </w:p>
    <w:p w14:paraId="5CC625BF">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（1）施工进度</w:t>
      </w:r>
    </w:p>
    <w:p w14:paraId="73E9B298">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项目拟于2019年</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月开始施工建设，截止到202</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月，建设工期</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个月，预计202</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月投产，</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目前未开工建设。</w:t>
      </w:r>
    </w:p>
    <w:p w14:paraId="496F0019">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（2）施工工艺</w:t>
      </w:r>
    </w:p>
    <w:p w14:paraId="5726911D">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bCs/>
          <w:color w:val="auto"/>
        </w:rPr>
        <w:t>施工工艺过程分为</w:t>
      </w:r>
      <w:r>
        <w:rPr>
          <w:rFonts w:hint="default" w:ascii="Times New Roman" w:hAnsi="Times New Roman" w:eastAsia="宋体" w:cs="Times New Roman"/>
          <w:color w:val="auto"/>
          <w:lang w:eastAsia="zh-CN"/>
        </w:rPr>
        <w:t>厂房装修</w:t>
      </w:r>
      <w:r>
        <w:rPr>
          <w:rFonts w:hint="default" w:ascii="Times New Roman" w:hAnsi="Times New Roman" w:eastAsia="宋体" w:cs="Times New Roman"/>
          <w:color w:val="auto"/>
        </w:rPr>
        <w:t>、设备安装调试</w:t>
      </w:r>
      <w:r>
        <w:rPr>
          <w:rFonts w:hint="default" w:ascii="Times New Roman" w:hAnsi="Times New Roman" w:eastAsia="宋体" w:cs="Times New Roman"/>
          <w:color w:val="auto"/>
          <w:lang w:eastAsia="zh-CN"/>
        </w:rPr>
        <w:t>、环保设施安装</w:t>
      </w:r>
      <w:r>
        <w:rPr>
          <w:rFonts w:hint="default" w:ascii="Times New Roman" w:hAnsi="Times New Roman" w:eastAsia="宋体" w:cs="Times New Roman"/>
          <w:bCs/>
          <w:color w:val="auto"/>
        </w:rPr>
        <w:t>。</w:t>
      </w:r>
    </w:p>
    <w:p w14:paraId="684D794E">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（3）施工人员</w:t>
      </w:r>
    </w:p>
    <w:p w14:paraId="623B9DFC">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施工人员约为</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人，本项目不设置施工营地，施工人员主要为项目附近的居民，不在项目内食宿。</w:t>
      </w:r>
    </w:p>
    <w:p w14:paraId="17A3F3CC">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（4）施工交通路线</w:t>
      </w:r>
    </w:p>
    <w:p w14:paraId="31E4A13C">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项目地处国道</w:t>
      </w:r>
      <w:r>
        <w:rPr>
          <w:rFonts w:hint="eastAsia" w:ascii="Times New Roman" w:hAnsi="Times New Roman" w:cs="Times New Roman"/>
          <w:color w:val="auto"/>
          <w:lang w:val="en-US" w:eastAsia="zh-CN"/>
        </w:rPr>
        <w:t>320</w:t>
      </w:r>
      <w:r>
        <w:rPr>
          <w:rFonts w:hint="default" w:ascii="Times New Roman" w:hAnsi="Times New Roman" w:eastAsia="宋体" w:cs="Times New Roman"/>
          <w:color w:val="auto"/>
        </w:rPr>
        <w:t>线旁，西侧</w:t>
      </w:r>
      <w:r>
        <w:rPr>
          <w:rFonts w:hint="default" w:ascii="Times New Roman" w:hAnsi="Times New Roman" w:eastAsia="宋体" w:cs="Times New Roman"/>
          <w:color w:val="auto"/>
          <w:lang w:eastAsia="zh-CN"/>
        </w:rPr>
        <w:t>和北侧</w:t>
      </w:r>
      <w:r>
        <w:rPr>
          <w:rFonts w:hint="default" w:ascii="Times New Roman" w:hAnsi="Times New Roman" w:eastAsia="宋体" w:cs="Times New Roman"/>
          <w:color w:val="auto"/>
        </w:rPr>
        <w:t>为园区规划道路，施工期建筑垃圾及建筑材料的运</w:t>
      </w:r>
      <w:r>
        <w:rPr>
          <w:rFonts w:hint="default" w:ascii="Times New Roman" w:hAnsi="Times New Roman" w:eastAsia="宋体" w:cs="Times New Roman"/>
          <w:color w:val="auto"/>
          <w:lang w:eastAsia="zh-CN"/>
        </w:rPr>
        <w:t>输</w:t>
      </w:r>
      <w:r>
        <w:rPr>
          <w:rFonts w:hint="default" w:ascii="Times New Roman" w:hAnsi="Times New Roman" w:eastAsia="宋体" w:cs="Times New Roman"/>
          <w:color w:val="auto"/>
        </w:rPr>
        <w:t>车辆主要通过国道</w:t>
      </w:r>
      <w:r>
        <w:rPr>
          <w:rFonts w:hint="eastAsia" w:ascii="Times New Roman" w:hAnsi="Times New Roman" w:cs="Times New Roman"/>
          <w:color w:val="auto"/>
          <w:lang w:val="en-US" w:eastAsia="zh-CN"/>
        </w:rPr>
        <w:t>320</w:t>
      </w:r>
      <w:r>
        <w:rPr>
          <w:rFonts w:hint="default" w:ascii="Times New Roman" w:hAnsi="Times New Roman" w:eastAsia="宋体" w:cs="Times New Roman"/>
          <w:color w:val="auto"/>
        </w:rPr>
        <w:t>线</w:t>
      </w:r>
      <w:r>
        <w:rPr>
          <w:rFonts w:hint="default" w:ascii="Times New Roman" w:hAnsi="Times New Roman" w:eastAsia="宋体" w:cs="Times New Roman"/>
          <w:color w:val="auto"/>
          <w:lang w:eastAsia="zh-CN"/>
        </w:rPr>
        <w:t>和</w:t>
      </w:r>
      <w:r>
        <w:rPr>
          <w:rFonts w:hint="default" w:ascii="Times New Roman" w:hAnsi="Times New Roman" w:eastAsia="宋体" w:cs="Times New Roman"/>
          <w:color w:val="auto"/>
        </w:rPr>
        <w:t>园区道路进出施工现场。</w:t>
      </w:r>
    </w:p>
    <w:p w14:paraId="7443CD20">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（5）施工场地</w:t>
      </w:r>
    </w:p>
    <w:p w14:paraId="38D3ECED">
      <w:pPr>
        <w:autoSpaceDE w:val="0"/>
        <w:autoSpaceDN w:val="0"/>
        <w:adjustRightInd w:val="0"/>
        <w:snapToGrid w:val="0"/>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施工期间料场位于工程占地范围内，设置在项目的</w:t>
      </w:r>
      <w:r>
        <w:rPr>
          <w:rFonts w:hint="default" w:ascii="Times New Roman" w:hAnsi="Times New Roman" w:eastAsia="宋体" w:cs="Times New Roman"/>
          <w:color w:val="auto"/>
          <w:kern w:val="0"/>
          <w:lang w:eastAsia="zh-CN"/>
        </w:rPr>
        <w:t>空地</w:t>
      </w:r>
      <w:r>
        <w:rPr>
          <w:rFonts w:hint="default" w:ascii="Times New Roman" w:hAnsi="Times New Roman" w:eastAsia="宋体" w:cs="Times New Roman"/>
          <w:color w:val="auto"/>
          <w:kern w:val="0"/>
        </w:rPr>
        <w:t>区域，项目施工期间不再增设临时施工用地。</w:t>
      </w:r>
    </w:p>
    <w:p w14:paraId="031AA920">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（6）主要材料及来源</w:t>
      </w:r>
    </w:p>
    <w:p w14:paraId="2FEDA52F">
      <w:pPr>
        <w:pStyle w:val="34"/>
        <w:adjustRightInd w:val="0"/>
        <w:snapToGrid w:val="0"/>
        <w:spacing w:after="0"/>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项目建设所需的建筑材料根据就近原则全部外购，工程建设所需的砂、石料购于当地具有合法开采权的砂、石料场，工程建设不设置砂、石料场。</w:t>
      </w:r>
    </w:p>
    <w:p w14:paraId="61A6A021">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（7）施工用电、用水</w:t>
      </w:r>
    </w:p>
    <w:p w14:paraId="27C21F99">
      <w:pPr>
        <w:pStyle w:val="34"/>
        <w:adjustRightInd w:val="0"/>
        <w:snapToGrid w:val="0"/>
        <w:spacing w:after="0"/>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本项目的施工用水由园区市政供水管网提供，用电</w:t>
      </w:r>
      <w:r>
        <w:rPr>
          <w:rFonts w:hint="default" w:ascii="Times New Roman" w:hAnsi="Times New Roman" w:eastAsia="宋体" w:cs="Times New Roman"/>
          <w:color w:val="auto"/>
          <w:lang w:eastAsia="zh-CN"/>
        </w:rPr>
        <w:t>由园区</w:t>
      </w:r>
      <w:r>
        <w:rPr>
          <w:rFonts w:hint="default" w:ascii="Times New Roman" w:hAnsi="Times New Roman" w:eastAsia="宋体" w:cs="Times New Roman"/>
          <w:color w:val="auto"/>
        </w:rPr>
        <w:t>市政电网引入。</w:t>
      </w:r>
    </w:p>
    <w:p w14:paraId="60A70673">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（8）施工机械</w:t>
      </w:r>
    </w:p>
    <w:p w14:paraId="2592DC7D">
      <w:pPr>
        <w:pStyle w:val="34"/>
        <w:adjustRightInd w:val="0"/>
        <w:snapToGrid w:val="0"/>
        <w:spacing w:after="0"/>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项目建设期间施工机械有挖掘机、推土机、装载机、大型载重车、振捣机、切割机、混凝土运送车、电锯、沙浆机、升降机、切割机、轻型载重卡车等。</w:t>
      </w:r>
    </w:p>
    <w:p w14:paraId="28D23A73">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245" w:name="_Toc19447"/>
      <w:bookmarkStart w:id="246" w:name="_Toc377779290"/>
      <w:r>
        <w:rPr>
          <w:rFonts w:hint="default" w:ascii="Times New Roman" w:hAnsi="Times New Roman" w:eastAsia="宋体" w:cs="Times New Roman"/>
          <w:color w:val="auto"/>
          <w:sz w:val="28"/>
          <w:szCs w:val="28"/>
        </w:rPr>
        <w:t>3.2.3项目施工期污染物产生及排放情况</w:t>
      </w:r>
      <w:bookmarkEnd w:id="245"/>
      <w:bookmarkEnd w:id="246"/>
    </w:p>
    <w:p w14:paraId="1BEA77C1">
      <w:pPr>
        <w:adjustRightInd w:val="0"/>
        <w:snapToGrid w:val="0"/>
        <w:outlineLvl w:val="3"/>
        <w:rPr>
          <w:rFonts w:hint="default" w:ascii="Times New Roman" w:hAnsi="Times New Roman" w:eastAsia="宋体" w:cs="Times New Roman"/>
          <w:b/>
          <w:color w:val="auto"/>
        </w:rPr>
      </w:pPr>
      <w:r>
        <w:rPr>
          <w:rFonts w:hint="default" w:ascii="Times New Roman" w:hAnsi="Times New Roman" w:eastAsia="宋体" w:cs="Times New Roman"/>
          <w:b/>
          <w:color w:val="auto"/>
        </w:rPr>
        <w:t>3.2.3.1施工期废气、扬尘</w:t>
      </w:r>
    </w:p>
    <w:p w14:paraId="63352334">
      <w:pPr>
        <w:adjustRightInd w:val="0"/>
        <w:snapToGrid w:val="0"/>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施工期大气污染主要来自</w:t>
      </w:r>
      <w:r>
        <w:rPr>
          <w:rFonts w:hint="default" w:ascii="Times New Roman" w:hAnsi="Times New Roman" w:eastAsia="宋体" w:cs="Times New Roman"/>
          <w:color w:val="auto"/>
          <w:lang w:eastAsia="zh-CN"/>
        </w:rPr>
        <w:t>厂房装修</w:t>
      </w:r>
      <w:r>
        <w:rPr>
          <w:rFonts w:hint="default" w:ascii="Times New Roman" w:hAnsi="Times New Roman" w:eastAsia="宋体" w:cs="Times New Roman"/>
          <w:color w:val="auto"/>
        </w:rPr>
        <w:t>、设备安装调试</w:t>
      </w:r>
      <w:r>
        <w:rPr>
          <w:rFonts w:hint="default" w:ascii="Times New Roman" w:hAnsi="Times New Roman" w:eastAsia="宋体" w:cs="Times New Roman"/>
          <w:color w:val="auto"/>
          <w:lang w:eastAsia="zh-CN"/>
        </w:rPr>
        <w:t>、环保设施安装</w:t>
      </w:r>
      <w:r>
        <w:rPr>
          <w:rFonts w:hint="default" w:ascii="Times New Roman" w:hAnsi="Times New Roman" w:eastAsia="宋体" w:cs="Times New Roman"/>
          <w:color w:val="auto"/>
          <w:kern w:val="0"/>
        </w:rPr>
        <w:t>、运输等活动产生扬尘，施工机械和运输</w:t>
      </w:r>
      <w:r>
        <w:rPr>
          <w:rFonts w:hint="default" w:ascii="Times New Roman" w:hAnsi="Times New Roman" w:eastAsia="宋体" w:cs="Times New Roman"/>
          <w:color w:val="auto"/>
          <w:kern w:val="0"/>
          <w:lang w:eastAsia="zh-CN"/>
        </w:rPr>
        <w:t>车辆</w:t>
      </w:r>
      <w:r>
        <w:rPr>
          <w:rFonts w:hint="default" w:ascii="Times New Roman" w:hAnsi="Times New Roman" w:eastAsia="宋体" w:cs="Times New Roman"/>
          <w:color w:val="auto"/>
          <w:kern w:val="0"/>
        </w:rPr>
        <w:t>产生的废气。</w:t>
      </w:r>
    </w:p>
    <w:p w14:paraId="49E7B74F">
      <w:pPr>
        <w:adjustRightInd w:val="0"/>
        <w:snapToGrid w:val="0"/>
        <w:ind w:firstLine="482" w:firstLineChars="200"/>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（1）废气</w:t>
      </w:r>
    </w:p>
    <w:p w14:paraId="30B906F3">
      <w:pPr>
        <w:adjustRightInd w:val="0"/>
        <w:snapToGrid w:val="0"/>
        <w:ind w:firstLine="480" w:firstLineChars="200"/>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本项目施工期废气主要来源于运输车辆及其它燃油机械施工时产生的尾气，其中的污染物主要有烟尘、NOx、CO及CHx等。施工期的废气为无组织间断排放，</w:t>
      </w:r>
      <w:r>
        <w:rPr>
          <w:rFonts w:hint="default" w:ascii="Times New Roman" w:hAnsi="Times New Roman" w:eastAsia="宋体" w:cs="Times New Roman"/>
          <w:color w:val="auto"/>
          <w:kern w:val="0"/>
          <w:szCs w:val="20"/>
          <w:lang w:eastAsia="zh-CN"/>
        </w:rPr>
        <w:t>经空气稀释扩散后</w:t>
      </w:r>
      <w:r>
        <w:rPr>
          <w:rFonts w:hint="default" w:ascii="Times New Roman" w:hAnsi="Times New Roman" w:eastAsia="宋体" w:cs="Times New Roman"/>
          <w:color w:val="auto"/>
          <w:kern w:val="0"/>
          <w:szCs w:val="20"/>
        </w:rPr>
        <w:t>对环境空气造成</w:t>
      </w:r>
      <w:r>
        <w:rPr>
          <w:rFonts w:hint="default" w:ascii="Times New Roman" w:hAnsi="Times New Roman" w:eastAsia="宋体" w:cs="Times New Roman"/>
          <w:color w:val="auto"/>
          <w:kern w:val="0"/>
          <w:szCs w:val="20"/>
          <w:lang w:eastAsia="zh-CN"/>
        </w:rPr>
        <w:t>的</w:t>
      </w:r>
      <w:r>
        <w:rPr>
          <w:rFonts w:hint="default" w:ascii="Times New Roman" w:hAnsi="Times New Roman" w:eastAsia="宋体" w:cs="Times New Roman"/>
          <w:color w:val="auto"/>
          <w:kern w:val="0"/>
          <w:szCs w:val="20"/>
        </w:rPr>
        <w:t>影响</w:t>
      </w:r>
      <w:r>
        <w:rPr>
          <w:rFonts w:hint="default" w:ascii="Times New Roman" w:hAnsi="Times New Roman" w:eastAsia="宋体" w:cs="Times New Roman"/>
          <w:color w:val="auto"/>
          <w:kern w:val="0"/>
          <w:szCs w:val="20"/>
          <w:lang w:eastAsia="zh-CN"/>
        </w:rPr>
        <w:t>较小</w:t>
      </w:r>
      <w:r>
        <w:rPr>
          <w:rFonts w:hint="default" w:ascii="Times New Roman" w:hAnsi="Times New Roman" w:eastAsia="宋体" w:cs="Times New Roman"/>
          <w:color w:val="auto"/>
          <w:kern w:val="0"/>
          <w:szCs w:val="20"/>
        </w:rPr>
        <w:t>。</w:t>
      </w:r>
    </w:p>
    <w:p w14:paraId="0AF6D6AF">
      <w:pPr>
        <w:adjustRightInd w:val="0"/>
        <w:snapToGrid w:val="0"/>
        <w:ind w:firstLine="482" w:firstLineChars="200"/>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（2）扬尘</w:t>
      </w:r>
    </w:p>
    <w:p w14:paraId="40B0879B">
      <w:pPr>
        <w:adjustRightInd w:val="0"/>
        <w:snapToGrid w:val="0"/>
        <w:ind w:firstLine="480" w:firstLineChars="200"/>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项目的扬尘主要是由</w:t>
      </w:r>
      <w:r>
        <w:rPr>
          <w:rFonts w:hint="default" w:ascii="Times New Roman" w:hAnsi="Times New Roman" w:eastAsia="宋体" w:cs="Times New Roman"/>
          <w:color w:val="auto"/>
          <w:kern w:val="0"/>
          <w:szCs w:val="20"/>
          <w:lang w:eastAsia="zh-CN"/>
        </w:rPr>
        <w:t>环保设备安装中的污水处理设施开挖</w:t>
      </w:r>
      <w:r>
        <w:rPr>
          <w:rFonts w:hint="default" w:ascii="Times New Roman" w:hAnsi="Times New Roman" w:eastAsia="宋体" w:cs="Times New Roman"/>
          <w:color w:val="auto"/>
          <w:kern w:val="0"/>
          <w:szCs w:val="20"/>
        </w:rPr>
        <w:t>等施工作业，以及施工形成的裸土面而产生，再就是施工车辆运送水泥、沙石、建筑垃圾等也可能引起较大的扬尘及道路粉尘。主要污染物为TSP，不含有毒有害的特殊污染物质，对施工环境有一定的污染。粉尘呈无组织排放，其产生强度与施工方式、气象条件有关，一般风大时产生扬尘较多，影响较大。</w:t>
      </w:r>
    </w:p>
    <w:p w14:paraId="3A352070">
      <w:pPr>
        <w:adjustRightInd w:val="0"/>
        <w:snapToGrid w:val="0"/>
        <w:ind w:firstLine="480" w:firstLineChars="200"/>
        <w:rPr>
          <w:rFonts w:hint="default" w:ascii="Times New Roman" w:hAnsi="Times New Roman" w:eastAsia="宋体" w:cs="Times New Roman"/>
          <w:color w:val="auto"/>
          <w:kern w:val="0"/>
          <w:szCs w:val="20"/>
        </w:rPr>
      </w:pPr>
      <w:r>
        <w:rPr>
          <w:rFonts w:hint="default" w:ascii="Times New Roman" w:hAnsi="Times New Roman" w:eastAsia="宋体" w:cs="Times New Roman"/>
          <w:color w:val="auto"/>
          <w:kern w:val="0"/>
          <w:szCs w:val="20"/>
        </w:rPr>
        <w:t>项目建设施工中，在材料运输和装卸、场内道路修筑等过程中，都将产生粉尘。类比同类工程，粉尘浓度较高的施工阶段是场地平整过程中的土料装卸过程，约20~50mg/ m</w:t>
      </w:r>
      <w:r>
        <w:rPr>
          <w:rFonts w:hint="default" w:ascii="Times New Roman" w:hAnsi="Times New Roman" w:eastAsia="宋体" w:cs="Times New Roman"/>
          <w:color w:val="auto"/>
          <w:kern w:val="0"/>
          <w:szCs w:val="20"/>
          <w:vertAlign w:val="superscript"/>
        </w:rPr>
        <w:t>3</w:t>
      </w:r>
      <w:r>
        <w:rPr>
          <w:rFonts w:hint="default" w:ascii="Times New Roman" w:hAnsi="Times New Roman" w:eastAsia="宋体" w:cs="Times New Roman"/>
          <w:color w:val="auto"/>
          <w:kern w:val="0"/>
          <w:szCs w:val="20"/>
        </w:rPr>
        <w:t>；在多年平均风速为2.7m/s时，类比结果表明建筑施工扬尘严重，施工扬尘的影响范围达下风向的150m处，施工及运输车辆引起的扬尘对路边30m范围以内影响较大，路边TSP浓度可达10mg/m</w:t>
      </w:r>
      <w:r>
        <w:rPr>
          <w:rFonts w:hint="default" w:ascii="Times New Roman" w:hAnsi="Times New Roman" w:eastAsia="宋体" w:cs="Times New Roman"/>
          <w:color w:val="auto"/>
          <w:kern w:val="0"/>
          <w:szCs w:val="20"/>
          <w:vertAlign w:val="superscript"/>
        </w:rPr>
        <w:t>3</w:t>
      </w:r>
      <w:r>
        <w:rPr>
          <w:rFonts w:hint="default" w:ascii="Times New Roman" w:hAnsi="Times New Roman" w:eastAsia="宋体" w:cs="Times New Roman"/>
          <w:color w:val="auto"/>
          <w:kern w:val="0"/>
          <w:szCs w:val="20"/>
        </w:rPr>
        <w:t>以上。</w:t>
      </w:r>
    </w:p>
    <w:p w14:paraId="4B7C0CEF">
      <w:pPr>
        <w:adjustRightInd w:val="0"/>
        <w:snapToGrid w:val="0"/>
        <w:outlineLvl w:val="3"/>
        <w:rPr>
          <w:rFonts w:hint="default" w:ascii="Times New Roman" w:hAnsi="Times New Roman" w:eastAsia="宋体" w:cs="Times New Roman"/>
          <w:b/>
          <w:color w:val="auto"/>
        </w:rPr>
      </w:pPr>
      <w:r>
        <w:rPr>
          <w:rFonts w:hint="default" w:ascii="Times New Roman" w:hAnsi="Times New Roman" w:eastAsia="宋体" w:cs="Times New Roman"/>
          <w:b/>
          <w:color w:val="auto"/>
        </w:rPr>
        <w:t>3.2.3.2施工期废水</w:t>
      </w:r>
    </w:p>
    <w:p w14:paraId="182CA63E">
      <w:pPr>
        <w:pStyle w:val="34"/>
        <w:adjustRightInd w:val="0"/>
        <w:snapToGrid w:val="0"/>
        <w:spacing w:after="0"/>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项目施工期间产生的废水主要为施工废水、生活污水等。</w:t>
      </w:r>
    </w:p>
    <w:p w14:paraId="766B1D9B">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（1）施工废水</w:t>
      </w:r>
    </w:p>
    <w:p w14:paraId="2095AFCF">
      <w:pPr>
        <w:autoSpaceDE w:val="0"/>
        <w:autoSpaceDN w:val="0"/>
        <w:adjustRightInd w:val="0"/>
        <w:snapToGrid w:val="0"/>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项目施工废水来源于施工机械、工具清洗废水和混凝土养护废水等。</w:t>
      </w:r>
    </w:p>
    <w:p w14:paraId="47F06BFC">
      <w:pPr>
        <w:autoSpaceDE w:val="0"/>
        <w:autoSpaceDN w:val="0"/>
        <w:adjustRightInd w:val="0"/>
        <w:snapToGrid w:val="0"/>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施工机械设备、工具清洗废水成分较为简单，主要是泥沙悬浮物含量较大，其次含有少量的石油类，其中悬浮物浓度为500～2000 mg/L。混凝土的养护废水主要是pH值高，一般达9～12。</w:t>
      </w:r>
      <w:r>
        <w:rPr>
          <w:rFonts w:hint="default" w:ascii="Times New Roman" w:hAnsi="Times New Roman" w:eastAsia="宋体" w:cs="Times New Roman"/>
          <w:color w:val="auto"/>
          <w:kern w:val="0"/>
          <w:lang w:eastAsia="zh-CN"/>
        </w:rPr>
        <w:t>项目只进行</w:t>
      </w:r>
      <w:r>
        <w:rPr>
          <w:rFonts w:hint="default" w:ascii="Times New Roman" w:hAnsi="Times New Roman" w:eastAsia="宋体" w:cs="Times New Roman"/>
          <w:color w:val="auto"/>
          <w:lang w:eastAsia="zh-CN"/>
        </w:rPr>
        <w:t>厂房装修</w:t>
      </w:r>
      <w:r>
        <w:rPr>
          <w:rFonts w:hint="default" w:ascii="Times New Roman" w:hAnsi="Times New Roman" w:eastAsia="宋体" w:cs="Times New Roman"/>
          <w:color w:val="auto"/>
        </w:rPr>
        <w:t>、设备安装调试</w:t>
      </w:r>
      <w:r>
        <w:rPr>
          <w:rFonts w:hint="default" w:ascii="Times New Roman" w:hAnsi="Times New Roman" w:eastAsia="宋体" w:cs="Times New Roman"/>
          <w:color w:val="auto"/>
          <w:lang w:eastAsia="zh-CN"/>
        </w:rPr>
        <w:t>、环保设施安装，产生施工废水较少</w:t>
      </w:r>
      <w:r>
        <w:rPr>
          <w:rFonts w:hint="default" w:ascii="Times New Roman" w:hAnsi="Times New Roman" w:eastAsia="宋体" w:cs="Times New Roman"/>
          <w:color w:val="auto"/>
        </w:rPr>
        <w:t>。</w:t>
      </w:r>
      <w:r>
        <w:rPr>
          <w:rFonts w:hint="default" w:ascii="Times New Roman" w:hAnsi="Times New Roman" w:eastAsia="宋体" w:cs="Times New Roman"/>
          <w:color w:val="auto"/>
          <w:kern w:val="0"/>
        </w:rPr>
        <w:t>环评要求在施工现场设置</w:t>
      </w:r>
      <w:r>
        <w:rPr>
          <w:rFonts w:hint="default" w:ascii="Times New Roman" w:hAnsi="Times New Roman" w:eastAsia="宋体" w:cs="Times New Roman"/>
          <w:color w:val="auto"/>
          <w:kern w:val="0"/>
          <w:lang w:eastAsia="zh-CN"/>
        </w:rPr>
        <w:t>临时</w:t>
      </w:r>
      <w:r>
        <w:rPr>
          <w:rFonts w:hint="default" w:ascii="Times New Roman" w:hAnsi="Times New Roman" w:eastAsia="宋体" w:cs="Times New Roman"/>
          <w:color w:val="auto"/>
          <w:kern w:val="0"/>
        </w:rPr>
        <w:t>沉</w:t>
      </w:r>
      <w:r>
        <w:rPr>
          <w:rFonts w:hint="default" w:ascii="Times New Roman" w:hAnsi="Times New Roman" w:eastAsia="宋体" w:cs="Times New Roman"/>
          <w:color w:val="auto"/>
          <w:kern w:val="0"/>
          <w:lang w:eastAsia="zh-CN"/>
        </w:rPr>
        <w:t>砂</w:t>
      </w:r>
      <w:r>
        <w:rPr>
          <w:rFonts w:hint="default" w:ascii="Times New Roman" w:hAnsi="Times New Roman" w:eastAsia="宋体" w:cs="Times New Roman"/>
          <w:color w:val="auto"/>
          <w:kern w:val="0"/>
        </w:rPr>
        <w:t>池1个，容积</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kern w:val="0"/>
        </w:rPr>
        <w:t>施工废水引入池中进行沉淀处理，大大降低废水中SS的含量，处理后废水可回用于施工场地、道路洒水抑尘，施工废水不外排。</w:t>
      </w:r>
    </w:p>
    <w:p w14:paraId="4B36B65E">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（2）生活污水</w:t>
      </w:r>
    </w:p>
    <w:p w14:paraId="7FF217FD">
      <w:pPr>
        <w:tabs>
          <w:tab w:val="left" w:pos="2100"/>
        </w:tabs>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施工期项目内不设置施工营地，施工人员食宿自行解决。因此施工期的生活污水主要是施工人员</w:t>
      </w:r>
      <w:r>
        <w:rPr>
          <w:rFonts w:hint="default" w:ascii="Times New Roman" w:hAnsi="Times New Roman" w:eastAsia="宋体" w:cs="Times New Roman"/>
          <w:color w:val="auto"/>
          <w:lang w:eastAsia="zh-CN"/>
        </w:rPr>
        <w:t>入厕产生的废水，</w:t>
      </w:r>
      <w:r>
        <w:rPr>
          <w:rFonts w:hint="default" w:ascii="Times New Roman" w:hAnsi="Times New Roman" w:eastAsia="宋体" w:cs="Times New Roman"/>
          <w:color w:val="auto"/>
        </w:rPr>
        <w:t>用水量约为30L/人·d，施工人员按</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人/d计，总用水量为</w:t>
      </w:r>
      <w:r>
        <w:rPr>
          <w:rFonts w:hint="default" w:ascii="Times New Roman" w:hAnsi="Times New Roman" w:eastAsia="宋体" w:cs="Times New Roman"/>
          <w:color w:val="auto"/>
          <w:lang w:val="en-US" w:eastAsia="zh-CN"/>
        </w:rPr>
        <w:t>0.3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/d，排水量按80%计算，产生量为</w:t>
      </w:r>
      <w:r>
        <w:rPr>
          <w:rFonts w:hint="default" w:ascii="Times New Roman" w:hAnsi="Times New Roman" w:eastAsia="宋体" w:cs="Times New Roman"/>
          <w:color w:val="auto"/>
          <w:lang w:val="en-US" w:eastAsia="zh-CN"/>
        </w:rPr>
        <w:t>0.24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个月约</w:t>
      </w:r>
      <w:r>
        <w:rPr>
          <w:rFonts w:hint="default" w:ascii="Times New Roman" w:hAnsi="Times New Roman" w:eastAsia="宋体" w:cs="Times New Roman"/>
          <w:color w:val="auto"/>
          <w:lang w:val="en-US" w:eastAsia="zh-CN"/>
        </w:rPr>
        <w:t>21.6</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）。施工人员</w:t>
      </w:r>
      <w:r>
        <w:rPr>
          <w:rFonts w:hint="default" w:ascii="Times New Roman" w:hAnsi="Times New Roman" w:eastAsia="宋体" w:cs="Times New Roman"/>
          <w:color w:val="auto"/>
          <w:lang w:eastAsia="zh-CN"/>
        </w:rPr>
        <w:t>产生的入厕废水</w:t>
      </w:r>
      <w:r>
        <w:rPr>
          <w:rFonts w:hint="default" w:ascii="Times New Roman" w:hAnsi="Times New Roman" w:eastAsia="宋体" w:cs="Times New Roman"/>
          <w:color w:val="auto"/>
        </w:rPr>
        <w:t>经项目内设置的</w:t>
      </w:r>
      <w:r>
        <w:rPr>
          <w:rFonts w:hint="default" w:ascii="Times New Roman" w:hAnsi="Times New Roman" w:eastAsia="宋体" w:cs="Times New Roman"/>
          <w:color w:val="auto"/>
          <w:lang w:eastAsia="zh-CN"/>
        </w:rPr>
        <w:t>化粪池处理</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处理后会排入园区污水管网</w:t>
      </w:r>
      <w:r>
        <w:rPr>
          <w:rFonts w:hint="default" w:ascii="Times New Roman" w:hAnsi="Times New Roman" w:eastAsia="宋体" w:cs="Times New Roman"/>
          <w:color w:val="auto"/>
        </w:rPr>
        <w:t>。</w:t>
      </w:r>
    </w:p>
    <w:p w14:paraId="153380B9">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（3）车辆轮胎清洗废水</w:t>
      </w:r>
    </w:p>
    <w:p w14:paraId="71E79C5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为避免物料运输车辆驶出施工场地时将泥土带至周边道路，影响园区卫生环境，施工方在施工场地进出口处设置洗车池</w:t>
      </w:r>
      <w:r>
        <w:rPr>
          <w:rFonts w:hint="default" w:ascii="Times New Roman" w:hAnsi="Times New Roman" w:eastAsia="宋体" w:cs="Times New Roman"/>
          <w:color w:val="auto"/>
          <w:lang w:val="en-US" w:eastAsia="zh-CN"/>
        </w:rPr>
        <w:t>1个，容积3m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，对出场车辆轮胎进行清洗，清洗废水主要污染物为悬浮物，经收集汇入施工出入口处的洗车池沉淀处理后重复循环利用，不外排。</w:t>
      </w:r>
    </w:p>
    <w:p w14:paraId="2DEE439C">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（4）小结</w:t>
      </w:r>
    </w:p>
    <w:p w14:paraId="25C1F520">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项目拟设置1个容积</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的临时沉砂池</w:t>
      </w:r>
      <w:r>
        <w:rPr>
          <w:rFonts w:hint="default" w:ascii="Times New Roman" w:hAnsi="Times New Roman" w:eastAsia="宋体" w:cs="Times New Roman"/>
          <w:color w:val="auto"/>
          <w:lang w:eastAsia="zh-CN"/>
        </w:rPr>
        <w:t>和</w:t>
      </w:r>
      <w:r>
        <w:rPr>
          <w:rFonts w:hint="default" w:ascii="Times New Roman" w:hAnsi="Times New Roman" w:eastAsia="宋体" w:cs="Times New Roman"/>
          <w:color w:val="auto"/>
          <w:lang w:val="en-US" w:eastAsia="zh-CN"/>
        </w:rPr>
        <w:t>1个3m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的洗车池</w:t>
      </w:r>
      <w:r>
        <w:rPr>
          <w:rFonts w:hint="default" w:ascii="Times New Roman" w:hAnsi="Times New Roman" w:eastAsia="宋体" w:cs="Times New Roman"/>
          <w:color w:val="auto"/>
        </w:rPr>
        <w:t>，对项目内产生的施工废水、设备冲洗废水</w:t>
      </w:r>
      <w:r>
        <w:rPr>
          <w:rFonts w:hint="default" w:ascii="Times New Roman" w:hAnsi="Times New Roman" w:eastAsia="宋体" w:cs="Times New Roman"/>
          <w:color w:val="auto"/>
          <w:lang w:eastAsia="zh-CN"/>
        </w:rPr>
        <w:t>、车辆清洗废水</w:t>
      </w:r>
      <w:r>
        <w:rPr>
          <w:rFonts w:hint="default" w:ascii="Times New Roman" w:hAnsi="Times New Roman" w:eastAsia="宋体" w:cs="Times New Roman"/>
          <w:color w:val="auto"/>
        </w:rPr>
        <w:t>等进行沉淀处理，</w:t>
      </w:r>
      <w:r>
        <w:rPr>
          <w:rFonts w:hint="default" w:ascii="Times New Roman" w:hAnsi="Times New Roman" w:eastAsia="宋体" w:cs="Times New Roman"/>
          <w:color w:val="auto"/>
          <w:lang w:eastAsia="zh-CN"/>
        </w:rPr>
        <w:t>处理后</w:t>
      </w:r>
      <w:r>
        <w:rPr>
          <w:rFonts w:hint="default" w:ascii="Times New Roman" w:hAnsi="Times New Roman" w:eastAsia="宋体" w:cs="Times New Roman"/>
          <w:color w:val="auto"/>
        </w:rPr>
        <w:t>回用于项目</w:t>
      </w:r>
      <w:r>
        <w:rPr>
          <w:rFonts w:hint="default" w:ascii="Times New Roman" w:hAnsi="Times New Roman" w:eastAsia="宋体" w:cs="Times New Roman"/>
          <w:color w:val="auto"/>
          <w:lang w:eastAsia="zh-CN"/>
        </w:rPr>
        <w:t>施工场地</w:t>
      </w:r>
      <w:r>
        <w:rPr>
          <w:rFonts w:hint="default" w:ascii="Times New Roman" w:hAnsi="Times New Roman" w:eastAsia="宋体" w:cs="Times New Roman"/>
          <w:color w:val="auto"/>
        </w:rPr>
        <w:t>洒水降尘</w:t>
      </w:r>
      <w:r>
        <w:rPr>
          <w:rFonts w:hint="default" w:ascii="Times New Roman" w:hAnsi="Times New Roman" w:eastAsia="宋体" w:cs="Times New Roman"/>
          <w:color w:val="auto"/>
          <w:lang w:eastAsia="zh-CN"/>
        </w:rPr>
        <w:t>、车辆清洗等，不外排，对周围水环境影响较小</w:t>
      </w:r>
      <w:r>
        <w:rPr>
          <w:rFonts w:hint="default" w:ascii="Times New Roman" w:hAnsi="Times New Roman" w:eastAsia="宋体" w:cs="Times New Roman"/>
          <w:color w:val="auto"/>
        </w:rPr>
        <w:t>。</w:t>
      </w:r>
    </w:p>
    <w:p w14:paraId="486359F7">
      <w:pPr>
        <w:adjustRightInd w:val="0"/>
        <w:snapToGrid w:val="0"/>
        <w:outlineLvl w:val="3"/>
        <w:rPr>
          <w:rFonts w:hint="default" w:ascii="Times New Roman" w:hAnsi="Times New Roman" w:eastAsia="宋体" w:cs="Times New Roman"/>
          <w:b/>
          <w:color w:val="auto"/>
        </w:rPr>
      </w:pPr>
      <w:r>
        <w:rPr>
          <w:rFonts w:hint="default" w:ascii="Times New Roman" w:hAnsi="Times New Roman" w:eastAsia="宋体" w:cs="Times New Roman"/>
          <w:b/>
          <w:color w:val="auto"/>
        </w:rPr>
        <w:t>3.2.3.3施工期固体废物</w:t>
      </w:r>
    </w:p>
    <w:p w14:paraId="4BFA085C">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施工期项目固体废弃物主要是施工建筑垃圾，另外还有少量施工人员的生活垃圾。</w:t>
      </w:r>
    </w:p>
    <w:p w14:paraId="7887B190">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（1）废弃土石方</w:t>
      </w:r>
    </w:p>
    <w:p w14:paraId="78CC376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项目建设不涉及地下室建设，土石方主要来自项目</w:t>
      </w:r>
      <w:r>
        <w:rPr>
          <w:rFonts w:hint="default" w:ascii="Times New Roman" w:hAnsi="Times New Roman" w:eastAsia="宋体" w:cs="Times New Roman"/>
          <w:color w:val="auto"/>
          <w:lang w:eastAsia="zh-CN"/>
        </w:rPr>
        <w:t>污水处理站建设</w:t>
      </w:r>
      <w:r>
        <w:rPr>
          <w:rFonts w:hint="default" w:ascii="Times New Roman" w:hAnsi="Times New Roman" w:eastAsia="宋体" w:cs="Times New Roman"/>
          <w:color w:val="auto"/>
        </w:rPr>
        <w:t>等，</w:t>
      </w:r>
      <w:r>
        <w:rPr>
          <w:rFonts w:hint="default" w:ascii="Times New Roman" w:hAnsi="Times New Roman" w:eastAsia="宋体" w:cs="Times New Roman"/>
          <w:color w:val="auto"/>
          <w:lang w:eastAsia="zh-CN"/>
        </w:rPr>
        <w:t>根据现场踏勘，</w:t>
      </w:r>
      <w:r>
        <w:rPr>
          <w:rFonts w:hint="default" w:ascii="Times New Roman" w:hAnsi="Times New Roman" w:eastAsia="宋体" w:cs="Times New Roman"/>
          <w:color w:val="auto"/>
        </w:rPr>
        <w:t>项目用地地势较平整，开挖土石方较少，施工期土石方基本能实现土石方平衡。即施工期间的填方量等于挖方量，项目建成后不产生</w:t>
      </w:r>
      <w:r>
        <w:rPr>
          <w:rFonts w:hint="default" w:ascii="Times New Roman" w:hAnsi="Times New Roman" w:eastAsia="宋体" w:cs="Times New Roman"/>
          <w:color w:val="auto"/>
          <w:lang w:eastAsia="zh-CN"/>
        </w:rPr>
        <w:t>废弃土石方和</w:t>
      </w:r>
      <w:r>
        <w:rPr>
          <w:rFonts w:hint="default" w:ascii="Times New Roman" w:hAnsi="Times New Roman" w:eastAsia="宋体" w:cs="Times New Roman"/>
          <w:color w:val="auto"/>
        </w:rPr>
        <w:t>弃渣，项目不设取土场、弃渣场。</w:t>
      </w:r>
    </w:p>
    <w:p w14:paraId="4CEF31F8">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（2）建筑垃圾</w:t>
      </w:r>
    </w:p>
    <w:p w14:paraId="4D562EF4">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建筑垃圾是在建筑物的建设、装修过程产生的，主要有砂石、渣土、废钢筋和各种废钢配件，金属管线废料、木屑、各种装饰材料的包装箱、包装袋等、散落的砂浆和混凝土，碎砖和碎混凝土块。</w:t>
      </w:r>
      <w:r>
        <w:rPr>
          <w:rFonts w:hint="default" w:ascii="Times New Roman" w:hAnsi="Times New Roman" w:eastAsia="宋体" w:cs="Times New Roman"/>
          <w:bCs/>
          <w:color w:val="auto"/>
        </w:rPr>
        <w:t>根据《环境卫生工程》（2006</w:t>
      </w:r>
      <w:r>
        <w:rPr>
          <w:rFonts w:hint="default" w:ascii="Times New Roman" w:hAnsi="Times New Roman" w:eastAsia="宋体" w:cs="Times New Roman"/>
          <w:color w:val="auto"/>
        </w:rPr>
        <w:t>年vol.14No4）中《建筑垃圾的产生和循环利用》，单位面积施工固体废弃物的产生系数为20~55kg/m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，本项目</w:t>
      </w:r>
      <w:r>
        <w:rPr>
          <w:rFonts w:hint="default" w:ascii="Times New Roman" w:hAnsi="Times New Roman" w:eastAsia="宋体" w:cs="Times New Roman"/>
          <w:color w:val="auto"/>
          <w:lang w:eastAsia="zh-CN"/>
        </w:rPr>
        <w:t>水洗车间为砖混结构，只进行简单装修</w:t>
      </w:r>
      <w:r>
        <w:rPr>
          <w:rFonts w:hint="default" w:ascii="Times New Roman" w:hAnsi="Times New Roman" w:eastAsia="宋体" w:cs="Times New Roman"/>
          <w:color w:val="auto"/>
        </w:rPr>
        <w:t>，故项目建设产生的固体垃圾较少</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可回收利用的部分回收利用，不可回收的部分及时</w:t>
      </w:r>
      <w:r>
        <w:rPr>
          <w:rFonts w:hint="default" w:ascii="Times New Roman" w:hAnsi="Times New Roman" w:eastAsia="宋体" w:cs="Times New Roman"/>
          <w:color w:val="auto"/>
          <w:lang w:eastAsia="zh-CN"/>
        </w:rPr>
        <w:t>委托</w:t>
      </w:r>
      <w:r>
        <w:rPr>
          <w:rFonts w:hint="default" w:ascii="Times New Roman" w:hAnsi="Times New Roman" w:eastAsia="宋体" w:cs="Times New Roman"/>
          <w:color w:val="auto"/>
        </w:rPr>
        <w:t>有资质的单位清运</w:t>
      </w:r>
      <w:r>
        <w:rPr>
          <w:rFonts w:hint="default" w:ascii="Times New Roman" w:hAnsi="Times New Roman" w:eastAsia="宋体" w:cs="Times New Roman"/>
          <w:color w:val="auto"/>
          <w:lang w:eastAsia="zh-CN"/>
        </w:rPr>
        <w:t>处理</w:t>
      </w:r>
      <w:r>
        <w:rPr>
          <w:rFonts w:hint="default" w:ascii="Times New Roman" w:hAnsi="Times New Roman" w:eastAsia="宋体" w:cs="Times New Roman"/>
          <w:color w:val="auto"/>
        </w:rPr>
        <w:t>。</w:t>
      </w:r>
    </w:p>
    <w:p w14:paraId="5D0C0222">
      <w:pPr>
        <w:pStyle w:val="34"/>
        <w:adjustRightInd w:val="0"/>
        <w:snapToGrid w:val="0"/>
        <w:spacing w:after="0"/>
        <w:ind w:left="0" w:leftChars="0"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（3）生活垃圾</w:t>
      </w:r>
    </w:p>
    <w:p w14:paraId="6C1C8014">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项目施工人员产生的生活垃圾按每人0.5kg/d，</w:t>
      </w:r>
      <w:r>
        <w:rPr>
          <w:rFonts w:hint="default" w:ascii="Times New Roman" w:hAnsi="Times New Roman" w:eastAsia="宋体" w:cs="Times New Roman"/>
          <w:color w:val="auto"/>
          <w:lang w:eastAsia="zh-CN"/>
        </w:rPr>
        <w:t>施工人员</w:t>
      </w:r>
      <w:r>
        <w:rPr>
          <w:rFonts w:hint="default" w:ascii="Times New Roman" w:hAnsi="Times New Roman" w:eastAsia="宋体" w:cs="Times New Roman"/>
          <w:color w:val="auto"/>
          <w:lang w:val="en-US" w:eastAsia="zh-CN"/>
        </w:rPr>
        <w:t>10人</w:t>
      </w:r>
      <w:r>
        <w:rPr>
          <w:rFonts w:hint="default" w:ascii="Times New Roman" w:hAnsi="Times New Roman" w:eastAsia="宋体" w:cs="Times New Roman"/>
          <w:color w:val="auto"/>
        </w:rPr>
        <w:t>，产生量约为</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kg/d。</w:t>
      </w:r>
      <w:r>
        <w:rPr>
          <w:rFonts w:hint="default" w:ascii="Times New Roman" w:hAnsi="Times New Roman" w:eastAsia="宋体" w:cs="Times New Roman"/>
          <w:color w:val="auto"/>
          <w:lang w:eastAsia="zh-CN"/>
        </w:rPr>
        <w:t>施工周期为</w:t>
      </w:r>
      <w:r>
        <w:rPr>
          <w:rFonts w:hint="default" w:ascii="Times New Roman" w:hAnsi="Times New Roman" w:eastAsia="宋体" w:cs="Times New Roman"/>
          <w:color w:val="auto"/>
          <w:lang w:val="en-US" w:eastAsia="zh-CN"/>
        </w:rPr>
        <w:t>3个月，</w:t>
      </w:r>
      <w:r>
        <w:rPr>
          <w:rFonts w:hint="default" w:ascii="Times New Roman" w:hAnsi="Times New Roman" w:eastAsia="宋体" w:cs="Times New Roman"/>
          <w:color w:val="auto"/>
        </w:rPr>
        <w:t>施工期生活垃圾产生总量为</w:t>
      </w:r>
      <w:r>
        <w:rPr>
          <w:rFonts w:hint="default" w:ascii="Times New Roman" w:hAnsi="Times New Roman" w:eastAsia="宋体" w:cs="Times New Roman"/>
          <w:color w:val="auto"/>
          <w:lang w:val="en-US" w:eastAsia="zh-CN"/>
        </w:rPr>
        <w:t>0.45</w:t>
      </w:r>
      <w:r>
        <w:rPr>
          <w:rFonts w:hint="default" w:ascii="Times New Roman" w:hAnsi="Times New Roman" w:eastAsia="宋体" w:cs="Times New Roman"/>
          <w:color w:val="auto"/>
        </w:rPr>
        <w:t>t。</w:t>
      </w:r>
      <w:r>
        <w:rPr>
          <w:rFonts w:hint="default" w:ascii="Times New Roman" w:hAnsi="Times New Roman" w:eastAsia="宋体" w:cs="Times New Roman"/>
          <w:color w:val="auto"/>
          <w:lang w:eastAsia="zh-CN"/>
        </w:rPr>
        <w:t>环评要求</w:t>
      </w:r>
      <w:r>
        <w:rPr>
          <w:rFonts w:hint="default" w:ascii="Times New Roman" w:hAnsi="Times New Roman" w:eastAsia="宋体" w:cs="Times New Roman"/>
          <w:color w:val="auto"/>
        </w:rPr>
        <w:t>项目设置生活垃圾集中</w:t>
      </w:r>
      <w:r>
        <w:rPr>
          <w:rFonts w:hint="default" w:ascii="Times New Roman" w:hAnsi="Times New Roman" w:eastAsia="宋体" w:cs="Times New Roman"/>
          <w:color w:val="auto"/>
          <w:lang w:eastAsia="zh-CN"/>
        </w:rPr>
        <w:t>收集点</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收集后</w:t>
      </w:r>
      <w:r>
        <w:rPr>
          <w:rFonts w:hint="default" w:ascii="Times New Roman" w:hAnsi="Times New Roman" w:eastAsia="宋体" w:cs="Times New Roman"/>
          <w:color w:val="auto"/>
        </w:rPr>
        <w:t xml:space="preserve">委托当地环卫部门进行清运处理。 </w:t>
      </w:r>
    </w:p>
    <w:p w14:paraId="1A5DC97A">
      <w:pPr>
        <w:adjustRightInd w:val="0"/>
        <w:snapToGrid w:val="0"/>
        <w:outlineLvl w:val="3"/>
        <w:rPr>
          <w:rFonts w:hint="default" w:ascii="Times New Roman" w:hAnsi="Times New Roman" w:eastAsia="宋体" w:cs="Times New Roman"/>
          <w:b/>
          <w:color w:val="auto"/>
        </w:rPr>
      </w:pPr>
      <w:r>
        <w:rPr>
          <w:rFonts w:hint="default" w:ascii="Times New Roman" w:hAnsi="Times New Roman" w:eastAsia="宋体" w:cs="Times New Roman"/>
          <w:b/>
          <w:color w:val="auto"/>
        </w:rPr>
        <w:t>3.2.3.4施工期噪声</w:t>
      </w:r>
    </w:p>
    <w:p w14:paraId="352CD8C0">
      <w:pPr>
        <w:adjustRightInd w:val="0"/>
        <w:snapToGrid w:val="0"/>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rPr>
        <w:t>施工阶段主要使用打桩机、挖掘机、运输车辆、电焊机、振捣器等，这些机械产生的噪声对环境造成不利影响。在不同施工过程，作业噪声由于施工机械的数量、构成动作等的随机性，导致了噪声产生的随机性和无规律性，为无组织、不连续排放；汽车运输中产生的噪声则只与物料的运输过程有关，更具有不规律性，为无组织、不连续排放</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kern w:val="0"/>
        </w:rPr>
        <w:t>项目各施工机械设备噪声源的噪声值见表3.2-1。</w:t>
      </w:r>
    </w:p>
    <w:p w14:paraId="69B561B5">
      <w:pPr>
        <w:autoSpaceDE w:val="0"/>
        <w:autoSpaceDN w:val="0"/>
        <w:adjustRightInd w:val="0"/>
        <w:snapToGrid w:val="0"/>
        <w:jc w:val="center"/>
        <w:rPr>
          <w:rFonts w:hint="default" w:ascii="Times New Roman" w:hAnsi="Times New Roman" w:eastAsia="宋体" w:cs="Times New Roman"/>
          <w:b/>
          <w:color w:val="auto"/>
          <w:kern w:val="0"/>
        </w:rPr>
      </w:pPr>
      <w:r>
        <w:rPr>
          <w:rFonts w:hint="default" w:ascii="Times New Roman" w:hAnsi="Times New Roman" w:eastAsia="宋体" w:cs="Times New Roman"/>
          <w:b/>
          <w:color w:val="auto"/>
          <w:kern w:val="0"/>
        </w:rPr>
        <w:t xml:space="preserve">表3.2-1 各施工机械设备的噪声源强值 </w:t>
      </w:r>
    </w:p>
    <w:tbl>
      <w:tblPr>
        <w:tblStyle w:val="66"/>
        <w:tblW w:w="7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3"/>
        <w:gridCol w:w="2659"/>
        <w:gridCol w:w="3195"/>
      </w:tblGrid>
      <w:tr w14:paraId="73FB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blHeader/>
          <w:jc w:val="center"/>
        </w:trPr>
        <w:tc>
          <w:tcPr>
            <w:tcW w:w="1913" w:type="dxa"/>
            <w:tcBorders>
              <w:top w:val="single" w:color="auto" w:sz="4" w:space="0"/>
              <w:left w:val="single" w:color="auto" w:sz="4" w:space="0"/>
              <w:bottom w:val="single" w:color="auto" w:sz="4" w:space="0"/>
              <w:right w:val="single" w:color="auto" w:sz="4" w:space="0"/>
            </w:tcBorders>
            <w:vAlign w:val="center"/>
          </w:tcPr>
          <w:p w14:paraId="7EB56791">
            <w:pPr>
              <w:autoSpaceDE w:val="0"/>
              <w:autoSpaceDN w:val="0"/>
              <w:adjustRightInd w:val="0"/>
              <w:snapToGrid w:val="0"/>
              <w:spacing w:line="240" w:lineRule="auto"/>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b/>
                <w:color w:val="auto"/>
                <w:kern w:val="0"/>
                <w:sz w:val="21"/>
              </w:rPr>
              <w:t>施工阶段</w:t>
            </w:r>
          </w:p>
        </w:tc>
        <w:tc>
          <w:tcPr>
            <w:tcW w:w="2659" w:type="dxa"/>
            <w:tcBorders>
              <w:top w:val="single" w:color="auto" w:sz="4" w:space="0"/>
              <w:left w:val="single" w:color="auto" w:sz="4" w:space="0"/>
              <w:bottom w:val="single" w:color="auto" w:sz="4" w:space="0"/>
              <w:right w:val="single" w:color="auto" w:sz="4" w:space="0"/>
            </w:tcBorders>
            <w:vAlign w:val="center"/>
          </w:tcPr>
          <w:p w14:paraId="72FDA47C">
            <w:pPr>
              <w:autoSpaceDE w:val="0"/>
              <w:autoSpaceDN w:val="0"/>
              <w:adjustRightInd w:val="0"/>
              <w:snapToGrid w:val="0"/>
              <w:spacing w:line="240" w:lineRule="auto"/>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b/>
                <w:color w:val="auto"/>
                <w:kern w:val="0"/>
                <w:sz w:val="21"/>
              </w:rPr>
              <w:t>机械设备</w:t>
            </w:r>
          </w:p>
        </w:tc>
        <w:tc>
          <w:tcPr>
            <w:tcW w:w="3195" w:type="dxa"/>
            <w:tcBorders>
              <w:top w:val="single" w:color="auto" w:sz="4" w:space="0"/>
              <w:left w:val="single" w:color="auto" w:sz="4" w:space="0"/>
              <w:bottom w:val="single" w:color="auto" w:sz="4" w:space="0"/>
              <w:right w:val="single" w:color="auto" w:sz="4" w:space="0"/>
            </w:tcBorders>
            <w:vAlign w:val="center"/>
          </w:tcPr>
          <w:p w14:paraId="2969E4AC">
            <w:pPr>
              <w:autoSpaceDE w:val="0"/>
              <w:autoSpaceDN w:val="0"/>
              <w:adjustRightInd w:val="0"/>
              <w:snapToGrid w:val="0"/>
              <w:spacing w:line="240" w:lineRule="auto"/>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b/>
                <w:color w:val="auto"/>
                <w:kern w:val="0"/>
                <w:sz w:val="21"/>
              </w:rPr>
              <w:t>声级dB（A）</w:t>
            </w:r>
          </w:p>
        </w:tc>
      </w:tr>
      <w:tr w14:paraId="1A7F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913" w:type="dxa"/>
            <w:vMerge w:val="restart"/>
            <w:tcBorders>
              <w:top w:val="single" w:color="auto" w:sz="4" w:space="0"/>
              <w:left w:val="single" w:color="auto" w:sz="4" w:space="0"/>
              <w:right w:val="single" w:color="auto" w:sz="4" w:space="0"/>
            </w:tcBorders>
            <w:vAlign w:val="center"/>
          </w:tcPr>
          <w:p w14:paraId="05F58DF2">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eastAsia="zh-CN"/>
              </w:rPr>
            </w:pPr>
            <w:r>
              <w:rPr>
                <w:rFonts w:hint="default" w:ascii="Times New Roman" w:hAnsi="Times New Roman" w:eastAsia="宋体" w:cs="Times New Roman"/>
                <w:bCs/>
                <w:color w:val="auto"/>
                <w:kern w:val="0"/>
                <w:sz w:val="21"/>
                <w:lang w:eastAsia="zh-CN"/>
              </w:rPr>
              <w:t>环保设施安装</w:t>
            </w:r>
          </w:p>
        </w:tc>
        <w:tc>
          <w:tcPr>
            <w:tcW w:w="2659" w:type="dxa"/>
            <w:tcBorders>
              <w:top w:val="single" w:color="auto" w:sz="4" w:space="0"/>
              <w:left w:val="single" w:color="auto" w:sz="4" w:space="0"/>
              <w:bottom w:val="single" w:color="auto" w:sz="4" w:space="0"/>
              <w:right w:val="single" w:color="auto" w:sz="4" w:space="0"/>
            </w:tcBorders>
            <w:vAlign w:val="center"/>
          </w:tcPr>
          <w:p w14:paraId="2EA2681B">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打桩机</w:t>
            </w:r>
          </w:p>
        </w:tc>
        <w:tc>
          <w:tcPr>
            <w:tcW w:w="3195" w:type="dxa"/>
            <w:tcBorders>
              <w:top w:val="single" w:color="auto" w:sz="4" w:space="0"/>
              <w:left w:val="single" w:color="auto" w:sz="4" w:space="0"/>
              <w:bottom w:val="single" w:color="auto" w:sz="4" w:space="0"/>
              <w:right w:val="single" w:color="auto" w:sz="4" w:space="0"/>
            </w:tcBorders>
            <w:vAlign w:val="center"/>
          </w:tcPr>
          <w:p w14:paraId="5ACDD1DF">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105</w:t>
            </w:r>
          </w:p>
        </w:tc>
      </w:tr>
      <w:tr w14:paraId="5C53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913" w:type="dxa"/>
            <w:vMerge w:val="continue"/>
            <w:tcBorders>
              <w:left w:val="single" w:color="auto" w:sz="4" w:space="0"/>
              <w:right w:val="single" w:color="auto" w:sz="4" w:space="0"/>
            </w:tcBorders>
            <w:vAlign w:val="center"/>
          </w:tcPr>
          <w:p w14:paraId="30BFD7B4">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p>
        </w:tc>
        <w:tc>
          <w:tcPr>
            <w:tcW w:w="2659" w:type="dxa"/>
            <w:tcBorders>
              <w:top w:val="single" w:color="auto" w:sz="4" w:space="0"/>
              <w:left w:val="single" w:color="auto" w:sz="4" w:space="0"/>
              <w:bottom w:val="single" w:color="auto" w:sz="4" w:space="0"/>
              <w:right w:val="single" w:color="auto" w:sz="4" w:space="0"/>
            </w:tcBorders>
            <w:vAlign w:val="center"/>
          </w:tcPr>
          <w:p w14:paraId="05241ED9">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eastAsia="zh-CN"/>
              </w:rPr>
            </w:pPr>
            <w:r>
              <w:rPr>
                <w:rFonts w:hint="default" w:ascii="Times New Roman" w:hAnsi="Times New Roman" w:eastAsia="宋体" w:cs="Times New Roman"/>
                <w:bCs/>
                <w:color w:val="auto"/>
                <w:kern w:val="0"/>
                <w:sz w:val="21"/>
                <w:lang w:eastAsia="zh-CN"/>
              </w:rPr>
              <w:t>挖掘机</w:t>
            </w:r>
          </w:p>
        </w:tc>
        <w:tc>
          <w:tcPr>
            <w:tcW w:w="3195" w:type="dxa"/>
            <w:tcBorders>
              <w:top w:val="single" w:color="auto" w:sz="4" w:space="0"/>
              <w:left w:val="single" w:color="auto" w:sz="4" w:space="0"/>
              <w:bottom w:val="single" w:color="auto" w:sz="4" w:space="0"/>
              <w:right w:val="single" w:color="auto" w:sz="4" w:space="0"/>
            </w:tcBorders>
            <w:vAlign w:val="center"/>
          </w:tcPr>
          <w:p w14:paraId="569AE319">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val="en-US" w:eastAsia="zh-CN"/>
              </w:rPr>
            </w:pPr>
            <w:r>
              <w:rPr>
                <w:rFonts w:hint="default" w:ascii="Times New Roman" w:hAnsi="Times New Roman" w:eastAsia="宋体" w:cs="Times New Roman"/>
                <w:bCs/>
                <w:color w:val="auto"/>
                <w:kern w:val="0"/>
                <w:sz w:val="21"/>
                <w:lang w:val="en-US" w:eastAsia="zh-CN"/>
              </w:rPr>
              <w:t>85</w:t>
            </w:r>
          </w:p>
        </w:tc>
      </w:tr>
      <w:tr w14:paraId="629A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913" w:type="dxa"/>
            <w:vMerge w:val="continue"/>
            <w:tcBorders>
              <w:left w:val="single" w:color="auto" w:sz="4" w:space="0"/>
              <w:right w:val="single" w:color="auto" w:sz="4" w:space="0"/>
            </w:tcBorders>
            <w:vAlign w:val="center"/>
          </w:tcPr>
          <w:p w14:paraId="2A3B18D7">
            <w:pPr>
              <w:widowControl/>
              <w:spacing w:line="240" w:lineRule="auto"/>
              <w:jc w:val="left"/>
              <w:rPr>
                <w:rFonts w:hint="default" w:ascii="Times New Roman" w:hAnsi="Times New Roman" w:eastAsia="宋体" w:cs="Times New Roman"/>
                <w:bCs/>
                <w:color w:val="auto"/>
                <w:kern w:val="0"/>
                <w:sz w:val="21"/>
              </w:rPr>
            </w:pPr>
          </w:p>
        </w:tc>
        <w:tc>
          <w:tcPr>
            <w:tcW w:w="2659" w:type="dxa"/>
            <w:tcBorders>
              <w:top w:val="single" w:color="auto" w:sz="4" w:space="0"/>
              <w:left w:val="single" w:color="auto" w:sz="4" w:space="0"/>
              <w:bottom w:val="single" w:color="auto" w:sz="4" w:space="0"/>
              <w:right w:val="single" w:color="auto" w:sz="4" w:space="0"/>
            </w:tcBorders>
            <w:vAlign w:val="center"/>
          </w:tcPr>
          <w:p w14:paraId="470B1B04">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平地机</w:t>
            </w:r>
          </w:p>
        </w:tc>
        <w:tc>
          <w:tcPr>
            <w:tcW w:w="3195" w:type="dxa"/>
            <w:tcBorders>
              <w:top w:val="single" w:color="auto" w:sz="4" w:space="0"/>
              <w:left w:val="single" w:color="auto" w:sz="4" w:space="0"/>
              <w:bottom w:val="single" w:color="auto" w:sz="4" w:space="0"/>
              <w:right w:val="single" w:color="auto" w:sz="4" w:space="0"/>
            </w:tcBorders>
            <w:vAlign w:val="center"/>
          </w:tcPr>
          <w:p w14:paraId="4105A24B">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86</w:t>
            </w:r>
          </w:p>
        </w:tc>
      </w:tr>
      <w:tr w14:paraId="2811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913" w:type="dxa"/>
            <w:vMerge w:val="continue"/>
            <w:tcBorders>
              <w:left w:val="single" w:color="auto" w:sz="4" w:space="0"/>
              <w:right w:val="single" w:color="auto" w:sz="4" w:space="0"/>
            </w:tcBorders>
            <w:vAlign w:val="center"/>
          </w:tcPr>
          <w:p w14:paraId="0F1F8C84">
            <w:pPr>
              <w:widowControl/>
              <w:spacing w:line="240" w:lineRule="auto"/>
              <w:jc w:val="left"/>
              <w:rPr>
                <w:rFonts w:hint="default" w:ascii="Times New Roman" w:hAnsi="Times New Roman" w:eastAsia="宋体" w:cs="Times New Roman"/>
                <w:bCs/>
                <w:color w:val="auto"/>
                <w:kern w:val="0"/>
                <w:sz w:val="21"/>
              </w:rPr>
            </w:pPr>
          </w:p>
        </w:tc>
        <w:tc>
          <w:tcPr>
            <w:tcW w:w="2659" w:type="dxa"/>
            <w:tcBorders>
              <w:top w:val="single" w:color="auto" w:sz="4" w:space="0"/>
              <w:left w:val="single" w:color="auto" w:sz="4" w:space="0"/>
              <w:bottom w:val="single" w:color="auto" w:sz="4" w:space="0"/>
              <w:right w:val="single" w:color="auto" w:sz="4" w:space="0"/>
            </w:tcBorders>
            <w:vAlign w:val="center"/>
          </w:tcPr>
          <w:p w14:paraId="1D725D93">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空压机</w:t>
            </w:r>
          </w:p>
        </w:tc>
        <w:tc>
          <w:tcPr>
            <w:tcW w:w="3195" w:type="dxa"/>
            <w:tcBorders>
              <w:top w:val="single" w:color="auto" w:sz="4" w:space="0"/>
              <w:left w:val="single" w:color="auto" w:sz="4" w:space="0"/>
              <w:bottom w:val="single" w:color="auto" w:sz="4" w:space="0"/>
              <w:right w:val="single" w:color="auto" w:sz="4" w:space="0"/>
            </w:tcBorders>
            <w:vAlign w:val="center"/>
          </w:tcPr>
          <w:p w14:paraId="3AFA60F7">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92</w:t>
            </w:r>
          </w:p>
        </w:tc>
      </w:tr>
      <w:tr w14:paraId="544C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913" w:type="dxa"/>
            <w:vMerge w:val="continue"/>
            <w:tcBorders>
              <w:left w:val="single" w:color="auto" w:sz="4" w:space="0"/>
              <w:right w:val="single" w:color="auto" w:sz="4" w:space="0"/>
            </w:tcBorders>
            <w:vAlign w:val="center"/>
          </w:tcPr>
          <w:p w14:paraId="6A0FCDE1">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p>
        </w:tc>
        <w:tc>
          <w:tcPr>
            <w:tcW w:w="2659" w:type="dxa"/>
            <w:tcBorders>
              <w:top w:val="single" w:color="auto" w:sz="4" w:space="0"/>
              <w:left w:val="single" w:color="auto" w:sz="4" w:space="0"/>
              <w:bottom w:val="single" w:color="auto" w:sz="4" w:space="0"/>
              <w:right w:val="single" w:color="auto" w:sz="4" w:space="0"/>
            </w:tcBorders>
            <w:vAlign w:val="center"/>
          </w:tcPr>
          <w:p w14:paraId="511E4008">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混凝土振捣棒</w:t>
            </w:r>
          </w:p>
        </w:tc>
        <w:tc>
          <w:tcPr>
            <w:tcW w:w="3195" w:type="dxa"/>
            <w:tcBorders>
              <w:top w:val="single" w:color="auto" w:sz="4" w:space="0"/>
              <w:left w:val="single" w:color="auto" w:sz="4" w:space="0"/>
              <w:bottom w:val="single" w:color="auto" w:sz="4" w:space="0"/>
              <w:right w:val="single" w:color="auto" w:sz="4" w:space="0"/>
            </w:tcBorders>
            <w:vAlign w:val="center"/>
          </w:tcPr>
          <w:p w14:paraId="1B3BDA79">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90</w:t>
            </w:r>
          </w:p>
        </w:tc>
      </w:tr>
      <w:tr w14:paraId="22F4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913" w:type="dxa"/>
            <w:vMerge w:val="continue"/>
            <w:tcBorders>
              <w:left w:val="single" w:color="auto" w:sz="4" w:space="0"/>
              <w:right w:val="single" w:color="auto" w:sz="4" w:space="0"/>
            </w:tcBorders>
            <w:vAlign w:val="center"/>
          </w:tcPr>
          <w:p w14:paraId="2AA10D48">
            <w:pPr>
              <w:widowControl/>
              <w:spacing w:line="240" w:lineRule="auto"/>
              <w:jc w:val="left"/>
              <w:rPr>
                <w:rFonts w:hint="default" w:ascii="Times New Roman" w:hAnsi="Times New Roman" w:eastAsia="宋体" w:cs="Times New Roman"/>
                <w:color w:val="auto"/>
                <w:kern w:val="0"/>
                <w:sz w:val="21"/>
              </w:rPr>
            </w:pPr>
          </w:p>
        </w:tc>
        <w:tc>
          <w:tcPr>
            <w:tcW w:w="2659" w:type="dxa"/>
            <w:tcBorders>
              <w:top w:val="single" w:color="auto" w:sz="4" w:space="0"/>
              <w:left w:val="single" w:color="auto" w:sz="4" w:space="0"/>
              <w:bottom w:val="single" w:color="auto" w:sz="4" w:space="0"/>
              <w:right w:val="single" w:color="auto" w:sz="4" w:space="0"/>
            </w:tcBorders>
            <w:vAlign w:val="center"/>
          </w:tcPr>
          <w:p w14:paraId="7D3EAA25">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吊车</w:t>
            </w:r>
          </w:p>
        </w:tc>
        <w:tc>
          <w:tcPr>
            <w:tcW w:w="3195" w:type="dxa"/>
            <w:tcBorders>
              <w:top w:val="single" w:color="auto" w:sz="4" w:space="0"/>
              <w:left w:val="single" w:color="auto" w:sz="4" w:space="0"/>
              <w:bottom w:val="single" w:color="auto" w:sz="4" w:space="0"/>
              <w:right w:val="single" w:color="auto" w:sz="4" w:space="0"/>
            </w:tcBorders>
            <w:vAlign w:val="center"/>
          </w:tcPr>
          <w:p w14:paraId="5233458E">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85</w:t>
            </w:r>
          </w:p>
        </w:tc>
      </w:tr>
      <w:tr w14:paraId="6705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913" w:type="dxa"/>
            <w:vMerge w:val="continue"/>
            <w:tcBorders>
              <w:left w:val="single" w:color="auto" w:sz="4" w:space="0"/>
              <w:bottom w:val="single" w:color="auto" w:sz="4" w:space="0"/>
              <w:right w:val="single" w:color="auto" w:sz="4" w:space="0"/>
            </w:tcBorders>
            <w:vAlign w:val="center"/>
          </w:tcPr>
          <w:p w14:paraId="02CBB7D2">
            <w:pPr>
              <w:widowControl/>
              <w:spacing w:line="240" w:lineRule="auto"/>
              <w:jc w:val="left"/>
              <w:rPr>
                <w:rFonts w:hint="default" w:ascii="Times New Roman" w:hAnsi="Times New Roman" w:eastAsia="宋体" w:cs="Times New Roman"/>
                <w:color w:val="auto"/>
                <w:kern w:val="0"/>
                <w:sz w:val="21"/>
              </w:rPr>
            </w:pPr>
          </w:p>
        </w:tc>
        <w:tc>
          <w:tcPr>
            <w:tcW w:w="2659" w:type="dxa"/>
            <w:tcBorders>
              <w:top w:val="single" w:color="auto" w:sz="4" w:space="0"/>
              <w:left w:val="single" w:color="auto" w:sz="4" w:space="0"/>
              <w:bottom w:val="single" w:color="auto" w:sz="4" w:space="0"/>
              <w:right w:val="single" w:color="auto" w:sz="4" w:space="0"/>
            </w:tcBorders>
            <w:vAlign w:val="center"/>
          </w:tcPr>
          <w:p w14:paraId="6E5BDFDF">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电锯</w:t>
            </w:r>
          </w:p>
        </w:tc>
        <w:tc>
          <w:tcPr>
            <w:tcW w:w="3195" w:type="dxa"/>
            <w:tcBorders>
              <w:top w:val="single" w:color="auto" w:sz="4" w:space="0"/>
              <w:left w:val="single" w:color="auto" w:sz="4" w:space="0"/>
              <w:bottom w:val="single" w:color="auto" w:sz="4" w:space="0"/>
              <w:right w:val="single" w:color="auto" w:sz="4" w:space="0"/>
            </w:tcBorders>
            <w:vAlign w:val="center"/>
          </w:tcPr>
          <w:p w14:paraId="21FAF161">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95</w:t>
            </w:r>
          </w:p>
        </w:tc>
      </w:tr>
      <w:tr w14:paraId="08BF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vMerge w:val="restart"/>
            <w:tcBorders>
              <w:top w:val="single" w:color="auto" w:sz="4" w:space="0"/>
              <w:left w:val="single" w:color="auto" w:sz="4" w:space="0"/>
              <w:bottom w:val="single" w:color="auto" w:sz="4" w:space="0"/>
              <w:right w:val="single" w:color="auto" w:sz="4" w:space="0"/>
            </w:tcBorders>
            <w:vAlign w:val="center"/>
          </w:tcPr>
          <w:p w14:paraId="4533D8B0">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color w:val="auto"/>
                <w:kern w:val="0"/>
                <w:sz w:val="21"/>
              </w:rPr>
              <w:t>装修阶段、设备安装</w:t>
            </w:r>
          </w:p>
        </w:tc>
        <w:tc>
          <w:tcPr>
            <w:tcW w:w="2659" w:type="dxa"/>
            <w:tcBorders>
              <w:top w:val="single" w:color="auto" w:sz="4" w:space="0"/>
              <w:left w:val="single" w:color="auto" w:sz="4" w:space="0"/>
              <w:bottom w:val="single" w:color="auto" w:sz="4" w:space="0"/>
              <w:right w:val="single" w:color="auto" w:sz="4" w:space="0"/>
            </w:tcBorders>
            <w:vAlign w:val="center"/>
          </w:tcPr>
          <w:p w14:paraId="3464867A">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切割机</w:t>
            </w:r>
          </w:p>
        </w:tc>
        <w:tc>
          <w:tcPr>
            <w:tcW w:w="3195" w:type="dxa"/>
            <w:tcBorders>
              <w:top w:val="single" w:color="auto" w:sz="4" w:space="0"/>
              <w:left w:val="single" w:color="auto" w:sz="4" w:space="0"/>
              <w:bottom w:val="single" w:color="auto" w:sz="4" w:space="0"/>
              <w:right w:val="single" w:color="auto" w:sz="4" w:space="0"/>
            </w:tcBorders>
            <w:vAlign w:val="center"/>
          </w:tcPr>
          <w:p w14:paraId="38E694B6">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88</w:t>
            </w:r>
          </w:p>
        </w:tc>
      </w:tr>
      <w:tr w14:paraId="5752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vMerge w:val="continue"/>
            <w:tcBorders>
              <w:top w:val="single" w:color="auto" w:sz="4" w:space="0"/>
              <w:left w:val="single" w:color="auto" w:sz="4" w:space="0"/>
              <w:bottom w:val="single" w:color="auto" w:sz="4" w:space="0"/>
              <w:right w:val="single" w:color="auto" w:sz="4" w:space="0"/>
            </w:tcBorders>
            <w:vAlign w:val="center"/>
          </w:tcPr>
          <w:p w14:paraId="63896DAF">
            <w:pPr>
              <w:widowControl/>
              <w:spacing w:line="240" w:lineRule="auto"/>
              <w:jc w:val="left"/>
              <w:rPr>
                <w:rFonts w:hint="default" w:ascii="Times New Roman" w:hAnsi="Times New Roman" w:eastAsia="宋体" w:cs="Times New Roman"/>
                <w:bCs/>
                <w:color w:val="auto"/>
                <w:kern w:val="0"/>
                <w:sz w:val="21"/>
              </w:rPr>
            </w:pPr>
          </w:p>
        </w:tc>
        <w:tc>
          <w:tcPr>
            <w:tcW w:w="2659" w:type="dxa"/>
            <w:tcBorders>
              <w:top w:val="single" w:color="auto" w:sz="4" w:space="0"/>
              <w:left w:val="single" w:color="auto" w:sz="4" w:space="0"/>
              <w:bottom w:val="single" w:color="auto" w:sz="4" w:space="0"/>
              <w:right w:val="single" w:color="auto" w:sz="4" w:space="0"/>
            </w:tcBorders>
            <w:vAlign w:val="center"/>
          </w:tcPr>
          <w:p w14:paraId="4068ECF5">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电钻</w:t>
            </w:r>
          </w:p>
        </w:tc>
        <w:tc>
          <w:tcPr>
            <w:tcW w:w="3195" w:type="dxa"/>
            <w:tcBorders>
              <w:top w:val="single" w:color="auto" w:sz="4" w:space="0"/>
              <w:left w:val="single" w:color="auto" w:sz="4" w:space="0"/>
              <w:bottom w:val="single" w:color="auto" w:sz="4" w:space="0"/>
              <w:right w:val="single" w:color="auto" w:sz="4" w:space="0"/>
            </w:tcBorders>
            <w:vAlign w:val="center"/>
          </w:tcPr>
          <w:p w14:paraId="6A850444">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90</w:t>
            </w:r>
          </w:p>
        </w:tc>
      </w:tr>
      <w:tr w14:paraId="19022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vMerge w:val="continue"/>
            <w:tcBorders>
              <w:top w:val="single" w:color="auto" w:sz="4" w:space="0"/>
              <w:left w:val="single" w:color="auto" w:sz="4" w:space="0"/>
              <w:bottom w:val="single" w:color="auto" w:sz="4" w:space="0"/>
              <w:right w:val="single" w:color="auto" w:sz="4" w:space="0"/>
            </w:tcBorders>
            <w:vAlign w:val="center"/>
          </w:tcPr>
          <w:p w14:paraId="453E55F7">
            <w:pPr>
              <w:widowControl/>
              <w:spacing w:line="240" w:lineRule="auto"/>
              <w:jc w:val="left"/>
              <w:rPr>
                <w:rFonts w:hint="default" w:ascii="Times New Roman" w:hAnsi="Times New Roman" w:eastAsia="宋体" w:cs="Times New Roman"/>
                <w:bCs/>
                <w:color w:val="auto"/>
                <w:kern w:val="0"/>
                <w:sz w:val="21"/>
              </w:rPr>
            </w:pPr>
          </w:p>
        </w:tc>
        <w:tc>
          <w:tcPr>
            <w:tcW w:w="2659" w:type="dxa"/>
            <w:tcBorders>
              <w:top w:val="single" w:color="auto" w:sz="4" w:space="0"/>
              <w:left w:val="single" w:color="auto" w:sz="4" w:space="0"/>
              <w:bottom w:val="single" w:color="auto" w:sz="4" w:space="0"/>
              <w:right w:val="single" w:color="auto" w:sz="4" w:space="0"/>
            </w:tcBorders>
            <w:vAlign w:val="center"/>
          </w:tcPr>
          <w:p w14:paraId="52EE3BB0">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电锯</w:t>
            </w:r>
          </w:p>
        </w:tc>
        <w:tc>
          <w:tcPr>
            <w:tcW w:w="3195" w:type="dxa"/>
            <w:tcBorders>
              <w:top w:val="single" w:color="auto" w:sz="4" w:space="0"/>
              <w:left w:val="single" w:color="auto" w:sz="4" w:space="0"/>
              <w:bottom w:val="single" w:color="auto" w:sz="4" w:space="0"/>
              <w:right w:val="single" w:color="auto" w:sz="4" w:space="0"/>
            </w:tcBorders>
            <w:vAlign w:val="center"/>
          </w:tcPr>
          <w:p w14:paraId="53F67837">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103</w:t>
            </w:r>
          </w:p>
        </w:tc>
      </w:tr>
      <w:tr w14:paraId="73EB7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13" w:type="dxa"/>
            <w:tcBorders>
              <w:top w:val="single" w:color="auto" w:sz="4" w:space="0"/>
              <w:left w:val="single" w:color="auto" w:sz="4" w:space="0"/>
              <w:bottom w:val="single" w:color="auto" w:sz="4" w:space="0"/>
              <w:right w:val="single" w:color="auto" w:sz="4" w:space="0"/>
            </w:tcBorders>
            <w:vAlign w:val="center"/>
          </w:tcPr>
          <w:p w14:paraId="64FE9C18">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施工全过程</w:t>
            </w:r>
          </w:p>
        </w:tc>
        <w:tc>
          <w:tcPr>
            <w:tcW w:w="2659" w:type="dxa"/>
            <w:tcBorders>
              <w:top w:val="single" w:color="auto" w:sz="4" w:space="0"/>
              <w:left w:val="single" w:color="auto" w:sz="4" w:space="0"/>
              <w:bottom w:val="single" w:color="auto" w:sz="4" w:space="0"/>
              <w:right w:val="single" w:color="auto" w:sz="4" w:space="0"/>
            </w:tcBorders>
            <w:vAlign w:val="center"/>
          </w:tcPr>
          <w:p w14:paraId="027AE413">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载重车</w:t>
            </w:r>
          </w:p>
        </w:tc>
        <w:tc>
          <w:tcPr>
            <w:tcW w:w="3195" w:type="dxa"/>
            <w:tcBorders>
              <w:top w:val="single" w:color="auto" w:sz="4" w:space="0"/>
              <w:left w:val="single" w:color="auto" w:sz="4" w:space="0"/>
              <w:bottom w:val="single" w:color="auto" w:sz="4" w:space="0"/>
              <w:right w:val="single" w:color="auto" w:sz="4" w:space="0"/>
            </w:tcBorders>
            <w:vAlign w:val="center"/>
          </w:tcPr>
          <w:p w14:paraId="20A12237">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80～85</w:t>
            </w:r>
          </w:p>
        </w:tc>
      </w:tr>
    </w:tbl>
    <w:p w14:paraId="2D61E5EA">
      <w:pPr>
        <w:adjustRightInd w:val="0"/>
        <w:snapToGrid w:val="0"/>
        <w:spacing w:beforeLines="50"/>
        <w:outlineLvl w:val="1"/>
        <w:rPr>
          <w:rFonts w:hint="default" w:ascii="Times New Roman" w:hAnsi="Times New Roman" w:eastAsia="宋体" w:cs="Times New Roman"/>
          <w:b/>
          <w:color w:val="auto"/>
          <w:sz w:val="32"/>
          <w:szCs w:val="32"/>
        </w:rPr>
      </w:pPr>
      <w:bookmarkStart w:id="247" w:name="_Toc26091"/>
      <w:bookmarkStart w:id="248" w:name="_Toc10700"/>
      <w:r>
        <w:rPr>
          <w:rFonts w:hint="default" w:ascii="Times New Roman" w:hAnsi="Times New Roman" w:eastAsia="宋体" w:cs="Times New Roman"/>
          <w:b/>
          <w:color w:val="auto"/>
          <w:sz w:val="32"/>
          <w:szCs w:val="32"/>
        </w:rPr>
        <w:t>3.3运营期产污环节及污染物产排分析</w:t>
      </w:r>
      <w:bookmarkEnd w:id="247"/>
      <w:bookmarkEnd w:id="248"/>
    </w:p>
    <w:p w14:paraId="52FC635A">
      <w:pPr>
        <w:pStyle w:val="11"/>
        <w:adjustRightInd w:val="0"/>
        <w:snapToGrid w:val="0"/>
        <w:spacing w:before="0" w:after="0" w:line="360" w:lineRule="auto"/>
        <w:rPr>
          <w:rFonts w:hint="default" w:ascii="Times New Roman" w:hAnsi="Times New Roman" w:eastAsia="宋体" w:cs="Times New Roman"/>
          <w:b/>
          <w:color w:val="auto"/>
        </w:rPr>
      </w:pPr>
      <w:bookmarkStart w:id="249" w:name="OLE_LINK2"/>
      <w:bookmarkStart w:id="250" w:name="_Toc30435"/>
      <w:bookmarkStart w:id="251" w:name="OLE_LINK1"/>
      <w:r>
        <w:rPr>
          <w:rFonts w:hint="default" w:ascii="Times New Roman" w:hAnsi="Times New Roman" w:eastAsia="宋体" w:cs="Times New Roman"/>
          <w:color w:val="auto"/>
          <w:sz w:val="28"/>
          <w:szCs w:val="28"/>
        </w:rPr>
        <w:t>3.3.1工艺流程简述</w:t>
      </w:r>
      <w:bookmarkEnd w:id="249"/>
      <w:bookmarkEnd w:id="250"/>
      <w:bookmarkEnd w:id="251"/>
    </w:p>
    <w:p w14:paraId="1615CEF6">
      <w:pPr>
        <w:ind w:firstLine="482" w:firstLineChars="200"/>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1、服装生产工艺</w:t>
      </w:r>
    </w:p>
    <w:p w14:paraId="4380CAF4">
      <w:pPr>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本项目年产</w:t>
      </w:r>
      <w:r>
        <w:rPr>
          <w:rFonts w:hint="default" w:ascii="Times New Roman" w:hAnsi="Times New Roman" w:eastAsia="宋体" w:cs="Times New Roman"/>
          <w:color w:val="auto"/>
          <w:lang w:eastAsia="zh-CN"/>
        </w:rPr>
        <w:t>服装</w:t>
      </w:r>
      <w:r>
        <w:rPr>
          <w:rFonts w:hint="default" w:ascii="Times New Roman" w:hAnsi="Times New Roman" w:eastAsia="宋体" w:cs="Times New Roman"/>
          <w:color w:val="auto"/>
          <w:lang w:val="en-US" w:eastAsia="zh-CN"/>
        </w:rPr>
        <w:t>45万件</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服装制造工艺流程为下料、裁剪、缝制、锁钉、检验</w:t>
      </w:r>
      <w:r>
        <w:rPr>
          <w:rFonts w:hint="default" w:ascii="Times New Roman" w:hAnsi="Times New Roman" w:eastAsia="宋体" w:cs="Times New Roman"/>
          <w:color w:val="auto"/>
        </w:rPr>
        <w:t>。</w:t>
      </w:r>
    </w:p>
    <w:p w14:paraId="4D9992D6">
      <w:pPr>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项目工艺流程及产污节点详见图 3</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-1。</w:t>
      </w:r>
    </w:p>
    <w:p w14:paraId="77BD3400">
      <w:pPr>
        <w:jc w:val="center"/>
        <w:rPr>
          <w:rFonts w:hint="default" w:ascii="Times New Roman" w:hAnsi="Times New Roman" w:eastAsia="宋体" w:cs="Times New Roman"/>
          <w:b/>
          <w:color w:val="auto"/>
        </w:rPr>
      </w:pPr>
      <w:r>
        <w:rPr>
          <w:rFonts w:hint="default" w:ascii="Times New Roman" w:hAnsi="Times New Roman" w:eastAsia="宋体" w:cs="Times New Roman"/>
          <w:color w:val="auto"/>
        </w:rPr>
        <w:object>
          <v:shape id="_x0000_i1029" o:spt="75" type="#_x0000_t75" style="height:394.7pt;width:467.45pt;" o:ole="t" filled="f" o:preferrelative="t" stroked="t" coordsize="21600,21600">
            <v:path/>
            <v:fill on="f" focussize="0,0"/>
            <v:stroke color="#000000" joinstyle="miter"/>
            <v:imagedata r:id="rId25" o:title=""/>
            <o:lock v:ext="edit" aspectratio="t"/>
            <w10:wrap type="none"/>
            <w10:anchorlock/>
          </v:shape>
          <o:OLEObject Type="Embed" ProgID="Visio.Drawing.11" ShapeID="_x0000_i1029" DrawAspect="Content" ObjectID="_1468075729" r:id="rId24">
            <o:LockedField>false</o:LockedField>
          </o:OLEObject>
        </w:object>
      </w:r>
      <w:r>
        <w:rPr>
          <w:rFonts w:hint="default" w:ascii="Times New Roman" w:hAnsi="Times New Roman" w:eastAsia="宋体" w:cs="Times New Roman"/>
          <w:b/>
          <w:color w:val="auto"/>
        </w:rPr>
        <w:t>图3.3-1 工艺流程及产污环节示意图</w:t>
      </w:r>
    </w:p>
    <w:p w14:paraId="215D13AA">
      <w:pPr>
        <w:ind w:firstLine="482" w:firstLineChars="200"/>
        <w:jc w:val="left"/>
        <w:rPr>
          <w:rFonts w:hint="default" w:ascii="Times New Roman" w:hAnsi="Times New Roman" w:eastAsia="宋体" w:cs="Times New Roman"/>
          <w:b/>
          <w:color w:val="auto"/>
        </w:rPr>
      </w:pPr>
      <w:bookmarkStart w:id="252" w:name="OLE_LINK38"/>
      <w:bookmarkStart w:id="253" w:name="OLE_LINK37"/>
      <w:r>
        <w:rPr>
          <w:rFonts w:hint="default" w:ascii="Times New Roman" w:hAnsi="Times New Roman" w:eastAsia="宋体" w:cs="Times New Roman"/>
          <w:b/>
          <w:color w:val="auto"/>
        </w:rPr>
        <w:t>主要生产工艺流程</w:t>
      </w:r>
      <w:r>
        <w:rPr>
          <w:rFonts w:hint="default" w:ascii="Times New Roman" w:hAnsi="Times New Roman" w:eastAsia="宋体" w:cs="Times New Roman"/>
          <w:b/>
          <w:color w:val="auto"/>
          <w:lang w:eastAsia="zh-CN"/>
        </w:rPr>
        <w:t>简述</w:t>
      </w:r>
      <w:r>
        <w:rPr>
          <w:rFonts w:hint="default" w:ascii="Times New Roman" w:hAnsi="Times New Roman" w:eastAsia="宋体" w:cs="Times New Roman"/>
          <w:b/>
          <w:color w:val="auto"/>
        </w:rPr>
        <w:t>：</w:t>
      </w:r>
    </w:p>
    <w:bookmarkEnd w:id="252"/>
    <w:bookmarkEnd w:id="253"/>
    <w:p w14:paraId="660701E7">
      <w:pPr>
        <w:autoSpaceDE w:val="0"/>
        <w:autoSpaceDN w:val="0"/>
        <w:adjustRightInd w:val="0"/>
        <w:ind w:firstLine="480" w:firstLineChars="200"/>
        <w:jc w:val="left"/>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lang w:val="en-US" w:eastAsia="zh-CN"/>
        </w:rPr>
        <w:t>1</w:t>
      </w: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b/>
          <w:color w:val="auto"/>
          <w:lang w:eastAsia="zh-CN"/>
        </w:rPr>
        <w:t>服装制造</w:t>
      </w:r>
      <w:r>
        <w:rPr>
          <w:rFonts w:hint="default" w:ascii="Times New Roman" w:hAnsi="Times New Roman" w:eastAsia="宋体" w:cs="Times New Roman"/>
          <w:b/>
          <w:color w:val="auto"/>
        </w:rPr>
        <w:t>工艺流程</w:t>
      </w:r>
    </w:p>
    <w:p w14:paraId="0EDFE64D">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下料</w:t>
      </w:r>
      <w:r>
        <w:rPr>
          <w:rFonts w:hint="default" w:ascii="Times New Roman" w:hAnsi="Times New Roman" w:eastAsia="宋体" w:cs="Times New Roman"/>
          <w:color w:val="auto"/>
          <w:kern w:val="0"/>
        </w:rPr>
        <w:t>：将外购的布匹搬运至裁剪区，准备裁剪。</w:t>
      </w:r>
    </w:p>
    <w:p w14:paraId="7C14FB28">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裁剪</w:t>
      </w:r>
      <w:r>
        <w:rPr>
          <w:rFonts w:hint="default" w:ascii="Times New Roman" w:hAnsi="Times New Roman" w:eastAsia="宋体" w:cs="Times New Roman"/>
          <w:color w:val="auto"/>
          <w:kern w:val="0"/>
        </w:rPr>
        <w:t>：在批量生产前，首先要由技术人员做好大生产前的技术准备工作。技术准备包括工艺单、样板的制定和样衣的制作三个内容。技术准备是确保批量生产顺利进行以及最终成品符合客户要求的重要手段。此过程会产生噪声及废边角料。</w:t>
      </w:r>
    </w:p>
    <w:p w14:paraId="4A79A994">
      <w:pPr>
        <w:autoSpaceDE w:val="0"/>
        <w:autoSpaceDN w:val="0"/>
        <w:adjustRightInd w:val="0"/>
        <w:ind w:firstLine="480" w:firstLineChars="200"/>
        <w:jc w:val="left"/>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kern w:val="0"/>
          <w:lang w:eastAsia="zh-CN"/>
        </w:rPr>
        <w:t>缝制</w:t>
      </w:r>
      <w:r>
        <w:rPr>
          <w:rFonts w:hint="default" w:ascii="Times New Roman" w:hAnsi="Times New Roman" w:eastAsia="宋体" w:cs="Times New Roman"/>
          <w:color w:val="auto"/>
          <w:kern w:val="0"/>
        </w:rPr>
        <w:t>：缝制是服装加工的中心工序，服装的缝制根据款式、工艺风格等可分为机器缝制和手工缝制两种。在缝制加工过程实行流水作业。此过程会产生噪声。</w:t>
      </w:r>
    </w:p>
    <w:p w14:paraId="5471C660">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锁眼钉扣：服装中的锁眼和钉扣通常由机器加工而成，扣眼根据其形状分为平型和眼型孔两种。</w:t>
      </w:r>
    </w:p>
    <w:p w14:paraId="230CD75E">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初检验</w:t>
      </w:r>
      <w:r>
        <w:rPr>
          <w:rFonts w:hint="default" w:ascii="Times New Roman" w:hAnsi="Times New Roman" w:eastAsia="宋体" w:cs="Times New Roman"/>
          <w:color w:val="auto"/>
          <w:kern w:val="0"/>
        </w:rPr>
        <w:t>：对产品进行初步检验，主要包括剪线头。此工序会产生废边角料。</w:t>
      </w:r>
    </w:p>
    <w:p w14:paraId="146A303D">
      <w:pPr>
        <w:autoSpaceDE w:val="0"/>
        <w:autoSpaceDN w:val="0"/>
        <w:adjustRightInd w:val="0"/>
        <w:ind w:firstLine="480" w:firstLineChars="200"/>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lang w:eastAsia="zh-CN"/>
        </w:rPr>
        <w:t>成衣检验</w:t>
      </w:r>
      <w:r>
        <w:rPr>
          <w:rFonts w:hint="default" w:ascii="Times New Roman" w:hAnsi="Times New Roman" w:eastAsia="宋体" w:cs="Times New Roman"/>
          <w:color w:val="auto"/>
          <w:kern w:val="0"/>
        </w:rPr>
        <w:t>：</w:t>
      </w:r>
      <w:r>
        <w:rPr>
          <w:rFonts w:hint="default" w:ascii="Times New Roman" w:hAnsi="Times New Roman" w:eastAsia="宋体" w:cs="Times New Roman"/>
          <w:color w:val="auto"/>
          <w:kern w:val="0"/>
          <w:szCs w:val="24"/>
        </w:rPr>
        <w:t>主要内容有款式是否同确认样相同；尺寸规格是否符合工艺单和样衣的要求；缝合是否正确，缝制是否规整、平服；条格面料的服装检查对格对条是否正确；面料丝缕是否正确，面料上有无疵点，油污存在。</w:t>
      </w:r>
    </w:p>
    <w:p w14:paraId="45E8823A">
      <w:pPr>
        <w:autoSpaceDE w:val="0"/>
        <w:autoSpaceDN w:val="0"/>
        <w:adjustRightInd w:val="0"/>
        <w:ind w:firstLine="480" w:firstLineChars="200"/>
        <w:jc w:val="left"/>
        <w:rPr>
          <w:rFonts w:hint="default" w:ascii="Times New Roman" w:hAnsi="Times New Roman" w:eastAsia="宋体" w:cs="Times New Roman"/>
          <w:color w:val="auto"/>
          <w:kern w:val="0"/>
          <w:lang w:eastAsia="zh-CN"/>
        </w:rPr>
      </w:pPr>
      <w:r>
        <w:rPr>
          <w:rFonts w:hint="default" w:ascii="Times New Roman" w:hAnsi="Times New Roman" w:eastAsia="宋体" w:cs="Times New Roman"/>
          <w:color w:val="auto"/>
          <w:kern w:val="0"/>
          <w:lang w:eastAsia="zh-CN"/>
        </w:rPr>
        <w:t>（</w:t>
      </w:r>
      <w:r>
        <w:rPr>
          <w:rFonts w:hint="default" w:ascii="Times New Roman" w:hAnsi="Times New Roman" w:eastAsia="宋体" w:cs="Times New Roman"/>
          <w:color w:val="auto"/>
          <w:kern w:val="0"/>
          <w:lang w:val="en-US" w:eastAsia="zh-CN"/>
        </w:rPr>
        <w:t>2</w:t>
      </w:r>
      <w:r>
        <w:rPr>
          <w:rFonts w:hint="default" w:ascii="Times New Roman" w:hAnsi="Times New Roman" w:eastAsia="宋体" w:cs="Times New Roman"/>
          <w:color w:val="auto"/>
          <w:kern w:val="0"/>
          <w:lang w:eastAsia="zh-CN"/>
        </w:rPr>
        <w:t>）服装水系工艺流程</w:t>
      </w:r>
    </w:p>
    <w:p w14:paraId="4FE4AF18">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清水洗</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rPr>
        <w:t>在水洗机中加入待洗服饰，</w:t>
      </w:r>
      <w:r>
        <w:rPr>
          <w:rFonts w:hint="default" w:ascii="Times New Roman" w:hAnsi="Times New Roman" w:eastAsia="宋体" w:cs="Times New Roman"/>
          <w:color w:val="auto"/>
          <w:kern w:val="0"/>
          <w:szCs w:val="24"/>
          <w:lang w:eastAsia="zh-CN"/>
        </w:rPr>
        <w:t>加清水，</w:t>
      </w:r>
      <w:r>
        <w:rPr>
          <w:rFonts w:hint="default" w:ascii="Times New Roman" w:hAnsi="Times New Roman" w:eastAsia="宋体" w:cs="Times New Roman"/>
          <w:color w:val="auto"/>
          <w:kern w:val="0"/>
          <w:szCs w:val="24"/>
        </w:rPr>
        <w:t>清水洗1遍</w:t>
      </w:r>
      <w:r>
        <w:rPr>
          <w:rFonts w:hint="default" w:ascii="Times New Roman" w:hAnsi="Times New Roman" w:eastAsia="宋体" w:cs="Times New Roman"/>
          <w:color w:val="auto"/>
          <w:kern w:val="0"/>
          <w:szCs w:val="24"/>
          <w:lang w:eastAsia="zh-CN"/>
        </w:rPr>
        <w:t>，清洗</w:t>
      </w:r>
      <w:r>
        <w:rPr>
          <w:rFonts w:hint="default" w:ascii="Times New Roman" w:hAnsi="Times New Roman" w:eastAsia="宋体" w:cs="Times New Roman"/>
          <w:color w:val="auto"/>
          <w:kern w:val="0"/>
          <w:szCs w:val="24"/>
        </w:rPr>
        <w:t>废水通过水洗机底部的管道排入</w:t>
      </w:r>
      <w:r>
        <w:rPr>
          <w:rFonts w:hint="default" w:ascii="Times New Roman" w:hAnsi="Times New Roman" w:eastAsia="宋体" w:cs="Times New Roman"/>
          <w:color w:val="auto"/>
          <w:kern w:val="0"/>
          <w:szCs w:val="24"/>
          <w:lang w:eastAsia="zh-CN"/>
        </w:rPr>
        <w:t>项目三级沉淀池，处理后再排入项目之间污水处理设施，</w:t>
      </w:r>
      <w:r>
        <w:rPr>
          <w:rFonts w:hint="default" w:ascii="Times New Roman" w:hAnsi="Times New Roman" w:eastAsia="宋体" w:cs="Times New Roman"/>
          <w:color w:val="auto"/>
          <w:kern w:val="0"/>
          <w:szCs w:val="24"/>
        </w:rPr>
        <w:t>此工序会产生水洗机噪声</w:t>
      </w:r>
      <w:r>
        <w:rPr>
          <w:rFonts w:hint="default" w:ascii="Times New Roman" w:hAnsi="Times New Roman" w:eastAsia="宋体" w:cs="Times New Roman"/>
          <w:color w:val="auto"/>
          <w:kern w:val="0"/>
          <w:szCs w:val="24"/>
          <w:lang w:eastAsia="zh-CN"/>
        </w:rPr>
        <w:t>、洗衣废水</w:t>
      </w:r>
      <w:r>
        <w:rPr>
          <w:rFonts w:hint="default" w:ascii="Times New Roman" w:hAnsi="Times New Roman" w:eastAsia="宋体" w:cs="Times New Roman"/>
          <w:color w:val="auto"/>
          <w:kern w:val="0"/>
          <w:szCs w:val="24"/>
        </w:rPr>
        <w:t>。</w:t>
      </w:r>
    </w:p>
    <w:p w14:paraId="336A7FBA">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4"/>
        </w:rPr>
        <w:t>加软</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lang w:eastAsia="zh-CN"/>
        </w:rPr>
        <w:t>清洗</w:t>
      </w:r>
      <w:r>
        <w:rPr>
          <w:rFonts w:hint="default" w:ascii="Times New Roman" w:hAnsi="Times New Roman" w:eastAsia="宋体" w:cs="Times New Roman"/>
          <w:color w:val="auto"/>
        </w:rPr>
        <w:t>退水后，按比例依次加入新鲜水、柔顺剂进行加软作业。加软为常温，无需加热。</w:t>
      </w:r>
    </w:p>
    <w:p w14:paraId="2B63A045">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rPr>
        <w:t>衣物柔顺剂，又名衣物护理剂，是一种洗涤护理用品，适用于织物洗涤护理过程中配合洗涤剂使用，衣物柔顺剂的作用就好像是为织物纤维的表面均匀地上一层保护膜，纤维表面由于吸附了柔软剂，纤维间的摩擦系数降低了，可移动性增强了，纤维固有的平滑、延伸、压缩性能也得到了恢复，所以织物变得更加柔软、蓬松、有弹性，加软1遍</w:t>
      </w:r>
      <w:r>
        <w:rPr>
          <w:rFonts w:hint="default" w:ascii="Times New Roman" w:hAnsi="Times New Roman" w:eastAsia="宋体" w:cs="Times New Roman"/>
          <w:color w:val="auto"/>
          <w:kern w:val="0"/>
          <w:szCs w:val="24"/>
        </w:rPr>
        <w:t>，结束后退水，加软废水通过水洗机底部的管道排入</w:t>
      </w:r>
      <w:r>
        <w:rPr>
          <w:rFonts w:hint="default" w:ascii="Times New Roman" w:hAnsi="Times New Roman" w:eastAsia="宋体" w:cs="Times New Roman"/>
          <w:color w:val="auto"/>
          <w:kern w:val="0"/>
          <w:szCs w:val="24"/>
          <w:lang w:eastAsia="zh-CN"/>
        </w:rPr>
        <w:t>项目三级沉淀池，处理后再排入项目之间污水处理设施</w:t>
      </w:r>
      <w:r>
        <w:rPr>
          <w:rFonts w:hint="default" w:ascii="Times New Roman" w:hAnsi="Times New Roman" w:eastAsia="宋体" w:cs="Times New Roman"/>
          <w:color w:val="auto"/>
        </w:rPr>
        <w:t>。</w:t>
      </w:r>
      <w:r>
        <w:rPr>
          <w:rFonts w:hint="default" w:ascii="Times New Roman" w:hAnsi="Times New Roman" w:eastAsia="宋体" w:cs="Times New Roman"/>
          <w:color w:val="auto"/>
          <w:kern w:val="0"/>
          <w:szCs w:val="24"/>
        </w:rPr>
        <w:t>此工序会产生加软废水，水洗机噪声。</w:t>
      </w:r>
    </w:p>
    <w:p w14:paraId="3347DFFB">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rPr>
        <w:t>脱水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加软洗后，退水沥干，服饰表面大部分淋溶水在重力作用下</w:t>
      </w:r>
      <w:r>
        <w:rPr>
          <w:rFonts w:hint="default" w:ascii="Times New Roman" w:hAnsi="Times New Roman" w:eastAsia="宋体" w:cs="Times New Roman"/>
          <w:color w:val="auto"/>
          <w:kern w:val="0"/>
          <w:szCs w:val="24"/>
        </w:rPr>
        <w:t>过水洗机底部的管道排入</w:t>
      </w:r>
      <w:r>
        <w:rPr>
          <w:rFonts w:hint="default" w:ascii="Times New Roman" w:hAnsi="Times New Roman" w:eastAsia="宋体" w:cs="Times New Roman"/>
          <w:color w:val="auto"/>
          <w:kern w:val="0"/>
          <w:szCs w:val="24"/>
          <w:lang w:eastAsia="zh-CN"/>
        </w:rPr>
        <w:t>项目三级沉淀池，处理后再排入项目之间污水处理设施</w:t>
      </w:r>
      <w:r>
        <w:rPr>
          <w:rFonts w:hint="default" w:ascii="Times New Roman" w:hAnsi="Times New Roman" w:eastAsia="宋体" w:cs="Times New Roman"/>
          <w:color w:val="auto"/>
        </w:rPr>
        <w:t>，此时服饰仍含有部分吸附水，需将服饰人工取出至转运桶，后推送入脱水机内进行脱水。</w:t>
      </w:r>
      <w:r>
        <w:rPr>
          <w:rFonts w:hint="default" w:ascii="Times New Roman" w:hAnsi="Times New Roman" w:eastAsia="宋体" w:cs="Times New Roman"/>
          <w:color w:val="auto"/>
          <w:kern w:val="0"/>
          <w:szCs w:val="24"/>
        </w:rPr>
        <w:t>此工序会产生脱水机废水W4，脱水机噪声N2。需要指出的是在服饰人工捞出过程中难免会有少量滴撒，由于量极少，建设单位一般采用干拖把进行擦拭，不会形成车间废水，此处不再对其进行分析。</w:t>
      </w:r>
    </w:p>
    <w:p w14:paraId="0350C633">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rPr>
        <w:t>烘干</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脱水后的衣服再放入烘干机中，利用</w:t>
      </w:r>
      <w:r>
        <w:rPr>
          <w:rFonts w:hint="default" w:ascii="Times New Roman" w:hAnsi="Times New Roman" w:eastAsia="宋体" w:cs="Times New Roman"/>
          <w:color w:val="auto"/>
          <w:lang w:eastAsia="zh-CN"/>
        </w:rPr>
        <w:t>电能加热</w:t>
      </w:r>
      <w:r>
        <w:rPr>
          <w:rFonts w:hint="default" w:ascii="Times New Roman" w:hAnsi="Times New Roman" w:eastAsia="宋体" w:cs="Times New Roman"/>
          <w:color w:val="auto"/>
        </w:rPr>
        <w:t>间接烘干，烘干温度控制在80℃左右。</w:t>
      </w:r>
      <w:r>
        <w:rPr>
          <w:rFonts w:hint="default" w:ascii="Times New Roman" w:hAnsi="Times New Roman" w:eastAsia="宋体" w:cs="Times New Roman"/>
          <w:color w:val="auto"/>
          <w:kern w:val="0"/>
          <w:szCs w:val="24"/>
        </w:rPr>
        <w:t>此工序会产生烘干废气G1，</w:t>
      </w:r>
      <w:bookmarkStart w:id="254" w:name="_Hlk510526830"/>
      <w:r>
        <w:rPr>
          <w:rFonts w:hint="default" w:ascii="Times New Roman" w:hAnsi="Times New Roman" w:eastAsia="宋体" w:cs="Times New Roman"/>
          <w:color w:val="auto"/>
          <w:kern w:val="0"/>
          <w:szCs w:val="24"/>
        </w:rPr>
        <w:t>废气主要成分为水蒸气，同时热气经过布料表面时会裹挟走少量未附着纤维毛</w:t>
      </w:r>
      <w:bookmarkEnd w:id="254"/>
      <w:r>
        <w:rPr>
          <w:rFonts w:hint="default" w:ascii="Times New Roman" w:hAnsi="Times New Roman" w:eastAsia="宋体" w:cs="Times New Roman"/>
          <w:color w:val="auto"/>
          <w:kern w:val="0"/>
          <w:szCs w:val="24"/>
        </w:rPr>
        <w:t>，烘干机噪声N3。</w:t>
      </w:r>
    </w:p>
    <w:p w14:paraId="6EE0916D">
      <w:pPr>
        <w:ind w:firstLine="480"/>
        <w:rPr>
          <w:rFonts w:hint="default" w:ascii="Times New Roman" w:hAnsi="Times New Roman" w:eastAsia="宋体" w:cs="Times New Roman"/>
          <w:b/>
          <w:bCs/>
          <w:color w:val="auto"/>
          <w:kern w:val="0"/>
        </w:rPr>
      </w:pPr>
      <w:r>
        <w:rPr>
          <w:rFonts w:hint="default" w:ascii="Times New Roman" w:hAnsi="Times New Roman" w:eastAsia="宋体" w:cs="Times New Roman"/>
          <w:color w:val="auto"/>
          <w:kern w:val="0"/>
          <w:szCs w:val="24"/>
        </w:rPr>
        <w:t>熨烫</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rPr>
        <w:t>整烫人们常用“三分缝制七分整烫"来强调整烫是服装加工中的一个重要的工序。本项目</w:t>
      </w:r>
      <w:r>
        <w:rPr>
          <w:rFonts w:hint="default" w:ascii="Times New Roman" w:hAnsi="Times New Roman" w:eastAsia="宋体" w:cs="Times New Roman"/>
          <w:color w:val="auto"/>
          <w:kern w:val="0"/>
          <w:szCs w:val="24"/>
          <w:lang w:eastAsia="zh-CN"/>
        </w:rPr>
        <w:t>锅炉烫台</w:t>
      </w:r>
      <w:r>
        <w:rPr>
          <w:rFonts w:hint="default" w:ascii="Times New Roman" w:hAnsi="Times New Roman" w:eastAsia="宋体" w:cs="Times New Roman"/>
          <w:color w:val="auto"/>
          <w:kern w:val="0"/>
          <w:szCs w:val="24"/>
        </w:rPr>
        <w:t>采用</w:t>
      </w:r>
      <w:r>
        <w:rPr>
          <w:rFonts w:hint="default" w:ascii="Times New Roman" w:hAnsi="Times New Roman" w:eastAsia="宋体" w:cs="Times New Roman"/>
          <w:color w:val="auto"/>
          <w:kern w:val="0"/>
          <w:szCs w:val="24"/>
          <w:lang w:eastAsia="zh-CN"/>
        </w:rPr>
        <w:t>电能加热</w:t>
      </w:r>
      <w:r>
        <w:rPr>
          <w:rFonts w:hint="default" w:ascii="Times New Roman" w:hAnsi="Times New Roman" w:eastAsia="宋体" w:cs="Times New Roman"/>
          <w:color w:val="auto"/>
          <w:kern w:val="0"/>
          <w:szCs w:val="24"/>
        </w:rPr>
        <w:t>熨烫，</w:t>
      </w:r>
      <w:r>
        <w:rPr>
          <w:rFonts w:hint="default" w:ascii="Times New Roman" w:hAnsi="Times New Roman" w:eastAsia="宋体" w:cs="Times New Roman"/>
          <w:color w:val="auto"/>
          <w:kern w:val="0"/>
          <w:szCs w:val="24"/>
        </w:rPr>
        <w:br w:type="textWrapping"/>
      </w:r>
      <w:r>
        <w:rPr>
          <w:rFonts w:hint="default" w:ascii="Times New Roman" w:hAnsi="Times New Roman" w:eastAsia="宋体" w:cs="Times New Roman"/>
          <w:color w:val="auto"/>
          <w:kern w:val="0"/>
          <w:szCs w:val="24"/>
          <w:lang w:val="en-US" w:eastAsia="zh-CN"/>
        </w:rPr>
        <w:t xml:space="preserve">    </w:t>
      </w:r>
      <w:r>
        <w:rPr>
          <w:rFonts w:hint="default" w:ascii="Times New Roman" w:hAnsi="Times New Roman" w:eastAsia="宋体" w:cs="Times New Roman"/>
          <w:color w:val="auto"/>
          <w:kern w:val="0"/>
          <w:szCs w:val="24"/>
        </w:rPr>
        <w:t>包装入库</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rPr>
        <w:t>服装的包装可分挂装和箱装两种，箱装</w:t>
      </w:r>
      <w:r>
        <w:rPr>
          <w:rFonts w:hint="default" w:ascii="Times New Roman" w:hAnsi="Times New Roman" w:eastAsia="宋体" w:cs="Times New Roman"/>
          <w:color w:val="auto"/>
          <w:kern w:val="0"/>
          <w:szCs w:val="24"/>
          <w:lang w:eastAsia="zh-CN"/>
        </w:rPr>
        <w:t>一般</w:t>
      </w:r>
      <w:r>
        <w:rPr>
          <w:rFonts w:hint="default" w:ascii="Times New Roman" w:hAnsi="Times New Roman" w:eastAsia="宋体" w:cs="Times New Roman"/>
          <w:color w:val="auto"/>
          <w:kern w:val="0"/>
          <w:szCs w:val="24"/>
        </w:rPr>
        <w:t>般又有内包装和外包装之分。此过程会产生废包装材料。</w:t>
      </w:r>
    </w:p>
    <w:p w14:paraId="1EDA9401">
      <w:pPr>
        <w:autoSpaceDE w:val="0"/>
        <w:autoSpaceDN w:val="0"/>
        <w:adjustRightInd w:val="0"/>
        <w:ind w:firstLine="482" w:firstLineChars="200"/>
        <w:jc w:val="left"/>
        <w:rPr>
          <w:rFonts w:hint="default" w:ascii="Times New Roman" w:hAnsi="Times New Roman" w:eastAsia="宋体" w:cs="Times New Roman"/>
          <w:b/>
          <w:bCs/>
          <w:color w:val="auto"/>
          <w:kern w:val="0"/>
        </w:rPr>
      </w:pPr>
      <w:r>
        <w:rPr>
          <w:rFonts w:hint="default" w:ascii="Times New Roman" w:hAnsi="Times New Roman" w:eastAsia="宋体" w:cs="Times New Roman"/>
          <w:b/>
          <w:bCs/>
          <w:color w:val="auto"/>
          <w:kern w:val="0"/>
        </w:rPr>
        <w:t>产污节点说明：</w:t>
      </w:r>
    </w:p>
    <w:p w14:paraId="56BB51BB">
      <w:pPr>
        <w:autoSpaceDE w:val="0"/>
        <w:autoSpaceDN w:val="0"/>
        <w:adjustRightInd w:val="0"/>
        <w:ind w:firstLine="480" w:firstLineChars="200"/>
        <w:jc w:val="left"/>
        <w:rPr>
          <w:rFonts w:hint="default" w:ascii="Times New Roman" w:hAnsi="Times New Roman" w:eastAsia="宋体" w:cs="Times New Roman"/>
          <w:b/>
          <w:color w:val="auto"/>
        </w:rPr>
      </w:pPr>
      <w:r>
        <w:rPr>
          <w:rFonts w:hint="default" w:ascii="Times New Roman" w:hAnsi="Times New Roman" w:eastAsia="宋体" w:cs="Times New Roman"/>
          <w:color w:val="auto"/>
          <w:kern w:val="0"/>
        </w:rPr>
        <w:t>整个生产加工过程产污节点情况见下表</w:t>
      </w:r>
      <w:r>
        <w:rPr>
          <w:rFonts w:hint="default" w:ascii="Times New Roman" w:hAnsi="Times New Roman" w:eastAsia="宋体" w:cs="Times New Roman"/>
          <w:color w:val="auto"/>
          <w:kern w:val="0"/>
          <w:lang w:eastAsia="zh-CN"/>
        </w:rPr>
        <w:t>。</w:t>
      </w:r>
    </w:p>
    <w:p w14:paraId="43D5DD50">
      <w:pPr>
        <w:ind w:firstLine="482" w:firstLineChars="20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表3.3-1  生产加工过程产污节点情况一览表</w:t>
      </w:r>
    </w:p>
    <w:tbl>
      <w:tblPr>
        <w:tblStyle w:val="66"/>
        <w:tblW w:w="8523"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104"/>
        <w:gridCol w:w="1417"/>
        <w:gridCol w:w="2267"/>
        <w:gridCol w:w="3735"/>
      </w:tblGrid>
      <w:tr w14:paraId="65066C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521" w:type="dxa"/>
            <w:gridSpan w:val="2"/>
            <w:shd w:val="clear" w:color="auto" w:fill="auto"/>
            <w:noWrap w:val="0"/>
            <w:vAlign w:val="center"/>
          </w:tcPr>
          <w:p w14:paraId="3B1B461C">
            <w:pPr>
              <w:pStyle w:val="1261"/>
              <w:rPr>
                <w:rFonts w:hint="default" w:ascii="Times New Roman" w:hAnsi="Times New Roman" w:eastAsia="宋体" w:cs="Times New Roman"/>
                <w:color w:val="auto"/>
              </w:rPr>
            </w:pPr>
            <w:bookmarkStart w:id="255" w:name="_Hlk511397610"/>
            <w:r>
              <w:rPr>
                <w:rFonts w:hint="default" w:ascii="Times New Roman" w:hAnsi="Times New Roman" w:eastAsia="宋体" w:cs="Times New Roman"/>
                <w:color w:val="auto"/>
              </w:rPr>
              <w:t>类别</w:t>
            </w:r>
          </w:p>
        </w:tc>
        <w:tc>
          <w:tcPr>
            <w:tcW w:w="2267" w:type="dxa"/>
            <w:shd w:val="clear" w:color="auto" w:fill="auto"/>
            <w:noWrap w:val="0"/>
            <w:vAlign w:val="center"/>
          </w:tcPr>
          <w:p w14:paraId="0B57B534">
            <w:pPr>
              <w:pStyle w:val="1261"/>
              <w:rPr>
                <w:rFonts w:hint="default" w:ascii="Times New Roman" w:hAnsi="Times New Roman" w:eastAsia="宋体" w:cs="Times New Roman"/>
                <w:color w:val="auto"/>
              </w:rPr>
            </w:pPr>
            <w:r>
              <w:rPr>
                <w:rFonts w:hint="default" w:ascii="Times New Roman" w:hAnsi="Times New Roman" w:eastAsia="宋体" w:cs="Times New Roman"/>
                <w:color w:val="auto"/>
              </w:rPr>
              <w:t>产生节点</w:t>
            </w:r>
          </w:p>
        </w:tc>
        <w:tc>
          <w:tcPr>
            <w:tcW w:w="3735" w:type="dxa"/>
            <w:shd w:val="clear" w:color="auto" w:fill="auto"/>
            <w:noWrap w:val="0"/>
            <w:vAlign w:val="center"/>
          </w:tcPr>
          <w:p w14:paraId="75B55E2F">
            <w:pPr>
              <w:pStyle w:val="1261"/>
              <w:rPr>
                <w:rFonts w:hint="default" w:ascii="Times New Roman" w:hAnsi="Times New Roman" w:eastAsia="宋体" w:cs="Times New Roman"/>
                <w:color w:val="auto"/>
              </w:rPr>
            </w:pPr>
            <w:r>
              <w:rPr>
                <w:rFonts w:hint="default" w:ascii="Times New Roman" w:hAnsi="Times New Roman" w:eastAsia="宋体" w:cs="Times New Roman"/>
                <w:color w:val="auto"/>
              </w:rPr>
              <w:t>污染因子</w:t>
            </w:r>
          </w:p>
        </w:tc>
      </w:tr>
      <w:tr w14:paraId="5D37D3F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restart"/>
            <w:shd w:val="clear" w:color="auto" w:fill="auto"/>
            <w:noWrap w:val="0"/>
            <w:vAlign w:val="center"/>
          </w:tcPr>
          <w:p w14:paraId="111CB3B5">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废气</w:t>
            </w:r>
          </w:p>
        </w:tc>
        <w:tc>
          <w:tcPr>
            <w:tcW w:w="1417" w:type="dxa"/>
            <w:shd w:val="clear" w:color="auto" w:fill="auto"/>
            <w:noWrap w:val="0"/>
            <w:vAlign w:val="center"/>
          </w:tcPr>
          <w:p w14:paraId="76AFDFC4">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烘干尾气</w:t>
            </w:r>
          </w:p>
        </w:tc>
        <w:tc>
          <w:tcPr>
            <w:tcW w:w="2267" w:type="dxa"/>
            <w:shd w:val="clear" w:color="auto" w:fill="auto"/>
            <w:noWrap w:val="0"/>
            <w:vAlign w:val="center"/>
          </w:tcPr>
          <w:p w14:paraId="39BC156D">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烘干</w:t>
            </w:r>
          </w:p>
        </w:tc>
        <w:tc>
          <w:tcPr>
            <w:tcW w:w="3735" w:type="dxa"/>
            <w:shd w:val="clear" w:color="auto" w:fill="auto"/>
            <w:noWrap w:val="0"/>
            <w:vAlign w:val="center"/>
          </w:tcPr>
          <w:p w14:paraId="0A86A1EF">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TSP</w:t>
            </w:r>
          </w:p>
        </w:tc>
      </w:tr>
      <w:tr w14:paraId="50CEF9C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31126E61">
            <w:pPr>
              <w:pStyle w:val="756"/>
              <w:rPr>
                <w:rFonts w:hint="default" w:ascii="Times New Roman" w:hAnsi="Times New Roman" w:eastAsia="宋体" w:cs="Times New Roman"/>
                <w:color w:val="auto"/>
              </w:rPr>
            </w:pPr>
          </w:p>
        </w:tc>
        <w:tc>
          <w:tcPr>
            <w:tcW w:w="1417" w:type="dxa"/>
            <w:shd w:val="clear" w:color="auto" w:fill="auto"/>
            <w:noWrap w:val="0"/>
            <w:vAlign w:val="center"/>
          </w:tcPr>
          <w:p w14:paraId="52CA5356">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污水站恶臭</w:t>
            </w:r>
          </w:p>
        </w:tc>
        <w:tc>
          <w:tcPr>
            <w:tcW w:w="2267" w:type="dxa"/>
            <w:shd w:val="clear" w:color="auto" w:fill="auto"/>
            <w:noWrap w:val="0"/>
            <w:vAlign w:val="center"/>
          </w:tcPr>
          <w:p w14:paraId="4A0D03C3">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水处理装置</w:t>
            </w:r>
          </w:p>
        </w:tc>
        <w:tc>
          <w:tcPr>
            <w:tcW w:w="3735" w:type="dxa"/>
            <w:shd w:val="clear" w:color="auto" w:fill="auto"/>
            <w:noWrap w:val="0"/>
            <w:vAlign w:val="center"/>
          </w:tcPr>
          <w:p w14:paraId="049A99C0">
            <w:pPr>
              <w:pStyle w:val="756"/>
              <w:rPr>
                <w:rFonts w:hint="default" w:ascii="Times New Roman" w:hAnsi="Times New Roman" w:eastAsia="宋体" w:cs="Times New Roman"/>
                <w:color w:val="auto"/>
                <w:lang w:eastAsia="zh-CN"/>
              </w:rPr>
            </w:pPr>
            <w:r>
              <w:rPr>
                <w:rFonts w:hint="eastAsia" w:cs="Times New Roman"/>
                <w:color w:val="auto"/>
                <w:lang w:eastAsia="zh-CN"/>
              </w:rPr>
              <w:t>硫化氢、氨气、</w:t>
            </w:r>
            <w:r>
              <w:rPr>
                <w:rFonts w:hint="default" w:ascii="Times New Roman" w:hAnsi="Times New Roman" w:eastAsia="宋体" w:cs="Times New Roman"/>
                <w:color w:val="auto"/>
                <w:lang w:eastAsia="zh-CN"/>
              </w:rPr>
              <w:t>恶臭</w:t>
            </w:r>
          </w:p>
        </w:tc>
      </w:tr>
      <w:tr w14:paraId="761494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4458D1ED">
            <w:pPr>
              <w:pStyle w:val="756"/>
              <w:rPr>
                <w:rFonts w:hint="default" w:ascii="Times New Roman" w:hAnsi="Times New Roman" w:eastAsia="宋体" w:cs="Times New Roman"/>
                <w:color w:val="auto"/>
              </w:rPr>
            </w:pPr>
          </w:p>
        </w:tc>
        <w:tc>
          <w:tcPr>
            <w:tcW w:w="1417" w:type="dxa"/>
            <w:shd w:val="clear" w:color="auto" w:fill="auto"/>
            <w:noWrap w:val="0"/>
            <w:vAlign w:val="center"/>
          </w:tcPr>
          <w:p w14:paraId="532A602C">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加软废水</w:t>
            </w:r>
          </w:p>
        </w:tc>
        <w:tc>
          <w:tcPr>
            <w:tcW w:w="2267" w:type="dxa"/>
            <w:shd w:val="clear" w:color="auto" w:fill="auto"/>
            <w:noWrap w:val="0"/>
            <w:vAlign w:val="center"/>
          </w:tcPr>
          <w:p w14:paraId="785076E3">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加软</w:t>
            </w:r>
          </w:p>
        </w:tc>
        <w:tc>
          <w:tcPr>
            <w:tcW w:w="3735" w:type="dxa"/>
            <w:shd w:val="clear" w:color="auto" w:fill="auto"/>
            <w:noWrap w:val="0"/>
            <w:vAlign w:val="center"/>
          </w:tcPr>
          <w:p w14:paraId="68450BEF">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pH、COD、BOD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、SS、色度、LAS</w:t>
            </w:r>
          </w:p>
        </w:tc>
      </w:tr>
      <w:tr w14:paraId="12D394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43565E7D">
            <w:pPr>
              <w:pStyle w:val="756"/>
              <w:rPr>
                <w:rFonts w:hint="default" w:ascii="Times New Roman" w:hAnsi="Times New Roman" w:eastAsia="宋体" w:cs="Times New Roman"/>
                <w:color w:val="auto"/>
              </w:rPr>
            </w:pPr>
          </w:p>
        </w:tc>
        <w:tc>
          <w:tcPr>
            <w:tcW w:w="1417" w:type="dxa"/>
            <w:shd w:val="clear" w:color="auto" w:fill="auto"/>
            <w:noWrap w:val="0"/>
            <w:vAlign w:val="center"/>
          </w:tcPr>
          <w:p w14:paraId="11B2F6E5">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生活污水</w:t>
            </w:r>
          </w:p>
        </w:tc>
        <w:tc>
          <w:tcPr>
            <w:tcW w:w="2267" w:type="dxa"/>
            <w:shd w:val="clear" w:color="auto" w:fill="auto"/>
            <w:noWrap w:val="0"/>
            <w:vAlign w:val="center"/>
          </w:tcPr>
          <w:p w14:paraId="6B8FE79A">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员工办公生活</w:t>
            </w:r>
          </w:p>
        </w:tc>
        <w:tc>
          <w:tcPr>
            <w:tcW w:w="3735" w:type="dxa"/>
            <w:shd w:val="clear" w:color="auto" w:fill="auto"/>
            <w:noWrap w:val="0"/>
            <w:vAlign w:val="center"/>
          </w:tcPr>
          <w:p w14:paraId="7A0121D3">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pH、COD、BOD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、SS、NH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-N、TP</w:t>
            </w:r>
          </w:p>
        </w:tc>
      </w:tr>
      <w:tr w14:paraId="6548745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shd w:val="clear" w:color="auto" w:fill="auto"/>
            <w:noWrap w:val="0"/>
            <w:vAlign w:val="center"/>
          </w:tcPr>
          <w:p w14:paraId="4F819DE7">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c>
          <w:tcPr>
            <w:tcW w:w="3684" w:type="dxa"/>
            <w:gridSpan w:val="2"/>
            <w:shd w:val="clear" w:color="auto" w:fill="auto"/>
            <w:noWrap w:val="0"/>
            <w:vAlign w:val="center"/>
          </w:tcPr>
          <w:p w14:paraId="7E2B4F8A">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机器运转噪声</w:t>
            </w:r>
          </w:p>
        </w:tc>
        <w:tc>
          <w:tcPr>
            <w:tcW w:w="3735" w:type="dxa"/>
            <w:shd w:val="clear" w:color="auto" w:fill="auto"/>
            <w:noWrap w:val="0"/>
            <w:vAlign w:val="center"/>
          </w:tcPr>
          <w:p w14:paraId="2BFEC5A2">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噪声</w:t>
            </w:r>
          </w:p>
        </w:tc>
      </w:tr>
      <w:tr w14:paraId="59CD23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restart"/>
            <w:shd w:val="clear" w:color="auto" w:fill="auto"/>
            <w:noWrap w:val="0"/>
            <w:vAlign w:val="center"/>
          </w:tcPr>
          <w:p w14:paraId="74ED5279">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固废</w:t>
            </w:r>
          </w:p>
        </w:tc>
        <w:tc>
          <w:tcPr>
            <w:tcW w:w="1417" w:type="dxa"/>
            <w:shd w:val="clear" w:color="auto" w:fill="auto"/>
            <w:noWrap w:val="0"/>
            <w:vAlign w:val="center"/>
          </w:tcPr>
          <w:p w14:paraId="4F63B080">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c>
          <w:tcPr>
            <w:tcW w:w="2267" w:type="dxa"/>
            <w:shd w:val="clear" w:color="auto" w:fill="auto"/>
            <w:noWrap w:val="0"/>
            <w:vAlign w:val="center"/>
          </w:tcPr>
          <w:p w14:paraId="69B4B0C7">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员工办公生活</w:t>
            </w:r>
          </w:p>
        </w:tc>
        <w:tc>
          <w:tcPr>
            <w:tcW w:w="3735" w:type="dxa"/>
            <w:shd w:val="clear" w:color="auto" w:fill="auto"/>
            <w:noWrap w:val="0"/>
            <w:vAlign w:val="center"/>
          </w:tcPr>
          <w:p w14:paraId="0BCCB35F">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生活垃圾</w:t>
            </w:r>
          </w:p>
        </w:tc>
      </w:tr>
      <w:tr w14:paraId="67EB54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1C040E51">
            <w:pPr>
              <w:pStyle w:val="756"/>
              <w:rPr>
                <w:rFonts w:hint="default" w:ascii="Times New Roman" w:hAnsi="Times New Roman" w:eastAsia="宋体" w:cs="Times New Roman"/>
                <w:color w:val="auto"/>
              </w:rPr>
            </w:pPr>
          </w:p>
        </w:tc>
        <w:tc>
          <w:tcPr>
            <w:tcW w:w="1417" w:type="dxa"/>
            <w:shd w:val="clear" w:color="auto" w:fill="auto"/>
            <w:noWrap w:val="0"/>
            <w:vAlign w:val="center"/>
          </w:tcPr>
          <w:p w14:paraId="234CFAD5">
            <w:pPr>
              <w:pStyle w:val="756"/>
              <w:rPr>
                <w:rFonts w:hint="default" w:ascii="Times New Roman" w:hAnsi="Times New Roman" w:eastAsia="宋体" w:cs="Times New Roman"/>
                <w:color w:val="auto"/>
                <w:lang w:eastAsia="zh-CN"/>
              </w:rPr>
            </w:pPr>
            <w:r>
              <w:rPr>
                <w:rFonts w:hint="default" w:ascii="Times New Roman" w:hAnsi="Times New Roman" w:eastAsia="宋体" w:cs="Times New Roman"/>
                <w:color w:val="auto"/>
                <w:kern w:val="0"/>
              </w:rPr>
              <w:t>废边角料</w:t>
            </w:r>
          </w:p>
        </w:tc>
        <w:tc>
          <w:tcPr>
            <w:tcW w:w="2267" w:type="dxa"/>
            <w:shd w:val="clear" w:color="auto" w:fill="auto"/>
            <w:noWrap w:val="0"/>
            <w:vAlign w:val="center"/>
          </w:tcPr>
          <w:p w14:paraId="7B7CAF41">
            <w:pPr>
              <w:pStyle w:val="756"/>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裁剪、初检验</w:t>
            </w:r>
          </w:p>
        </w:tc>
        <w:tc>
          <w:tcPr>
            <w:tcW w:w="3735" w:type="dxa"/>
            <w:shd w:val="clear" w:color="auto" w:fill="auto"/>
            <w:noWrap w:val="0"/>
            <w:vAlign w:val="center"/>
          </w:tcPr>
          <w:p w14:paraId="3AD51517">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r>
      <w:tr w14:paraId="0D6B6BF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692B98C4">
            <w:pPr>
              <w:pStyle w:val="756"/>
              <w:rPr>
                <w:rFonts w:hint="default" w:ascii="Times New Roman" w:hAnsi="Times New Roman" w:eastAsia="宋体" w:cs="Times New Roman"/>
                <w:color w:val="auto"/>
              </w:rPr>
            </w:pPr>
          </w:p>
        </w:tc>
        <w:tc>
          <w:tcPr>
            <w:tcW w:w="1417" w:type="dxa"/>
            <w:shd w:val="clear" w:color="auto" w:fill="auto"/>
            <w:noWrap w:val="0"/>
            <w:vAlign w:val="center"/>
          </w:tcPr>
          <w:p w14:paraId="7C91EA17">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废包装材料</w:t>
            </w:r>
          </w:p>
        </w:tc>
        <w:tc>
          <w:tcPr>
            <w:tcW w:w="2267" w:type="dxa"/>
            <w:shd w:val="clear" w:color="auto" w:fill="auto"/>
            <w:noWrap w:val="0"/>
            <w:vAlign w:val="center"/>
          </w:tcPr>
          <w:p w14:paraId="5271B882">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原材料拆包、成品包装</w:t>
            </w:r>
          </w:p>
        </w:tc>
        <w:tc>
          <w:tcPr>
            <w:tcW w:w="3735" w:type="dxa"/>
            <w:shd w:val="clear" w:color="auto" w:fill="auto"/>
            <w:noWrap w:val="0"/>
            <w:vAlign w:val="center"/>
          </w:tcPr>
          <w:p w14:paraId="48EC2425">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r>
      <w:tr w14:paraId="13F0EA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6A78CEA9">
            <w:pPr>
              <w:pStyle w:val="756"/>
              <w:rPr>
                <w:rFonts w:hint="default" w:ascii="Times New Roman" w:hAnsi="Times New Roman" w:eastAsia="宋体" w:cs="Times New Roman"/>
                <w:color w:val="auto"/>
              </w:rPr>
            </w:pPr>
          </w:p>
        </w:tc>
        <w:tc>
          <w:tcPr>
            <w:tcW w:w="1417" w:type="dxa"/>
            <w:shd w:val="clear" w:color="auto" w:fill="auto"/>
            <w:noWrap w:val="0"/>
            <w:vAlign w:val="center"/>
          </w:tcPr>
          <w:p w14:paraId="3D37AA6B">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污水站污泥</w:t>
            </w:r>
          </w:p>
        </w:tc>
        <w:tc>
          <w:tcPr>
            <w:tcW w:w="2267" w:type="dxa"/>
            <w:shd w:val="clear" w:color="auto" w:fill="auto"/>
            <w:noWrap w:val="0"/>
            <w:vAlign w:val="center"/>
          </w:tcPr>
          <w:p w14:paraId="6B0F19EB">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二沉池</w:t>
            </w:r>
          </w:p>
        </w:tc>
        <w:tc>
          <w:tcPr>
            <w:tcW w:w="3735" w:type="dxa"/>
            <w:shd w:val="clear" w:color="auto" w:fill="auto"/>
            <w:noWrap w:val="0"/>
            <w:vAlign w:val="center"/>
          </w:tcPr>
          <w:p w14:paraId="1A8364C9">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一般固废</w:t>
            </w:r>
          </w:p>
        </w:tc>
      </w:tr>
      <w:tr w14:paraId="149F89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04" w:type="dxa"/>
            <w:vMerge w:val="continue"/>
            <w:shd w:val="clear" w:color="auto" w:fill="auto"/>
            <w:noWrap w:val="0"/>
            <w:vAlign w:val="center"/>
          </w:tcPr>
          <w:p w14:paraId="0267D272">
            <w:pPr>
              <w:pStyle w:val="756"/>
              <w:rPr>
                <w:rFonts w:hint="default" w:ascii="Times New Roman" w:hAnsi="Times New Roman" w:eastAsia="宋体" w:cs="Times New Roman"/>
                <w:color w:val="auto"/>
              </w:rPr>
            </w:pPr>
          </w:p>
        </w:tc>
        <w:tc>
          <w:tcPr>
            <w:tcW w:w="1417" w:type="dxa"/>
            <w:shd w:val="clear" w:color="auto" w:fill="auto"/>
            <w:noWrap w:val="0"/>
            <w:vAlign w:val="center"/>
          </w:tcPr>
          <w:p w14:paraId="4FA4C720">
            <w:pPr>
              <w:pStyle w:val="756"/>
              <w:rPr>
                <w:rFonts w:hint="eastAsia" w:ascii="Times New Roman" w:hAnsi="Times New Roman" w:eastAsia="宋体" w:cs="Times New Roman"/>
                <w:color w:val="auto"/>
                <w:lang w:eastAsia="zh-CN"/>
              </w:rPr>
            </w:pPr>
            <w:r>
              <w:rPr>
                <w:rFonts w:hint="eastAsia" w:cs="Times New Roman"/>
                <w:color w:val="auto"/>
                <w:lang w:eastAsia="zh-CN"/>
              </w:rPr>
              <w:t>废机油</w:t>
            </w:r>
          </w:p>
        </w:tc>
        <w:tc>
          <w:tcPr>
            <w:tcW w:w="2267" w:type="dxa"/>
            <w:shd w:val="clear" w:color="auto" w:fill="auto"/>
            <w:noWrap w:val="0"/>
            <w:vAlign w:val="center"/>
          </w:tcPr>
          <w:p w14:paraId="01D58EDC">
            <w:pPr>
              <w:pStyle w:val="756"/>
              <w:rPr>
                <w:rFonts w:hint="eastAsia" w:ascii="Times New Roman" w:hAnsi="Times New Roman" w:eastAsia="宋体" w:cs="Times New Roman"/>
                <w:color w:val="auto"/>
                <w:lang w:eastAsia="zh-CN"/>
              </w:rPr>
            </w:pPr>
            <w:r>
              <w:rPr>
                <w:rFonts w:hint="eastAsia" w:cs="Times New Roman"/>
                <w:color w:val="auto"/>
                <w:lang w:eastAsia="zh-CN"/>
              </w:rPr>
              <w:t>设备检修</w:t>
            </w:r>
          </w:p>
        </w:tc>
        <w:tc>
          <w:tcPr>
            <w:tcW w:w="3735" w:type="dxa"/>
            <w:shd w:val="clear" w:color="auto" w:fill="auto"/>
            <w:noWrap w:val="0"/>
            <w:vAlign w:val="center"/>
          </w:tcPr>
          <w:p w14:paraId="7E467333">
            <w:pPr>
              <w:pStyle w:val="756"/>
              <w:rPr>
                <w:rFonts w:hint="eastAsia" w:ascii="Times New Roman" w:hAnsi="Times New Roman" w:eastAsia="宋体" w:cs="Times New Roman"/>
                <w:color w:val="auto"/>
                <w:lang w:eastAsia="zh-CN"/>
              </w:rPr>
            </w:pPr>
            <w:r>
              <w:rPr>
                <w:rFonts w:hint="eastAsia" w:cs="Times New Roman"/>
                <w:color w:val="auto"/>
                <w:lang w:eastAsia="zh-CN"/>
              </w:rPr>
              <w:t>危险固废</w:t>
            </w:r>
          </w:p>
        </w:tc>
      </w:tr>
      <w:bookmarkEnd w:id="255"/>
    </w:tbl>
    <w:p w14:paraId="665942C8">
      <w:pPr>
        <w:autoSpaceDE w:val="0"/>
        <w:autoSpaceDN w:val="0"/>
        <w:adjustRightInd w:val="0"/>
        <w:jc w:val="left"/>
        <w:rPr>
          <w:rFonts w:hint="default" w:ascii="Times New Roman" w:hAnsi="Times New Roman" w:eastAsia="宋体" w:cs="Times New Roman"/>
          <w:b/>
          <w:bCs/>
          <w:color w:val="auto"/>
          <w:kern w:val="0"/>
          <w:lang w:val="en-US" w:eastAsia="zh-CN"/>
        </w:rPr>
      </w:pPr>
    </w:p>
    <w:p w14:paraId="012F11B1">
      <w:pPr>
        <w:adjustRightInd w:val="0"/>
        <w:snapToGrid w:val="0"/>
        <w:spacing w:beforeLines="50"/>
        <w:outlineLvl w:val="1"/>
        <w:rPr>
          <w:rFonts w:hint="default" w:ascii="Times New Roman" w:hAnsi="Times New Roman" w:eastAsia="宋体" w:cs="Times New Roman"/>
          <w:b/>
          <w:color w:val="auto"/>
          <w:sz w:val="32"/>
          <w:szCs w:val="32"/>
        </w:rPr>
      </w:pPr>
      <w:bookmarkStart w:id="256" w:name="_Toc207"/>
      <w:bookmarkStart w:id="257" w:name="_Toc28087"/>
      <w:r>
        <w:rPr>
          <w:rFonts w:hint="default" w:ascii="Times New Roman" w:hAnsi="Times New Roman" w:eastAsia="宋体" w:cs="Times New Roman"/>
          <w:b/>
          <w:color w:val="auto"/>
          <w:sz w:val="32"/>
          <w:szCs w:val="32"/>
        </w:rPr>
        <w:t>3.4污染物产生及排放情况</w:t>
      </w:r>
      <w:bookmarkEnd w:id="256"/>
      <w:bookmarkEnd w:id="257"/>
    </w:p>
    <w:p w14:paraId="5A078232">
      <w:pPr>
        <w:pStyle w:val="11"/>
        <w:adjustRightInd w:val="0"/>
        <w:snapToGrid w:val="0"/>
        <w:spacing w:before="0" w:after="0" w:line="360" w:lineRule="auto"/>
        <w:ind w:firstLine="141" w:firstLineChars="50"/>
        <w:rPr>
          <w:rFonts w:hint="default" w:ascii="Times New Roman" w:hAnsi="Times New Roman" w:eastAsia="宋体" w:cs="Times New Roman"/>
          <w:color w:val="auto"/>
          <w:sz w:val="28"/>
          <w:szCs w:val="28"/>
        </w:rPr>
      </w:pPr>
      <w:bookmarkStart w:id="258" w:name="_Toc15373"/>
      <w:bookmarkStart w:id="259" w:name="OLE_LINK5"/>
      <w:bookmarkStart w:id="260" w:name="OLE_LINK6"/>
      <w:r>
        <w:rPr>
          <w:rFonts w:hint="default" w:ascii="Times New Roman" w:hAnsi="Times New Roman" w:eastAsia="宋体" w:cs="Times New Roman"/>
          <w:color w:val="auto"/>
          <w:sz w:val="28"/>
          <w:szCs w:val="28"/>
        </w:rPr>
        <w:t>3.4.1</w:t>
      </w:r>
      <w:bookmarkEnd w:id="258"/>
      <w:r>
        <w:rPr>
          <w:rFonts w:hint="default" w:ascii="Times New Roman" w:hAnsi="Times New Roman" w:eastAsia="宋体" w:cs="Times New Roman"/>
          <w:color w:val="auto"/>
          <w:sz w:val="28"/>
          <w:szCs w:val="28"/>
        </w:rPr>
        <w:t>大气污染源分析</w:t>
      </w:r>
    </w:p>
    <w:bookmarkEnd w:id="259"/>
    <w:bookmarkEnd w:id="260"/>
    <w:p w14:paraId="08FC7EB0">
      <w:pPr>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项目运营期产生的废气主要为粉尘、异味及少量油烟。</w:t>
      </w:r>
    </w:p>
    <w:p w14:paraId="43A0D085">
      <w:pPr>
        <w:ind w:firstLine="482" w:firstLineChars="200"/>
        <w:jc w:val="left"/>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1、服装制造</w:t>
      </w:r>
      <w:r>
        <w:rPr>
          <w:rFonts w:hint="default" w:ascii="Times New Roman" w:hAnsi="Times New Roman" w:eastAsia="宋体" w:cs="Times New Roman"/>
          <w:b/>
          <w:color w:val="auto"/>
          <w:lang w:eastAsia="zh-CN"/>
        </w:rPr>
        <w:t>产生粉尘</w:t>
      </w:r>
    </w:p>
    <w:p w14:paraId="49C3F6F6">
      <w:pPr>
        <w:ind w:firstLine="480"/>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lang w:eastAsia="zh-CN"/>
        </w:rPr>
        <w:t>项目在</w:t>
      </w:r>
      <w:r>
        <w:rPr>
          <w:rFonts w:hint="default" w:ascii="Times New Roman" w:hAnsi="Times New Roman" w:eastAsia="宋体" w:cs="Times New Roman"/>
          <w:color w:val="auto"/>
          <w:lang w:val="en-US" w:eastAsia="zh-CN"/>
        </w:rPr>
        <w:t>服装制造</w:t>
      </w:r>
      <w:r>
        <w:rPr>
          <w:rFonts w:hint="default" w:ascii="Times New Roman" w:hAnsi="Times New Roman" w:eastAsia="宋体" w:cs="Times New Roman"/>
          <w:color w:val="auto"/>
          <w:lang w:eastAsia="zh-CN"/>
        </w:rPr>
        <w:t>阶段会有</w:t>
      </w:r>
      <w:r>
        <w:rPr>
          <w:rFonts w:hint="default" w:ascii="Times New Roman" w:hAnsi="Times New Roman" w:eastAsia="宋体" w:cs="Times New Roman"/>
          <w:color w:val="auto"/>
        </w:rPr>
        <w:t>粉尘产生，</w:t>
      </w:r>
      <w:r>
        <w:rPr>
          <w:rFonts w:hint="default" w:ascii="Times New Roman" w:hAnsi="Times New Roman" w:eastAsia="宋体" w:cs="Times New Roman"/>
          <w:color w:val="auto"/>
          <w:lang w:eastAsia="zh-CN"/>
        </w:rPr>
        <w:t>项目使用成品布进行加工制造服装，产生的粉尘较少，产量量约为服装量的</w:t>
      </w:r>
      <w:r>
        <w:rPr>
          <w:rFonts w:hint="default" w:ascii="Times New Roman" w:hAnsi="Times New Roman" w:eastAsia="宋体" w:cs="Times New Roman"/>
          <w:color w:val="auto"/>
          <w:lang w:val="en-US" w:eastAsia="zh-CN"/>
        </w:rPr>
        <w:t>0.01%，</w:t>
      </w:r>
      <w:r>
        <w:rPr>
          <w:rFonts w:hint="default" w:ascii="Times New Roman" w:hAnsi="Times New Roman" w:eastAsia="宋体" w:cs="Times New Roman"/>
          <w:bCs/>
          <w:color w:val="auto"/>
        </w:rPr>
        <w:t>服装总重量=</w:t>
      </w:r>
      <w:r>
        <w:rPr>
          <w:rFonts w:hint="default" w:ascii="Times New Roman" w:hAnsi="Times New Roman" w:eastAsia="宋体" w:cs="Times New Roman"/>
          <w:bCs/>
          <w:color w:val="auto"/>
          <w:lang w:val="en-US" w:eastAsia="zh-CN"/>
        </w:rPr>
        <w:t>45</w:t>
      </w:r>
      <w:r>
        <w:rPr>
          <w:rFonts w:hint="default" w:ascii="Times New Roman" w:hAnsi="Times New Roman" w:eastAsia="宋体" w:cs="Times New Roman"/>
          <w:bCs/>
          <w:color w:val="auto"/>
        </w:rPr>
        <w:t>万件/a÷1件×0.4kg=</w:t>
      </w:r>
      <w:r>
        <w:rPr>
          <w:rFonts w:hint="default" w:ascii="Times New Roman" w:hAnsi="Times New Roman" w:eastAsia="宋体" w:cs="Times New Roman"/>
          <w:bCs/>
          <w:color w:val="auto"/>
          <w:lang w:val="en-US" w:eastAsia="zh-CN"/>
        </w:rPr>
        <w:t>180</w:t>
      </w:r>
      <w:r>
        <w:rPr>
          <w:rFonts w:hint="default" w:ascii="Times New Roman" w:hAnsi="Times New Roman" w:eastAsia="宋体" w:cs="Times New Roman"/>
          <w:bCs/>
          <w:color w:val="auto"/>
        </w:rPr>
        <w:t>t/a；</w:t>
      </w:r>
      <w:r>
        <w:rPr>
          <w:rFonts w:hint="default" w:ascii="Times New Roman" w:hAnsi="Times New Roman" w:eastAsia="宋体" w:cs="Times New Roman"/>
          <w:color w:val="auto"/>
          <w:lang w:val="en-US" w:eastAsia="zh-CN"/>
        </w:rPr>
        <w:t>则产生的粉尘为0.018t/a，排放速率为0.0033kg/h，</w:t>
      </w:r>
      <w:r>
        <w:rPr>
          <w:rFonts w:hint="default" w:ascii="Times New Roman" w:hAnsi="Times New Roman" w:eastAsia="宋体" w:cs="Times New Roman"/>
          <w:color w:val="auto"/>
        </w:rPr>
        <w:t>产生粉尘基本沉降在车间内</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呈无组织排放</w:t>
      </w:r>
      <w:r>
        <w:rPr>
          <w:rFonts w:hint="default" w:ascii="Times New Roman" w:hAnsi="Times New Roman" w:eastAsia="宋体" w:cs="Times New Roman"/>
          <w:color w:val="auto"/>
          <w:lang w:eastAsia="zh-CN"/>
        </w:rPr>
        <w:t>。</w:t>
      </w:r>
    </w:p>
    <w:p w14:paraId="5D4E0364">
      <w:pPr>
        <w:ind w:firstLine="482" w:firstLineChars="200"/>
        <w:jc w:val="left"/>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2、</w:t>
      </w:r>
      <w:r>
        <w:rPr>
          <w:rFonts w:hint="default" w:ascii="Times New Roman" w:hAnsi="Times New Roman" w:eastAsia="宋体" w:cs="Times New Roman"/>
          <w:b/>
          <w:color w:val="auto"/>
        </w:rPr>
        <w:t>异味</w:t>
      </w:r>
    </w:p>
    <w:p w14:paraId="6883E8CC">
      <w:pPr>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项目在生产过程中会产生少量的</w:t>
      </w:r>
      <w:r>
        <w:rPr>
          <w:rFonts w:hint="default" w:ascii="Times New Roman" w:hAnsi="Times New Roman" w:eastAsia="宋体" w:cs="Times New Roman"/>
          <w:color w:val="auto"/>
        </w:rPr>
        <w:t>异味，即恶臭污染物。产生量很小，</w:t>
      </w:r>
      <w:r>
        <w:rPr>
          <w:rFonts w:hint="default" w:ascii="Times New Roman" w:hAnsi="Times New Roman" w:eastAsia="宋体" w:cs="Times New Roman"/>
          <w:color w:val="auto"/>
          <w:lang w:eastAsia="zh-CN"/>
        </w:rPr>
        <w:t>项目通过设置的废气处理设施进一步去除生产过程中产生的异味，经处理后预计项目厂界的臭气浓度小于20（无量纲）</w:t>
      </w:r>
      <w:r>
        <w:rPr>
          <w:rFonts w:hint="default" w:ascii="Times New Roman" w:hAnsi="Times New Roman" w:eastAsia="宋体" w:cs="Times New Roman"/>
          <w:color w:val="auto"/>
        </w:rPr>
        <w:t>。</w:t>
      </w:r>
    </w:p>
    <w:p w14:paraId="5AB0EDB7">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根据环保工程设计单位提供的污水设计方案，项目污水处理设施恶臭污染源主要来源于格栅、进水泵房、调节池水解酸化池及污泥干化池。</w:t>
      </w:r>
    </w:p>
    <w:p w14:paraId="3844C4B8">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参照美国EPA对污水处理厂恶臭污染物产生情况的研究，每处理1gBOD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可产生0.0031g的NH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、0.00012g的H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S。经核算，项目污水处理设施BOD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去除量为</w:t>
      </w:r>
      <w:r>
        <w:rPr>
          <w:rFonts w:hint="default" w:ascii="Times New Roman" w:hAnsi="Times New Roman" w:eastAsia="宋体" w:cs="Times New Roman"/>
          <w:color w:val="auto"/>
          <w:lang w:val="en-US" w:eastAsia="zh-CN"/>
        </w:rPr>
        <w:t>0.58</w:t>
      </w:r>
      <w:r>
        <w:rPr>
          <w:rFonts w:hint="default" w:ascii="Times New Roman" w:hAnsi="Times New Roman" w:eastAsia="宋体" w:cs="Times New Roman"/>
          <w:color w:val="auto"/>
        </w:rPr>
        <w:t>t/a，则恶臭气体源强NH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为</w:t>
      </w:r>
      <w:r>
        <w:rPr>
          <w:rFonts w:hint="default" w:ascii="Times New Roman" w:hAnsi="Times New Roman" w:eastAsia="宋体" w:cs="Times New Roman"/>
          <w:color w:val="auto"/>
          <w:lang w:val="en-US" w:eastAsia="zh-CN"/>
        </w:rPr>
        <w:t>0.00075</w:t>
      </w:r>
      <w:r>
        <w:rPr>
          <w:rFonts w:hint="default" w:ascii="Times New Roman" w:hAnsi="Times New Roman" w:eastAsia="宋体" w:cs="Times New Roman"/>
          <w:color w:val="auto"/>
        </w:rPr>
        <w:t>kg/h（</w:t>
      </w:r>
      <w:r>
        <w:rPr>
          <w:rFonts w:hint="default" w:ascii="Times New Roman" w:hAnsi="Times New Roman" w:eastAsia="宋体" w:cs="Times New Roman"/>
          <w:color w:val="auto"/>
          <w:lang w:val="en-US" w:eastAsia="zh-CN"/>
        </w:rPr>
        <w:t>0.0018</w:t>
      </w:r>
      <w:r>
        <w:rPr>
          <w:rFonts w:hint="default" w:ascii="Times New Roman" w:hAnsi="Times New Roman" w:eastAsia="宋体" w:cs="Times New Roman"/>
          <w:color w:val="auto"/>
        </w:rPr>
        <w:t>t/a），H</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S为0.000</w:t>
      </w:r>
      <w:r>
        <w:rPr>
          <w:rFonts w:hint="default" w:ascii="Times New Roman" w:hAnsi="Times New Roman" w:eastAsia="宋体" w:cs="Times New Roman"/>
          <w:color w:val="auto"/>
          <w:lang w:val="en-US" w:eastAsia="zh-CN"/>
        </w:rPr>
        <w:t>07</w:t>
      </w:r>
      <w:r>
        <w:rPr>
          <w:rFonts w:hint="default" w:ascii="Times New Roman" w:hAnsi="Times New Roman" w:eastAsia="宋体" w:cs="Times New Roman"/>
          <w:color w:val="auto"/>
        </w:rPr>
        <w:t>kg/h（</w:t>
      </w:r>
      <w:r>
        <w:rPr>
          <w:rFonts w:hint="default" w:ascii="Times New Roman" w:hAnsi="Times New Roman" w:eastAsia="宋体" w:cs="Times New Roman"/>
          <w:color w:val="auto"/>
          <w:lang w:val="en-US" w:eastAsia="zh-CN"/>
        </w:rPr>
        <w:t>0.0003</w:t>
      </w:r>
      <w:r>
        <w:rPr>
          <w:rFonts w:hint="default" w:ascii="Times New Roman" w:hAnsi="Times New Roman" w:eastAsia="宋体" w:cs="Times New Roman"/>
          <w:color w:val="auto"/>
        </w:rPr>
        <w:t>t/a）。</w:t>
      </w:r>
    </w:p>
    <w:p w14:paraId="007A66CF">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项目无组织废气排放情况见表</w:t>
      </w:r>
      <w:r>
        <w:rPr>
          <w:rFonts w:hint="eastAsia" w:ascii="Times New Roman" w:hAnsi="Times New Roman" w:cs="Times New Roman"/>
          <w:color w:val="auto"/>
          <w:lang w:val="en-US" w:eastAsia="zh-CN"/>
        </w:rPr>
        <w:t>3.4-1</w:t>
      </w:r>
      <w:r>
        <w:rPr>
          <w:rFonts w:hint="default" w:ascii="Times New Roman" w:hAnsi="Times New Roman" w:eastAsia="宋体" w:cs="Times New Roman"/>
          <w:color w:val="auto"/>
        </w:rPr>
        <w:t>。</w:t>
      </w:r>
    </w:p>
    <w:p w14:paraId="23C215CB">
      <w:pPr>
        <w:ind w:firstLine="0" w:firstLineChars="0"/>
        <w:jc w:val="center"/>
        <w:rPr>
          <w:rFonts w:hint="default" w:ascii="Times New Roman" w:hAnsi="Times New Roman" w:eastAsia="宋体" w:cs="Times New Roman"/>
          <w:b/>
          <w:color w:val="auto"/>
          <w:szCs w:val="18"/>
        </w:rPr>
      </w:pPr>
      <w:r>
        <w:rPr>
          <w:rFonts w:hint="default" w:ascii="Times New Roman" w:hAnsi="Times New Roman" w:eastAsia="宋体" w:cs="Times New Roman"/>
          <w:b/>
          <w:color w:val="auto"/>
          <w:szCs w:val="18"/>
        </w:rPr>
        <w:t>表</w:t>
      </w:r>
      <w:r>
        <w:rPr>
          <w:rFonts w:hint="eastAsia" w:ascii="Times New Roman" w:hAnsi="Times New Roman" w:cs="Times New Roman"/>
          <w:b/>
          <w:color w:val="auto"/>
          <w:szCs w:val="18"/>
          <w:lang w:val="en-US" w:eastAsia="zh-CN"/>
        </w:rPr>
        <w:t>3.4-1</w:t>
      </w:r>
      <w:r>
        <w:rPr>
          <w:rFonts w:hint="default" w:ascii="Times New Roman" w:hAnsi="Times New Roman" w:eastAsia="宋体" w:cs="Times New Roman"/>
          <w:b/>
          <w:color w:val="auto"/>
          <w:szCs w:val="18"/>
        </w:rPr>
        <w:t xml:space="preserve">  项目无组织废气排放情况一览表</w:t>
      </w:r>
    </w:p>
    <w:tbl>
      <w:tblPr>
        <w:tblStyle w:val="66"/>
        <w:tblW w:w="8528"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692"/>
        <w:gridCol w:w="1109"/>
        <w:gridCol w:w="1280"/>
        <w:gridCol w:w="1280"/>
        <w:gridCol w:w="1563"/>
        <w:gridCol w:w="905"/>
        <w:gridCol w:w="944"/>
        <w:gridCol w:w="755"/>
      </w:tblGrid>
      <w:tr w14:paraId="4555418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2" w:type="dxa"/>
            <w:vMerge w:val="restart"/>
            <w:tcBorders>
              <w:bottom w:val="single" w:color="auto" w:sz="4" w:space="0"/>
              <w:right w:val="single" w:color="auto" w:sz="4" w:space="0"/>
            </w:tcBorders>
            <w:noWrap w:val="0"/>
            <w:vAlign w:val="center"/>
          </w:tcPr>
          <w:p w14:paraId="2BCB7054">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编号</w:t>
            </w:r>
          </w:p>
        </w:tc>
        <w:tc>
          <w:tcPr>
            <w:tcW w:w="5232" w:type="dxa"/>
            <w:gridSpan w:val="4"/>
            <w:tcBorders>
              <w:left w:val="single" w:color="auto" w:sz="4" w:space="0"/>
              <w:bottom w:val="single" w:color="auto" w:sz="4" w:space="0"/>
              <w:right w:val="single" w:color="auto" w:sz="4" w:space="0"/>
            </w:tcBorders>
            <w:noWrap w:val="0"/>
            <w:vAlign w:val="center"/>
          </w:tcPr>
          <w:p w14:paraId="48C747F0">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排放情况</w:t>
            </w:r>
          </w:p>
        </w:tc>
        <w:tc>
          <w:tcPr>
            <w:tcW w:w="905" w:type="dxa"/>
            <w:vMerge w:val="restart"/>
            <w:tcBorders>
              <w:left w:val="single" w:color="auto" w:sz="4" w:space="0"/>
              <w:bottom w:val="single" w:color="auto" w:sz="4" w:space="0"/>
              <w:right w:val="single" w:color="auto" w:sz="4" w:space="0"/>
            </w:tcBorders>
            <w:noWrap w:val="0"/>
            <w:vAlign w:val="center"/>
          </w:tcPr>
          <w:p w14:paraId="5D4B4300">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排放时间h/a</w:t>
            </w:r>
          </w:p>
        </w:tc>
        <w:tc>
          <w:tcPr>
            <w:tcW w:w="944" w:type="dxa"/>
            <w:vMerge w:val="restart"/>
            <w:tcBorders>
              <w:left w:val="single" w:color="auto" w:sz="4" w:space="0"/>
              <w:bottom w:val="single" w:color="auto" w:sz="4" w:space="0"/>
              <w:right w:val="single" w:color="auto" w:sz="4" w:space="0"/>
            </w:tcBorders>
            <w:noWrap w:val="0"/>
            <w:vAlign w:val="center"/>
          </w:tcPr>
          <w:p w14:paraId="65F0D2A5">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面源面积m</w:t>
            </w:r>
            <w:r>
              <w:rPr>
                <w:rFonts w:hint="default" w:ascii="Times New Roman" w:hAnsi="Times New Roman" w:eastAsia="宋体" w:cs="Times New Roman"/>
                <w:b/>
                <w:bCs/>
                <w:color w:val="auto"/>
                <w:sz w:val="21"/>
                <w:szCs w:val="24"/>
                <w:vertAlign w:val="superscript"/>
              </w:rPr>
              <w:t>2</w:t>
            </w:r>
          </w:p>
        </w:tc>
        <w:tc>
          <w:tcPr>
            <w:tcW w:w="755" w:type="dxa"/>
            <w:vMerge w:val="restart"/>
            <w:tcBorders>
              <w:left w:val="single" w:color="auto" w:sz="4" w:space="0"/>
              <w:bottom w:val="single" w:color="auto" w:sz="4" w:space="0"/>
            </w:tcBorders>
            <w:noWrap w:val="0"/>
            <w:vAlign w:val="center"/>
          </w:tcPr>
          <w:p w14:paraId="4CA2B450">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面源高度m</w:t>
            </w:r>
          </w:p>
        </w:tc>
      </w:tr>
      <w:tr w14:paraId="067ACC0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2" w:type="dxa"/>
            <w:vMerge w:val="continue"/>
            <w:tcBorders>
              <w:top w:val="single" w:color="auto" w:sz="4" w:space="0"/>
              <w:bottom w:val="single" w:color="auto" w:sz="4" w:space="0"/>
              <w:right w:val="single" w:color="auto" w:sz="4" w:space="0"/>
            </w:tcBorders>
            <w:noWrap w:val="0"/>
            <w:vAlign w:val="center"/>
          </w:tcPr>
          <w:p w14:paraId="6D5C6588">
            <w:pPr>
              <w:spacing w:line="240" w:lineRule="auto"/>
              <w:ind w:firstLine="0" w:firstLineChars="0"/>
              <w:jc w:val="center"/>
              <w:rPr>
                <w:rFonts w:hint="default" w:ascii="Times New Roman" w:hAnsi="Times New Roman" w:eastAsia="宋体" w:cs="Times New Roman"/>
                <w:color w:val="auto"/>
                <w:sz w:val="21"/>
                <w:szCs w:val="24"/>
              </w:rPr>
            </w:pPr>
          </w:p>
        </w:tc>
        <w:tc>
          <w:tcPr>
            <w:tcW w:w="1109" w:type="dxa"/>
            <w:tcBorders>
              <w:top w:val="single" w:color="auto" w:sz="4" w:space="0"/>
              <w:left w:val="single" w:color="auto" w:sz="4" w:space="0"/>
              <w:bottom w:val="single" w:color="auto" w:sz="4" w:space="0"/>
              <w:right w:val="single" w:color="auto" w:sz="4" w:space="0"/>
            </w:tcBorders>
            <w:noWrap w:val="0"/>
            <w:vAlign w:val="center"/>
          </w:tcPr>
          <w:p w14:paraId="35386930">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污染物名称</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1B7559B3">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产生点</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4D8743C6">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排放速率</w:t>
            </w:r>
          </w:p>
          <w:p w14:paraId="42589865">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kg/h</w:t>
            </w:r>
          </w:p>
        </w:tc>
        <w:tc>
          <w:tcPr>
            <w:tcW w:w="1563" w:type="dxa"/>
            <w:tcBorders>
              <w:top w:val="single" w:color="auto" w:sz="4" w:space="0"/>
              <w:left w:val="single" w:color="auto" w:sz="4" w:space="0"/>
              <w:bottom w:val="single" w:color="auto" w:sz="4" w:space="0"/>
              <w:right w:val="single" w:color="auto" w:sz="4" w:space="0"/>
            </w:tcBorders>
            <w:noWrap w:val="0"/>
            <w:vAlign w:val="center"/>
          </w:tcPr>
          <w:p w14:paraId="0B157A02">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排放量</w:t>
            </w:r>
          </w:p>
          <w:p w14:paraId="287CD439">
            <w:pPr>
              <w:spacing w:line="240" w:lineRule="auto"/>
              <w:ind w:firstLine="0" w:firstLineChars="0"/>
              <w:jc w:val="center"/>
              <w:rPr>
                <w:rFonts w:hint="default" w:ascii="Times New Roman" w:hAnsi="Times New Roman" w:eastAsia="宋体" w:cs="Times New Roman"/>
                <w:b/>
                <w:bCs/>
                <w:color w:val="auto"/>
                <w:sz w:val="21"/>
                <w:szCs w:val="24"/>
              </w:rPr>
            </w:pPr>
            <w:r>
              <w:rPr>
                <w:rFonts w:hint="default" w:ascii="Times New Roman" w:hAnsi="Times New Roman" w:eastAsia="宋体" w:cs="Times New Roman"/>
                <w:b/>
                <w:bCs/>
                <w:color w:val="auto"/>
                <w:sz w:val="21"/>
                <w:szCs w:val="24"/>
              </w:rPr>
              <w:t>t/a</w:t>
            </w:r>
          </w:p>
        </w:tc>
        <w:tc>
          <w:tcPr>
            <w:tcW w:w="905" w:type="dxa"/>
            <w:vMerge w:val="continue"/>
            <w:tcBorders>
              <w:top w:val="single" w:color="auto" w:sz="4" w:space="0"/>
              <w:left w:val="single" w:color="auto" w:sz="4" w:space="0"/>
              <w:bottom w:val="single" w:color="auto" w:sz="4" w:space="0"/>
              <w:right w:val="single" w:color="auto" w:sz="4" w:space="0"/>
            </w:tcBorders>
            <w:noWrap w:val="0"/>
            <w:vAlign w:val="center"/>
          </w:tcPr>
          <w:p w14:paraId="307A4368">
            <w:pPr>
              <w:spacing w:line="240" w:lineRule="auto"/>
              <w:ind w:firstLine="0" w:firstLineChars="0"/>
              <w:jc w:val="center"/>
              <w:rPr>
                <w:rFonts w:hint="default" w:ascii="Times New Roman" w:hAnsi="Times New Roman" w:eastAsia="宋体" w:cs="Times New Roman"/>
                <w:color w:val="auto"/>
                <w:sz w:val="21"/>
                <w:szCs w:val="24"/>
              </w:rPr>
            </w:pPr>
          </w:p>
        </w:tc>
        <w:tc>
          <w:tcPr>
            <w:tcW w:w="944" w:type="dxa"/>
            <w:vMerge w:val="continue"/>
            <w:tcBorders>
              <w:top w:val="single" w:color="auto" w:sz="4" w:space="0"/>
              <w:left w:val="single" w:color="auto" w:sz="4" w:space="0"/>
              <w:bottom w:val="single" w:color="auto" w:sz="4" w:space="0"/>
              <w:right w:val="single" w:color="auto" w:sz="4" w:space="0"/>
            </w:tcBorders>
            <w:noWrap w:val="0"/>
            <w:vAlign w:val="center"/>
          </w:tcPr>
          <w:p w14:paraId="0967C842">
            <w:pPr>
              <w:spacing w:line="240" w:lineRule="auto"/>
              <w:ind w:firstLine="0" w:firstLineChars="0"/>
              <w:jc w:val="center"/>
              <w:rPr>
                <w:rFonts w:hint="default" w:ascii="Times New Roman" w:hAnsi="Times New Roman" w:eastAsia="宋体" w:cs="Times New Roman"/>
                <w:color w:val="auto"/>
                <w:sz w:val="21"/>
                <w:szCs w:val="24"/>
              </w:rPr>
            </w:pPr>
          </w:p>
        </w:tc>
        <w:tc>
          <w:tcPr>
            <w:tcW w:w="755" w:type="dxa"/>
            <w:vMerge w:val="continue"/>
            <w:tcBorders>
              <w:top w:val="single" w:color="auto" w:sz="4" w:space="0"/>
              <w:left w:val="single" w:color="auto" w:sz="4" w:space="0"/>
              <w:bottom w:val="single" w:color="auto" w:sz="4" w:space="0"/>
            </w:tcBorders>
            <w:noWrap w:val="0"/>
            <w:vAlign w:val="center"/>
          </w:tcPr>
          <w:p w14:paraId="5A349F2B">
            <w:pPr>
              <w:spacing w:line="240" w:lineRule="auto"/>
              <w:ind w:firstLine="0" w:firstLineChars="0"/>
              <w:jc w:val="center"/>
              <w:rPr>
                <w:rFonts w:hint="default" w:ascii="Times New Roman" w:hAnsi="Times New Roman" w:eastAsia="宋体" w:cs="Times New Roman"/>
                <w:color w:val="auto"/>
                <w:sz w:val="21"/>
                <w:szCs w:val="24"/>
              </w:rPr>
            </w:pPr>
          </w:p>
        </w:tc>
      </w:tr>
      <w:tr w14:paraId="7BAB366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2" w:type="dxa"/>
            <w:tcBorders>
              <w:top w:val="single" w:color="auto" w:sz="4" w:space="0"/>
              <w:bottom w:val="single" w:color="auto" w:sz="4" w:space="0"/>
              <w:right w:val="single" w:color="auto" w:sz="4" w:space="0"/>
            </w:tcBorders>
            <w:noWrap w:val="0"/>
            <w:vAlign w:val="center"/>
          </w:tcPr>
          <w:p w14:paraId="1D29B44B">
            <w:pPr>
              <w:spacing w:line="240" w:lineRule="auto"/>
              <w:ind w:firstLine="0" w:firstLineChars="0"/>
              <w:jc w:val="center"/>
              <w:rPr>
                <w:rFonts w:hint="default" w:ascii="Times New Roman" w:hAnsi="Times New Roman" w:eastAsia="宋体" w:cs="Times New Roman"/>
                <w:b/>
                <w:bCs/>
                <w:color w:val="auto"/>
                <w:sz w:val="21"/>
                <w:szCs w:val="24"/>
                <w:lang w:val="en-US" w:eastAsia="zh-CN"/>
              </w:rPr>
            </w:pPr>
            <w:r>
              <w:rPr>
                <w:rFonts w:hint="default" w:ascii="Times New Roman" w:hAnsi="Times New Roman" w:eastAsia="宋体" w:cs="Times New Roman"/>
                <w:b/>
                <w:bCs/>
                <w:color w:val="auto"/>
                <w:sz w:val="21"/>
                <w:szCs w:val="24"/>
                <w:lang w:val="en-US" w:eastAsia="zh-CN"/>
              </w:rPr>
              <w:t>1</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28B72EA3">
            <w:pPr>
              <w:spacing w:line="240" w:lineRule="auto"/>
              <w:ind w:firstLine="0" w:firstLineChars="0"/>
              <w:jc w:val="center"/>
              <w:rPr>
                <w:rFonts w:hint="default" w:ascii="Times New Roman" w:hAnsi="Times New Roman" w:eastAsia="宋体" w:cs="Times New Roman"/>
                <w:b w:val="0"/>
                <w:bCs w:val="0"/>
                <w:color w:val="auto"/>
                <w:sz w:val="21"/>
                <w:szCs w:val="24"/>
                <w:lang w:eastAsia="zh-CN"/>
              </w:rPr>
            </w:pPr>
            <w:r>
              <w:rPr>
                <w:rFonts w:hint="default" w:ascii="Times New Roman" w:hAnsi="Times New Roman" w:eastAsia="宋体" w:cs="Times New Roman"/>
                <w:b w:val="0"/>
                <w:bCs w:val="0"/>
                <w:color w:val="auto"/>
                <w:sz w:val="21"/>
                <w:szCs w:val="24"/>
                <w:lang w:eastAsia="zh-CN"/>
              </w:rPr>
              <w:t>粉尘</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62637991">
            <w:pPr>
              <w:spacing w:line="240" w:lineRule="auto"/>
              <w:ind w:firstLine="0" w:firstLineChars="0"/>
              <w:jc w:val="center"/>
              <w:rPr>
                <w:rFonts w:hint="default" w:ascii="Times New Roman" w:hAnsi="Times New Roman" w:eastAsia="宋体" w:cs="Times New Roman"/>
                <w:b w:val="0"/>
                <w:bCs w:val="0"/>
                <w:color w:val="auto"/>
                <w:sz w:val="21"/>
                <w:szCs w:val="24"/>
                <w:lang w:eastAsia="zh-CN"/>
              </w:rPr>
            </w:pPr>
            <w:r>
              <w:rPr>
                <w:rFonts w:hint="default" w:ascii="Times New Roman" w:hAnsi="Times New Roman" w:eastAsia="宋体" w:cs="Times New Roman"/>
                <w:b w:val="0"/>
                <w:bCs w:val="0"/>
                <w:color w:val="auto"/>
                <w:sz w:val="21"/>
                <w:szCs w:val="24"/>
                <w:lang w:eastAsia="zh-CN"/>
              </w:rPr>
              <w:t>服装制造</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34706CB1">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default" w:ascii="Times New Roman" w:hAnsi="Times New Roman" w:eastAsia="宋体" w:cs="Times New Roman"/>
                <w:b w:val="0"/>
                <w:bCs w:val="0"/>
                <w:color w:val="auto"/>
                <w:sz w:val="21"/>
                <w:szCs w:val="24"/>
                <w:lang w:val="en-US" w:eastAsia="zh-CN"/>
              </w:rPr>
              <w:t>0.0033</w:t>
            </w:r>
          </w:p>
        </w:tc>
        <w:tc>
          <w:tcPr>
            <w:tcW w:w="1563" w:type="dxa"/>
            <w:tcBorders>
              <w:top w:val="single" w:color="auto" w:sz="4" w:space="0"/>
              <w:left w:val="single" w:color="auto" w:sz="4" w:space="0"/>
              <w:bottom w:val="single" w:color="auto" w:sz="4" w:space="0"/>
              <w:right w:val="single" w:color="auto" w:sz="4" w:space="0"/>
            </w:tcBorders>
            <w:noWrap w:val="0"/>
            <w:vAlign w:val="center"/>
          </w:tcPr>
          <w:p w14:paraId="69E1ECA5">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default" w:ascii="Times New Roman" w:hAnsi="Times New Roman" w:eastAsia="宋体" w:cs="Times New Roman"/>
                <w:b w:val="0"/>
                <w:bCs w:val="0"/>
                <w:color w:val="auto"/>
                <w:sz w:val="21"/>
                <w:szCs w:val="24"/>
                <w:lang w:val="en-US" w:eastAsia="zh-CN"/>
              </w:rPr>
              <w:t>0.018</w:t>
            </w:r>
          </w:p>
        </w:tc>
        <w:tc>
          <w:tcPr>
            <w:tcW w:w="905" w:type="dxa"/>
            <w:tcBorders>
              <w:top w:val="single" w:color="auto" w:sz="4" w:space="0"/>
              <w:left w:val="single" w:color="auto" w:sz="4" w:space="0"/>
              <w:bottom w:val="single" w:color="auto" w:sz="4" w:space="0"/>
              <w:right w:val="single" w:color="auto" w:sz="4" w:space="0"/>
            </w:tcBorders>
            <w:noWrap w:val="0"/>
            <w:vAlign w:val="center"/>
          </w:tcPr>
          <w:p w14:paraId="2F009671">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default" w:ascii="Times New Roman" w:hAnsi="Times New Roman" w:eastAsia="宋体" w:cs="Times New Roman"/>
                <w:b w:val="0"/>
                <w:bCs w:val="0"/>
                <w:color w:val="auto"/>
                <w:sz w:val="21"/>
                <w:szCs w:val="24"/>
                <w:lang w:val="en-US" w:eastAsia="zh-CN"/>
              </w:rPr>
              <w:t>2400</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69544F6B">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eastAsia" w:ascii="Times New Roman" w:hAnsi="Times New Roman" w:cs="Times New Roman"/>
                <w:b w:val="0"/>
                <w:bCs w:val="0"/>
                <w:color w:val="auto"/>
                <w:sz w:val="21"/>
                <w:szCs w:val="24"/>
                <w:lang w:val="en-US" w:eastAsia="zh-CN"/>
              </w:rPr>
              <w:t>4500</w:t>
            </w:r>
          </w:p>
        </w:tc>
        <w:tc>
          <w:tcPr>
            <w:tcW w:w="755" w:type="dxa"/>
            <w:tcBorders>
              <w:top w:val="single" w:color="auto" w:sz="4" w:space="0"/>
              <w:left w:val="single" w:color="auto" w:sz="4" w:space="0"/>
              <w:bottom w:val="single" w:color="auto" w:sz="4" w:space="0"/>
            </w:tcBorders>
            <w:noWrap w:val="0"/>
            <w:vAlign w:val="center"/>
          </w:tcPr>
          <w:p w14:paraId="34A2BF82">
            <w:pPr>
              <w:spacing w:line="240" w:lineRule="auto"/>
              <w:ind w:firstLine="0" w:firstLineChars="0"/>
              <w:jc w:val="center"/>
              <w:rPr>
                <w:rFonts w:hint="default" w:ascii="Times New Roman" w:hAnsi="Times New Roman" w:eastAsia="宋体" w:cs="Times New Roman"/>
                <w:b w:val="0"/>
                <w:bCs w:val="0"/>
                <w:color w:val="auto"/>
                <w:sz w:val="21"/>
                <w:szCs w:val="24"/>
                <w:lang w:val="en-US" w:eastAsia="zh-CN"/>
              </w:rPr>
            </w:pPr>
            <w:r>
              <w:rPr>
                <w:rFonts w:hint="eastAsia" w:ascii="Times New Roman" w:hAnsi="Times New Roman" w:cs="Times New Roman"/>
                <w:b w:val="0"/>
                <w:bCs w:val="0"/>
                <w:color w:val="auto"/>
                <w:sz w:val="21"/>
                <w:szCs w:val="24"/>
                <w:lang w:val="en-US" w:eastAsia="zh-CN"/>
              </w:rPr>
              <w:t xml:space="preserve">8 </w:t>
            </w:r>
          </w:p>
        </w:tc>
      </w:tr>
      <w:tr w14:paraId="74A6B9B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2" w:type="dxa"/>
            <w:tcBorders>
              <w:top w:val="single" w:color="auto" w:sz="4" w:space="0"/>
              <w:bottom w:val="single" w:color="auto" w:sz="4" w:space="0"/>
              <w:right w:val="single" w:color="auto" w:sz="4" w:space="0"/>
            </w:tcBorders>
            <w:noWrap w:val="0"/>
            <w:vAlign w:val="center"/>
          </w:tcPr>
          <w:p w14:paraId="10017A18">
            <w:pPr>
              <w:spacing w:line="240" w:lineRule="auto"/>
              <w:ind w:firstLine="0" w:firstLineChars="0"/>
              <w:jc w:val="center"/>
              <w:rPr>
                <w:rFonts w:hint="default" w:ascii="Times New Roman" w:hAnsi="Times New Roman" w:eastAsia="宋体" w:cs="Times New Roman"/>
                <w:b/>
                <w:bCs/>
                <w:color w:val="auto"/>
                <w:sz w:val="21"/>
                <w:szCs w:val="24"/>
                <w:lang w:eastAsia="zh-CN"/>
              </w:rPr>
            </w:pPr>
            <w:r>
              <w:rPr>
                <w:rFonts w:hint="default" w:ascii="Times New Roman" w:hAnsi="Times New Roman" w:eastAsia="宋体" w:cs="Times New Roman"/>
                <w:b/>
                <w:bCs/>
                <w:color w:val="auto"/>
                <w:sz w:val="21"/>
                <w:szCs w:val="24"/>
                <w:lang w:val="en-US" w:eastAsia="zh-CN"/>
              </w:rPr>
              <w:t>2</w:t>
            </w:r>
          </w:p>
        </w:tc>
        <w:tc>
          <w:tcPr>
            <w:tcW w:w="1109" w:type="dxa"/>
            <w:tcBorders>
              <w:top w:val="single" w:color="auto" w:sz="4" w:space="0"/>
              <w:left w:val="single" w:color="auto" w:sz="4" w:space="0"/>
              <w:bottom w:val="single" w:color="auto" w:sz="4" w:space="0"/>
              <w:right w:val="single" w:color="auto" w:sz="4" w:space="0"/>
            </w:tcBorders>
            <w:noWrap w:val="0"/>
            <w:vAlign w:val="center"/>
          </w:tcPr>
          <w:p w14:paraId="5A7EA7B7">
            <w:pPr>
              <w:spacing w:line="240" w:lineRule="auto"/>
              <w:ind w:firstLine="0" w:firstLineChar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NH</w:t>
            </w:r>
            <w:r>
              <w:rPr>
                <w:rFonts w:hint="default" w:ascii="Times New Roman" w:hAnsi="Times New Roman" w:eastAsia="宋体" w:cs="Times New Roman"/>
                <w:color w:val="auto"/>
                <w:sz w:val="21"/>
                <w:szCs w:val="24"/>
                <w:vertAlign w:val="subscript"/>
              </w:rPr>
              <w:t>3</w:t>
            </w:r>
          </w:p>
        </w:tc>
        <w:tc>
          <w:tcPr>
            <w:tcW w:w="1280" w:type="dxa"/>
            <w:vMerge w:val="restart"/>
            <w:tcBorders>
              <w:top w:val="single" w:color="auto" w:sz="4" w:space="0"/>
              <w:left w:val="single" w:color="auto" w:sz="4" w:space="0"/>
              <w:right w:val="single" w:color="auto" w:sz="4" w:space="0"/>
            </w:tcBorders>
            <w:noWrap w:val="0"/>
            <w:vAlign w:val="center"/>
          </w:tcPr>
          <w:p w14:paraId="710D7A90">
            <w:pPr>
              <w:spacing w:line="240" w:lineRule="auto"/>
              <w:ind w:firstLine="0" w:firstLineChar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水处理</w:t>
            </w:r>
          </w:p>
        </w:tc>
        <w:tc>
          <w:tcPr>
            <w:tcW w:w="1280" w:type="dxa"/>
            <w:tcBorders>
              <w:top w:val="single" w:color="auto" w:sz="4" w:space="0"/>
              <w:left w:val="single" w:color="auto" w:sz="4" w:space="0"/>
              <w:bottom w:val="single" w:color="auto" w:sz="4" w:space="0"/>
              <w:right w:val="single" w:color="auto" w:sz="4" w:space="0"/>
            </w:tcBorders>
            <w:noWrap w:val="0"/>
            <w:vAlign w:val="center"/>
          </w:tcPr>
          <w:p w14:paraId="413333D8">
            <w:pPr>
              <w:pStyle w:val="7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0.00075</w:t>
            </w:r>
          </w:p>
        </w:tc>
        <w:tc>
          <w:tcPr>
            <w:tcW w:w="1563" w:type="dxa"/>
            <w:tcBorders>
              <w:top w:val="single" w:color="auto" w:sz="4" w:space="0"/>
              <w:left w:val="single" w:color="auto" w:sz="4" w:space="0"/>
              <w:bottom w:val="single" w:color="auto" w:sz="4" w:space="0"/>
              <w:right w:val="single" w:color="auto" w:sz="4" w:space="0"/>
            </w:tcBorders>
            <w:noWrap w:val="0"/>
            <w:vAlign w:val="center"/>
          </w:tcPr>
          <w:p w14:paraId="3E4390E9">
            <w:pPr>
              <w:pStyle w:val="7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0.0018</w:t>
            </w:r>
          </w:p>
        </w:tc>
        <w:tc>
          <w:tcPr>
            <w:tcW w:w="905" w:type="dxa"/>
            <w:vMerge w:val="restart"/>
            <w:tcBorders>
              <w:top w:val="single" w:color="auto" w:sz="4" w:space="0"/>
              <w:left w:val="single" w:color="auto" w:sz="4" w:space="0"/>
              <w:right w:val="single" w:color="auto" w:sz="4" w:space="0"/>
            </w:tcBorders>
            <w:noWrap w:val="0"/>
            <w:vAlign w:val="center"/>
          </w:tcPr>
          <w:p w14:paraId="393F25B0">
            <w:pPr>
              <w:spacing w:line="240" w:lineRule="auto"/>
              <w:ind w:firstLine="0" w:firstLineChar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2400</w:t>
            </w:r>
          </w:p>
        </w:tc>
        <w:tc>
          <w:tcPr>
            <w:tcW w:w="944" w:type="dxa"/>
            <w:vMerge w:val="restart"/>
            <w:tcBorders>
              <w:top w:val="single" w:color="auto" w:sz="4" w:space="0"/>
              <w:left w:val="single" w:color="auto" w:sz="4" w:space="0"/>
              <w:right w:val="single" w:color="auto" w:sz="4" w:space="0"/>
            </w:tcBorders>
            <w:noWrap w:val="0"/>
            <w:vAlign w:val="center"/>
          </w:tcPr>
          <w:p w14:paraId="3EB7D899">
            <w:pPr>
              <w:spacing w:line="240" w:lineRule="auto"/>
              <w:ind w:firstLine="0" w:firstLineChars="0"/>
              <w:jc w:val="center"/>
              <w:rPr>
                <w:rFonts w:hint="default" w:ascii="Times New Roman" w:hAnsi="Times New Roman" w:eastAsia="宋体" w:cs="Times New Roman"/>
                <w:color w:val="auto"/>
                <w:sz w:val="21"/>
                <w:szCs w:val="24"/>
                <w:lang w:val="en-US" w:eastAsia="zh-CN"/>
              </w:rPr>
            </w:pPr>
            <w:r>
              <w:rPr>
                <w:rFonts w:hint="eastAsia" w:ascii="Times New Roman" w:hAnsi="Times New Roman" w:cs="Times New Roman"/>
                <w:color w:val="auto"/>
                <w:sz w:val="21"/>
                <w:szCs w:val="24"/>
                <w:lang w:val="en-US" w:eastAsia="zh-CN"/>
              </w:rPr>
              <w:t>50</w:t>
            </w:r>
          </w:p>
        </w:tc>
        <w:tc>
          <w:tcPr>
            <w:tcW w:w="755" w:type="dxa"/>
            <w:vMerge w:val="restart"/>
            <w:tcBorders>
              <w:top w:val="single" w:color="auto" w:sz="4" w:space="0"/>
              <w:left w:val="single" w:color="auto" w:sz="4" w:space="0"/>
            </w:tcBorders>
            <w:noWrap w:val="0"/>
            <w:vAlign w:val="center"/>
          </w:tcPr>
          <w:p w14:paraId="4B7AD601">
            <w:pPr>
              <w:spacing w:line="240" w:lineRule="auto"/>
              <w:ind w:firstLine="0" w:firstLineChar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2</w:t>
            </w:r>
          </w:p>
        </w:tc>
      </w:tr>
      <w:tr w14:paraId="309C2BF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92" w:type="dxa"/>
            <w:tcBorders>
              <w:top w:val="single" w:color="auto" w:sz="4" w:space="0"/>
              <w:right w:val="single" w:color="auto" w:sz="4" w:space="0"/>
            </w:tcBorders>
            <w:noWrap w:val="0"/>
            <w:vAlign w:val="center"/>
          </w:tcPr>
          <w:p w14:paraId="04CA8F6A">
            <w:pPr>
              <w:spacing w:line="240" w:lineRule="auto"/>
              <w:ind w:firstLine="0" w:firstLineChars="0"/>
              <w:jc w:val="center"/>
              <w:rPr>
                <w:rFonts w:hint="default" w:ascii="Times New Roman" w:hAnsi="Times New Roman" w:eastAsia="宋体" w:cs="Times New Roman"/>
                <w:b/>
                <w:bCs/>
                <w:color w:val="auto"/>
                <w:sz w:val="21"/>
                <w:szCs w:val="24"/>
                <w:lang w:eastAsia="zh-CN"/>
              </w:rPr>
            </w:pPr>
            <w:r>
              <w:rPr>
                <w:rFonts w:hint="default" w:ascii="Times New Roman" w:hAnsi="Times New Roman" w:eastAsia="宋体" w:cs="Times New Roman"/>
                <w:b/>
                <w:bCs/>
                <w:color w:val="auto"/>
                <w:sz w:val="21"/>
                <w:szCs w:val="24"/>
                <w:lang w:val="en-US" w:eastAsia="zh-CN"/>
              </w:rPr>
              <w:t>3</w:t>
            </w:r>
          </w:p>
        </w:tc>
        <w:tc>
          <w:tcPr>
            <w:tcW w:w="1109" w:type="dxa"/>
            <w:tcBorders>
              <w:top w:val="single" w:color="auto" w:sz="4" w:space="0"/>
              <w:left w:val="single" w:color="auto" w:sz="4" w:space="0"/>
              <w:right w:val="single" w:color="auto" w:sz="4" w:space="0"/>
            </w:tcBorders>
            <w:noWrap w:val="0"/>
            <w:vAlign w:val="center"/>
          </w:tcPr>
          <w:p w14:paraId="32A8064E">
            <w:pPr>
              <w:spacing w:line="240" w:lineRule="auto"/>
              <w:ind w:firstLine="0" w:firstLineChars="0"/>
              <w:jc w:val="center"/>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 w:val="21"/>
                <w:szCs w:val="24"/>
              </w:rPr>
              <w:t>H</w:t>
            </w:r>
            <w:r>
              <w:rPr>
                <w:rFonts w:hint="default" w:ascii="Times New Roman" w:hAnsi="Times New Roman" w:eastAsia="宋体" w:cs="Times New Roman"/>
                <w:color w:val="auto"/>
                <w:sz w:val="21"/>
                <w:szCs w:val="24"/>
                <w:vertAlign w:val="subscript"/>
              </w:rPr>
              <w:t>2</w:t>
            </w:r>
            <w:r>
              <w:rPr>
                <w:rFonts w:hint="default" w:ascii="Times New Roman" w:hAnsi="Times New Roman" w:eastAsia="宋体" w:cs="Times New Roman"/>
                <w:color w:val="auto"/>
                <w:sz w:val="21"/>
                <w:szCs w:val="24"/>
              </w:rPr>
              <w:t>S</w:t>
            </w:r>
          </w:p>
        </w:tc>
        <w:tc>
          <w:tcPr>
            <w:tcW w:w="1280" w:type="dxa"/>
            <w:vMerge w:val="continue"/>
            <w:tcBorders>
              <w:left w:val="single" w:color="auto" w:sz="4" w:space="0"/>
              <w:right w:val="single" w:color="auto" w:sz="4" w:space="0"/>
            </w:tcBorders>
            <w:noWrap w:val="0"/>
            <w:vAlign w:val="center"/>
          </w:tcPr>
          <w:p w14:paraId="45362879">
            <w:pPr>
              <w:spacing w:line="240" w:lineRule="auto"/>
              <w:ind w:firstLine="0" w:firstLineChars="0"/>
              <w:jc w:val="center"/>
              <w:rPr>
                <w:rFonts w:hint="default" w:ascii="Times New Roman" w:hAnsi="Times New Roman" w:eastAsia="宋体" w:cs="Times New Roman"/>
                <w:color w:val="auto"/>
                <w:sz w:val="21"/>
                <w:szCs w:val="24"/>
              </w:rPr>
            </w:pPr>
          </w:p>
        </w:tc>
        <w:tc>
          <w:tcPr>
            <w:tcW w:w="1280" w:type="dxa"/>
            <w:tcBorders>
              <w:top w:val="single" w:color="auto" w:sz="4" w:space="0"/>
              <w:left w:val="single" w:color="auto" w:sz="4" w:space="0"/>
              <w:right w:val="single" w:color="auto" w:sz="4" w:space="0"/>
            </w:tcBorders>
            <w:noWrap w:val="0"/>
            <w:vAlign w:val="center"/>
          </w:tcPr>
          <w:p w14:paraId="452F13E6">
            <w:pPr>
              <w:pStyle w:val="7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0.00007</w:t>
            </w:r>
          </w:p>
        </w:tc>
        <w:tc>
          <w:tcPr>
            <w:tcW w:w="1563" w:type="dxa"/>
            <w:tcBorders>
              <w:top w:val="single" w:color="auto" w:sz="4" w:space="0"/>
              <w:left w:val="single" w:color="auto" w:sz="4" w:space="0"/>
              <w:right w:val="single" w:color="auto" w:sz="4" w:space="0"/>
            </w:tcBorders>
            <w:noWrap w:val="0"/>
            <w:vAlign w:val="center"/>
          </w:tcPr>
          <w:p w14:paraId="6F15DC87">
            <w:pPr>
              <w:pStyle w:val="756"/>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0.0003</w:t>
            </w:r>
          </w:p>
        </w:tc>
        <w:tc>
          <w:tcPr>
            <w:tcW w:w="905" w:type="dxa"/>
            <w:vMerge w:val="continue"/>
            <w:tcBorders>
              <w:left w:val="single" w:color="auto" w:sz="4" w:space="0"/>
              <w:right w:val="single" w:color="auto" w:sz="4" w:space="0"/>
            </w:tcBorders>
            <w:noWrap w:val="0"/>
            <w:vAlign w:val="center"/>
          </w:tcPr>
          <w:p w14:paraId="2FD77F2A">
            <w:pPr>
              <w:spacing w:line="240" w:lineRule="auto"/>
              <w:ind w:firstLine="0" w:firstLineChars="0"/>
              <w:jc w:val="center"/>
              <w:rPr>
                <w:rFonts w:hint="default" w:ascii="Times New Roman" w:hAnsi="Times New Roman" w:eastAsia="宋体" w:cs="Times New Roman"/>
                <w:color w:val="auto"/>
                <w:sz w:val="21"/>
                <w:szCs w:val="24"/>
              </w:rPr>
            </w:pPr>
          </w:p>
        </w:tc>
        <w:tc>
          <w:tcPr>
            <w:tcW w:w="944" w:type="dxa"/>
            <w:vMerge w:val="continue"/>
            <w:tcBorders>
              <w:left w:val="single" w:color="auto" w:sz="4" w:space="0"/>
              <w:right w:val="single" w:color="auto" w:sz="4" w:space="0"/>
            </w:tcBorders>
            <w:noWrap w:val="0"/>
            <w:vAlign w:val="center"/>
          </w:tcPr>
          <w:p w14:paraId="2833DE3F">
            <w:pPr>
              <w:spacing w:line="240" w:lineRule="auto"/>
              <w:ind w:firstLine="0" w:firstLineChars="0"/>
              <w:jc w:val="center"/>
              <w:rPr>
                <w:rFonts w:hint="default" w:ascii="Times New Roman" w:hAnsi="Times New Roman" w:eastAsia="宋体" w:cs="Times New Roman"/>
                <w:color w:val="auto"/>
                <w:sz w:val="21"/>
                <w:szCs w:val="24"/>
              </w:rPr>
            </w:pPr>
          </w:p>
        </w:tc>
        <w:tc>
          <w:tcPr>
            <w:tcW w:w="755" w:type="dxa"/>
            <w:vMerge w:val="continue"/>
            <w:tcBorders>
              <w:left w:val="single" w:color="auto" w:sz="4" w:space="0"/>
            </w:tcBorders>
            <w:noWrap w:val="0"/>
            <w:vAlign w:val="center"/>
          </w:tcPr>
          <w:p w14:paraId="2CBE24B8">
            <w:pPr>
              <w:spacing w:line="240" w:lineRule="auto"/>
              <w:ind w:firstLine="0" w:firstLineChars="0"/>
              <w:jc w:val="center"/>
              <w:rPr>
                <w:rFonts w:hint="default" w:ascii="Times New Roman" w:hAnsi="Times New Roman" w:eastAsia="宋体" w:cs="Times New Roman"/>
                <w:color w:val="auto"/>
                <w:sz w:val="21"/>
                <w:szCs w:val="24"/>
              </w:rPr>
            </w:pPr>
          </w:p>
        </w:tc>
      </w:tr>
    </w:tbl>
    <w:p w14:paraId="6D34F780">
      <w:pPr>
        <w:ind w:firstLine="482" w:firstLineChars="200"/>
        <w:jc w:val="left"/>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4、</w:t>
      </w:r>
      <w:r>
        <w:rPr>
          <w:rFonts w:hint="default" w:ascii="Times New Roman" w:hAnsi="Times New Roman" w:eastAsia="宋体" w:cs="Times New Roman"/>
          <w:b/>
          <w:color w:val="auto"/>
        </w:rPr>
        <w:t>食堂油烟</w:t>
      </w:r>
    </w:p>
    <w:p w14:paraId="30B30319">
      <w:pPr>
        <w:autoSpaceDE w:val="0"/>
        <w:autoSpaceDN w:val="0"/>
        <w:adjustRightInd w:val="0"/>
        <w:ind w:firstLine="480" w:firstLineChars="200"/>
        <w:jc w:val="left"/>
        <w:rPr>
          <w:rFonts w:hint="default" w:ascii="Times New Roman" w:hAnsi="Times New Roman" w:eastAsia="宋体" w:cs="Times New Roman"/>
          <w:b/>
          <w:color w:val="auto"/>
        </w:rPr>
      </w:pPr>
      <w:r>
        <w:rPr>
          <w:rFonts w:hint="default" w:ascii="Times New Roman" w:hAnsi="Times New Roman" w:eastAsia="宋体" w:cs="Times New Roman"/>
          <w:color w:val="auto"/>
        </w:rPr>
        <w:t>项目食堂设有</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个灶头，规模为</w:t>
      </w:r>
      <w:r>
        <w:rPr>
          <w:rFonts w:hint="default" w:ascii="Times New Roman" w:hAnsi="Times New Roman" w:eastAsia="宋体" w:cs="Times New Roman"/>
          <w:color w:val="auto"/>
          <w:lang w:eastAsia="zh-CN"/>
        </w:rPr>
        <w:t>中</w:t>
      </w:r>
      <w:r>
        <w:rPr>
          <w:rFonts w:hint="default" w:ascii="Times New Roman" w:hAnsi="Times New Roman" w:eastAsia="宋体" w:cs="Times New Roman"/>
          <w:color w:val="auto"/>
        </w:rPr>
        <w:t>型。年工作日300天，厨房日工作时间约为4h，约有</w:t>
      </w:r>
      <w:r>
        <w:rPr>
          <w:rFonts w:hint="default" w:ascii="Times New Roman" w:hAnsi="Times New Roman" w:eastAsia="宋体" w:cs="Times New Roman"/>
          <w:color w:val="auto"/>
          <w:lang w:val="en-US" w:eastAsia="zh-CN"/>
        </w:rPr>
        <w:t>580</w:t>
      </w:r>
      <w:r>
        <w:rPr>
          <w:rFonts w:hint="default" w:ascii="Times New Roman" w:hAnsi="Times New Roman" w:eastAsia="宋体" w:cs="Times New Roman"/>
          <w:color w:val="auto"/>
        </w:rPr>
        <w:t>名员工在项目区用餐。</w:t>
      </w:r>
      <w:r>
        <w:rPr>
          <w:rFonts w:hint="default" w:ascii="Times New Roman" w:hAnsi="Times New Roman" w:eastAsia="宋体" w:cs="Times New Roman"/>
          <w:iCs/>
          <w:color w:val="auto"/>
        </w:rPr>
        <w:t>食用油按平衡膳食推荐食用油30g/人.d计，油烟产生量按食用油用量的2.83%计</w:t>
      </w:r>
      <w:r>
        <w:rPr>
          <w:rFonts w:hint="default" w:ascii="Times New Roman" w:hAnsi="Times New Roman" w:eastAsia="宋体" w:cs="Times New Roman"/>
          <w:color w:val="auto"/>
        </w:rPr>
        <w:t>。食堂拟选用排风量</w:t>
      </w:r>
      <w:r>
        <w:rPr>
          <w:rFonts w:hint="default" w:ascii="Times New Roman" w:hAnsi="Times New Roman" w:eastAsia="宋体" w:cs="Times New Roman"/>
          <w:color w:val="auto"/>
          <w:lang w:val="en-US" w:eastAsia="zh-CN"/>
        </w:rPr>
        <w:t>2000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/h，净化效率为</w:t>
      </w:r>
      <w:r>
        <w:rPr>
          <w:rFonts w:hint="default" w:ascii="Times New Roman" w:hAnsi="Times New Roman" w:eastAsia="宋体" w:cs="Times New Roman"/>
          <w:color w:val="auto"/>
          <w:lang w:val="en-US" w:eastAsia="zh-CN"/>
        </w:rPr>
        <w:t>75</w:t>
      </w:r>
      <w:r>
        <w:rPr>
          <w:rFonts w:hint="default" w:ascii="Times New Roman" w:hAnsi="Times New Roman" w:eastAsia="宋体" w:cs="Times New Roman"/>
          <w:color w:val="auto"/>
        </w:rPr>
        <w:t>%的油烟净化器，则食堂油烟排放情况见表3.4-</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所示。</w:t>
      </w:r>
    </w:p>
    <w:p w14:paraId="1BEF26BA">
      <w:pPr>
        <w:autoSpaceDE w:val="0"/>
        <w:autoSpaceDN w:val="0"/>
        <w:adjustRightInd w:val="0"/>
        <w:jc w:val="center"/>
        <w:rPr>
          <w:rFonts w:hint="default" w:ascii="Times New Roman" w:hAnsi="Times New Roman" w:eastAsia="宋体" w:cs="Times New Roman"/>
          <w:color w:val="auto"/>
        </w:rPr>
      </w:pPr>
      <w:r>
        <w:rPr>
          <w:rFonts w:hint="default" w:ascii="Times New Roman" w:hAnsi="Times New Roman" w:eastAsia="宋体" w:cs="Times New Roman"/>
          <w:b/>
          <w:color w:val="auto"/>
        </w:rPr>
        <w:t>表3.4-</w:t>
      </w:r>
      <w:r>
        <w:rPr>
          <w:rFonts w:hint="eastAsia" w:ascii="Times New Roman" w:hAnsi="Times New Roman" w:cs="Times New Roman"/>
          <w:b/>
          <w:color w:val="auto"/>
          <w:lang w:val="en-US" w:eastAsia="zh-CN"/>
        </w:rPr>
        <w:t>2</w:t>
      </w:r>
      <w:r>
        <w:rPr>
          <w:rFonts w:hint="default" w:ascii="Times New Roman" w:hAnsi="Times New Roman" w:eastAsia="宋体" w:cs="Times New Roman"/>
          <w:b/>
          <w:color w:val="auto"/>
        </w:rPr>
        <w:t xml:space="preserve">  项目食堂油烟排放情况</w:t>
      </w:r>
    </w:p>
    <w:tbl>
      <w:tblPr>
        <w:tblStyle w:val="66"/>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4"/>
        <w:gridCol w:w="4152"/>
      </w:tblGrid>
      <w:tr w14:paraId="2A7B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5B2DAB8F">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指标</w:t>
            </w:r>
          </w:p>
        </w:tc>
        <w:tc>
          <w:tcPr>
            <w:tcW w:w="4152" w:type="dxa"/>
            <w:tcBorders>
              <w:top w:val="single" w:color="auto" w:sz="4" w:space="0"/>
              <w:left w:val="single" w:color="auto" w:sz="4" w:space="0"/>
              <w:bottom w:val="single" w:color="auto" w:sz="4" w:space="0"/>
              <w:right w:val="single" w:color="auto" w:sz="4" w:space="0"/>
            </w:tcBorders>
            <w:vAlign w:val="center"/>
          </w:tcPr>
          <w:p w14:paraId="5E84C81A">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数值</w:t>
            </w:r>
          </w:p>
        </w:tc>
      </w:tr>
      <w:tr w14:paraId="3D61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364" w:type="dxa"/>
            <w:tcBorders>
              <w:top w:val="single" w:color="auto" w:sz="4" w:space="0"/>
              <w:left w:val="single" w:color="auto" w:sz="4" w:space="0"/>
              <w:bottom w:val="single" w:color="auto" w:sz="4" w:space="0"/>
              <w:right w:val="single" w:color="auto" w:sz="4" w:space="0"/>
            </w:tcBorders>
            <w:vAlign w:val="center"/>
          </w:tcPr>
          <w:p w14:paraId="35045A1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用餐人次</w:t>
            </w:r>
          </w:p>
        </w:tc>
        <w:tc>
          <w:tcPr>
            <w:tcW w:w="4152" w:type="dxa"/>
            <w:tcBorders>
              <w:top w:val="single" w:color="auto" w:sz="4" w:space="0"/>
              <w:left w:val="single" w:color="auto" w:sz="4" w:space="0"/>
              <w:bottom w:val="single" w:color="auto" w:sz="4" w:space="0"/>
              <w:right w:val="single" w:color="auto" w:sz="4" w:space="0"/>
            </w:tcBorders>
            <w:vAlign w:val="center"/>
          </w:tcPr>
          <w:p w14:paraId="2B1542D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580</w:t>
            </w:r>
            <w:r>
              <w:rPr>
                <w:rFonts w:hint="default" w:ascii="Times New Roman" w:hAnsi="Times New Roman" w:eastAsia="宋体" w:cs="Times New Roman"/>
                <w:color w:val="auto"/>
                <w:sz w:val="21"/>
              </w:rPr>
              <w:t>人次/d</w:t>
            </w:r>
          </w:p>
        </w:tc>
      </w:tr>
      <w:tr w14:paraId="62854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342DDF00">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日耗油量</w:t>
            </w:r>
          </w:p>
        </w:tc>
        <w:tc>
          <w:tcPr>
            <w:tcW w:w="4152" w:type="dxa"/>
            <w:tcBorders>
              <w:top w:val="single" w:color="auto" w:sz="4" w:space="0"/>
              <w:left w:val="single" w:color="auto" w:sz="4" w:space="0"/>
              <w:bottom w:val="single" w:color="auto" w:sz="4" w:space="0"/>
              <w:right w:val="single" w:color="auto" w:sz="4" w:space="0"/>
            </w:tcBorders>
            <w:vAlign w:val="center"/>
          </w:tcPr>
          <w:p w14:paraId="5A4A56FD">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w:t>
            </w:r>
            <w:r>
              <w:rPr>
                <w:rFonts w:hint="default" w:ascii="Times New Roman" w:hAnsi="Times New Roman" w:eastAsia="宋体" w:cs="Times New Roman"/>
                <w:color w:val="auto"/>
                <w:sz w:val="21"/>
                <w:lang w:val="en-US" w:eastAsia="zh-CN"/>
              </w:rPr>
              <w:t>0</w:t>
            </w:r>
            <w:r>
              <w:rPr>
                <w:rFonts w:hint="default" w:ascii="Times New Roman" w:hAnsi="Times New Roman" w:eastAsia="宋体" w:cs="Times New Roman"/>
                <w:color w:val="auto"/>
                <w:sz w:val="21"/>
              </w:rPr>
              <w:t>3kg/人.d</w:t>
            </w:r>
          </w:p>
        </w:tc>
      </w:tr>
      <w:tr w14:paraId="1F142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52395BCC">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油的挥发率</w:t>
            </w:r>
          </w:p>
        </w:tc>
        <w:tc>
          <w:tcPr>
            <w:tcW w:w="4152" w:type="dxa"/>
            <w:tcBorders>
              <w:top w:val="single" w:color="auto" w:sz="4" w:space="0"/>
              <w:left w:val="single" w:color="auto" w:sz="4" w:space="0"/>
              <w:bottom w:val="single" w:color="auto" w:sz="4" w:space="0"/>
              <w:right w:val="single" w:color="auto" w:sz="4" w:space="0"/>
            </w:tcBorders>
            <w:vAlign w:val="center"/>
          </w:tcPr>
          <w:p w14:paraId="335B13A6">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2.83%</w:t>
            </w:r>
          </w:p>
        </w:tc>
      </w:tr>
      <w:tr w14:paraId="278D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54039B2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日油烟产生量</w:t>
            </w:r>
          </w:p>
        </w:tc>
        <w:tc>
          <w:tcPr>
            <w:tcW w:w="4152" w:type="dxa"/>
            <w:tcBorders>
              <w:top w:val="single" w:color="auto" w:sz="4" w:space="0"/>
              <w:left w:val="single" w:color="auto" w:sz="4" w:space="0"/>
              <w:bottom w:val="single" w:color="auto" w:sz="4" w:space="0"/>
              <w:right w:val="single" w:color="auto" w:sz="4" w:space="0"/>
            </w:tcBorders>
            <w:vAlign w:val="center"/>
          </w:tcPr>
          <w:p w14:paraId="50640D30">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0.49</w:t>
            </w:r>
            <w:r>
              <w:rPr>
                <w:rFonts w:hint="default" w:ascii="Times New Roman" w:hAnsi="Times New Roman" w:eastAsia="宋体" w:cs="Times New Roman"/>
                <w:color w:val="auto"/>
                <w:sz w:val="21"/>
              </w:rPr>
              <w:t>kg/d</w:t>
            </w:r>
          </w:p>
        </w:tc>
      </w:tr>
      <w:tr w14:paraId="7CA05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6EE193A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日高峰期</w:t>
            </w:r>
          </w:p>
        </w:tc>
        <w:tc>
          <w:tcPr>
            <w:tcW w:w="4152" w:type="dxa"/>
            <w:tcBorders>
              <w:top w:val="single" w:color="auto" w:sz="4" w:space="0"/>
              <w:left w:val="single" w:color="auto" w:sz="4" w:space="0"/>
              <w:bottom w:val="single" w:color="auto" w:sz="4" w:space="0"/>
              <w:right w:val="single" w:color="auto" w:sz="4" w:space="0"/>
            </w:tcBorders>
            <w:vAlign w:val="center"/>
          </w:tcPr>
          <w:p w14:paraId="11F3B838">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4h</w:t>
            </w:r>
          </w:p>
        </w:tc>
      </w:tr>
      <w:tr w14:paraId="04E5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01ABD11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油烟净化效率</w:t>
            </w:r>
          </w:p>
        </w:tc>
        <w:tc>
          <w:tcPr>
            <w:tcW w:w="4152" w:type="dxa"/>
            <w:tcBorders>
              <w:top w:val="single" w:color="auto" w:sz="4" w:space="0"/>
              <w:left w:val="single" w:color="auto" w:sz="4" w:space="0"/>
              <w:bottom w:val="single" w:color="auto" w:sz="4" w:space="0"/>
              <w:right w:val="single" w:color="auto" w:sz="4" w:space="0"/>
            </w:tcBorders>
            <w:vAlign w:val="center"/>
          </w:tcPr>
          <w:p w14:paraId="19619674">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75</w:t>
            </w:r>
            <w:r>
              <w:rPr>
                <w:rFonts w:hint="default" w:ascii="Times New Roman" w:hAnsi="Times New Roman" w:eastAsia="宋体" w:cs="Times New Roman"/>
                <w:color w:val="auto"/>
                <w:sz w:val="21"/>
              </w:rPr>
              <w:t>%</w:t>
            </w:r>
          </w:p>
        </w:tc>
      </w:tr>
      <w:tr w14:paraId="49BD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37CA17DD">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油烟实际排放量</w:t>
            </w:r>
          </w:p>
        </w:tc>
        <w:tc>
          <w:tcPr>
            <w:tcW w:w="4152" w:type="dxa"/>
            <w:tcBorders>
              <w:top w:val="single" w:color="auto" w:sz="4" w:space="0"/>
              <w:left w:val="single" w:color="auto" w:sz="4" w:space="0"/>
              <w:bottom w:val="single" w:color="auto" w:sz="4" w:space="0"/>
              <w:right w:val="single" w:color="auto" w:sz="4" w:space="0"/>
            </w:tcBorders>
            <w:vAlign w:val="center"/>
          </w:tcPr>
          <w:p w14:paraId="0A0FFE0B">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0.03</w:t>
            </w:r>
            <w:r>
              <w:rPr>
                <w:rFonts w:hint="default" w:ascii="Times New Roman" w:hAnsi="Times New Roman" w:eastAsia="宋体" w:cs="Times New Roman"/>
                <w:color w:val="auto"/>
                <w:sz w:val="21"/>
              </w:rPr>
              <w:t>kg/h</w:t>
            </w:r>
          </w:p>
        </w:tc>
      </w:tr>
      <w:tr w14:paraId="5ADF1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4364" w:type="dxa"/>
            <w:tcBorders>
              <w:top w:val="single" w:color="auto" w:sz="4" w:space="0"/>
              <w:left w:val="single" w:color="auto" w:sz="4" w:space="0"/>
              <w:bottom w:val="single" w:color="auto" w:sz="4" w:space="0"/>
              <w:right w:val="single" w:color="auto" w:sz="4" w:space="0"/>
            </w:tcBorders>
            <w:vAlign w:val="center"/>
          </w:tcPr>
          <w:p w14:paraId="5C5B2CAE">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烟气量</w:t>
            </w:r>
          </w:p>
        </w:tc>
        <w:tc>
          <w:tcPr>
            <w:tcW w:w="4152" w:type="dxa"/>
            <w:tcBorders>
              <w:top w:val="single" w:color="auto" w:sz="4" w:space="0"/>
              <w:left w:val="single" w:color="auto" w:sz="4" w:space="0"/>
              <w:bottom w:val="single" w:color="auto" w:sz="4" w:space="0"/>
              <w:right w:val="single" w:color="auto" w:sz="4" w:space="0"/>
            </w:tcBorders>
            <w:vAlign w:val="center"/>
          </w:tcPr>
          <w:p w14:paraId="3E818664">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2000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3</w:t>
            </w:r>
            <w:r>
              <w:rPr>
                <w:rFonts w:hint="default" w:ascii="Times New Roman" w:hAnsi="Times New Roman" w:eastAsia="宋体" w:cs="Times New Roman"/>
                <w:color w:val="auto"/>
                <w:sz w:val="21"/>
              </w:rPr>
              <w:t>/h</w:t>
            </w:r>
          </w:p>
        </w:tc>
      </w:tr>
      <w:tr w14:paraId="6DF9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64" w:type="dxa"/>
            <w:tcBorders>
              <w:top w:val="single" w:color="auto" w:sz="4" w:space="0"/>
              <w:left w:val="single" w:color="auto" w:sz="4" w:space="0"/>
              <w:bottom w:val="single" w:color="auto" w:sz="4" w:space="0"/>
              <w:right w:val="single" w:color="auto" w:sz="4" w:space="0"/>
            </w:tcBorders>
            <w:vAlign w:val="center"/>
          </w:tcPr>
          <w:p w14:paraId="64150DD8">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油烟产生浓度</w:t>
            </w:r>
          </w:p>
        </w:tc>
        <w:tc>
          <w:tcPr>
            <w:tcW w:w="4152" w:type="dxa"/>
            <w:tcBorders>
              <w:top w:val="single" w:color="auto" w:sz="4" w:space="0"/>
              <w:left w:val="single" w:color="auto" w:sz="4" w:space="0"/>
              <w:bottom w:val="single" w:color="auto" w:sz="4" w:space="0"/>
              <w:right w:val="single" w:color="auto" w:sz="4" w:space="0"/>
            </w:tcBorders>
            <w:vAlign w:val="center"/>
          </w:tcPr>
          <w:p w14:paraId="06D27312">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3.75</w:t>
            </w:r>
            <w:r>
              <w:rPr>
                <w:rFonts w:hint="default" w:ascii="Times New Roman" w:hAnsi="Times New Roman" w:eastAsia="宋体" w:cs="Times New Roman"/>
                <w:color w:val="auto"/>
                <w:sz w:val="21"/>
              </w:rPr>
              <w:t>mg/m</w:t>
            </w:r>
            <w:r>
              <w:rPr>
                <w:rFonts w:hint="default" w:ascii="Times New Roman" w:hAnsi="Times New Roman" w:eastAsia="宋体" w:cs="Times New Roman"/>
                <w:color w:val="auto"/>
                <w:sz w:val="21"/>
                <w:vertAlign w:val="superscript"/>
              </w:rPr>
              <w:t>3</w:t>
            </w:r>
          </w:p>
        </w:tc>
      </w:tr>
      <w:tr w14:paraId="2FA6F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4" w:type="dxa"/>
            <w:tcBorders>
              <w:top w:val="single" w:color="auto" w:sz="4" w:space="0"/>
              <w:left w:val="single" w:color="auto" w:sz="4" w:space="0"/>
              <w:bottom w:val="single" w:color="auto" w:sz="4" w:space="0"/>
              <w:right w:val="single" w:color="auto" w:sz="4" w:space="0"/>
            </w:tcBorders>
            <w:vAlign w:val="center"/>
          </w:tcPr>
          <w:p w14:paraId="28B2224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油烟排放浓度</w:t>
            </w:r>
          </w:p>
        </w:tc>
        <w:tc>
          <w:tcPr>
            <w:tcW w:w="4152" w:type="dxa"/>
            <w:tcBorders>
              <w:top w:val="single" w:color="auto" w:sz="4" w:space="0"/>
              <w:left w:val="single" w:color="auto" w:sz="4" w:space="0"/>
              <w:bottom w:val="single" w:color="auto" w:sz="4" w:space="0"/>
              <w:right w:val="single" w:color="auto" w:sz="4" w:space="0"/>
            </w:tcBorders>
            <w:vAlign w:val="center"/>
          </w:tcPr>
          <w:p w14:paraId="0475A3F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0.94</w:t>
            </w:r>
            <w:r>
              <w:rPr>
                <w:rFonts w:hint="default" w:ascii="Times New Roman" w:hAnsi="Times New Roman" w:eastAsia="宋体" w:cs="Times New Roman"/>
                <w:color w:val="auto"/>
                <w:sz w:val="21"/>
              </w:rPr>
              <w:t>mg/m</w:t>
            </w:r>
            <w:r>
              <w:rPr>
                <w:rFonts w:hint="default" w:ascii="Times New Roman" w:hAnsi="Times New Roman" w:eastAsia="宋体" w:cs="Times New Roman"/>
                <w:color w:val="auto"/>
                <w:sz w:val="21"/>
                <w:vertAlign w:val="superscript"/>
              </w:rPr>
              <w:t>3</w:t>
            </w:r>
          </w:p>
        </w:tc>
      </w:tr>
    </w:tbl>
    <w:p w14:paraId="18F698D7">
      <w:pPr>
        <w:ind w:firstLine="480" w:firstLineChars="200"/>
        <w:rPr>
          <w:rFonts w:hint="default" w:ascii="Times New Roman" w:hAnsi="Times New Roman" w:eastAsia="宋体" w:cs="Times New Roman"/>
          <w:color w:val="auto"/>
        </w:rPr>
        <w:sectPr>
          <w:pgSz w:w="11906" w:h="16838"/>
          <w:pgMar w:top="1440" w:right="1797" w:bottom="1440" w:left="1797" w:header="851" w:footer="992" w:gutter="0"/>
          <w:pgNumType w:fmt="decimal"/>
          <w:cols w:space="425" w:num="1"/>
          <w:docGrid w:linePitch="312" w:charSpace="0"/>
        </w:sectPr>
      </w:pPr>
      <w:r>
        <w:rPr>
          <w:rFonts w:hint="default" w:ascii="Times New Roman" w:hAnsi="Times New Roman" w:eastAsia="宋体" w:cs="Times New Roman"/>
          <w:color w:val="auto"/>
        </w:rPr>
        <w:t>根据《饮食业油烟排放标准》</w:t>
      </w:r>
      <w:r>
        <w:rPr>
          <w:rFonts w:hint="default" w:ascii="Times New Roman" w:hAnsi="Times New Roman" w:eastAsia="宋体" w:cs="Times New Roman"/>
          <w:bCs/>
          <w:color w:val="auto"/>
          <w:kern w:val="0"/>
        </w:rPr>
        <w:t>(GB 18483-2001)，食堂需要油烟净化器</w:t>
      </w:r>
      <w:r>
        <w:rPr>
          <w:rFonts w:hint="default" w:ascii="Times New Roman" w:hAnsi="Times New Roman" w:eastAsia="宋体" w:cs="Times New Roman"/>
          <w:color w:val="auto"/>
        </w:rPr>
        <w:t>，油烟净化器的净化效率≥</w:t>
      </w:r>
      <w:r>
        <w:rPr>
          <w:rFonts w:hint="default" w:ascii="Times New Roman" w:hAnsi="Times New Roman" w:eastAsia="宋体" w:cs="Times New Roman"/>
          <w:color w:val="auto"/>
          <w:lang w:val="en-US" w:eastAsia="zh-CN"/>
        </w:rPr>
        <w:t>75</w:t>
      </w:r>
      <w:r>
        <w:rPr>
          <w:rFonts w:hint="default" w:ascii="Times New Roman" w:hAnsi="Times New Roman" w:eastAsia="宋体" w:cs="Times New Roman"/>
          <w:color w:val="auto"/>
        </w:rPr>
        <w:t>％，则</w:t>
      </w:r>
      <w:r>
        <w:rPr>
          <w:rFonts w:hint="default" w:ascii="Times New Roman" w:hAnsi="Times New Roman" w:eastAsia="宋体" w:cs="Times New Roman"/>
          <w:color w:val="auto"/>
          <w:lang w:eastAsia="zh-CN"/>
        </w:rPr>
        <w:t>食堂油烟</w:t>
      </w:r>
      <w:r>
        <w:rPr>
          <w:rFonts w:hint="default" w:ascii="Times New Roman" w:hAnsi="Times New Roman" w:eastAsia="宋体" w:cs="Times New Roman"/>
          <w:color w:val="auto"/>
        </w:rPr>
        <w:t>排放浓度为：</w:t>
      </w:r>
      <w:r>
        <w:rPr>
          <w:rFonts w:hint="default" w:ascii="Times New Roman" w:hAnsi="Times New Roman" w:eastAsia="宋体" w:cs="Times New Roman"/>
          <w:color w:val="auto"/>
          <w:lang w:val="en-US" w:eastAsia="zh-CN"/>
        </w:rPr>
        <w:t>0.94</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，能够达到标准排放浓度≤2.0mg/m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的要求。</w:t>
      </w:r>
    </w:p>
    <w:bookmarkEnd w:id="201"/>
    <w:p w14:paraId="228D95D9">
      <w:pPr>
        <w:pStyle w:val="11"/>
        <w:adjustRightInd w:val="0"/>
        <w:snapToGrid w:val="0"/>
        <w:spacing w:before="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3.4.2废水污染源分析</w:t>
      </w:r>
    </w:p>
    <w:p w14:paraId="2EE69C92">
      <w:pPr>
        <w:adjustRightInd w:val="0"/>
        <w:snapToGrid w:val="0"/>
        <w:spacing w:line="360" w:lineRule="auto"/>
        <w:ind w:firstLine="480" w:firstLineChars="200"/>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本项目用水包括生产用水、生活用水</w:t>
      </w:r>
      <w:r>
        <w:rPr>
          <w:rFonts w:hint="default" w:ascii="Times New Roman" w:hAnsi="Times New Roman" w:eastAsia="宋体" w:cs="Times New Roman"/>
          <w:b w:val="0"/>
          <w:bCs/>
          <w:color w:val="auto"/>
          <w:sz w:val="24"/>
          <w:szCs w:val="24"/>
          <w:lang w:eastAsia="zh-CN"/>
        </w:rPr>
        <w:t>。</w:t>
      </w:r>
    </w:p>
    <w:p w14:paraId="6C158EC1">
      <w:pPr>
        <w:adjustRightInd w:val="0"/>
        <w:snapToGrid w:val="0"/>
        <w:spacing w:line="360" w:lineRule="auto"/>
        <w:ind w:firstLine="480" w:firstLineChars="200"/>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（1）</w:t>
      </w:r>
      <w:r>
        <w:rPr>
          <w:rFonts w:hint="default" w:ascii="Times New Roman" w:hAnsi="Times New Roman" w:eastAsia="宋体" w:cs="Times New Roman"/>
          <w:b/>
          <w:color w:val="auto"/>
          <w:sz w:val="24"/>
          <w:szCs w:val="24"/>
          <w:lang w:eastAsia="zh-CN"/>
        </w:rPr>
        <w:t>生产用水</w:t>
      </w:r>
    </w:p>
    <w:p w14:paraId="45FFAF9F">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根据前述工艺流程可知，</w:t>
      </w:r>
      <w:r>
        <w:rPr>
          <w:rFonts w:hint="default" w:ascii="Times New Roman" w:hAnsi="Times New Roman" w:eastAsia="宋体" w:cs="Times New Roman"/>
          <w:bCs/>
          <w:color w:val="auto"/>
          <w:lang w:eastAsia="zh-CN"/>
        </w:rPr>
        <w:t>服装制造工艺不产生生产废水，</w:t>
      </w:r>
      <w:r>
        <w:rPr>
          <w:rFonts w:hint="default" w:ascii="Times New Roman" w:hAnsi="Times New Roman" w:eastAsia="宋体" w:cs="Times New Roman"/>
          <w:bCs/>
          <w:color w:val="auto"/>
        </w:rPr>
        <w:t>水洗生产线新鲜水投加点包括清水洗和加软</w:t>
      </w:r>
      <w:r>
        <w:rPr>
          <w:rFonts w:hint="default" w:ascii="Times New Roman" w:hAnsi="Times New Roman" w:eastAsia="宋体" w:cs="Times New Roman"/>
          <w:bCs/>
          <w:color w:val="auto"/>
          <w:lang w:eastAsia="zh-CN"/>
        </w:rPr>
        <w:t>两个</w:t>
      </w:r>
      <w:r>
        <w:rPr>
          <w:rFonts w:hint="default" w:ascii="Times New Roman" w:hAnsi="Times New Roman" w:eastAsia="宋体" w:cs="Times New Roman"/>
          <w:bCs/>
          <w:color w:val="auto"/>
        </w:rPr>
        <w:t>环节，上述过程均在工业水洗机中进行，总洗涤次数为1次，洗涤流程符合《工业洗衣机》（QB/T 2323-2004）规范。</w:t>
      </w:r>
    </w:p>
    <w:p w14:paraId="48F1B322">
      <w:pPr>
        <w:ind w:firstLine="482"/>
        <w:rPr>
          <w:rFonts w:hint="default" w:ascii="Times New Roman" w:hAnsi="Times New Roman" w:eastAsia="宋体" w:cs="Times New Roman"/>
          <w:b/>
          <w:bCs/>
          <w:color w:val="auto"/>
        </w:rPr>
      </w:pPr>
      <w:bookmarkStart w:id="261" w:name="_Hlk508283412"/>
      <w:r>
        <w:rPr>
          <w:rFonts w:hint="default" w:ascii="Times New Roman" w:hAnsi="Times New Roman" w:eastAsia="宋体" w:cs="Times New Roman"/>
          <w:b/>
          <w:bCs/>
          <w:color w:val="auto"/>
        </w:rPr>
        <w:t>工艺用水</w:t>
      </w:r>
    </w:p>
    <w:bookmarkEnd w:id="261"/>
    <w:p w14:paraId="657E48A0">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待洗服装总重量=</w:t>
      </w:r>
      <w:r>
        <w:rPr>
          <w:rFonts w:hint="default" w:ascii="Times New Roman" w:hAnsi="Times New Roman" w:eastAsia="宋体" w:cs="Times New Roman"/>
          <w:bCs/>
          <w:color w:val="auto"/>
          <w:lang w:val="en-US" w:eastAsia="zh-CN"/>
        </w:rPr>
        <w:t>45</w:t>
      </w:r>
      <w:r>
        <w:rPr>
          <w:rFonts w:hint="default" w:ascii="Times New Roman" w:hAnsi="Times New Roman" w:eastAsia="宋体" w:cs="Times New Roman"/>
          <w:bCs/>
          <w:color w:val="auto"/>
        </w:rPr>
        <w:t>万件/a÷1件×0.4kg=</w:t>
      </w:r>
      <w:r>
        <w:rPr>
          <w:rFonts w:hint="default" w:ascii="Times New Roman" w:hAnsi="Times New Roman" w:eastAsia="宋体" w:cs="Times New Roman"/>
          <w:bCs/>
          <w:color w:val="auto"/>
          <w:lang w:val="en-US" w:eastAsia="zh-CN"/>
        </w:rPr>
        <w:t>180</w:t>
      </w:r>
      <w:r>
        <w:rPr>
          <w:rFonts w:hint="default" w:ascii="Times New Roman" w:hAnsi="Times New Roman" w:eastAsia="宋体" w:cs="Times New Roman"/>
          <w:bCs/>
          <w:color w:val="auto"/>
        </w:rPr>
        <w:t>t/a；</w:t>
      </w:r>
    </w:p>
    <w:p w14:paraId="734D4E65">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根据企业提供的设备清单，项目用洗衣机型号为GX-100</w:t>
      </w:r>
      <w:r>
        <w:rPr>
          <w:rFonts w:hint="default" w:ascii="Times New Roman" w:hAnsi="Times New Roman" w:eastAsia="宋体" w:cs="Times New Roman"/>
          <w:bCs/>
          <w:color w:val="auto"/>
          <w:lang w:eastAsia="zh-CN"/>
        </w:rPr>
        <w:t>、</w:t>
      </w:r>
      <w:r>
        <w:rPr>
          <w:rFonts w:hint="default" w:ascii="Times New Roman" w:hAnsi="Times New Roman" w:eastAsia="宋体" w:cs="Times New Roman"/>
          <w:bCs/>
          <w:color w:val="auto"/>
          <w:lang w:val="en-US" w:eastAsia="zh-CN"/>
        </w:rPr>
        <w:t>GX-30</w:t>
      </w:r>
      <w:r>
        <w:rPr>
          <w:rFonts w:hint="default" w:ascii="Times New Roman" w:hAnsi="Times New Roman" w:eastAsia="宋体" w:cs="Times New Roman"/>
          <w:bCs/>
          <w:color w:val="auto"/>
        </w:rPr>
        <w:t>，为标准工业用滚筒洗衣机，参照《工业洗衣机》（QB/T 2323-2004）5.3.10.2章节机器洗涤每千克织物，其水耗量应不大于25L/kg，本次评价考虑极大值，计算基数取</w:t>
      </w:r>
      <w:r>
        <w:rPr>
          <w:rFonts w:hint="default" w:ascii="Times New Roman" w:hAnsi="Times New Roman" w:eastAsia="宋体" w:cs="Times New Roman"/>
          <w:bCs/>
          <w:color w:val="auto"/>
          <w:lang w:val="en-US" w:eastAsia="zh-CN"/>
        </w:rPr>
        <w:t>180</w:t>
      </w:r>
      <w:r>
        <w:rPr>
          <w:rFonts w:hint="default" w:ascii="Times New Roman" w:hAnsi="Times New Roman" w:eastAsia="宋体" w:cs="Times New Roman"/>
          <w:bCs/>
          <w:color w:val="auto"/>
        </w:rPr>
        <w:t>t/a，则洗涤用水量为</w:t>
      </w:r>
      <w:r>
        <w:rPr>
          <w:rFonts w:hint="eastAsia" w:ascii="Times New Roman" w:hAnsi="Times New Roman" w:cs="Times New Roman"/>
          <w:bCs/>
          <w:color w:val="auto"/>
          <w:lang w:val="en-US" w:eastAsia="zh-CN"/>
        </w:rPr>
        <w:t>15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w:t>
      </w:r>
      <w:r>
        <w:rPr>
          <w:rFonts w:hint="eastAsia" w:ascii="Times New Roman" w:hAnsi="Times New Roman" w:cs="Times New Roman"/>
          <w:bCs/>
          <w:color w:val="auto"/>
          <w:lang w:val="en-US" w:eastAsia="zh-CN"/>
        </w:rPr>
        <w:t>d，</w:t>
      </w:r>
      <w:r>
        <w:rPr>
          <w:rFonts w:hint="default" w:ascii="Times New Roman" w:hAnsi="Times New Roman" w:eastAsia="宋体" w:cs="Times New Roman"/>
          <w:bCs/>
          <w:color w:val="auto"/>
          <w:lang w:val="en-US" w:eastAsia="zh-CN"/>
        </w:rPr>
        <w:t>450</w:t>
      </w:r>
      <w:r>
        <w:rPr>
          <w:rFonts w:hint="default" w:ascii="Times New Roman" w:hAnsi="Times New Roman" w:eastAsia="宋体" w:cs="Times New Roman"/>
          <w:bCs/>
          <w:color w:val="auto"/>
        </w:rPr>
        <w:t>0m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w:t>
      </w:r>
    </w:p>
    <w:p w14:paraId="0B6A1DCD">
      <w:pPr>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工艺排水</w:t>
      </w:r>
    </w:p>
    <w:p w14:paraId="3B9CE8FC">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lang w:val="zh-CN"/>
        </w:rPr>
        <w:t>（</w:t>
      </w:r>
      <w:r>
        <w:rPr>
          <w:rFonts w:hint="default" w:ascii="Times New Roman" w:hAnsi="Times New Roman" w:eastAsia="宋体" w:cs="Times New Roman"/>
          <w:bCs/>
          <w:color w:val="auto"/>
        </w:rPr>
        <w:t>1</w:t>
      </w:r>
      <w:r>
        <w:rPr>
          <w:rFonts w:hint="default" w:ascii="Times New Roman" w:hAnsi="Times New Roman" w:eastAsia="宋体" w:cs="Times New Roman"/>
          <w:bCs/>
          <w:color w:val="auto"/>
          <w:lang w:val="zh-CN"/>
        </w:rPr>
        <w:t>）水洗机排放废水：</w:t>
      </w:r>
      <w:r>
        <w:rPr>
          <w:rFonts w:hint="default" w:ascii="Times New Roman" w:hAnsi="Times New Roman" w:eastAsia="宋体" w:cs="Times New Roman"/>
          <w:bCs/>
          <w:color w:val="auto"/>
        </w:rPr>
        <w:t>水洗机完成整套洗涤过程共需退水</w:t>
      </w:r>
      <w:r>
        <w:rPr>
          <w:rFonts w:hint="default" w:ascii="Times New Roman" w:hAnsi="Times New Roman" w:eastAsia="宋体" w:cs="Times New Roman"/>
          <w:bCs/>
          <w:color w:val="auto"/>
          <w:lang w:eastAsia="zh-CN"/>
        </w:rPr>
        <w:t>两</w:t>
      </w:r>
      <w:r>
        <w:rPr>
          <w:rFonts w:hint="default" w:ascii="Times New Roman" w:hAnsi="Times New Roman" w:eastAsia="宋体" w:cs="Times New Roman"/>
          <w:bCs/>
          <w:color w:val="auto"/>
        </w:rPr>
        <w:t>次，废水</w:t>
      </w:r>
      <w:r>
        <w:rPr>
          <w:rFonts w:hint="default" w:ascii="Times New Roman" w:hAnsi="Times New Roman" w:eastAsia="宋体" w:cs="Times New Roman"/>
          <w:bCs/>
          <w:color w:val="auto"/>
          <w:lang w:val="zh-CN"/>
        </w:rPr>
        <w:t>排水量以用水量的</w:t>
      </w:r>
      <w:r>
        <w:rPr>
          <w:rFonts w:hint="default" w:ascii="Times New Roman" w:hAnsi="Times New Roman" w:eastAsia="宋体" w:cs="Times New Roman"/>
          <w:bCs/>
          <w:color w:val="auto"/>
        </w:rPr>
        <w:t>85%计，则水洗机排放废水量为</w:t>
      </w:r>
      <w:r>
        <w:rPr>
          <w:rFonts w:hint="default" w:ascii="Times New Roman" w:hAnsi="Times New Roman" w:eastAsia="宋体" w:cs="Times New Roman"/>
          <w:bCs/>
          <w:color w:val="auto"/>
          <w:lang w:val="en-US" w:eastAsia="zh-CN"/>
        </w:rPr>
        <w:t>12.75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/d（</w:t>
      </w:r>
      <w:r>
        <w:rPr>
          <w:rFonts w:hint="default" w:ascii="Times New Roman" w:hAnsi="Times New Roman" w:eastAsia="宋体" w:cs="Times New Roman"/>
          <w:bCs/>
          <w:color w:val="auto"/>
          <w:lang w:val="en-US" w:eastAsia="zh-CN"/>
        </w:rPr>
        <w:t>3825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/a），服饰带入脱水机水量为</w:t>
      </w:r>
      <w:r>
        <w:rPr>
          <w:rFonts w:hint="default" w:ascii="Times New Roman" w:hAnsi="Times New Roman" w:eastAsia="宋体" w:cs="Times New Roman"/>
          <w:bCs/>
          <w:color w:val="auto"/>
          <w:lang w:val="en-US" w:eastAsia="zh-CN"/>
        </w:rPr>
        <w:t>2.25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/d（</w:t>
      </w:r>
      <w:r>
        <w:rPr>
          <w:rFonts w:hint="default" w:ascii="Times New Roman" w:hAnsi="Times New Roman" w:eastAsia="宋体" w:cs="Times New Roman"/>
          <w:bCs/>
          <w:color w:val="auto"/>
          <w:lang w:val="en-US" w:eastAsia="zh-CN"/>
        </w:rPr>
        <w:t>675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w:t>
      </w:r>
    </w:p>
    <w:p w14:paraId="56063B0D">
      <w:pPr>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lang w:val="zh-CN"/>
        </w:rPr>
        <w:t>（</w:t>
      </w:r>
      <w:r>
        <w:rPr>
          <w:rFonts w:hint="default" w:ascii="Times New Roman" w:hAnsi="Times New Roman" w:eastAsia="宋体" w:cs="Times New Roman"/>
          <w:bCs/>
          <w:color w:val="auto"/>
        </w:rPr>
        <w:t>2</w:t>
      </w:r>
      <w:r>
        <w:rPr>
          <w:rFonts w:hint="default" w:ascii="Times New Roman" w:hAnsi="Times New Roman" w:eastAsia="宋体" w:cs="Times New Roman"/>
          <w:bCs/>
          <w:color w:val="auto"/>
          <w:lang w:val="zh-CN"/>
        </w:rPr>
        <w:t>）脱水机排放废水：</w:t>
      </w:r>
      <w:r>
        <w:rPr>
          <w:rFonts w:hint="default" w:ascii="Times New Roman" w:hAnsi="Times New Roman" w:eastAsia="宋体" w:cs="Times New Roman"/>
          <w:bCs/>
          <w:color w:val="auto"/>
        </w:rPr>
        <w:t>参照《工业洗衣机》（QB/T 2323-2004）5.3.1章节 洗涤脱水机，经过标准程序脱水后，其织物的含水率η应不超过表</w:t>
      </w:r>
      <w:r>
        <w:rPr>
          <w:rFonts w:hint="eastAsia" w:ascii="Times New Roman" w:hAnsi="Times New Roman" w:cs="Times New Roman"/>
          <w:bCs/>
          <w:color w:val="auto"/>
          <w:lang w:val="en-US" w:eastAsia="zh-CN"/>
        </w:rPr>
        <w:t>3.4-3</w:t>
      </w:r>
      <w:r>
        <w:rPr>
          <w:rFonts w:hint="default" w:ascii="Times New Roman" w:hAnsi="Times New Roman" w:eastAsia="宋体" w:cs="Times New Roman"/>
          <w:bCs/>
          <w:color w:val="auto"/>
        </w:rPr>
        <w:t>的规定。</w:t>
      </w:r>
    </w:p>
    <w:p w14:paraId="6B93DFDF">
      <w:pPr>
        <w:pStyle w:val="1260"/>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cs="Times New Roman"/>
          <w:color w:val="auto"/>
          <w:lang w:val="en-US" w:eastAsia="zh-CN"/>
        </w:rPr>
        <w:t>3.4</w:t>
      </w:r>
      <w:r>
        <w:rPr>
          <w:rFonts w:hint="default" w:ascii="Times New Roman" w:hAnsi="Times New Roman" w:eastAsia="宋体" w:cs="Times New Roman"/>
          <w:color w:val="auto"/>
        </w:rPr>
        <w:t>-</w:t>
      </w:r>
      <w:r>
        <w:rPr>
          <w:rFonts w:hint="eastAsia" w:ascii="Times New Roman" w:hAnsi="Times New Roman" w:cs="Times New Roman"/>
          <w:color w:val="auto"/>
          <w:lang w:val="en-US" w:eastAsia="zh-CN"/>
        </w:rPr>
        <w:t>3</w:t>
      </w:r>
      <w:r>
        <w:rPr>
          <w:rFonts w:hint="default" w:ascii="Times New Roman" w:hAnsi="Times New Roman" w:eastAsia="宋体" w:cs="Times New Roman"/>
          <w:color w:val="auto"/>
        </w:rPr>
        <w:t xml:space="preserve">  脱水机织物含水率指标</w:t>
      </w:r>
    </w:p>
    <w:tbl>
      <w:tblPr>
        <w:tblStyle w:val="66"/>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2"/>
      </w:tblGrid>
      <w:tr w14:paraId="2FD9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shd w:val="clear" w:color="auto" w:fill="auto"/>
            <w:noWrap w:val="0"/>
            <w:vAlign w:val="center"/>
          </w:tcPr>
          <w:p w14:paraId="47EDA8D6">
            <w:pPr>
              <w:pStyle w:val="1261"/>
              <w:rPr>
                <w:rFonts w:hint="default" w:ascii="Times New Roman" w:hAnsi="Times New Roman" w:eastAsia="宋体" w:cs="Times New Roman"/>
                <w:color w:val="auto"/>
              </w:rPr>
            </w:pPr>
            <w:r>
              <w:rPr>
                <w:rFonts w:hint="default" w:ascii="Times New Roman" w:hAnsi="Times New Roman" w:eastAsia="宋体" w:cs="Times New Roman"/>
                <w:color w:val="auto"/>
              </w:rPr>
              <w:t>结构形式</w:t>
            </w:r>
          </w:p>
        </w:tc>
        <w:tc>
          <w:tcPr>
            <w:tcW w:w="4262" w:type="dxa"/>
            <w:shd w:val="clear" w:color="auto" w:fill="auto"/>
            <w:noWrap w:val="0"/>
            <w:vAlign w:val="center"/>
          </w:tcPr>
          <w:p w14:paraId="26A26CB5">
            <w:pPr>
              <w:pStyle w:val="1261"/>
              <w:rPr>
                <w:rFonts w:hint="default" w:ascii="Times New Roman" w:hAnsi="Times New Roman" w:eastAsia="宋体" w:cs="Times New Roman"/>
                <w:color w:val="auto"/>
              </w:rPr>
            </w:pPr>
            <w:r>
              <w:rPr>
                <w:rFonts w:hint="default" w:ascii="Times New Roman" w:hAnsi="Times New Roman" w:eastAsia="宋体" w:cs="Times New Roman"/>
                <w:color w:val="auto"/>
              </w:rPr>
              <w:t>含水率η/%</w:t>
            </w:r>
          </w:p>
        </w:tc>
      </w:tr>
      <w:tr w14:paraId="51F1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shd w:val="clear" w:color="auto" w:fill="auto"/>
            <w:noWrap w:val="0"/>
            <w:vAlign w:val="center"/>
          </w:tcPr>
          <w:p w14:paraId="468B53EF">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固定</w:t>
            </w:r>
          </w:p>
        </w:tc>
        <w:tc>
          <w:tcPr>
            <w:tcW w:w="4262" w:type="dxa"/>
            <w:shd w:val="clear" w:color="auto" w:fill="auto"/>
            <w:noWrap w:val="0"/>
            <w:vAlign w:val="center"/>
          </w:tcPr>
          <w:p w14:paraId="1FDA7392">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≤120</w:t>
            </w:r>
          </w:p>
        </w:tc>
      </w:tr>
      <w:tr w14:paraId="50CF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1" w:type="dxa"/>
            <w:shd w:val="clear" w:color="auto" w:fill="auto"/>
            <w:noWrap w:val="0"/>
            <w:vAlign w:val="center"/>
          </w:tcPr>
          <w:p w14:paraId="3883AE74">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悬浮</w:t>
            </w:r>
          </w:p>
        </w:tc>
        <w:tc>
          <w:tcPr>
            <w:tcW w:w="4262" w:type="dxa"/>
            <w:shd w:val="clear" w:color="auto" w:fill="auto"/>
            <w:noWrap w:val="0"/>
            <w:vAlign w:val="center"/>
          </w:tcPr>
          <w:p w14:paraId="1306A886">
            <w:pPr>
              <w:pStyle w:val="756"/>
              <w:rPr>
                <w:rFonts w:hint="default" w:ascii="Times New Roman" w:hAnsi="Times New Roman" w:eastAsia="宋体" w:cs="Times New Roman"/>
                <w:color w:val="auto"/>
              </w:rPr>
            </w:pPr>
            <w:r>
              <w:rPr>
                <w:rFonts w:hint="default" w:ascii="Times New Roman" w:hAnsi="Times New Roman" w:eastAsia="宋体" w:cs="Times New Roman"/>
                <w:color w:val="auto"/>
              </w:rPr>
              <w:t>≤90</w:t>
            </w:r>
          </w:p>
        </w:tc>
      </w:tr>
    </w:tbl>
    <w:p w14:paraId="58132BE0">
      <w:pPr>
        <w:spacing w:before="120" w:beforeLines="50"/>
        <w:ind w:firstLine="480"/>
        <w:rPr>
          <w:rFonts w:hint="default" w:ascii="Times New Roman" w:hAnsi="Times New Roman" w:eastAsia="宋体" w:cs="Times New Roman"/>
          <w:bCs/>
          <w:color w:val="auto"/>
        </w:rPr>
      </w:pPr>
      <w:r>
        <w:rPr>
          <w:rFonts w:hint="default" w:ascii="Times New Roman" w:hAnsi="Times New Roman" w:eastAsia="宋体" w:cs="Times New Roman"/>
          <w:bCs/>
          <w:color w:val="auto"/>
        </w:rPr>
        <w:t>根据企业提供的设备清单，项目用脱水机型号为</w:t>
      </w:r>
      <w:r>
        <w:rPr>
          <w:rFonts w:hint="default" w:ascii="Times New Roman" w:hAnsi="Times New Roman" w:eastAsia="宋体" w:cs="Times New Roman"/>
          <w:bCs/>
          <w:color w:val="auto"/>
          <w:lang w:val="en-US" w:eastAsia="zh-CN"/>
        </w:rPr>
        <w:t>SS751-1000、SS753-600</w:t>
      </w:r>
      <w:r>
        <w:rPr>
          <w:rFonts w:hint="default" w:ascii="Times New Roman" w:hAnsi="Times New Roman" w:eastAsia="宋体" w:cs="Times New Roman"/>
          <w:bCs/>
          <w:color w:val="auto"/>
        </w:rPr>
        <w:t>，结构式为悬浮式，本次评价考虑极大值，计算基数取90%，则脱水机排放废水量为</w:t>
      </w:r>
      <w:r>
        <w:rPr>
          <w:rFonts w:hint="default" w:ascii="Times New Roman" w:hAnsi="Times New Roman" w:eastAsia="宋体" w:cs="Times New Roman"/>
          <w:bCs/>
          <w:color w:val="auto"/>
          <w:lang w:val="en-US" w:eastAsia="zh-CN"/>
        </w:rPr>
        <w:t>2.025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/d（</w:t>
      </w:r>
      <w:r>
        <w:rPr>
          <w:rFonts w:hint="default" w:ascii="Times New Roman" w:hAnsi="Times New Roman" w:eastAsia="宋体" w:cs="Times New Roman"/>
          <w:bCs/>
          <w:color w:val="auto"/>
          <w:lang w:val="en-US" w:eastAsia="zh-CN"/>
        </w:rPr>
        <w:t>607.5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/a），服饰带入烘干机水量为</w:t>
      </w:r>
      <w:r>
        <w:rPr>
          <w:rFonts w:hint="default" w:ascii="Times New Roman" w:hAnsi="Times New Roman" w:eastAsia="宋体" w:cs="Times New Roman"/>
          <w:bCs/>
          <w:color w:val="auto"/>
          <w:lang w:val="en-US" w:eastAsia="zh-CN"/>
        </w:rPr>
        <w:t>0.225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/d（</w:t>
      </w:r>
      <w:r>
        <w:rPr>
          <w:rFonts w:hint="default" w:ascii="Times New Roman" w:hAnsi="Times New Roman" w:eastAsia="宋体" w:cs="Times New Roman"/>
          <w:bCs/>
          <w:color w:val="auto"/>
          <w:lang w:val="en-US" w:eastAsia="zh-CN"/>
        </w:rPr>
        <w:t>67.5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w:t>
      </w:r>
    </w:p>
    <w:p w14:paraId="77550237">
      <w:pPr>
        <w:ind w:firstLine="480"/>
        <w:rPr>
          <w:rFonts w:hint="default" w:ascii="Times New Roman" w:hAnsi="Times New Roman" w:eastAsia="宋体" w:cs="Times New Roman"/>
          <w:bCs/>
          <w:color w:val="auto"/>
          <w:lang w:val="en-US" w:eastAsia="zh-CN"/>
        </w:rPr>
      </w:pPr>
      <w:r>
        <w:rPr>
          <w:rFonts w:hint="default" w:ascii="Times New Roman" w:hAnsi="Times New Roman" w:eastAsia="宋体" w:cs="Times New Roman"/>
          <w:bCs/>
          <w:color w:val="auto"/>
          <w:lang w:val="zh-CN"/>
        </w:rPr>
        <w:t>（</w:t>
      </w:r>
      <w:r>
        <w:rPr>
          <w:rFonts w:hint="default" w:ascii="Times New Roman" w:hAnsi="Times New Roman" w:eastAsia="宋体" w:cs="Times New Roman"/>
          <w:bCs/>
          <w:color w:val="auto"/>
        </w:rPr>
        <w:t>3</w:t>
      </w:r>
      <w:r>
        <w:rPr>
          <w:rFonts w:hint="default" w:ascii="Times New Roman" w:hAnsi="Times New Roman" w:eastAsia="宋体" w:cs="Times New Roman"/>
          <w:bCs/>
          <w:color w:val="auto"/>
          <w:lang w:val="zh-CN"/>
        </w:rPr>
        <w:t>）烘干机排放废水：</w:t>
      </w:r>
      <w:r>
        <w:rPr>
          <w:rFonts w:hint="default" w:ascii="Times New Roman" w:hAnsi="Times New Roman" w:eastAsia="宋体" w:cs="Times New Roman"/>
          <w:bCs/>
          <w:color w:val="auto"/>
        </w:rPr>
        <w:t>脱水后的服饰送入烘干机，利用</w:t>
      </w:r>
      <w:r>
        <w:rPr>
          <w:rFonts w:hint="default" w:ascii="Times New Roman" w:hAnsi="Times New Roman" w:eastAsia="宋体" w:cs="Times New Roman"/>
          <w:bCs/>
          <w:color w:val="auto"/>
          <w:lang w:eastAsia="zh-CN"/>
        </w:rPr>
        <w:t>电能加热</w:t>
      </w:r>
      <w:r>
        <w:rPr>
          <w:rFonts w:hint="default" w:ascii="Times New Roman" w:hAnsi="Times New Roman" w:eastAsia="宋体" w:cs="Times New Roman"/>
          <w:bCs/>
          <w:color w:val="auto"/>
        </w:rPr>
        <w:t>间接</w:t>
      </w:r>
      <w:r>
        <w:rPr>
          <w:rFonts w:hint="default" w:ascii="Times New Roman" w:hAnsi="Times New Roman" w:eastAsia="宋体" w:cs="Times New Roman"/>
          <w:bCs/>
          <w:color w:val="auto"/>
          <w:lang w:eastAsia="zh-CN"/>
        </w:rPr>
        <w:t>烘干</w:t>
      </w:r>
      <w:r>
        <w:rPr>
          <w:rFonts w:hint="default" w:ascii="Times New Roman" w:hAnsi="Times New Roman" w:eastAsia="宋体" w:cs="Times New Roman"/>
          <w:bCs/>
          <w:color w:val="auto"/>
        </w:rPr>
        <w:t>，将服饰中残留的水分烘出，排放量为</w:t>
      </w:r>
      <w:r>
        <w:rPr>
          <w:rFonts w:hint="default" w:ascii="Times New Roman" w:hAnsi="Times New Roman" w:eastAsia="宋体" w:cs="Times New Roman"/>
          <w:bCs/>
          <w:color w:val="auto"/>
          <w:lang w:val="en-US" w:eastAsia="zh-CN"/>
        </w:rPr>
        <w:t>0.225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/d（</w:t>
      </w:r>
      <w:r>
        <w:rPr>
          <w:rFonts w:hint="default" w:ascii="Times New Roman" w:hAnsi="Times New Roman" w:eastAsia="宋体" w:cs="Times New Roman"/>
          <w:bCs/>
          <w:color w:val="auto"/>
          <w:lang w:val="en-US" w:eastAsia="zh-CN"/>
        </w:rPr>
        <w:t>67.5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/a），全部以</w:t>
      </w:r>
      <w:r>
        <w:rPr>
          <w:rFonts w:hint="eastAsia" w:ascii="Times New Roman" w:hAnsi="Times New Roman" w:cs="Times New Roman"/>
          <w:bCs/>
          <w:color w:val="auto"/>
          <w:lang w:eastAsia="zh-CN"/>
        </w:rPr>
        <w:t>水蒸气</w:t>
      </w:r>
      <w:r>
        <w:rPr>
          <w:rFonts w:hint="default" w:ascii="Times New Roman" w:hAnsi="Times New Roman" w:eastAsia="宋体" w:cs="Times New Roman"/>
          <w:bCs/>
          <w:color w:val="auto"/>
        </w:rPr>
        <w:t>形式通过排放。</w:t>
      </w:r>
      <w:r>
        <w:rPr>
          <w:rFonts w:hint="default" w:ascii="Times New Roman" w:hAnsi="Times New Roman" w:eastAsia="宋体" w:cs="Times New Roman"/>
          <w:bCs/>
          <w:color w:val="auto"/>
          <w:lang w:val="en-US" w:eastAsia="zh-CN"/>
        </w:rPr>
        <w:t xml:space="preserve">                 </w:t>
      </w:r>
    </w:p>
    <w:p w14:paraId="657C2F98">
      <w:pPr>
        <w:ind w:firstLine="480"/>
        <w:rPr>
          <w:rFonts w:hint="default" w:ascii="Times New Roman" w:hAnsi="Times New Roman" w:eastAsia="宋体" w:cs="Times New Roman"/>
          <w:bCs/>
          <w:color w:val="auto"/>
          <w:lang w:val="zh-CN" w:eastAsia="zh-CN"/>
        </w:rPr>
      </w:pPr>
      <w:r>
        <w:rPr>
          <w:rFonts w:hint="default" w:ascii="Times New Roman" w:hAnsi="Times New Roman" w:eastAsia="宋体" w:cs="Times New Roman"/>
          <w:bCs/>
          <w:color w:val="auto"/>
          <w:lang w:val="zh-CN"/>
        </w:rPr>
        <w:t>综上所述，项目生产</w:t>
      </w:r>
      <w:r>
        <w:rPr>
          <w:rFonts w:hint="default" w:ascii="Times New Roman" w:hAnsi="Times New Roman" w:eastAsia="宋体" w:cs="Times New Roman"/>
          <w:bCs/>
          <w:color w:val="auto"/>
        </w:rPr>
        <w:t>消耗新鲜用水量为</w:t>
      </w:r>
      <w:r>
        <w:rPr>
          <w:rFonts w:hint="default" w:ascii="Times New Roman" w:hAnsi="Times New Roman" w:eastAsia="宋体" w:cs="Times New Roman"/>
          <w:bCs/>
          <w:color w:val="auto"/>
          <w:lang w:val="en-US" w:eastAsia="zh-CN"/>
        </w:rPr>
        <w:t>15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/d（</w:t>
      </w:r>
      <w:r>
        <w:rPr>
          <w:rFonts w:hint="default" w:ascii="Times New Roman" w:hAnsi="Times New Roman" w:eastAsia="宋体" w:cs="Times New Roman"/>
          <w:bCs/>
          <w:color w:val="auto"/>
          <w:lang w:val="en-US" w:eastAsia="zh-CN"/>
        </w:rPr>
        <w:t>4500</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w:t>
      </w:r>
      <w:r>
        <w:rPr>
          <w:rFonts w:hint="default" w:ascii="Times New Roman" w:hAnsi="Times New Roman" w:eastAsia="宋体" w:cs="Times New Roman"/>
          <w:bCs/>
          <w:color w:val="auto"/>
          <w:lang w:eastAsia="zh-CN"/>
        </w:rPr>
        <w:t>生产</w:t>
      </w:r>
      <w:r>
        <w:rPr>
          <w:rFonts w:hint="default" w:ascii="Times New Roman" w:hAnsi="Times New Roman" w:eastAsia="宋体" w:cs="Times New Roman"/>
          <w:bCs/>
          <w:color w:val="auto"/>
          <w:lang w:val="zh-CN"/>
        </w:rPr>
        <w:t>废水产生总量为</w:t>
      </w:r>
      <w:r>
        <w:rPr>
          <w:rFonts w:hint="default" w:ascii="Times New Roman" w:hAnsi="Times New Roman" w:eastAsia="宋体" w:cs="Times New Roman"/>
          <w:bCs/>
          <w:color w:val="auto"/>
          <w:lang w:val="en-US" w:eastAsia="zh-CN"/>
        </w:rPr>
        <w:t>14.775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/d（</w:t>
      </w:r>
      <w:r>
        <w:rPr>
          <w:rFonts w:hint="default" w:ascii="Times New Roman" w:hAnsi="Times New Roman" w:eastAsia="宋体" w:cs="Times New Roman"/>
          <w:bCs/>
          <w:color w:val="auto"/>
          <w:lang w:val="en-US" w:eastAsia="zh-CN"/>
        </w:rPr>
        <w:t>4432.5</w:t>
      </w:r>
      <w:r>
        <w:rPr>
          <w:rFonts w:hint="default" w:ascii="Times New Roman" w:hAnsi="Times New Roman" w:eastAsia="宋体" w:cs="Times New Roman"/>
          <w:bCs/>
          <w:color w:val="auto"/>
        </w:rPr>
        <w:t>m</w:t>
      </w:r>
      <w:r>
        <w:rPr>
          <w:rFonts w:hint="default" w:ascii="Times New Roman" w:hAnsi="Times New Roman" w:eastAsia="宋体" w:cs="Times New Roman"/>
          <w:bCs/>
          <w:color w:val="auto"/>
          <w:vertAlign w:val="superscript"/>
        </w:rPr>
        <w:t>3</w:t>
      </w:r>
      <w:r>
        <w:rPr>
          <w:rFonts w:hint="default" w:ascii="Times New Roman" w:hAnsi="Times New Roman" w:eastAsia="宋体" w:cs="Times New Roman"/>
          <w:bCs/>
          <w:color w:val="auto"/>
        </w:rPr>
        <w:t>/a）</w:t>
      </w:r>
      <w:r>
        <w:rPr>
          <w:rFonts w:hint="default" w:ascii="Times New Roman" w:hAnsi="Times New Roman" w:eastAsia="宋体" w:cs="Times New Roman"/>
          <w:bCs/>
          <w:color w:val="auto"/>
          <w:lang w:eastAsia="zh-CN"/>
        </w:rPr>
        <w:t>，洗衣废水主要污染物COD、BOD</w:t>
      </w:r>
      <w:r>
        <w:rPr>
          <w:rFonts w:hint="default" w:ascii="Times New Roman" w:hAnsi="Times New Roman" w:eastAsia="宋体" w:cs="Times New Roman"/>
          <w:bCs/>
          <w:color w:val="auto"/>
          <w:vertAlign w:val="subscript"/>
          <w:lang w:eastAsia="zh-CN"/>
        </w:rPr>
        <w:t>5</w:t>
      </w:r>
      <w:r>
        <w:rPr>
          <w:rFonts w:hint="default" w:ascii="Times New Roman" w:hAnsi="Times New Roman" w:eastAsia="宋体" w:cs="Times New Roman"/>
          <w:bCs/>
          <w:color w:val="auto"/>
          <w:lang w:eastAsia="zh-CN"/>
        </w:rPr>
        <w:t>、SS、LAS、色度、氨氮、总磷，</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lang w:eastAsia="zh-CN"/>
        </w:rPr>
        <w:t>。</w:t>
      </w:r>
    </w:p>
    <w:p w14:paraId="0132928A">
      <w:pPr>
        <w:adjustRightInd w:val="0"/>
        <w:snapToGrid w:val="0"/>
        <w:spacing w:line="360" w:lineRule="auto"/>
        <w:ind w:firstLine="480" w:firstLineChars="200"/>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w:t>
      </w:r>
      <w:r>
        <w:rPr>
          <w:rFonts w:hint="eastAsia" w:ascii="Times New Roman" w:hAnsi="Times New Roman" w:cs="Times New Roman"/>
          <w:b/>
          <w:color w:val="auto"/>
          <w:sz w:val="24"/>
          <w:szCs w:val="24"/>
          <w:lang w:val="en-US" w:eastAsia="zh-CN"/>
        </w:rPr>
        <w:t>2</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eastAsia="zh-CN"/>
        </w:rPr>
        <w:t>生活用水</w:t>
      </w:r>
    </w:p>
    <w:p w14:paraId="7F7E893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本项目共有员工</w:t>
      </w:r>
      <w:r>
        <w:rPr>
          <w:rFonts w:hint="default" w:ascii="Times New Roman" w:hAnsi="Times New Roman" w:eastAsia="宋体" w:cs="Times New Roman"/>
          <w:color w:val="auto"/>
          <w:sz w:val="24"/>
          <w:szCs w:val="24"/>
          <w:lang w:val="en-US" w:eastAsia="zh-CN"/>
        </w:rPr>
        <w:t>580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eastAsia="zh-CN"/>
        </w:rPr>
        <w:t>在项目内用餐，不设住宿</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员工</w:t>
      </w:r>
      <w:r>
        <w:rPr>
          <w:rFonts w:hint="default" w:ascii="Times New Roman" w:hAnsi="Times New Roman" w:eastAsia="宋体" w:cs="Times New Roman"/>
          <w:color w:val="auto"/>
          <w:sz w:val="24"/>
          <w:szCs w:val="24"/>
        </w:rPr>
        <w:t>用水参照《云南省地方标准 用水定额》（DB53/T168-201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）中城镇居民生活用水情况</w:t>
      </w:r>
      <w:r>
        <w:rPr>
          <w:rFonts w:hint="default" w:ascii="Times New Roman" w:hAnsi="Times New Roman" w:eastAsia="宋体" w:cs="Times New Roman"/>
          <w:color w:val="auto"/>
          <w:sz w:val="24"/>
          <w:szCs w:val="24"/>
          <w:lang w:eastAsia="zh-CN"/>
        </w:rPr>
        <w:t>，用水定额</w:t>
      </w:r>
      <w:r>
        <w:rPr>
          <w:rFonts w:hint="eastAsia" w:ascii="Times New Roman" w:hAnsi="Times New Roman" w:cs="Times New Roman"/>
          <w:color w:val="auto"/>
          <w:sz w:val="24"/>
          <w:szCs w:val="24"/>
          <w:lang w:eastAsia="zh-CN"/>
        </w:rPr>
        <w:t>以</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kern w:val="0"/>
          <w:sz w:val="21"/>
          <w:szCs w:val="21"/>
          <w:lang w:bidi="ar"/>
        </w:rPr>
        <w:t>L/人•d</w:t>
      </w:r>
      <w:r>
        <w:rPr>
          <w:rFonts w:hint="eastAsia" w:ascii="Times New Roman" w:hAnsi="Times New Roman" w:cs="Times New Roman"/>
          <w:color w:val="auto"/>
          <w:kern w:val="0"/>
          <w:sz w:val="21"/>
          <w:szCs w:val="21"/>
          <w:lang w:eastAsia="zh-CN" w:bidi="ar"/>
        </w:rPr>
        <w:t>计</w:t>
      </w:r>
      <w:r>
        <w:rPr>
          <w:rFonts w:hint="default" w:ascii="Times New Roman" w:hAnsi="Times New Roman" w:eastAsia="宋体" w:cs="Times New Roman"/>
          <w:color w:val="auto"/>
          <w:sz w:val="24"/>
          <w:szCs w:val="24"/>
        </w:rPr>
        <w:t>，项目生活用水情况见表</w:t>
      </w:r>
      <w:r>
        <w:rPr>
          <w:rFonts w:hint="eastAsia" w:ascii="Times New Roman" w:hAnsi="Times New Roman" w:cs="Times New Roman"/>
          <w:color w:val="auto"/>
          <w:sz w:val="24"/>
          <w:szCs w:val="24"/>
          <w:lang w:val="en-US" w:eastAsia="zh-CN"/>
        </w:rPr>
        <w:t>3.4-4</w:t>
      </w:r>
      <w:r>
        <w:rPr>
          <w:rFonts w:hint="default" w:ascii="Times New Roman" w:hAnsi="Times New Roman" w:eastAsia="宋体" w:cs="Times New Roman"/>
          <w:color w:val="auto"/>
          <w:sz w:val="24"/>
          <w:szCs w:val="24"/>
        </w:rPr>
        <w:t>。</w:t>
      </w:r>
    </w:p>
    <w:p w14:paraId="4E898678">
      <w:pPr>
        <w:adjustRightInd w:val="0"/>
        <w:snapToGrid w:val="0"/>
        <w:spacing w:line="36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ascii="Times New Roman" w:hAnsi="Times New Roman" w:cs="Times New Roman"/>
          <w:b/>
          <w:color w:val="auto"/>
          <w:sz w:val="24"/>
          <w:szCs w:val="24"/>
          <w:lang w:val="en-US" w:eastAsia="zh-CN"/>
        </w:rPr>
        <w:t>3.4-4</w:t>
      </w:r>
      <w:r>
        <w:rPr>
          <w:rFonts w:hint="default" w:ascii="Times New Roman" w:hAnsi="Times New Roman" w:eastAsia="宋体" w:cs="Times New Roman"/>
          <w:b/>
          <w:color w:val="auto"/>
          <w:sz w:val="24"/>
          <w:szCs w:val="24"/>
        </w:rPr>
        <w:t xml:space="preserve">  项目生活用水及产污情况</w:t>
      </w:r>
    </w:p>
    <w:tbl>
      <w:tblPr>
        <w:tblStyle w:val="66"/>
        <w:tblW w:w="80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200"/>
        <w:gridCol w:w="926"/>
        <w:gridCol w:w="1100"/>
        <w:gridCol w:w="837"/>
        <w:gridCol w:w="975"/>
        <w:gridCol w:w="1125"/>
        <w:gridCol w:w="945"/>
        <w:gridCol w:w="930"/>
      </w:tblGrid>
      <w:tr w14:paraId="000AFD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3" w:hRule="atLeast"/>
          <w:jc w:val="center"/>
        </w:trPr>
        <w:tc>
          <w:tcPr>
            <w:tcW w:w="1200" w:type="dxa"/>
            <w:vMerge w:val="restart"/>
            <w:noWrap w:val="0"/>
            <w:tcMar>
              <w:top w:w="15" w:type="dxa"/>
              <w:left w:w="15" w:type="dxa"/>
              <w:right w:w="15" w:type="dxa"/>
            </w:tcMar>
            <w:vAlign w:val="center"/>
          </w:tcPr>
          <w:p w14:paraId="6F449BF2">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名称</w:t>
            </w:r>
          </w:p>
        </w:tc>
        <w:tc>
          <w:tcPr>
            <w:tcW w:w="926" w:type="dxa"/>
            <w:vMerge w:val="restart"/>
            <w:noWrap w:val="0"/>
            <w:tcMar>
              <w:top w:w="15" w:type="dxa"/>
              <w:left w:w="15" w:type="dxa"/>
              <w:right w:w="15" w:type="dxa"/>
            </w:tcMar>
            <w:vAlign w:val="center"/>
          </w:tcPr>
          <w:p w14:paraId="4BEF6C7A">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人数/人</w:t>
            </w:r>
          </w:p>
        </w:tc>
        <w:tc>
          <w:tcPr>
            <w:tcW w:w="1100" w:type="dxa"/>
            <w:noWrap w:val="0"/>
            <w:tcMar>
              <w:top w:w="15" w:type="dxa"/>
              <w:left w:w="15" w:type="dxa"/>
              <w:right w:w="15" w:type="dxa"/>
            </w:tcMar>
            <w:vAlign w:val="center"/>
          </w:tcPr>
          <w:p w14:paraId="6150B470">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用水定额</w:t>
            </w:r>
          </w:p>
        </w:tc>
        <w:tc>
          <w:tcPr>
            <w:tcW w:w="1812" w:type="dxa"/>
            <w:gridSpan w:val="2"/>
            <w:noWrap w:val="0"/>
            <w:tcMar>
              <w:top w:w="15" w:type="dxa"/>
              <w:left w:w="15" w:type="dxa"/>
              <w:right w:w="15" w:type="dxa"/>
            </w:tcMar>
            <w:vAlign w:val="center"/>
          </w:tcPr>
          <w:p w14:paraId="08EA39EE">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用水量</w:t>
            </w:r>
          </w:p>
        </w:tc>
        <w:tc>
          <w:tcPr>
            <w:tcW w:w="1125" w:type="dxa"/>
            <w:vMerge w:val="restart"/>
            <w:noWrap w:val="0"/>
            <w:tcMar>
              <w:top w:w="15" w:type="dxa"/>
              <w:left w:w="15" w:type="dxa"/>
              <w:right w:w="15" w:type="dxa"/>
            </w:tcMar>
            <w:vAlign w:val="center"/>
          </w:tcPr>
          <w:p w14:paraId="78579C1D">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产污系数</w:t>
            </w:r>
          </w:p>
        </w:tc>
        <w:tc>
          <w:tcPr>
            <w:tcW w:w="1875" w:type="dxa"/>
            <w:gridSpan w:val="2"/>
            <w:noWrap w:val="0"/>
            <w:tcMar>
              <w:top w:w="15" w:type="dxa"/>
              <w:left w:w="15" w:type="dxa"/>
              <w:right w:w="15" w:type="dxa"/>
            </w:tcMar>
            <w:vAlign w:val="center"/>
          </w:tcPr>
          <w:p w14:paraId="6A8FA1FB">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污水量</w:t>
            </w:r>
          </w:p>
        </w:tc>
      </w:tr>
      <w:tr w14:paraId="77427D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3" w:hRule="atLeast"/>
          <w:jc w:val="center"/>
        </w:trPr>
        <w:tc>
          <w:tcPr>
            <w:tcW w:w="1200" w:type="dxa"/>
            <w:vMerge w:val="continue"/>
            <w:noWrap w:val="0"/>
            <w:tcMar>
              <w:top w:w="15" w:type="dxa"/>
              <w:left w:w="15" w:type="dxa"/>
              <w:right w:w="15" w:type="dxa"/>
            </w:tcMar>
            <w:vAlign w:val="center"/>
          </w:tcPr>
          <w:p w14:paraId="718987AF">
            <w:pPr>
              <w:spacing w:line="240" w:lineRule="auto"/>
              <w:jc w:val="center"/>
              <w:rPr>
                <w:rFonts w:hint="default" w:ascii="Times New Roman" w:hAnsi="Times New Roman" w:eastAsia="宋体" w:cs="Times New Roman"/>
                <w:color w:val="auto"/>
                <w:sz w:val="21"/>
                <w:szCs w:val="21"/>
              </w:rPr>
            </w:pPr>
          </w:p>
        </w:tc>
        <w:tc>
          <w:tcPr>
            <w:tcW w:w="926" w:type="dxa"/>
            <w:vMerge w:val="continue"/>
            <w:noWrap w:val="0"/>
            <w:tcMar>
              <w:top w:w="15" w:type="dxa"/>
              <w:left w:w="15" w:type="dxa"/>
              <w:right w:w="15" w:type="dxa"/>
            </w:tcMar>
            <w:vAlign w:val="center"/>
          </w:tcPr>
          <w:p w14:paraId="46773B71">
            <w:pPr>
              <w:spacing w:line="240" w:lineRule="auto"/>
              <w:jc w:val="center"/>
              <w:rPr>
                <w:rFonts w:hint="default" w:ascii="Times New Roman" w:hAnsi="Times New Roman" w:eastAsia="宋体" w:cs="Times New Roman"/>
                <w:color w:val="auto"/>
                <w:sz w:val="21"/>
                <w:szCs w:val="21"/>
              </w:rPr>
            </w:pPr>
          </w:p>
        </w:tc>
        <w:tc>
          <w:tcPr>
            <w:tcW w:w="1100" w:type="dxa"/>
            <w:noWrap w:val="0"/>
            <w:tcMar>
              <w:top w:w="15" w:type="dxa"/>
              <w:left w:w="15" w:type="dxa"/>
              <w:right w:w="15" w:type="dxa"/>
            </w:tcMar>
            <w:vAlign w:val="center"/>
          </w:tcPr>
          <w:p w14:paraId="5945A572">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L/人•d</w:t>
            </w:r>
          </w:p>
        </w:tc>
        <w:tc>
          <w:tcPr>
            <w:tcW w:w="837" w:type="dxa"/>
            <w:noWrap w:val="0"/>
            <w:tcMar>
              <w:top w:w="15" w:type="dxa"/>
              <w:left w:w="15" w:type="dxa"/>
              <w:right w:w="15" w:type="dxa"/>
            </w:tcMar>
            <w:vAlign w:val="center"/>
          </w:tcPr>
          <w:p w14:paraId="2BD32045">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bidi="ar"/>
              </w:rPr>
              <w:t>/d</w:t>
            </w:r>
          </w:p>
        </w:tc>
        <w:tc>
          <w:tcPr>
            <w:tcW w:w="975" w:type="dxa"/>
            <w:noWrap w:val="0"/>
            <w:tcMar>
              <w:top w:w="15" w:type="dxa"/>
              <w:left w:w="15" w:type="dxa"/>
              <w:right w:w="15" w:type="dxa"/>
            </w:tcMar>
            <w:vAlign w:val="center"/>
          </w:tcPr>
          <w:p w14:paraId="1CFFB01D">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bidi="ar"/>
              </w:rPr>
              <w:t>/a</w:t>
            </w:r>
          </w:p>
        </w:tc>
        <w:tc>
          <w:tcPr>
            <w:tcW w:w="1125" w:type="dxa"/>
            <w:vMerge w:val="continue"/>
            <w:noWrap w:val="0"/>
            <w:tcMar>
              <w:top w:w="15" w:type="dxa"/>
              <w:left w:w="15" w:type="dxa"/>
              <w:right w:w="15" w:type="dxa"/>
            </w:tcMar>
            <w:vAlign w:val="center"/>
          </w:tcPr>
          <w:p w14:paraId="6F32FB1F">
            <w:pPr>
              <w:spacing w:line="240" w:lineRule="auto"/>
              <w:jc w:val="center"/>
              <w:rPr>
                <w:rFonts w:hint="default" w:ascii="Times New Roman" w:hAnsi="Times New Roman" w:eastAsia="宋体" w:cs="Times New Roman"/>
                <w:color w:val="auto"/>
                <w:sz w:val="21"/>
                <w:szCs w:val="21"/>
              </w:rPr>
            </w:pPr>
          </w:p>
        </w:tc>
        <w:tc>
          <w:tcPr>
            <w:tcW w:w="945" w:type="dxa"/>
            <w:noWrap w:val="0"/>
            <w:tcMar>
              <w:top w:w="15" w:type="dxa"/>
              <w:left w:w="15" w:type="dxa"/>
              <w:right w:w="15" w:type="dxa"/>
            </w:tcMar>
            <w:vAlign w:val="center"/>
          </w:tcPr>
          <w:p w14:paraId="4A2C8E23">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bidi="ar"/>
              </w:rPr>
              <w:t>/d</w:t>
            </w:r>
          </w:p>
        </w:tc>
        <w:tc>
          <w:tcPr>
            <w:tcW w:w="930" w:type="dxa"/>
            <w:noWrap w:val="0"/>
            <w:tcMar>
              <w:top w:w="15" w:type="dxa"/>
              <w:left w:w="15" w:type="dxa"/>
              <w:right w:w="15" w:type="dxa"/>
            </w:tcMar>
            <w:vAlign w:val="center"/>
          </w:tcPr>
          <w:p w14:paraId="5D12E46D">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bidi="ar"/>
              </w:rPr>
              <w:t>/a</w:t>
            </w:r>
          </w:p>
        </w:tc>
      </w:tr>
      <w:tr w14:paraId="2EE2A9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3" w:hRule="atLeast"/>
          <w:jc w:val="center"/>
        </w:trPr>
        <w:tc>
          <w:tcPr>
            <w:tcW w:w="1200" w:type="dxa"/>
            <w:noWrap w:val="0"/>
            <w:tcMar>
              <w:top w:w="15" w:type="dxa"/>
              <w:left w:w="15" w:type="dxa"/>
              <w:right w:w="15" w:type="dxa"/>
            </w:tcMar>
            <w:vAlign w:val="center"/>
          </w:tcPr>
          <w:p w14:paraId="374A0D34">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食宿人员</w:t>
            </w:r>
          </w:p>
        </w:tc>
        <w:tc>
          <w:tcPr>
            <w:tcW w:w="926" w:type="dxa"/>
            <w:noWrap w:val="0"/>
            <w:tcMar>
              <w:top w:w="15" w:type="dxa"/>
              <w:left w:w="15" w:type="dxa"/>
              <w:right w:w="15" w:type="dxa"/>
            </w:tcMar>
            <w:vAlign w:val="center"/>
          </w:tcPr>
          <w:p w14:paraId="208D9BB1">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580</w:t>
            </w:r>
          </w:p>
        </w:tc>
        <w:tc>
          <w:tcPr>
            <w:tcW w:w="1100" w:type="dxa"/>
            <w:noWrap w:val="0"/>
            <w:tcMar>
              <w:top w:w="15" w:type="dxa"/>
              <w:left w:w="15" w:type="dxa"/>
              <w:right w:w="15" w:type="dxa"/>
            </w:tcMar>
            <w:vAlign w:val="center"/>
          </w:tcPr>
          <w:p w14:paraId="588E5D38">
            <w:pPr>
              <w:widowControl/>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50</w:t>
            </w:r>
          </w:p>
        </w:tc>
        <w:tc>
          <w:tcPr>
            <w:tcW w:w="837" w:type="dxa"/>
            <w:noWrap w:val="0"/>
            <w:tcMar>
              <w:top w:w="15" w:type="dxa"/>
              <w:left w:w="15" w:type="dxa"/>
              <w:right w:w="15" w:type="dxa"/>
            </w:tcMar>
            <w:vAlign w:val="center"/>
          </w:tcPr>
          <w:p w14:paraId="496EFEB1">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w:t>
            </w:r>
          </w:p>
        </w:tc>
        <w:tc>
          <w:tcPr>
            <w:tcW w:w="975" w:type="dxa"/>
            <w:noWrap w:val="0"/>
            <w:tcMar>
              <w:top w:w="15" w:type="dxa"/>
              <w:left w:w="15" w:type="dxa"/>
              <w:right w:w="15" w:type="dxa"/>
            </w:tcMar>
            <w:vAlign w:val="center"/>
          </w:tcPr>
          <w:p w14:paraId="5EF66AD3">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8700</w:t>
            </w:r>
          </w:p>
        </w:tc>
        <w:tc>
          <w:tcPr>
            <w:tcW w:w="1125" w:type="dxa"/>
            <w:noWrap w:val="0"/>
            <w:tcMar>
              <w:top w:w="15" w:type="dxa"/>
              <w:left w:w="15" w:type="dxa"/>
              <w:right w:w="15" w:type="dxa"/>
            </w:tcMar>
            <w:vAlign w:val="center"/>
          </w:tcPr>
          <w:p w14:paraId="1AC6BB2F">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0.8</w:t>
            </w:r>
          </w:p>
        </w:tc>
        <w:tc>
          <w:tcPr>
            <w:tcW w:w="945" w:type="dxa"/>
            <w:noWrap w:val="0"/>
            <w:tcMar>
              <w:top w:w="15" w:type="dxa"/>
              <w:left w:w="15" w:type="dxa"/>
              <w:right w:w="15" w:type="dxa"/>
            </w:tcMar>
            <w:vAlign w:val="center"/>
          </w:tcPr>
          <w:p w14:paraId="30B6AAE3">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23.2</w:t>
            </w:r>
          </w:p>
        </w:tc>
        <w:tc>
          <w:tcPr>
            <w:tcW w:w="930" w:type="dxa"/>
            <w:noWrap w:val="0"/>
            <w:tcMar>
              <w:top w:w="15" w:type="dxa"/>
              <w:left w:w="15" w:type="dxa"/>
              <w:right w:w="15" w:type="dxa"/>
            </w:tcMar>
            <w:vAlign w:val="center"/>
          </w:tcPr>
          <w:p w14:paraId="11891774">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6960</w:t>
            </w:r>
          </w:p>
        </w:tc>
      </w:tr>
    </w:tbl>
    <w:p w14:paraId="70BEC265">
      <w:pPr>
        <w:widowControl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kern w:val="24"/>
          <w:sz w:val="24"/>
          <w:szCs w:val="24"/>
          <w:lang w:val="en-US" w:eastAsia="zh-CN" w:bidi="ar-SA"/>
        </w:rPr>
      </w:pPr>
      <w:r>
        <w:rPr>
          <w:rFonts w:hint="default" w:ascii="Times New Roman" w:hAnsi="Times New Roman" w:eastAsia="宋体" w:cs="Times New Roman"/>
          <w:color w:val="auto"/>
          <w:kern w:val="24"/>
          <w:sz w:val="24"/>
          <w:szCs w:val="24"/>
          <w:lang w:val="en-US" w:eastAsia="zh-CN" w:bidi="ar-SA"/>
        </w:rPr>
        <w:t>项目内建1个隔油池、1个化粪池，生活污水经隔油池/化粪池处理后排入园区污水管网。</w:t>
      </w:r>
    </w:p>
    <w:p w14:paraId="60C85915">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b/>
          <w:color w:val="auto"/>
          <w:sz w:val="24"/>
          <w:szCs w:val="24"/>
        </w:rPr>
        <w:t>（</w:t>
      </w:r>
      <w:r>
        <w:rPr>
          <w:rFonts w:hint="eastAsia" w:ascii="Times New Roman" w:hAnsi="Times New Roman" w:cs="Times New Roman"/>
          <w:b/>
          <w:color w:val="auto"/>
          <w:sz w:val="24"/>
          <w:szCs w:val="24"/>
          <w:lang w:val="en-US" w:eastAsia="zh-CN"/>
        </w:rPr>
        <w:t>3</w:t>
      </w:r>
      <w:r>
        <w:rPr>
          <w:rFonts w:hint="default" w:ascii="Times New Roman" w:hAnsi="Times New Roman" w:eastAsia="宋体" w:cs="Times New Roman"/>
          <w:b/>
          <w:color w:val="auto"/>
          <w:sz w:val="24"/>
          <w:szCs w:val="24"/>
        </w:rPr>
        <w:t>）</w:t>
      </w:r>
      <w:r>
        <w:rPr>
          <w:rFonts w:hint="eastAsia" w:ascii="Times New Roman" w:hAnsi="Times New Roman" w:cs="Times New Roman"/>
          <w:b/>
          <w:color w:val="auto"/>
          <w:sz w:val="24"/>
          <w:szCs w:val="24"/>
          <w:lang w:eastAsia="zh-CN"/>
        </w:rPr>
        <w:t>绿化</w:t>
      </w:r>
      <w:r>
        <w:rPr>
          <w:rFonts w:hint="default" w:ascii="Times New Roman" w:hAnsi="Times New Roman" w:eastAsia="宋体" w:cs="Times New Roman"/>
          <w:b/>
          <w:color w:val="auto"/>
          <w:sz w:val="24"/>
          <w:szCs w:val="24"/>
          <w:lang w:eastAsia="zh-CN"/>
        </w:rPr>
        <w:t>用水</w:t>
      </w:r>
    </w:p>
    <w:p w14:paraId="3CFBE1E0">
      <w:pPr>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4"/>
          <w:szCs w:val="24"/>
        </w:rPr>
      </w:pPr>
      <w:r>
        <w:rPr>
          <w:rFonts w:hint="default" w:ascii="Times New Roman" w:hAnsi="Times New Roman" w:cs="Times New Roman"/>
          <w:color w:val="auto"/>
          <w:sz w:val="24"/>
          <w:szCs w:val="24"/>
        </w:rPr>
        <w:t>项目绿化面积为</w:t>
      </w:r>
      <w:r>
        <w:rPr>
          <w:rFonts w:hint="eastAsia" w:ascii="Times New Roman" w:hAnsi="Times New Roman" w:cs="Times New Roman"/>
          <w:color w:val="auto"/>
          <w:sz w:val="24"/>
          <w:szCs w:val="24"/>
          <w:lang w:val="en-US" w:eastAsia="zh-CN"/>
        </w:rPr>
        <w:t>200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云南省地方标准用水定额</w:t>
      </w:r>
      <w:r>
        <w:rPr>
          <w:rFonts w:hint="default" w:ascii="Times New Roman" w:hAnsi="Times New Roman" w:cs="Times New Roman"/>
          <w:color w:val="auto"/>
          <w:sz w:val="24"/>
          <w:szCs w:val="24"/>
        </w:rPr>
        <w:t>》（DB53/T168-201</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园林绿化用水定额为</w:t>
      </w:r>
      <w:r>
        <w:rPr>
          <w:rFonts w:hint="default" w:ascii="Times New Roman" w:hAnsi="Times New Roman" w:cs="Times New Roman"/>
          <w:color w:val="auto"/>
          <w:sz w:val="24"/>
          <w:szCs w:val="24"/>
          <w:lang w:val="en-US" w:eastAsia="zh-CN"/>
        </w:rPr>
        <w:t>3L/（m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.次），项目晴天每天浇水一次，雨天绿化用地不浇水</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项目晴天每天浇水一次，雨天不用水，晴天按210天计算</w:t>
      </w:r>
      <w:r>
        <w:rPr>
          <w:rFonts w:hint="default" w:ascii="Times New Roman" w:hAnsi="Times New Roman" w:cs="Times New Roman"/>
          <w:color w:val="auto"/>
          <w:sz w:val="24"/>
          <w:szCs w:val="24"/>
          <w:lang w:val="en-US" w:eastAsia="zh-CN"/>
        </w:rPr>
        <w:t>。晴天绿化用水量为</w:t>
      </w:r>
      <w:r>
        <w:rPr>
          <w:rFonts w:hint="eastAsia" w:ascii="Times New Roman" w:hAnsi="Times New Roman" w:cs="Times New Roman"/>
          <w:color w:val="auto"/>
          <w:sz w:val="24"/>
          <w:szCs w:val="24"/>
          <w:lang w:val="en-US" w:eastAsia="zh-CN"/>
        </w:rPr>
        <w:t>0.6</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/d，全年绿化用水量为</w:t>
      </w:r>
      <w:r>
        <w:rPr>
          <w:rFonts w:hint="eastAsia" w:ascii="Times New Roman" w:hAnsi="Times New Roman" w:cs="Times New Roman"/>
          <w:color w:val="auto"/>
          <w:sz w:val="24"/>
          <w:szCs w:val="24"/>
          <w:lang w:val="en-US" w:eastAsia="zh-CN"/>
        </w:rPr>
        <w:t>126</w:t>
      </w:r>
      <w:r>
        <w:rPr>
          <w:rFonts w:hint="default" w:ascii="Times New Roman" w:hAnsi="Times New Roman" w:cs="Times New Roman"/>
          <w:color w:val="auto"/>
          <w:sz w:val="24"/>
          <w:szCs w:val="24"/>
          <w:lang w:val="en-US" w:eastAsia="zh-CN"/>
        </w:rPr>
        <w:t>t/a，绿化不产生废水。</w:t>
      </w:r>
      <w:r>
        <w:rPr>
          <w:rFonts w:hint="default" w:ascii="Times New Roman" w:hAnsi="Times New Roman" w:cs="Times New Roman"/>
          <w:color w:val="auto"/>
          <w:sz w:val="24"/>
          <w:szCs w:val="24"/>
        </w:rPr>
        <w:t>绿化用水使用</w:t>
      </w:r>
      <w:r>
        <w:rPr>
          <w:rFonts w:hint="eastAsia" w:ascii="Times New Roman" w:hAnsi="Times New Roman" w:cs="Times New Roman"/>
          <w:color w:val="auto"/>
          <w:sz w:val="24"/>
          <w:szCs w:val="24"/>
          <w:lang w:eastAsia="zh-CN"/>
        </w:rPr>
        <w:t>新鲜水</w:t>
      </w:r>
      <w:r>
        <w:rPr>
          <w:rFonts w:hint="default" w:ascii="Times New Roman" w:hAnsi="Times New Roman" w:cs="Times New Roman"/>
          <w:color w:val="auto"/>
          <w:sz w:val="24"/>
          <w:szCs w:val="24"/>
        </w:rPr>
        <w:t>。</w:t>
      </w:r>
    </w:p>
    <w:p w14:paraId="79B493D9">
      <w:pPr>
        <w:adjustRightInd w:val="0"/>
        <w:snapToGrid w:val="0"/>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）项目废水特征及处置方式</w:t>
      </w:r>
    </w:p>
    <w:p w14:paraId="016B1389">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综上分析，</w:t>
      </w:r>
      <w:r>
        <w:rPr>
          <w:rFonts w:hint="default" w:ascii="Times New Roman" w:hAnsi="Times New Roman" w:eastAsia="宋体" w:cs="Times New Roman"/>
          <w:color w:val="auto"/>
          <w:sz w:val="24"/>
          <w:szCs w:val="24"/>
          <w:lang w:eastAsia="zh-CN"/>
        </w:rPr>
        <w:t>项目总用水量</w:t>
      </w:r>
      <w:r>
        <w:rPr>
          <w:rFonts w:hint="eastAsia" w:ascii="Times New Roman" w:hAnsi="Times New Roman" w:cs="Times New Roman"/>
          <w:color w:val="auto"/>
          <w:sz w:val="24"/>
          <w:szCs w:val="24"/>
          <w:lang w:val="en-US" w:eastAsia="zh-CN"/>
        </w:rPr>
        <w:t>13326</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rPr>
        <w:t>，产生废水量</w:t>
      </w:r>
      <w:r>
        <w:rPr>
          <w:rFonts w:hint="default" w:ascii="Times New Roman" w:hAnsi="Times New Roman" w:eastAsia="宋体" w:cs="Times New Roman"/>
          <w:color w:val="auto"/>
          <w:sz w:val="24"/>
          <w:szCs w:val="24"/>
          <w:lang w:val="en-US" w:eastAsia="zh-CN"/>
        </w:rPr>
        <w:t>11392.5t/a</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产生废水</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4"/>
          <w:sz w:val="24"/>
          <w:szCs w:val="24"/>
          <w:lang w:val="en-US" w:eastAsia="zh-CN" w:bidi="ar-SA"/>
        </w:rPr>
        <w:t>生活污水经隔油池/化粪池处理后排入园区污水管网</w:t>
      </w:r>
      <w:r>
        <w:rPr>
          <w:rFonts w:hint="default" w:ascii="Times New Roman" w:hAnsi="Times New Roman" w:eastAsia="宋体" w:cs="Times New Roman"/>
          <w:color w:val="auto"/>
          <w:sz w:val="24"/>
          <w:szCs w:val="24"/>
        </w:rPr>
        <w:t>。项目废水分质收集处理，洗衣废水主要污染物COD、BOD</w:t>
      </w:r>
      <w:r>
        <w:rPr>
          <w:rFonts w:hint="default" w:ascii="Times New Roman" w:hAnsi="Times New Roman" w:eastAsia="宋体" w:cs="Times New Roman"/>
          <w:color w:val="auto"/>
          <w:sz w:val="24"/>
          <w:szCs w:val="24"/>
          <w:vertAlign w:val="subscript"/>
        </w:rPr>
        <w:t>5</w:t>
      </w:r>
      <w:r>
        <w:rPr>
          <w:rFonts w:hint="default" w:ascii="Times New Roman" w:hAnsi="Times New Roman" w:eastAsia="宋体" w:cs="Times New Roman"/>
          <w:color w:val="auto"/>
          <w:sz w:val="24"/>
          <w:szCs w:val="24"/>
        </w:rPr>
        <w:t>、SS、LAS、色度等引用自（朱键，王平，罗文年. 洗衣废水处理工程实践[J].工业水处理，2009（5）），氨氮、总磷参照企业生产经验给出，废水产、排情况见表</w:t>
      </w:r>
      <w:r>
        <w:rPr>
          <w:rFonts w:hint="eastAsia" w:ascii="Times New Roman" w:hAnsi="Times New Roman" w:cs="Times New Roman"/>
          <w:color w:val="auto"/>
          <w:sz w:val="24"/>
          <w:szCs w:val="24"/>
          <w:lang w:val="en-US" w:eastAsia="zh-CN"/>
        </w:rPr>
        <w:t>3.4-5</w:t>
      </w:r>
      <w:r>
        <w:rPr>
          <w:rFonts w:hint="default" w:ascii="Times New Roman" w:hAnsi="Times New Roman" w:eastAsia="宋体" w:cs="Times New Roman"/>
          <w:color w:val="auto"/>
          <w:sz w:val="24"/>
          <w:szCs w:val="24"/>
        </w:rPr>
        <w:t>。</w:t>
      </w:r>
    </w:p>
    <w:p w14:paraId="165A12CA">
      <w:pPr>
        <w:pStyle w:val="126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cs="Times New Roman"/>
          <w:color w:val="auto"/>
          <w:lang w:val="en-US" w:eastAsia="zh-CN"/>
        </w:rPr>
        <w:t>3.4-5</w:t>
      </w:r>
      <w:r>
        <w:rPr>
          <w:rFonts w:hint="default" w:ascii="Times New Roman" w:hAnsi="Times New Roman" w:eastAsia="宋体" w:cs="Times New Roman"/>
          <w:color w:val="auto"/>
        </w:rPr>
        <w:t xml:space="preserve">  建设项目所有废水产生、排放情况</w:t>
      </w:r>
    </w:p>
    <w:tbl>
      <w:tblPr>
        <w:tblStyle w:val="6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824"/>
        <w:gridCol w:w="1315"/>
        <w:gridCol w:w="790"/>
        <w:gridCol w:w="703"/>
        <w:gridCol w:w="716"/>
        <w:gridCol w:w="994"/>
        <w:gridCol w:w="769"/>
        <w:gridCol w:w="752"/>
        <w:gridCol w:w="329"/>
        <w:gridCol w:w="730"/>
      </w:tblGrid>
      <w:tr w14:paraId="5635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0" w:type="dxa"/>
            <w:gridSpan w:val="2"/>
            <w:vMerge w:val="restart"/>
            <w:noWrap w:val="0"/>
            <w:vAlign w:val="center"/>
          </w:tcPr>
          <w:p w14:paraId="464D70A9">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污染源</w:t>
            </w:r>
          </w:p>
          <w:p w14:paraId="31AD3EE7">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315" w:type="dxa"/>
            <w:vMerge w:val="restart"/>
            <w:noWrap w:val="0"/>
            <w:vAlign w:val="center"/>
          </w:tcPr>
          <w:p w14:paraId="1F9A80F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废水量</w:t>
            </w:r>
          </w:p>
        </w:tc>
        <w:tc>
          <w:tcPr>
            <w:tcW w:w="790" w:type="dxa"/>
            <w:vMerge w:val="restart"/>
            <w:noWrap w:val="0"/>
            <w:vAlign w:val="center"/>
          </w:tcPr>
          <w:p w14:paraId="6791C734">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p w14:paraId="490A2238">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419" w:type="dxa"/>
            <w:gridSpan w:val="2"/>
            <w:noWrap w:val="0"/>
            <w:vAlign w:val="center"/>
          </w:tcPr>
          <w:p w14:paraId="48991394">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产生情况</w:t>
            </w:r>
          </w:p>
        </w:tc>
        <w:tc>
          <w:tcPr>
            <w:tcW w:w="994" w:type="dxa"/>
            <w:vMerge w:val="restart"/>
            <w:noWrap w:val="0"/>
            <w:vAlign w:val="center"/>
          </w:tcPr>
          <w:p w14:paraId="11FA92F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拟采取的</w:t>
            </w:r>
          </w:p>
          <w:p w14:paraId="43211B09">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处理方式</w:t>
            </w:r>
          </w:p>
        </w:tc>
        <w:tc>
          <w:tcPr>
            <w:tcW w:w="1521" w:type="dxa"/>
            <w:gridSpan w:val="2"/>
            <w:noWrap w:val="0"/>
            <w:vAlign w:val="center"/>
          </w:tcPr>
          <w:p w14:paraId="0D89A1D3">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纳管情况</w:t>
            </w:r>
          </w:p>
        </w:tc>
        <w:tc>
          <w:tcPr>
            <w:tcW w:w="329" w:type="dxa"/>
            <w:vMerge w:val="restart"/>
            <w:noWrap w:val="0"/>
            <w:vAlign w:val="center"/>
          </w:tcPr>
          <w:p w14:paraId="4B0B7EE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排放方式</w:t>
            </w:r>
          </w:p>
        </w:tc>
        <w:tc>
          <w:tcPr>
            <w:tcW w:w="730" w:type="dxa"/>
            <w:vMerge w:val="restart"/>
            <w:noWrap w:val="0"/>
            <w:vAlign w:val="center"/>
          </w:tcPr>
          <w:p w14:paraId="7FE76FD7">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排放去向</w:t>
            </w:r>
          </w:p>
        </w:tc>
      </w:tr>
      <w:tr w14:paraId="435F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0" w:type="dxa"/>
            <w:gridSpan w:val="2"/>
            <w:vMerge w:val="continue"/>
            <w:noWrap w:val="0"/>
            <w:vAlign w:val="center"/>
          </w:tcPr>
          <w:p w14:paraId="4002B8C9">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4D268F8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vMerge w:val="continue"/>
            <w:noWrap w:val="0"/>
            <w:vAlign w:val="center"/>
          </w:tcPr>
          <w:p w14:paraId="5623A9BE">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03" w:type="dxa"/>
            <w:noWrap w:val="0"/>
            <w:vAlign w:val="center"/>
          </w:tcPr>
          <w:p w14:paraId="5E80EEE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mg/L</w:t>
            </w:r>
          </w:p>
        </w:tc>
        <w:tc>
          <w:tcPr>
            <w:tcW w:w="716" w:type="dxa"/>
            <w:noWrap w:val="0"/>
            <w:vAlign w:val="center"/>
          </w:tcPr>
          <w:p w14:paraId="5F0794A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t/a</w:t>
            </w:r>
          </w:p>
        </w:tc>
        <w:tc>
          <w:tcPr>
            <w:tcW w:w="994" w:type="dxa"/>
            <w:vMerge w:val="continue"/>
            <w:noWrap w:val="0"/>
            <w:vAlign w:val="center"/>
          </w:tcPr>
          <w:p w14:paraId="6CBF8874">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2394480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浓度mg/L</w:t>
            </w:r>
          </w:p>
        </w:tc>
        <w:tc>
          <w:tcPr>
            <w:tcW w:w="752" w:type="dxa"/>
            <w:noWrap w:val="0"/>
            <w:vAlign w:val="center"/>
          </w:tcPr>
          <w:p w14:paraId="1FB45D1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量t/a</w:t>
            </w:r>
          </w:p>
        </w:tc>
        <w:tc>
          <w:tcPr>
            <w:tcW w:w="329" w:type="dxa"/>
            <w:vMerge w:val="continue"/>
            <w:noWrap w:val="0"/>
            <w:vAlign w:val="center"/>
          </w:tcPr>
          <w:p w14:paraId="1179B19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30" w:type="dxa"/>
            <w:vMerge w:val="continue"/>
            <w:noWrap w:val="0"/>
            <w:vAlign w:val="center"/>
          </w:tcPr>
          <w:p w14:paraId="62B94A3B">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r>
      <w:tr w14:paraId="3245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6" w:type="dxa"/>
            <w:vMerge w:val="restart"/>
            <w:noWrap w:val="0"/>
            <w:vAlign w:val="center"/>
          </w:tcPr>
          <w:p w14:paraId="3FBAA7C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2F69BAB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134BA5A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38DF584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6C9B130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5FC283E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48F7B98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p w14:paraId="717E891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24" w:type="dxa"/>
            <w:vMerge w:val="restart"/>
            <w:noWrap w:val="0"/>
            <w:vAlign w:val="center"/>
          </w:tcPr>
          <w:p w14:paraId="2C39137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69DEDE4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3EA4752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0DF1DCC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7A43A69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3620849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6B64ABA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水洗废水</w:t>
            </w:r>
          </w:p>
        </w:tc>
        <w:tc>
          <w:tcPr>
            <w:tcW w:w="1315" w:type="dxa"/>
            <w:vMerge w:val="restart"/>
            <w:noWrap w:val="0"/>
            <w:vAlign w:val="center"/>
          </w:tcPr>
          <w:p w14:paraId="4A24D3AD">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23A074AA">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2BBABD8F">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06C805F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22EA173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67E3966F">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189987A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14.775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p w14:paraId="68D42D7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4432.5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90" w:type="dxa"/>
            <w:noWrap w:val="0"/>
            <w:vAlign w:val="center"/>
          </w:tcPr>
          <w:p w14:paraId="391CC7B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419" w:type="dxa"/>
            <w:gridSpan w:val="2"/>
            <w:noWrap w:val="0"/>
            <w:vAlign w:val="center"/>
          </w:tcPr>
          <w:p w14:paraId="49DB828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w:t>
            </w:r>
          </w:p>
        </w:tc>
        <w:tc>
          <w:tcPr>
            <w:tcW w:w="994" w:type="dxa"/>
            <w:vMerge w:val="restart"/>
            <w:noWrap w:val="0"/>
            <w:vAlign w:val="center"/>
          </w:tcPr>
          <w:p w14:paraId="46FE323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053AA18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7E5CE76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16A8E102">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284184D1">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231FDB24">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p>
          <w:p w14:paraId="38D5804B">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污水处理设备</w:t>
            </w:r>
          </w:p>
        </w:tc>
        <w:tc>
          <w:tcPr>
            <w:tcW w:w="1521" w:type="dxa"/>
            <w:gridSpan w:val="2"/>
            <w:noWrap w:val="0"/>
            <w:vAlign w:val="center"/>
          </w:tcPr>
          <w:p w14:paraId="7177D87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w:t>
            </w:r>
          </w:p>
        </w:tc>
        <w:tc>
          <w:tcPr>
            <w:tcW w:w="329" w:type="dxa"/>
            <w:vMerge w:val="restart"/>
            <w:noWrap w:val="0"/>
            <w:vAlign w:val="center"/>
          </w:tcPr>
          <w:p w14:paraId="1A066E7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016B985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77F5634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6367F44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0EAD746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4FDC094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57C92F0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6E75F2C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3A7ADA6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0D129C6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p w14:paraId="3E3ADE1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w:t>
            </w:r>
          </w:p>
        </w:tc>
        <w:tc>
          <w:tcPr>
            <w:tcW w:w="730" w:type="dxa"/>
            <w:vMerge w:val="restart"/>
            <w:noWrap w:val="0"/>
            <w:vAlign w:val="center"/>
          </w:tcPr>
          <w:p w14:paraId="77A4A1D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4F6AF0B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107ED099">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0E3F8D0D">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5D0E3BD7">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18EB85F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6A20537A">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7B2BB5A4">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11313645">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5F441C96">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p>
          <w:p w14:paraId="2887F402">
            <w:pPr>
              <w:adjustRightInd w:val="0"/>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工业园区污水管网</w:t>
            </w:r>
          </w:p>
        </w:tc>
      </w:tr>
      <w:tr w14:paraId="7076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6" w:type="dxa"/>
            <w:vMerge w:val="continue"/>
            <w:noWrap w:val="0"/>
            <w:vAlign w:val="center"/>
          </w:tcPr>
          <w:p w14:paraId="41CF7B2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824" w:type="dxa"/>
            <w:vMerge w:val="continue"/>
            <w:noWrap w:val="0"/>
            <w:vAlign w:val="center"/>
          </w:tcPr>
          <w:p w14:paraId="019F7801">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7C88048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dxa"/>
            <w:noWrap w:val="0"/>
            <w:vAlign w:val="center"/>
          </w:tcPr>
          <w:p w14:paraId="565F52D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03" w:type="dxa"/>
            <w:noWrap w:val="0"/>
            <w:vAlign w:val="center"/>
          </w:tcPr>
          <w:p w14:paraId="41AE4172">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668</w:t>
            </w:r>
          </w:p>
        </w:tc>
        <w:tc>
          <w:tcPr>
            <w:tcW w:w="716" w:type="dxa"/>
            <w:noWrap w:val="0"/>
            <w:vAlign w:val="center"/>
          </w:tcPr>
          <w:p w14:paraId="73C15EFE">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2.96</w:t>
            </w:r>
          </w:p>
        </w:tc>
        <w:tc>
          <w:tcPr>
            <w:tcW w:w="994" w:type="dxa"/>
            <w:vMerge w:val="continue"/>
            <w:noWrap w:val="0"/>
            <w:vAlign w:val="center"/>
          </w:tcPr>
          <w:p w14:paraId="0A1BFB2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69" w:type="dxa"/>
            <w:noWrap w:val="0"/>
            <w:vAlign w:val="center"/>
          </w:tcPr>
          <w:p w14:paraId="3A392060">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294</w:t>
            </w:r>
          </w:p>
        </w:tc>
        <w:tc>
          <w:tcPr>
            <w:tcW w:w="752" w:type="dxa"/>
            <w:noWrap w:val="0"/>
            <w:vAlign w:val="center"/>
          </w:tcPr>
          <w:p w14:paraId="2A8CB885">
            <w:pPr>
              <w:pStyle w:val="756"/>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1.30</w:t>
            </w:r>
          </w:p>
        </w:tc>
        <w:tc>
          <w:tcPr>
            <w:tcW w:w="329" w:type="dxa"/>
            <w:vMerge w:val="continue"/>
            <w:noWrap w:val="0"/>
            <w:vAlign w:val="center"/>
          </w:tcPr>
          <w:p w14:paraId="4063390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477116B3">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3F18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6" w:type="dxa"/>
            <w:vMerge w:val="continue"/>
            <w:noWrap w:val="0"/>
            <w:vAlign w:val="center"/>
          </w:tcPr>
          <w:p w14:paraId="209F606A">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824" w:type="dxa"/>
            <w:vMerge w:val="continue"/>
            <w:noWrap w:val="0"/>
            <w:vAlign w:val="center"/>
          </w:tcPr>
          <w:p w14:paraId="139FDF8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28C6C5E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dxa"/>
            <w:noWrap w:val="0"/>
            <w:vAlign w:val="center"/>
          </w:tcPr>
          <w:p w14:paraId="3D393C3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703" w:type="dxa"/>
            <w:noWrap w:val="0"/>
            <w:vAlign w:val="center"/>
          </w:tcPr>
          <w:p w14:paraId="2B151354">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p>
        </w:tc>
        <w:tc>
          <w:tcPr>
            <w:tcW w:w="716" w:type="dxa"/>
            <w:noWrap w:val="0"/>
            <w:vAlign w:val="center"/>
          </w:tcPr>
          <w:p w14:paraId="6D51A9EE">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1.55</w:t>
            </w:r>
          </w:p>
        </w:tc>
        <w:tc>
          <w:tcPr>
            <w:tcW w:w="994" w:type="dxa"/>
            <w:vMerge w:val="continue"/>
            <w:noWrap w:val="0"/>
            <w:vAlign w:val="center"/>
          </w:tcPr>
          <w:p w14:paraId="24D8D2A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69" w:type="dxa"/>
            <w:noWrap w:val="0"/>
            <w:vAlign w:val="center"/>
          </w:tcPr>
          <w:p w14:paraId="5B58C2AC">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168</w:t>
            </w:r>
          </w:p>
        </w:tc>
        <w:tc>
          <w:tcPr>
            <w:tcW w:w="752" w:type="dxa"/>
            <w:noWrap w:val="0"/>
            <w:vAlign w:val="center"/>
          </w:tcPr>
          <w:p w14:paraId="4DE90F09">
            <w:pPr>
              <w:pStyle w:val="756"/>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0.74</w:t>
            </w:r>
          </w:p>
        </w:tc>
        <w:tc>
          <w:tcPr>
            <w:tcW w:w="329" w:type="dxa"/>
            <w:vMerge w:val="continue"/>
            <w:noWrap w:val="0"/>
            <w:vAlign w:val="center"/>
          </w:tcPr>
          <w:p w14:paraId="7695D8F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58FDEC84">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4BC4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06" w:type="dxa"/>
            <w:vMerge w:val="continue"/>
            <w:noWrap w:val="0"/>
            <w:vAlign w:val="center"/>
          </w:tcPr>
          <w:p w14:paraId="103D73E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824" w:type="dxa"/>
            <w:vMerge w:val="continue"/>
            <w:noWrap w:val="0"/>
            <w:vAlign w:val="center"/>
          </w:tcPr>
          <w:p w14:paraId="2D4D57CE">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792A7D9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dxa"/>
            <w:noWrap w:val="0"/>
            <w:vAlign w:val="center"/>
          </w:tcPr>
          <w:p w14:paraId="5E40B0F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03" w:type="dxa"/>
            <w:noWrap w:val="0"/>
            <w:vAlign w:val="center"/>
          </w:tcPr>
          <w:p w14:paraId="0E3CD7DD">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445</w:t>
            </w:r>
          </w:p>
        </w:tc>
        <w:tc>
          <w:tcPr>
            <w:tcW w:w="716" w:type="dxa"/>
            <w:noWrap w:val="0"/>
            <w:vAlign w:val="center"/>
          </w:tcPr>
          <w:p w14:paraId="71F86214">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1.97</w:t>
            </w:r>
            <w:r>
              <w:rPr>
                <w:rFonts w:hint="default" w:ascii="Times New Roman" w:hAnsi="Times New Roman" w:eastAsia="宋体" w:cs="Times New Roman"/>
                <w:color w:val="auto"/>
                <w:kern w:val="0"/>
                <w:sz w:val="21"/>
                <w:szCs w:val="21"/>
              </w:rPr>
              <w:t xml:space="preserve"> </w:t>
            </w:r>
          </w:p>
        </w:tc>
        <w:tc>
          <w:tcPr>
            <w:tcW w:w="994" w:type="dxa"/>
            <w:vMerge w:val="continue"/>
            <w:noWrap w:val="0"/>
            <w:vAlign w:val="center"/>
          </w:tcPr>
          <w:p w14:paraId="5ADD54F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69" w:type="dxa"/>
            <w:noWrap w:val="0"/>
            <w:vAlign w:val="center"/>
          </w:tcPr>
          <w:p w14:paraId="11225BA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752" w:type="dxa"/>
            <w:noWrap w:val="0"/>
            <w:vAlign w:val="center"/>
          </w:tcPr>
          <w:p w14:paraId="40A2022B">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0.44</w:t>
            </w:r>
          </w:p>
        </w:tc>
        <w:tc>
          <w:tcPr>
            <w:tcW w:w="329" w:type="dxa"/>
            <w:vMerge w:val="continue"/>
            <w:noWrap w:val="0"/>
            <w:vAlign w:val="center"/>
          </w:tcPr>
          <w:p w14:paraId="0D8CA17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73A6C58B">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2CEE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6" w:type="dxa"/>
            <w:vMerge w:val="continue"/>
            <w:noWrap w:val="0"/>
            <w:vAlign w:val="center"/>
          </w:tcPr>
          <w:p w14:paraId="17909C6B">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824" w:type="dxa"/>
            <w:vMerge w:val="continue"/>
            <w:noWrap w:val="0"/>
            <w:vAlign w:val="center"/>
          </w:tcPr>
          <w:p w14:paraId="764B3CA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45BB1D4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dxa"/>
            <w:noWrap w:val="0"/>
            <w:vAlign w:val="center"/>
          </w:tcPr>
          <w:p w14:paraId="5114952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LAS</w:t>
            </w:r>
          </w:p>
        </w:tc>
        <w:tc>
          <w:tcPr>
            <w:tcW w:w="703" w:type="dxa"/>
            <w:noWrap w:val="0"/>
            <w:vAlign w:val="center"/>
          </w:tcPr>
          <w:p w14:paraId="5238362C">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716" w:type="dxa"/>
            <w:noWrap w:val="0"/>
            <w:vAlign w:val="center"/>
          </w:tcPr>
          <w:p w14:paraId="482F54D8">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0.017</w:t>
            </w:r>
            <w:r>
              <w:rPr>
                <w:rFonts w:hint="default" w:ascii="Times New Roman" w:hAnsi="Times New Roman" w:eastAsia="宋体" w:cs="Times New Roman"/>
                <w:color w:val="auto"/>
                <w:kern w:val="0"/>
                <w:sz w:val="21"/>
                <w:szCs w:val="21"/>
              </w:rPr>
              <w:t xml:space="preserve"> </w:t>
            </w:r>
          </w:p>
        </w:tc>
        <w:tc>
          <w:tcPr>
            <w:tcW w:w="994" w:type="dxa"/>
            <w:vMerge w:val="continue"/>
            <w:noWrap w:val="0"/>
            <w:vAlign w:val="center"/>
          </w:tcPr>
          <w:p w14:paraId="16FA6ED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69" w:type="dxa"/>
            <w:noWrap w:val="0"/>
            <w:vAlign w:val="center"/>
          </w:tcPr>
          <w:p w14:paraId="312941A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752" w:type="dxa"/>
            <w:noWrap w:val="0"/>
            <w:vAlign w:val="center"/>
          </w:tcPr>
          <w:p w14:paraId="6465A3DA">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0.005</w:t>
            </w:r>
          </w:p>
        </w:tc>
        <w:tc>
          <w:tcPr>
            <w:tcW w:w="329" w:type="dxa"/>
            <w:vMerge w:val="continue"/>
            <w:noWrap w:val="0"/>
            <w:vAlign w:val="center"/>
          </w:tcPr>
          <w:p w14:paraId="60B6E62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5A6F607E">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5CA5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6" w:type="dxa"/>
            <w:vMerge w:val="continue"/>
            <w:noWrap w:val="0"/>
            <w:vAlign w:val="center"/>
          </w:tcPr>
          <w:p w14:paraId="4CF7686E">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824" w:type="dxa"/>
            <w:vMerge w:val="continue"/>
            <w:noWrap w:val="0"/>
            <w:vAlign w:val="center"/>
          </w:tcPr>
          <w:p w14:paraId="02A34EC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4354D2B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dxa"/>
            <w:noWrap w:val="0"/>
            <w:vAlign w:val="center"/>
          </w:tcPr>
          <w:p w14:paraId="44D78B2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703" w:type="dxa"/>
            <w:noWrap w:val="0"/>
            <w:vAlign w:val="center"/>
          </w:tcPr>
          <w:p w14:paraId="6D58D981">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716" w:type="dxa"/>
            <w:noWrap w:val="0"/>
            <w:vAlign w:val="center"/>
          </w:tcPr>
          <w:p w14:paraId="24B5B643">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1.33</w:t>
            </w:r>
          </w:p>
        </w:tc>
        <w:tc>
          <w:tcPr>
            <w:tcW w:w="994" w:type="dxa"/>
            <w:vMerge w:val="continue"/>
            <w:noWrap w:val="0"/>
            <w:vAlign w:val="center"/>
          </w:tcPr>
          <w:p w14:paraId="13D59D7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69" w:type="dxa"/>
            <w:noWrap w:val="0"/>
            <w:vAlign w:val="center"/>
          </w:tcPr>
          <w:p w14:paraId="3C647425">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752" w:type="dxa"/>
            <w:noWrap w:val="0"/>
            <w:vAlign w:val="center"/>
          </w:tcPr>
          <w:p w14:paraId="1EBBB58C">
            <w:pPr>
              <w:pStyle w:val="756"/>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0.07</w:t>
            </w:r>
          </w:p>
        </w:tc>
        <w:tc>
          <w:tcPr>
            <w:tcW w:w="329" w:type="dxa"/>
            <w:vMerge w:val="continue"/>
            <w:noWrap w:val="0"/>
            <w:vAlign w:val="center"/>
          </w:tcPr>
          <w:p w14:paraId="58DF900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227D5B53">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7D0F3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6" w:type="dxa"/>
            <w:vMerge w:val="continue"/>
            <w:noWrap w:val="0"/>
            <w:vAlign w:val="center"/>
          </w:tcPr>
          <w:p w14:paraId="5B00E6E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824" w:type="dxa"/>
            <w:vMerge w:val="continue"/>
            <w:noWrap w:val="0"/>
            <w:vAlign w:val="center"/>
          </w:tcPr>
          <w:p w14:paraId="5C9831BF">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5ACAEAB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dxa"/>
            <w:noWrap w:val="0"/>
            <w:vAlign w:val="center"/>
          </w:tcPr>
          <w:p w14:paraId="174FD31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703" w:type="dxa"/>
            <w:noWrap w:val="0"/>
            <w:vAlign w:val="center"/>
          </w:tcPr>
          <w:p w14:paraId="442CB55B">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16" w:type="dxa"/>
            <w:noWrap w:val="0"/>
            <w:vAlign w:val="center"/>
          </w:tcPr>
          <w:p w14:paraId="03965E68">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p>
        </w:tc>
        <w:tc>
          <w:tcPr>
            <w:tcW w:w="994" w:type="dxa"/>
            <w:vMerge w:val="continue"/>
            <w:noWrap w:val="0"/>
            <w:vAlign w:val="center"/>
          </w:tcPr>
          <w:p w14:paraId="00D2B72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69" w:type="dxa"/>
            <w:noWrap w:val="0"/>
            <w:vAlign w:val="center"/>
          </w:tcPr>
          <w:p w14:paraId="7AB3485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52" w:type="dxa"/>
            <w:noWrap w:val="0"/>
            <w:vAlign w:val="center"/>
          </w:tcPr>
          <w:p w14:paraId="63DF82C1">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0.009</w:t>
            </w:r>
            <w:r>
              <w:rPr>
                <w:rFonts w:hint="default" w:ascii="Times New Roman" w:hAnsi="Times New Roman" w:eastAsia="宋体" w:cs="Times New Roman"/>
                <w:color w:val="auto"/>
                <w:kern w:val="0"/>
                <w:sz w:val="21"/>
                <w:szCs w:val="21"/>
              </w:rPr>
              <w:t xml:space="preserve"> </w:t>
            </w:r>
          </w:p>
        </w:tc>
        <w:tc>
          <w:tcPr>
            <w:tcW w:w="329" w:type="dxa"/>
            <w:vMerge w:val="continue"/>
            <w:noWrap w:val="0"/>
            <w:vAlign w:val="center"/>
          </w:tcPr>
          <w:p w14:paraId="747DB6E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684F9204">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7D6D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6" w:type="dxa"/>
            <w:vMerge w:val="continue"/>
            <w:noWrap w:val="0"/>
            <w:vAlign w:val="center"/>
          </w:tcPr>
          <w:p w14:paraId="5932643D">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824" w:type="dxa"/>
            <w:vMerge w:val="continue"/>
            <w:noWrap w:val="0"/>
            <w:vAlign w:val="center"/>
          </w:tcPr>
          <w:p w14:paraId="1B8026E9">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3F8AC8F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90" w:type="dxa"/>
            <w:noWrap w:val="0"/>
            <w:vAlign w:val="center"/>
          </w:tcPr>
          <w:p w14:paraId="34ABDD7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03" w:type="dxa"/>
            <w:noWrap w:val="0"/>
            <w:vAlign w:val="center"/>
          </w:tcPr>
          <w:p w14:paraId="72E53C53">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716" w:type="dxa"/>
            <w:noWrap w:val="0"/>
            <w:vAlign w:val="center"/>
          </w:tcPr>
          <w:p w14:paraId="2EA48798">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0.13</w:t>
            </w:r>
          </w:p>
        </w:tc>
        <w:tc>
          <w:tcPr>
            <w:tcW w:w="994" w:type="dxa"/>
            <w:vMerge w:val="continue"/>
            <w:noWrap w:val="0"/>
            <w:vAlign w:val="center"/>
          </w:tcPr>
          <w:p w14:paraId="54FA231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69" w:type="dxa"/>
            <w:noWrap w:val="0"/>
            <w:vAlign w:val="center"/>
          </w:tcPr>
          <w:p w14:paraId="21EE027E">
            <w:pPr>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752" w:type="dxa"/>
            <w:noWrap w:val="0"/>
            <w:vAlign w:val="center"/>
          </w:tcPr>
          <w:p w14:paraId="00C36BA2">
            <w:pPr>
              <w:pStyle w:val="756"/>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0.05</w:t>
            </w:r>
            <w:r>
              <w:rPr>
                <w:rFonts w:hint="default" w:ascii="Times New Roman" w:hAnsi="Times New Roman" w:eastAsia="宋体" w:cs="Times New Roman"/>
                <w:color w:val="auto"/>
                <w:kern w:val="0"/>
                <w:sz w:val="21"/>
                <w:szCs w:val="21"/>
              </w:rPr>
              <w:t xml:space="preserve"> </w:t>
            </w:r>
          </w:p>
        </w:tc>
        <w:tc>
          <w:tcPr>
            <w:tcW w:w="329" w:type="dxa"/>
            <w:vMerge w:val="continue"/>
            <w:noWrap w:val="0"/>
            <w:vAlign w:val="center"/>
          </w:tcPr>
          <w:p w14:paraId="23F0C43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355BAC25">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1073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0" w:type="dxa"/>
            <w:gridSpan w:val="2"/>
            <w:vMerge w:val="restart"/>
            <w:noWrap w:val="0"/>
            <w:vAlign w:val="center"/>
          </w:tcPr>
          <w:p w14:paraId="3AA4DB5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315" w:type="dxa"/>
            <w:vMerge w:val="restart"/>
            <w:noWrap w:val="0"/>
            <w:vAlign w:val="center"/>
          </w:tcPr>
          <w:p w14:paraId="45F79E2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23.2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p>
          <w:p w14:paraId="5D508D7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6960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p>
        </w:tc>
        <w:tc>
          <w:tcPr>
            <w:tcW w:w="790" w:type="dxa"/>
            <w:noWrap w:val="0"/>
            <w:vAlign w:val="center"/>
          </w:tcPr>
          <w:p w14:paraId="44D46DF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419" w:type="dxa"/>
            <w:gridSpan w:val="2"/>
            <w:noWrap w:val="0"/>
            <w:vAlign w:val="center"/>
          </w:tcPr>
          <w:p w14:paraId="333AB7E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w:t>
            </w:r>
          </w:p>
        </w:tc>
        <w:tc>
          <w:tcPr>
            <w:tcW w:w="994" w:type="dxa"/>
            <w:vMerge w:val="restart"/>
            <w:noWrap w:val="0"/>
            <w:vAlign w:val="center"/>
          </w:tcPr>
          <w:p w14:paraId="50BCC712">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化粪池</w:t>
            </w:r>
            <w:r>
              <w:rPr>
                <w:rFonts w:hint="eastAsia" w:ascii="Times New Roman" w:hAnsi="Times New Roman" w:cs="Times New Roman"/>
                <w:color w:val="auto"/>
                <w:sz w:val="21"/>
                <w:szCs w:val="21"/>
                <w:lang w:eastAsia="zh-CN"/>
              </w:rPr>
              <w:t>、隔油池</w:t>
            </w:r>
          </w:p>
        </w:tc>
        <w:tc>
          <w:tcPr>
            <w:tcW w:w="1521" w:type="dxa"/>
            <w:gridSpan w:val="2"/>
            <w:noWrap w:val="0"/>
            <w:vAlign w:val="center"/>
          </w:tcPr>
          <w:p w14:paraId="228BFF0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329" w:type="dxa"/>
            <w:vMerge w:val="continue"/>
            <w:noWrap w:val="0"/>
            <w:vAlign w:val="center"/>
          </w:tcPr>
          <w:p w14:paraId="3B12ECEF">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5A367C34">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5BBE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0" w:type="dxa"/>
            <w:gridSpan w:val="2"/>
            <w:vMerge w:val="continue"/>
            <w:noWrap w:val="0"/>
            <w:vAlign w:val="center"/>
          </w:tcPr>
          <w:p w14:paraId="5B0406C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315" w:type="dxa"/>
            <w:vMerge w:val="continue"/>
            <w:noWrap w:val="0"/>
            <w:vAlign w:val="center"/>
          </w:tcPr>
          <w:p w14:paraId="43E8674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218C9D3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703" w:type="dxa"/>
            <w:noWrap w:val="0"/>
            <w:vAlign w:val="center"/>
          </w:tcPr>
          <w:p w14:paraId="003F1D1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p>
        </w:tc>
        <w:tc>
          <w:tcPr>
            <w:tcW w:w="716" w:type="dxa"/>
            <w:noWrap w:val="0"/>
            <w:vAlign w:val="center"/>
          </w:tcPr>
          <w:p w14:paraId="08762EFA">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2.44</w:t>
            </w:r>
          </w:p>
        </w:tc>
        <w:tc>
          <w:tcPr>
            <w:tcW w:w="994" w:type="dxa"/>
            <w:vMerge w:val="continue"/>
            <w:noWrap w:val="0"/>
            <w:vAlign w:val="center"/>
          </w:tcPr>
          <w:p w14:paraId="787B4F03">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184D44C8">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300</w:t>
            </w:r>
          </w:p>
        </w:tc>
        <w:tc>
          <w:tcPr>
            <w:tcW w:w="752" w:type="dxa"/>
            <w:noWrap w:val="0"/>
            <w:vAlign w:val="center"/>
          </w:tcPr>
          <w:p w14:paraId="224640D1">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2.088</w:t>
            </w:r>
          </w:p>
        </w:tc>
        <w:tc>
          <w:tcPr>
            <w:tcW w:w="329" w:type="dxa"/>
            <w:vMerge w:val="continue"/>
            <w:noWrap w:val="0"/>
            <w:vAlign w:val="center"/>
          </w:tcPr>
          <w:p w14:paraId="4318290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5B07A651">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2E67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0" w:type="dxa"/>
            <w:gridSpan w:val="2"/>
            <w:vMerge w:val="continue"/>
            <w:noWrap w:val="0"/>
            <w:vAlign w:val="center"/>
          </w:tcPr>
          <w:p w14:paraId="5E0009B2">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32314B2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3564F04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703" w:type="dxa"/>
            <w:noWrap w:val="0"/>
            <w:vAlign w:val="center"/>
          </w:tcPr>
          <w:p w14:paraId="47101B4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716" w:type="dxa"/>
            <w:noWrap w:val="0"/>
            <w:vAlign w:val="center"/>
          </w:tcPr>
          <w:p w14:paraId="43FCDEE1">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1.34</w:t>
            </w:r>
            <w:r>
              <w:rPr>
                <w:rFonts w:hint="default" w:ascii="Times New Roman" w:hAnsi="Times New Roman" w:eastAsia="宋体" w:cs="Times New Roman"/>
                <w:color w:val="auto"/>
                <w:kern w:val="0"/>
                <w:sz w:val="21"/>
                <w:szCs w:val="21"/>
              </w:rPr>
              <w:t xml:space="preserve"> </w:t>
            </w:r>
          </w:p>
        </w:tc>
        <w:tc>
          <w:tcPr>
            <w:tcW w:w="994" w:type="dxa"/>
            <w:vMerge w:val="continue"/>
            <w:noWrap w:val="0"/>
            <w:vAlign w:val="center"/>
          </w:tcPr>
          <w:p w14:paraId="18C2BFD5">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41AD906F">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180</w:t>
            </w:r>
          </w:p>
        </w:tc>
        <w:tc>
          <w:tcPr>
            <w:tcW w:w="752" w:type="dxa"/>
            <w:noWrap w:val="0"/>
            <w:vAlign w:val="center"/>
          </w:tcPr>
          <w:p w14:paraId="67CCFFF7">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1.25</w:t>
            </w:r>
          </w:p>
        </w:tc>
        <w:tc>
          <w:tcPr>
            <w:tcW w:w="329" w:type="dxa"/>
            <w:vMerge w:val="continue"/>
            <w:noWrap w:val="0"/>
            <w:vAlign w:val="center"/>
          </w:tcPr>
          <w:p w14:paraId="719F193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1A46AAB7">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1993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0" w:type="dxa"/>
            <w:gridSpan w:val="2"/>
            <w:vMerge w:val="continue"/>
            <w:noWrap w:val="0"/>
            <w:vAlign w:val="center"/>
          </w:tcPr>
          <w:p w14:paraId="06C52DC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12D33509">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78D19A6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03" w:type="dxa"/>
            <w:noWrap w:val="0"/>
            <w:vAlign w:val="center"/>
          </w:tcPr>
          <w:p w14:paraId="1544CFB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716" w:type="dxa"/>
            <w:noWrap w:val="0"/>
            <w:vAlign w:val="center"/>
          </w:tcPr>
          <w:p w14:paraId="60900A36">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1.34</w:t>
            </w:r>
          </w:p>
        </w:tc>
        <w:tc>
          <w:tcPr>
            <w:tcW w:w="994" w:type="dxa"/>
            <w:vMerge w:val="continue"/>
            <w:noWrap w:val="0"/>
            <w:vAlign w:val="center"/>
          </w:tcPr>
          <w:p w14:paraId="68933B6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6AC45268">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140</w:t>
            </w:r>
          </w:p>
        </w:tc>
        <w:tc>
          <w:tcPr>
            <w:tcW w:w="752" w:type="dxa"/>
            <w:noWrap w:val="0"/>
            <w:vAlign w:val="center"/>
          </w:tcPr>
          <w:p w14:paraId="45AD7BA0">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0.97</w:t>
            </w:r>
          </w:p>
        </w:tc>
        <w:tc>
          <w:tcPr>
            <w:tcW w:w="329" w:type="dxa"/>
            <w:vMerge w:val="continue"/>
            <w:noWrap w:val="0"/>
            <w:vAlign w:val="center"/>
          </w:tcPr>
          <w:p w14:paraId="0A8738C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1CEC7668">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1D67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0" w:type="dxa"/>
            <w:gridSpan w:val="2"/>
            <w:vMerge w:val="continue"/>
            <w:noWrap w:val="0"/>
            <w:vAlign w:val="center"/>
          </w:tcPr>
          <w:p w14:paraId="5D48871C">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20C99FB0">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1BEA715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703" w:type="dxa"/>
            <w:noWrap w:val="0"/>
            <w:vAlign w:val="center"/>
          </w:tcPr>
          <w:p w14:paraId="32C622C4">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16" w:type="dxa"/>
            <w:noWrap w:val="0"/>
            <w:vAlign w:val="center"/>
          </w:tcPr>
          <w:p w14:paraId="695C9ED1">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p>
        </w:tc>
        <w:tc>
          <w:tcPr>
            <w:tcW w:w="994" w:type="dxa"/>
            <w:vMerge w:val="continue"/>
            <w:noWrap w:val="0"/>
            <w:vAlign w:val="center"/>
          </w:tcPr>
          <w:p w14:paraId="6B027666">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4C5A872C">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752" w:type="dxa"/>
            <w:noWrap w:val="0"/>
            <w:vAlign w:val="center"/>
          </w:tcPr>
          <w:p w14:paraId="0788F4BF">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p>
        </w:tc>
        <w:tc>
          <w:tcPr>
            <w:tcW w:w="329" w:type="dxa"/>
            <w:vMerge w:val="continue"/>
            <w:noWrap w:val="0"/>
            <w:vAlign w:val="center"/>
          </w:tcPr>
          <w:p w14:paraId="44479BB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739757CE">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r w14:paraId="4048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30" w:type="dxa"/>
            <w:gridSpan w:val="2"/>
            <w:vMerge w:val="continue"/>
            <w:noWrap w:val="0"/>
            <w:vAlign w:val="center"/>
          </w:tcPr>
          <w:p w14:paraId="37A055B2">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1315" w:type="dxa"/>
            <w:vMerge w:val="continue"/>
            <w:noWrap w:val="0"/>
            <w:vAlign w:val="center"/>
          </w:tcPr>
          <w:p w14:paraId="59212702">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90" w:type="dxa"/>
            <w:noWrap w:val="0"/>
            <w:vAlign w:val="center"/>
          </w:tcPr>
          <w:p w14:paraId="3547B2C2">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703" w:type="dxa"/>
            <w:noWrap w:val="0"/>
            <w:vAlign w:val="center"/>
          </w:tcPr>
          <w:p w14:paraId="096AEFBB">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716" w:type="dxa"/>
            <w:noWrap w:val="0"/>
            <w:vAlign w:val="center"/>
          </w:tcPr>
          <w:p w14:paraId="7FB73AAF">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994" w:type="dxa"/>
            <w:vMerge w:val="continue"/>
            <w:noWrap w:val="0"/>
            <w:vAlign w:val="center"/>
          </w:tcPr>
          <w:p w14:paraId="7B77E091">
            <w:pPr>
              <w:adjustRightInd w:val="0"/>
              <w:snapToGrid w:val="0"/>
              <w:spacing w:line="240" w:lineRule="auto"/>
              <w:ind w:firstLine="0" w:firstLineChars="0"/>
              <w:jc w:val="center"/>
              <w:rPr>
                <w:rFonts w:hint="default" w:ascii="Times New Roman" w:hAnsi="Times New Roman" w:eastAsia="宋体" w:cs="Times New Roman"/>
                <w:b/>
                <w:color w:val="auto"/>
                <w:sz w:val="21"/>
                <w:szCs w:val="21"/>
              </w:rPr>
            </w:pPr>
          </w:p>
        </w:tc>
        <w:tc>
          <w:tcPr>
            <w:tcW w:w="769" w:type="dxa"/>
            <w:noWrap w:val="0"/>
            <w:vAlign w:val="center"/>
          </w:tcPr>
          <w:p w14:paraId="2CD50131">
            <w:pPr>
              <w:pStyle w:val="756"/>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25</w:t>
            </w:r>
          </w:p>
        </w:tc>
        <w:tc>
          <w:tcPr>
            <w:tcW w:w="752" w:type="dxa"/>
            <w:noWrap w:val="0"/>
            <w:vAlign w:val="center"/>
          </w:tcPr>
          <w:p w14:paraId="548EC28D">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p>
        </w:tc>
        <w:tc>
          <w:tcPr>
            <w:tcW w:w="329" w:type="dxa"/>
            <w:vMerge w:val="continue"/>
            <w:noWrap w:val="0"/>
            <w:vAlign w:val="center"/>
          </w:tcPr>
          <w:p w14:paraId="74F1726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730" w:type="dxa"/>
            <w:vMerge w:val="continue"/>
            <w:noWrap w:val="0"/>
            <w:vAlign w:val="center"/>
          </w:tcPr>
          <w:p w14:paraId="56CACA2B">
            <w:pPr>
              <w:adjustRightInd w:val="0"/>
              <w:snapToGrid w:val="0"/>
              <w:spacing w:line="240" w:lineRule="auto"/>
              <w:ind w:firstLine="360"/>
              <w:jc w:val="center"/>
              <w:rPr>
                <w:rFonts w:hint="default" w:ascii="Times New Roman" w:hAnsi="Times New Roman" w:eastAsia="宋体" w:cs="Times New Roman"/>
                <w:color w:val="auto"/>
                <w:sz w:val="21"/>
                <w:szCs w:val="21"/>
              </w:rPr>
            </w:pPr>
          </w:p>
        </w:tc>
      </w:tr>
    </w:tbl>
    <w:p w14:paraId="06D740A3">
      <w:pPr>
        <w:adjustRightInd w:val="0"/>
        <w:snapToGrid w:val="0"/>
        <w:spacing w:before="0" w:after="0" w:line="360" w:lineRule="auto"/>
        <w:jc w:val="center"/>
        <w:outlineLvl w:val="9"/>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sz w:val="24"/>
          <w:lang w:eastAsia="zh-CN"/>
        </w:rPr>
        <w:object>
          <v:shape id="_x0000_i1030" o:spt="75" type="#_x0000_t75" style="height:270.8pt;width:434.95pt;" o:ole="t" filled="f" o:preferrelative="t" stroked="f" coordsize="21600,21600">
            <v:path/>
            <v:fill on="f" focussize="0,0"/>
            <v:stroke on="f"/>
            <v:imagedata r:id="rId27" o:title=""/>
            <o:lock v:ext="edit" aspectratio="f"/>
            <w10:wrap type="none"/>
            <w10:anchorlock/>
          </v:shape>
          <o:OLEObject Type="Embed" ProgID="Visio.Drawing.11" ShapeID="_x0000_i1030" DrawAspect="Content" ObjectID="_1468075730" r:id="rId26">
            <o:LockedField>false</o:LockedField>
          </o:OLEObject>
        </w:object>
      </w:r>
      <w:r>
        <w:rPr>
          <w:rFonts w:hint="default" w:ascii="Times New Roman" w:hAnsi="Times New Roman" w:eastAsia="宋体" w:cs="Times New Roman"/>
          <w:b/>
          <w:bCs/>
          <w:color w:val="auto"/>
          <w:kern w:val="2"/>
          <w:sz w:val="24"/>
          <w:szCs w:val="21"/>
          <w:lang w:val="en-US" w:eastAsia="zh-CN" w:bidi="ar-SA"/>
        </w:rPr>
        <w:t>图</w:t>
      </w:r>
      <w:r>
        <w:rPr>
          <w:rFonts w:hint="eastAsia" w:ascii="Times New Roman" w:hAnsi="Times New Roman" w:cs="Times New Roman"/>
          <w:b/>
          <w:bCs/>
          <w:color w:val="auto"/>
          <w:kern w:val="2"/>
          <w:sz w:val="24"/>
          <w:szCs w:val="21"/>
          <w:lang w:val="en-US" w:eastAsia="zh-CN" w:bidi="ar-SA"/>
        </w:rPr>
        <w:t>3.4-1</w:t>
      </w:r>
      <w:r>
        <w:rPr>
          <w:rFonts w:hint="default" w:ascii="Times New Roman" w:hAnsi="Times New Roman" w:eastAsia="宋体" w:cs="Times New Roman"/>
          <w:b/>
          <w:bCs/>
          <w:color w:val="auto"/>
          <w:kern w:val="2"/>
          <w:sz w:val="24"/>
          <w:szCs w:val="21"/>
          <w:lang w:val="en-US" w:eastAsia="zh-CN" w:bidi="ar-SA"/>
        </w:rPr>
        <w:t xml:space="preserve"> </w:t>
      </w:r>
      <w:r>
        <w:rPr>
          <w:rFonts w:hint="eastAsia" w:ascii="Times New Roman" w:hAnsi="Times New Roman" w:eastAsia="宋体" w:cs="Times New Roman"/>
          <w:b/>
          <w:bCs/>
          <w:color w:val="auto"/>
          <w:kern w:val="2"/>
          <w:sz w:val="24"/>
          <w:szCs w:val="21"/>
          <w:lang w:val="en-US" w:eastAsia="zh-CN" w:bidi="ar-SA"/>
        </w:rPr>
        <w:t>项目</w:t>
      </w:r>
      <w:r>
        <w:rPr>
          <w:rFonts w:hint="default" w:ascii="Times New Roman" w:hAnsi="Times New Roman" w:eastAsia="宋体" w:cs="Times New Roman"/>
          <w:b/>
          <w:bCs/>
          <w:color w:val="auto"/>
          <w:kern w:val="2"/>
          <w:sz w:val="24"/>
          <w:szCs w:val="21"/>
          <w:lang w:val="en-US" w:eastAsia="zh-CN" w:bidi="ar-SA"/>
        </w:rPr>
        <w:t>水平衡图（m</w:t>
      </w:r>
      <w:r>
        <w:rPr>
          <w:rFonts w:hint="default" w:ascii="Times New Roman" w:hAnsi="Times New Roman" w:eastAsia="宋体" w:cs="Times New Roman"/>
          <w:b/>
          <w:bCs/>
          <w:color w:val="auto"/>
          <w:kern w:val="2"/>
          <w:sz w:val="24"/>
          <w:szCs w:val="21"/>
          <w:vertAlign w:val="superscript"/>
          <w:lang w:val="en-US" w:eastAsia="zh-CN" w:bidi="ar-SA"/>
        </w:rPr>
        <w:t>3</w:t>
      </w:r>
      <w:r>
        <w:rPr>
          <w:rFonts w:hint="default" w:ascii="Times New Roman" w:hAnsi="Times New Roman" w:eastAsia="宋体" w:cs="Times New Roman"/>
          <w:b/>
          <w:bCs/>
          <w:color w:val="auto"/>
          <w:kern w:val="2"/>
          <w:sz w:val="24"/>
          <w:szCs w:val="21"/>
          <w:lang w:val="en-US" w:eastAsia="zh-CN" w:bidi="ar-SA"/>
        </w:rPr>
        <w:t>/</w:t>
      </w:r>
      <w:r>
        <w:rPr>
          <w:rFonts w:hint="eastAsia" w:ascii="Times New Roman" w:hAnsi="Times New Roman" w:cs="Times New Roman"/>
          <w:b/>
          <w:bCs/>
          <w:color w:val="auto"/>
          <w:kern w:val="2"/>
          <w:sz w:val="24"/>
          <w:szCs w:val="21"/>
          <w:lang w:val="en-US" w:eastAsia="zh-CN" w:bidi="ar-SA"/>
        </w:rPr>
        <w:t>d</w:t>
      </w:r>
      <w:r>
        <w:rPr>
          <w:rFonts w:hint="default" w:ascii="Times New Roman" w:hAnsi="Times New Roman" w:eastAsia="宋体" w:cs="Times New Roman"/>
          <w:b/>
          <w:bCs/>
          <w:color w:val="auto"/>
          <w:kern w:val="2"/>
          <w:sz w:val="24"/>
          <w:szCs w:val="21"/>
          <w:lang w:val="en-US" w:eastAsia="zh-CN" w:bidi="ar-SA"/>
        </w:rPr>
        <w:t>）</w:t>
      </w:r>
      <w:r>
        <w:rPr>
          <w:rFonts w:hint="eastAsia" w:ascii="Times New Roman" w:hAnsi="Times New Roman" w:cs="Times New Roman"/>
          <w:b/>
          <w:bCs/>
          <w:color w:val="auto"/>
          <w:kern w:val="2"/>
          <w:sz w:val="24"/>
          <w:szCs w:val="21"/>
          <w:lang w:val="en-US" w:eastAsia="zh-CN" w:bidi="ar-SA"/>
        </w:rPr>
        <w:t xml:space="preserve"> （括号内为雨天用水量）</w:t>
      </w:r>
    </w:p>
    <w:p w14:paraId="20AFE3F8">
      <w:pPr>
        <w:pStyle w:val="11"/>
        <w:adjustRightInd w:val="0"/>
        <w:snapToGrid w:val="0"/>
        <w:spacing w:before="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3.4.3噪声污染源分析</w:t>
      </w:r>
    </w:p>
    <w:p w14:paraId="1770FF04">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项目主要噪声源</w:t>
      </w:r>
      <w:r>
        <w:rPr>
          <w:rFonts w:hint="eastAsia" w:ascii="Times New Roman" w:hAnsi="Times New Roman" w:cs="Times New Roman"/>
          <w:color w:val="auto"/>
          <w:lang w:eastAsia="zh-CN"/>
        </w:rPr>
        <w:t>为</w:t>
      </w:r>
      <w:r>
        <w:rPr>
          <w:rFonts w:hint="default" w:ascii="Times New Roman" w:hAnsi="Times New Roman" w:eastAsia="宋体" w:cs="Times New Roman"/>
          <w:color w:val="auto"/>
        </w:rPr>
        <w:t>生产过程中的一些机械传动设备，噪声源强约70～85dB（A），噪声设备声压级见表</w:t>
      </w:r>
      <w:r>
        <w:rPr>
          <w:rFonts w:hint="eastAsia" w:ascii="Times New Roman" w:hAnsi="Times New Roman" w:cs="Times New Roman"/>
          <w:color w:val="auto"/>
          <w:lang w:val="en-US" w:eastAsia="zh-CN"/>
        </w:rPr>
        <w:t>3.4-6</w:t>
      </w:r>
      <w:r>
        <w:rPr>
          <w:rFonts w:hint="default" w:ascii="Times New Roman" w:hAnsi="Times New Roman" w:eastAsia="宋体" w:cs="Times New Roman"/>
          <w:color w:val="auto"/>
        </w:rPr>
        <w:t>。建设方拟采取隔声、减震等措施减少对周围环境干扰。</w:t>
      </w:r>
    </w:p>
    <w:p w14:paraId="0748AA34">
      <w:pPr>
        <w:pStyle w:val="1260"/>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eastAsia" w:ascii="Times New Roman" w:hAnsi="Times New Roman" w:cs="Times New Roman"/>
          <w:color w:val="auto"/>
          <w:lang w:val="en-US" w:eastAsia="zh-CN"/>
        </w:rPr>
        <w:t>3.4-6</w:t>
      </w:r>
      <w:r>
        <w:rPr>
          <w:rFonts w:hint="default" w:ascii="Times New Roman" w:hAnsi="Times New Roman" w:eastAsia="宋体" w:cs="Times New Roman"/>
          <w:color w:val="auto"/>
        </w:rPr>
        <w:t xml:space="preserve">  主要噪声污染源强、治理</w:t>
      </w:r>
      <w:r>
        <w:rPr>
          <w:rFonts w:hint="eastAsia" w:ascii="Times New Roman" w:hAnsi="Times New Roman" w:cs="Times New Roman"/>
          <w:color w:val="auto"/>
          <w:lang w:val="en-US" w:eastAsia="zh-CN"/>
        </w:rPr>
        <w:t xml:space="preserve"> </w:t>
      </w:r>
      <w:r>
        <w:rPr>
          <w:rFonts w:hint="default" w:ascii="Times New Roman" w:hAnsi="Times New Roman" w:eastAsia="宋体" w:cs="Times New Roman"/>
          <w:color w:val="auto"/>
        </w:rPr>
        <w:t>及排放情况</w:t>
      </w:r>
    </w:p>
    <w:tbl>
      <w:tblPr>
        <w:tblStyle w:val="66"/>
        <w:tblW w:w="8322"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488"/>
        <w:gridCol w:w="1793"/>
        <w:gridCol w:w="853"/>
        <w:gridCol w:w="1068"/>
        <w:gridCol w:w="1493"/>
        <w:gridCol w:w="1766"/>
        <w:gridCol w:w="861"/>
      </w:tblGrid>
      <w:tr w14:paraId="04442D6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bottom w:val="single" w:color="auto" w:sz="4" w:space="0"/>
              <w:right w:val="single" w:color="auto" w:sz="4" w:space="0"/>
            </w:tcBorders>
            <w:noWrap w:val="0"/>
            <w:vAlign w:val="center"/>
          </w:tcPr>
          <w:p w14:paraId="7C80F417">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1793" w:type="dxa"/>
            <w:tcBorders>
              <w:left w:val="single" w:color="auto" w:sz="4" w:space="0"/>
              <w:bottom w:val="single" w:color="auto" w:sz="4" w:space="0"/>
              <w:right w:val="single" w:color="auto" w:sz="4" w:space="0"/>
            </w:tcBorders>
            <w:noWrap w:val="0"/>
            <w:vAlign w:val="center"/>
          </w:tcPr>
          <w:p w14:paraId="5EE3D83B">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噪声源</w:t>
            </w:r>
          </w:p>
        </w:tc>
        <w:tc>
          <w:tcPr>
            <w:tcW w:w="853" w:type="dxa"/>
            <w:tcBorders>
              <w:left w:val="single" w:color="auto" w:sz="4" w:space="0"/>
              <w:bottom w:val="single" w:color="auto" w:sz="4" w:space="0"/>
              <w:right w:val="single" w:color="auto" w:sz="4" w:space="0"/>
            </w:tcBorders>
            <w:noWrap w:val="0"/>
            <w:vAlign w:val="center"/>
          </w:tcPr>
          <w:p w14:paraId="4564149B">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p w14:paraId="7D0E17CB">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台/套</w:t>
            </w:r>
          </w:p>
        </w:tc>
        <w:tc>
          <w:tcPr>
            <w:tcW w:w="1068" w:type="dxa"/>
            <w:tcBorders>
              <w:left w:val="single" w:color="auto" w:sz="4" w:space="0"/>
              <w:bottom w:val="single" w:color="auto" w:sz="4" w:space="0"/>
              <w:right w:val="single" w:color="auto" w:sz="4" w:space="0"/>
            </w:tcBorders>
            <w:noWrap w:val="0"/>
            <w:vAlign w:val="center"/>
          </w:tcPr>
          <w:p w14:paraId="549C7E0D">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源强dB(A)</w:t>
            </w:r>
          </w:p>
        </w:tc>
        <w:tc>
          <w:tcPr>
            <w:tcW w:w="1493" w:type="dxa"/>
            <w:tcBorders>
              <w:left w:val="single" w:color="auto" w:sz="4" w:space="0"/>
              <w:bottom w:val="single" w:color="auto" w:sz="4" w:space="0"/>
              <w:right w:val="single" w:color="auto" w:sz="4" w:space="0"/>
            </w:tcBorders>
            <w:noWrap w:val="0"/>
            <w:vAlign w:val="center"/>
          </w:tcPr>
          <w:p w14:paraId="352AA339">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产生位置</w:t>
            </w:r>
          </w:p>
        </w:tc>
        <w:tc>
          <w:tcPr>
            <w:tcW w:w="1766" w:type="dxa"/>
            <w:tcBorders>
              <w:left w:val="single" w:color="auto" w:sz="4" w:space="0"/>
              <w:bottom w:val="single" w:color="auto" w:sz="4" w:space="0"/>
              <w:right w:val="single" w:color="auto" w:sz="4" w:space="0"/>
            </w:tcBorders>
            <w:noWrap w:val="0"/>
            <w:vAlign w:val="center"/>
          </w:tcPr>
          <w:p w14:paraId="13903542">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拟采取措施</w:t>
            </w:r>
          </w:p>
        </w:tc>
        <w:tc>
          <w:tcPr>
            <w:tcW w:w="861" w:type="dxa"/>
            <w:tcBorders>
              <w:left w:val="single" w:color="auto" w:sz="4" w:space="0"/>
              <w:bottom w:val="single" w:color="auto" w:sz="4" w:space="0"/>
            </w:tcBorders>
            <w:noWrap w:val="0"/>
            <w:vAlign w:val="center"/>
          </w:tcPr>
          <w:p w14:paraId="2BE48082">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降噪量</w:t>
            </w:r>
          </w:p>
          <w:p w14:paraId="070FC0F1">
            <w:pPr>
              <w:spacing w:line="240" w:lineRule="auto"/>
              <w:ind w:firstLine="0" w:firstLine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dB(A)</w:t>
            </w:r>
          </w:p>
        </w:tc>
      </w:tr>
      <w:tr w14:paraId="351525F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769BCC3A">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4AB6790A">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电脑平缝机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0C014E72">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160</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29E0997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c>
          <w:tcPr>
            <w:tcW w:w="1493" w:type="dxa"/>
            <w:vMerge w:val="restart"/>
            <w:tcBorders>
              <w:top w:val="single" w:color="auto" w:sz="4" w:space="0"/>
              <w:left w:val="single" w:color="auto" w:sz="4" w:space="0"/>
              <w:right w:val="single" w:color="auto" w:sz="4" w:space="0"/>
            </w:tcBorders>
            <w:noWrap w:val="0"/>
            <w:vAlign w:val="center"/>
          </w:tcPr>
          <w:p w14:paraId="5ADF0C70">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生产车间</w:t>
            </w:r>
          </w:p>
        </w:tc>
        <w:tc>
          <w:tcPr>
            <w:tcW w:w="1766" w:type="dxa"/>
            <w:vMerge w:val="restart"/>
            <w:tcBorders>
              <w:top w:val="single" w:color="auto" w:sz="4" w:space="0"/>
              <w:left w:val="single" w:color="auto" w:sz="4" w:space="0"/>
              <w:right w:val="single" w:color="auto" w:sz="4" w:space="0"/>
            </w:tcBorders>
            <w:noWrap w:val="0"/>
            <w:vAlign w:val="center"/>
          </w:tcPr>
          <w:p w14:paraId="0B6CC996">
            <w:pPr>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隔声、减振</w:t>
            </w:r>
          </w:p>
        </w:tc>
        <w:tc>
          <w:tcPr>
            <w:tcW w:w="861" w:type="dxa"/>
            <w:tcBorders>
              <w:top w:val="single" w:color="auto" w:sz="4" w:space="0"/>
              <w:left w:val="single" w:color="auto" w:sz="4" w:space="0"/>
              <w:bottom w:val="single" w:color="auto" w:sz="4" w:space="0"/>
            </w:tcBorders>
            <w:noWrap w:val="0"/>
            <w:vAlign w:val="center"/>
          </w:tcPr>
          <w:p w14:paraId="392B865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533067A8">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3A58E2D4">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2</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310211ED">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三线包缝机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7BC1825C">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16</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1BB03C9F">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noWrap w:val="0"/>
            <w:vAlign w:val="center"/>
          </w:tcPr>
          <w:p w14:paraId="1AA7AF9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47D57FF5">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40581FF5">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6C55633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7E23CC99">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3</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5E5CDDE7">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五线包缝机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3A288A41">
            <w:pPr>
              <w:spacing w:beforeLines="0" w:afterLine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16</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17B97B39">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noWrap w:val="0"/>
            <w:vAlign w:val="center"/>
          </w:tcPr>
          <w:p w14:paraId="5E27F85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37422FFE">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0B70AD2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650A993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46FFBB7C">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4</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6511F107">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切刀平缝机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3A61E726">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13</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0D98639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noWrap w:val="0"/>
            <w:vAlign w:val="center"/>
          </w:tcPr>
          <w:p w14:paraId="4A0AE0A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0EDA5933">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54C8281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488F740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28A121E3">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5</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4D22C234">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电子钉扣机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53A91DEF">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1</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0A21929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noWrap w:val="0"/>
            <w:vAlign w:val="center"/>
          </w:tcPr>
          <w:p w14:paraId="32F46C16">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4B846B98">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018F96C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66D0428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bottom w:val="single" w:color="auto" w:sz="4" w:space="0"/>
              <w:right w:val="single" w:color="auto" w:sz="4" w:space="0"/>
            </w:tcBorders>
            <w:noWrap w:val="0"/>
            <w:vAlign w:val="center"/>
          </w:tcPr>
          <w:p w14:paraId="26972129">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6</w:t>
            </w:r>
          </w:p>
        </w:tc>
        <w:tc>
          <w:tcPr>
            <w:tcW w:w="1793" w:type="dxa"/>
            <w:tcBorders>
              <w:top w:val="single" w:color="auto" w:sz="4" w:space="0"/>
              <w:left w:val="single" w:color="auto" w:sz="4" w:space="0"/>
              <w:bottom w:val="single" w:color="auto" w:sz="4" w:space="0"/>
              <w:right w:val="single" w:color="auto" w:sz="4" w:space="0"/>
            </w:tcBorders>
            <w:noWrap w:val="0"/>
            <w:vAlign w:val="top"/>
          </w:tcPr>
          <w:p w14:paraId="2EE6B2F3">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电子套结机</w:t>
            </w:r>
          </w:p>
        </w:tc>
        <w:tc>
          <w:tcPr>
            <w:tcW w:w="853" w:type="dxa"/>
            <w:tcBorders>
              <w:top w:val="single" w:color="auto" w:sz="4" w:space="0"/>
              <w:left w:val="single" w:color="auto" w:sz="4" w:space="0"/>
              <w:bottom w:val="single" w:color="auto" w:sz="4" w:space="0"/>
              <w:right w:val="single" w:color="auto" w:sz="4" w:space="0"/>
            </w:tcBorders>
            <w:noWrap w:val="0"/>
            <w:vAlign w:val="top"/>
          </w:tcPr>
          <w:p w14:paraId="664ED2AD">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2</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3E92BA8B">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noWrap w:val="0"/>
            <w:vAlign w:val="center"/>
          </w:tcPr>
          <w:p w14:paraId="45BBCE4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2217662F">
            <w:pPr>
              <w:overflowPunct w:val="0"/>
              <w:spacing w:line="240" w:lineRule="auto"/>
              <w:ind w:firstLine="42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bottom w:val="single" w:color="auto" w:sz="4" w:space="0"/>
            </w:tcBorders>
            <w:noWrap w:val="0"/>
            <w:vAlign w:val="center"/>
          </w:tcPr>
          <w:p w14:paraId="12BCE70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6B4E2EE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Borders>
              <w:top w:val="single" w:color="auto" w:sz="4" w:space="0"/>
              <w:right w:val="single" w:color="auto" w:sz="4" w:space="0"/>
            </w:tcBorders>
            <w:noWrap w:val="0"/>
            <w:vAlign w:val="center"/>
          </w:tcPr>
          <w:p w14:paraId="19A3C5D3">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7</w:t>
            </w:r>
          </w:p>
        </w:tc>
        <w:tc>
          <w:tcPr>
            <w:tcW w:w="1793" w:type="dxa"/>
            <w:tcBorders>
              <w:top w:val="single" w:color="auto" w:sz="4" w:space="0"/>
              <w:left w:val="single" w:color="auto" w:sz="4" w:space="0"/>
              <w:right w:val="single" w:color="auto" w:sz="4" w:space="0"/>
            </w:tcBorders>
            <w:noWrap w:val="0"/>
            <w:vAlign w:val="top"/>
          </w:tcPr>
          <w:p w14:paraId="2BAB5EFE">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平头锁眼机</w:t>
            </w:r>
          </w:p>
        </w:tc>
        <w:tc>
          <w:tcPr>
            <w:tcW w:w="853" w:type="dxa"/>
            <w:tcBorders>
              <w:top w:val="single" w:color="auto" w:sz="4" w:space="0"/>
              <w:left w:val="single" w:color="auto" w:sz="4" w:space="0"/>
              <w:right w:val="single" w:color="auto" w:sz="4" w:space="0"/>
            </w:tcBorders>
            <w:noWrap w:val="0"/>
            <w:vAlign w:val="top"/>
          </w:tcPr>
          <w:p w14:paraId="3F2FB1B9">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2</w:t>
            </w:r>
          </w:p>
        </w:tc>
        <w:tc>
          <w:tcPr>
            <w:tcW w:w="1068" w:type="dxa"/>
            <w:tcBorders>
              <w:top w:val="single" w:color="auto" w:sz="4" w:space="0"/>
              <w:left w:val="single" w:color="auto" w:sz="4" w:space="0"/>
              <w:right w:val="single" w:color="auto" w:sz="4" w:space="0"/>
            </w:tcBorders>
            <w:noWrap w:val="0"/>
            <w:vAlign w:val="center"/>
          </w:tcPr>
          <w:p w14:paraId="458F58D6">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noWrap w:val="0"/>
            <w:vAlign w:val="center"/>
          </w:tcPr>
          <w:p w14:paraId="3306575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noWrap w:val="0"/>
            <w:vAlign w:val="center"/>
          </w:tcPr>
          <w:p w14:paraId="25EC187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tcBorders>
              <w:top w:val="single" w:color="auto" w:sz="4" w:space="0"/>
              <w:left w:val="single" w:color="auto" w:sz="4" w:space="0"/>
            </w:tcBorders>
            <w:noWrap w:val="0"/>
            <w:vAlign w:val="center"/>
          </w:tcPr>
          <w:p w14:paraId="65EB9609">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2B848C9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5149C979">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8</w:t>
            </w:r>
          </w:p>
        </w:tc>
        <w:tc>
          <w:tcPr>
            <w:tcW w:w="1793" w:type="dxa"/>
            <w:vAlign w:val="top"/>
          </w:tcPr>
          <w:p w14:paraId="2A24C77A">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粘合机</w:t>
            </w:r>
          </w:p>
        </w:tc>
        <w:tc>
          <w:tcPr>
            <w:tcW w:w="853" w:type="dxa"/>
            <w:vAlign w:val="top"/>
          </w:tcPr>
          <w:p w14:paraId="04CB094D">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2</w:t>
            </w:r>
          </w:p>
        </w:tc>
        <w:tc>
          <w:tcPr>
            <w:tcW w:w="1068" w:type="dxa"/>
            <w:vAlign w:val="center"/>
          </w:tcPr>
          <w:p w14:paraId="58D9C83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w:t>
            </w:r>
          </w:p>
        </w:tc>
        <w:tc>
          <w:tcPr>
            <w:tcW w:w="1493" w:type="dxa"/>
            <w:vMerge w:val="continue"/>
            <w:tcBorders>
              <w:left w:val="single" w:color="auto" w:sz="4" w:space="0"/>
              <w:right w:val="single" w:color="auto" w:sz="4" w:space="0"/>
            </w:tcBorders>
          </w:tcPr>
          <w:p w14:paraId="46715BB7">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74D254C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370A6710">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7236A1E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441BC1F9">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9</w:t>
            </w:r>
          </w:p>
        </w:tc>
        <w:tc>
          <w:tcPr>
            <w:tcW w:w="1793" w:type="dxa"/>
            <w:vAlign w:val="top"/>
          </w:tcPr>
          <w:p w14:paraId="08D20362">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自动模板机</w:t>
            </w:r>
          </w:p>
        </w:tc>
        <w:tc>
          <w:tcPr>
            <w:tcW w:w="853" w:type="dxa"/>
            <w:vAlign w:val="top"/>
          </w:tcPr>
          <w:p w14:paraId="25B1239C">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4</w:t>
            </w:r>
          </w:p>
        </w:tc>
        <w:tc>
          <w:tcPr>
            <w:tcW w:w="1068" w:type="dxa"/>
            <w:vAlign w:val="center"/>
          </w:tcPr>
          <w:p w14:paraId="0949964D">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tcPr>
          <w:p w14:paraId="5035D96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4D68CBB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273FE94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41F1160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1B98E1E6">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10</w:t>
            </w:r>
          </w:p>
        </w:tc>
        <w:tc>
          <w:tcPr>
            <w:tcW w:w="1793" w:type="dxa"/>
            <w:vAlign w:val="top"/>
          </w:tcPr>
          <w:p w14:paraId="2BF3AA1C">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模板切割机</w:t>
            </w:r>
          </w:p>
        </w:tc>
        <w:tc>
          <w:tcPr>
            <w:tcW w:w="853" w:type="dxa"/>
            <w:vAlign w:val="top"/>
          </w:tcPr>
          <w:p w14:paraId="20D32C5A">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1</w:t>
            </w:r>
          </w:p>
        </w:tc>
        <w:tc>
          <w:tcPr>
            <w:tcW w:w="1068" w:type="dxa"/>
            <w:vAlign w:val="center"/>
          </w:tcPr>
          <w:p w14:paraId="044B208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tcPr>
          <w:p w14:paraId="5FA193C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7E715B2B">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04440FD1">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708D0EC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5540E54B">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11</w:t>
            </w:r>
          </w:p>
        </w:tc>
        <w:tc>
          <w:tcPr>
            <w:tcW w:w="1793" w:type="dxa"/>
            <w:vAlign w:val="top"/>
          </w:tcPr>
          <w:p w14:paraId="196F891A">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平板切割机</w:t>
            </w:r>
          </w:p>
        </w:tc>
        <w:tc>
          <w:tcPr>
            <w:tcW w:w="853" w:type="dxa"/>
            <w:vAlign w:val="top"/>
          </w:tcPr>
          <w:p w14:paraId="5A1A024A">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1</w:t>
            </w:r>
          </w:p>
        </w:tc>
        <w:tc>
          <w:tcPr>
            <w:tcW w:w="1068" w:type="dxa"/>
            <w:vAlign w:val="center"/>
          </w:tcPr>
          <w:p w14:paraId="5B3DAA9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tcPr>
          <w:p w14:paraId="1672FE3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492B1EF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5B974AF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12D1B84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15443434">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12</w:t>
            </w:r>
          </w:p>
        </w:tc>
        <w:tc>
          <w:tcPr>
            <w:tcW w:w="1793" w:type="dxa"/>
            <w:vAlign w:val="top"/>
          </w:tcPr>
          <w:p w14:paraId="3EFDEE9A">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活塞空压机</w:t>
            </w:r>
          </w:p>
        </w:tc>
        <w:tc>
          <w:tcPr>
            <w:tcW w:w="853" w:type="dxa"/>
            <w:vAlign w:val="top"/>
          </w:tcPr>
          <w:p w14:paraId="3642A5B1">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rPr>
              <w:t>1</w:t>
            </w:r>
          </w:p>
        </w:tc>
        <w:tc>
          <w:tcPr>
            <w:tcW w:w="1068" w:type="dxa"/>
            <w:vAlign w:val="center"/>
          </w:tcPr>
          <w:p w14:paraId="0AF68DA6">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85</w:t>
            </w:r>
          </w:p>
        </w:tc>
        <w:tc>
          <w:tcPr>
            <w:tcW w:w="1493" w:type="dxa"/>
            <w:vMerge w:val="continue"/>
            <w:tcBorders>
              <w:left w:val="single" w:color="auto" w:sz="4" w:space="0"/>
              <w:right w:val="single" w:color="auto" w:sz="4" w:space="0"/>
            </w:tcBorders>
          </w:tcPr>
          <w:p w14:paraId="7188CEDD">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4A5950A1">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667A5710">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21A8FC6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4BDE402C">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13</w:t>
            </w:r>
          </w:p>
        </w:tc>
        <w:tc>
          <w:tcPr>
            <w:tcW w:w="1793" w:type="dxa"/>
            <w:vAlign w:val="top"/>
          </w:tcPr>
          <w:p w14:paraId="6EDF9D7F">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eastAsia="zh-CN"/>
              </w:rPr>
              <w:t>工业洗衣机</w:t>
            </w:r>
          </w:p>
        </w:tc>
        <w:tc>
          <w:tcPr>
            <w:tcW w:w="853" w:type="dxa"/>
            <w:vAlign w:val="top"/>
          </w:tcPr>
          <w:p w14:paraId="31292A84">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2</w:t>
            </w:r>
          </w:p>
        </w:tc>
        <w:tc>
          <w:tcPr>
            <w:tcW w:w="1068" w:type="dxa"/>
            <w:vAlign w:val="center"/>
          </w:tcPr>
          <w:p w14:paraId="51008851">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tcPr>
          <w:p w14:paraId="1600AC56">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7A88C99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60B4A8AF">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0033E13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39E92515">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14</w:t>
            </w:r>
          </w:p>
        </w:tc>
        <w:tc>
          <w:tcPr>
            <w:tcW w:w="1793" w:type="dxa"/>
            <w:vAlign w:val="top"/>
          </w:tcPr>
          <w:p w14:paraId="1462FD76">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eastAsia="zh-CN"/>
              </w:rPr>
              <w:t>工业烘干机</w:t>
            </w:r>
          </w:p>
        </w:tc>
        <w:tc>
          <w:tcPr>
            <w:tcW w:w="853" w:type="dxa"/>
            <w:vAlign w:val="top"/>
          </w:tcPr>
          <w:p w14:paraId="53756815">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3</w:t>
            </w:r>
          </w:p>
        </w:tc>
        <w:tc>
          <w:tcPr>
            <w:tcW w:w="1068" w:type="dxa"/>
            <w:vAlign w:val="center"/>
          </w:tcPr>
          <w:p w14:paraId="0608FBDF">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tcPr>
          <w:p w14:paraId="29C4C5CD">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1EDE0CD5">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vAlign w:val="center"/>
          </w:tcPr>
          <w:p w14:paraId="22083B1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w:t>
            </w:r>
          </w:p>
        </w:tc>
      </w:tr>
      <w:tr w14:paraId="32F3707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488" w:type="dxa"/>
          </w:tcPr>
          <w:p w14:paraId="7F1EC282">
            <w:pPr>
              <w:widowControl/>
              <w:overflowPunct w:val="0"/>
              <w:spacing w:line="240" w:lineRule="auto"/>
              <w:ind w:firstLine="0" w:firstLineChars="0"/>
              <w:jc w:val="center"/>
              <w:textAlignment w:val="baseline"/>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15</w:t>
            </w:r>
          </w:p>
        </w:tc>
        <w:tc>
          <w:tcPr>
            <w:tcW w:w="1793" w:type="dxa"/>
            <w:vAlign w:val="top"/>
          </w:tcPr>
          <w:p w14:paraId="19D25FC0">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eastAsia="zh-CN"/>
              </w:rPr>
              <w:t>工业脱水机</w:t>
            </w:r>
          </w:p>
        </w:tc>
        <w:tc>
          <w:tcPr>
            <w:tcW w:w="853" w:type="dxa"/>
            <w:vAlign w:val="top"/>
          </w:tcPr>
          <w:p w14:paraId="2EFC5563">
            <w:pPr>
              <w:spacing w:beforeLines="0" w:afterLines="0"/>
              <w:jc w:val="center"/>
              <w:rPr>
                <w:rFonts w:hint="default" w:ascii="Times New Roman" w:hAnsi="Times New Roman" w:eastAsia="宋体" w:cs="Times New Roman"/>
                <w:color w:val="auto"/>
                <w:lang w:val="zh-CN"/>
              </w:rPr>
            </w:pPr>
            <w:r>
              <w:rPr>
                <w:rFonts w:hint="default" w:ascii="Times New Roman" w:hAnsi="Times New Roman" w:eastAsia="宋体" w:cs="Times New Roman"/>
                <w:color w:val="auto"/>
                <w:sz w:val="21"/>
                <w:szCs w:val="21"/>
                <w:lang w:val="en-US" w:eastAsia="zh-CN"/>
              </w:rPr>
              <w:t>1</w:t>
            </w:r>
          </w:p>
        </w:tc>
        <w:tc>
          <w:tcPr>
            <w:tcW w:w="1068" w:type="dxa"/>
          </w:tcPr>
          <w:p w14:paraId="39A6850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w:t>
            </w:r>
          </w:p>
        </w:tc>
        <w:tc>
          <w:tcPr>
            <w:tcW w:w="1493" w:type="dxa"/>
            <w:vMerge w:val="continue"/>
            <w:tcBorders>
              <w:left w:val="single" w:color="auto" w:sz="4" w:space="0"/>
              <w:right w:val="single" w:color="auto" w:sz="4" w:space="0"/>
            </w:tcBorders>
          </w:tcPr>
          <w:p w14:paraId="2DE54938">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1766" w:type="dxa"/>
            <w:vMerge w:val="continue"/>
            <w:tcBorders>
              <w:left w:val="single" w:color="auto" w:sz="4" w:space="0"/>
              <w:right w:val="single" w:color="auto" w:sz="4" w:space="0"/>
            </w:tcBorders>
          </w:tcPr>
          <w:p w14:paraId="57A6B98D">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rPr>
            </w:pPr>
          </w:p>
        </w:tc>
        <w:tc>
          <w:tcPr>
            <w:tcW w:w="861" w:type="dxa"/>
          </w:tcPr>
          <w:p w14:paraId="6046303C">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w:t>
            </w:r>
          </w:p>
        </w:tc>
      </w:tr>
    </w:tbl>
    <w:p w14:paraId="098A3E48">
      <w:pPr>
        <w:pStyle w:val="778"/>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rPr>
        <w:t>*注：噪声源强来源于《工业洗衣机》（QB/T 2323-2004）5.2.6章节 表2</w:t>
      </w:r>
    </w:p>
    <w:p w14:paraId="25369140">
      <w:pPr>
        <w:pStyle w:val="11"/>
        <w:adjustRightInd w:val="0"/>
        <w:snapToGrid w:val="0"/>
        <w:spacing w:before="0" w:after="0" w:line="360" w:lineRule="auto"/>
        <w:ind w:firstLine="140" w:firstLineChars="5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3.4.4固废污染源分析</w:t>
      </w:r>
    </w:p>
    <w:p w14:paraId="775A08D3">
      <w:pPr>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项目产生固体废弃物包括一般固体废弃物</w:t>
      </w:r>
      <w:r>
        <w:rPr>
          <w:rFonts w:hint="default" w:ascii="Times New Roman" w:hAnsi="Times New Roman" w:eastAsia="宋体" w:cs="Times New Roman"/>
          <w:color w:val="auto"/>
          <w:sz w:val="24"/>
          <w:szCs w:val="24"/>
          <w:lang w:eastAsia="zh-CN"/>
        </w:rPr>
        <w:t>和危险废弃物</w:t>
      </w:r>
      <w:r>
        <w:rPr>
          <w:rFonts w:hint="default" w:ascii="Times New Roman" w:hAnsi="Times New Roman" w:eastAsia="宋体" w:cs="Times New Roman"/>
          <w:color w:val="auto"/>
          <w:sz w:val="24"/>
          <w:szCs w:val="24"/>
        </w:rPr>
        <w:t>。一般固体废弃物包括边角料及残次品</w:t>
      </w:r>
      <w:r>
        <w:rPr>
          <w:rFonts w:hint="default" w:ascii="Times New Roman" w:hAnsi="Times New Roman" w:eastAsia="宋体" w:cs="Times New Roman"/>
          <w:color w:val="auto"/>
          <w:sz w:val="24"/>
          <w:szCs w:val="24"/>
          <w:lang w:eastAsia="zh-CN"/>
        </w:rPr>
        <w:t>、废包装材料</w:t>
      </w:r>
      <w:r>
        <w:rPr>
          <w:rFonts w:hint="default" w:ascii="Times New Roman" w:hAnsi="Times New Roman" w:eastAsia="宋体" w:cs="Times New Roman"/>
          <w:color w:val="auto"/>
          <w:sz w:val="24"/>
          <w:szCs w:val="24"/>
        </w:rPr>
        <w:t>、生活垃圾</w:t>
      </w:r>
      <w:r>
        <w:rPr>
          <w:rFonts w:hint="default" w:ascii="Times New Roman" w:hAnsi="Times New Roman" w:eastAsia="宋体" w:cs="Times New Roman"/>
          <w:color w:val="auto"/>
          <w:sz w:val="24"/>
          <w:szCs w:val="24"/>
          <w:lang w:eastAsia="zh-CN"/>
        </w:rPr>
        <w:t>、污水处理站产生的污泥等</w:t>
      </w:r>
      <w:r>
        <w:rPr>
          <w:rFonts w:hint="default" w:ascii="Times New Roman" w:hAnsi="Times New Roman" w:eastAsia="宋体" w:cs="Times New Roman"/>
          <w:color w:val="auto"/>
          <w:sz w:val="24"/>
          <w:szCs w:val="24"/>
        </w:rPr>
        <w:t>。危险废弃物</w:t>
      </w:r>
      <w:r>
        <w:rPr>
          <w:rFonts w:hint="default" w:ascii="Times New Roman" w:hAnsi="Times New Roman" w:eastAsia="宋体" w:cs="Times New Roman"/>
          <w:color w:val="auto"/>
          <w:sz w:val="24"/>
          <w:szCs w:val="24"/>
          <w:lang w:eastAsia="zh-CN"/>
        </w:rPr>
        <w:t>主要为</w:t>
      </w:r>
      <w:r>
        <w:rPr>
          <w:rFonts w:hint="default" w:ascii="Times New Roman" w:hAnsi="Times New Roman" w:eastAsia="宋体" w:cs="Times New Roman"/>
          <w:color w:val="auto"/>
          <w:sz w:val="24"/>
          <w:szCs w:val="24"/>
        </w:rPr>
        <w:t>废机油</w:t>
      </w:r>
      <w:r>
        <w:rPr>
          <w:rFonts w:hint="default" w:ascii="Times New Roman" w:hAnsi="Times New Roman" w:eastAsia="宋体" w:cs="Times New Roman"/>
          <w:color w:val="auto"/>
          <w:sz w:val="24"/>
          <w:szCs w:val="24"/>
          <w:lang w:eastAsia="zh-CN"/>
        </w:rPr>
        <w:t>。</w:t>
      </w:r>
    </w:p>
    <w:p w14:paraId="6E455268">
      <w:pPr>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（1）一般固体废弃物</w:t>
      </w:r>
    </w:p>
    <w:p w14:paraId="3A399BF1">
      <w:pPr>
        <w:spacing w:line="360" w:lineRule="auto"/>
        <w:ind w:firstLine="480" w:firstLineChars="200"/>
        <w:jc w:val="left"/>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①</w:t>
      </w:r>
      <w:r>
        <w:rPr>
          <w:rFonts w:hint="default" w:ascii="Times New Roman" w:hAnsi="Times New Roman" w:eastAsia="宋体" w:cs="Times New Roman"/>
          <w:b/>
          <w:bCs/>
          <w:color w:val="auto"/>
          <w:sz w:val="24"/>
          <w:szCs w:val="24"/>
          <w:lang w:eastAsia="zh-CN"/>
        </w:rPr>
        <w:t>边角料及残次品</w:t>
      </w:r>
    </w:p>
    <w:p w14:paraId="2F0BB2DD">
      <w:pPr>
        <w:spacing w:line="360" w:lineRule="auto"/>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服装制造</w:t>
      </w:r>
      <w:r>
        <w:rPr>
          <w:rFonts w:hint="default" w:ascii="Times New Roman" w:hAnsi="Times New Roman" w:eastAsia="宋体" w:cs="Times New Roman"/>
          <w:bCs/>
          <w:color w:val="auto"/>
          <w:sz w:val="24"/>
          <w:szCs w:val="24"/>
        </w:rPr>
        <w:t>过程中会产生边角废料和少量的不合格产品，</w:t>
      </w:r>
      <w:r>
        <w:rPr>
          <w:rFonts w:hint="default" w:ascii="Times New Roman" w:hAnsi="Times New Roman" w:eastAsia="宋体" w:cs="Times New Roman"/>
          <w:bCs/>
          <w:color w:val="auto"/>
          <w:sz w:val="24"/>
          <w:szCs w:val="24"/>
          <w:lang w:eastAsia="zh-CN"/>
        </w:rPr>
        <w:t>根据业主提供资料，</w:t>
      </w:r>
      <w:r>
        <w:rPr>
          <w:rFonts w:hint="default" w:ascii="Times New Roman" w:hAnsi="Times New Roman" w:eastAsia="宋体" w:cs="Times New Roman"/>
          <w:bCs/>
          <w:color w:val="auto"/>
          <w:sz w:val="24"/>
          <w:szCs w:val="24"/>
        </w:rPr>
        <w:t>不合格产品、切割边角料产生量约</w:t>
      </w:r>
      <w:r>
        <w:rPr>
          <w:rFonts w:hint="default" w:ascii="Times New Roman" w:hAnsi="Times New Roman" w:eastAsia="宋体" w:cs="Times New Roman"/>
          <w:bCs/>
          <w:color w:val="auto"/>
          <w:sz w:val="24"/>
          <w:szCs w:val="24"/>
          <w:lang w:eastAsia="zh-CN"/>
        </w:rPr>
        <w:t>成品</w:t>
      </w:r>
      <w:r>
        <w:rPr>
          <w:rFonts w:hint="default" w:ascii="Times New Roman" w:hAnsi="Times New Roman" w:eastAsia="宋体" w:cs="Times New Roman"/>
          <w:bCs/>
          <w:color w:val="auto"/>
          <w:sz w:val="24"/>
          <w:szCs w:val="24"/>
        </w:rPr>
        <w:t>的</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%，故残次品及边角料的产</w:t>
      </w:r>
      <w:r>
        <w:rPr>
          <w:rFonts w:hint="default" w:ascii="Times New Roman" w:hAnsi="Times New Roman" w:eastAsia="宋体" w:cs="Times New Roman"/>
          <w:bCs/>
          <w:color w:val="auto"/>
          <w:sz w:val="24"/>
          <w:szCs w:val="24"/>
          <w:lang w:eastAsia="zh-CN"/>
        </w:rPr>
        <w:t>生</w:t>
      </w:r>
      <w:r>
        <w:rPr>
          <w:rFonts w:hint="default" w:ascii="Times New Roman" w:hAnsi="Times New Roman" w:eastAsia="宋体" w:cs="Times New Roman"/>
          <w:bCs/>
          <w:color w:val="auto"/>
          <w:sz w:val="24"/>
          <w:szCs w:val="24"/>
        </w:rPr>
        <w:t>量为</w:t>
      </w:r>
      <w:r>
        <w:rPr>
          <w:rFonts w:hint="default" w:ascii="Times New Roman" w:hAnsi="Times New Roman" w:eastAsia="宋体" w:cs="Times New Roman"/>
          <w:bCs/>
          <w:color w:val="auto"/>
          <w:sz w:val="24"/>
          <w:szCs w:val="24"/>
          <w:lang w:val="en-US" w:eastAsia="zh-CN"/>
        </w:rPr>
        <w:t>1.8</w:t>
      </w:r>
      <w:r>
        <w:rPr>
          <w:rFonts w:hint="default" w:ascii="Times New Roman" w:hAnsi="Times New Roman" w:eastAsia="宋体" w:cs="Times New Roman"/>
          <w:bCs/>
          <w:color w:val="auto"/>
          <w:sz w:val="24"/>
          <w:szCs w:val="24"/>
        </w:rPr>
        <w:t>t，属于一般固体废物，项目产生的边角料经收集后委托环卫部门清运处置</w:t>
      </w:r>
      <w:r>
        <w:rPr>
          <w:rFonts w:hint="default" w:ascii="Times New Roman" w:hAnsi="Times New Roman" w:eastAsia="宋体" w:cs="Times New Roman"/>
          <w:color w:val="auto"/>
          <w:sz w:val="24"/>
          <w:szCs w:val="24"/>
        </w:rPr>
        <w:t>。</w:t>
      </w:r>
    </w:p>
    <w:p w14:paraId="4461E118">
      <w:pPr>
        <w:spacing w:line="360" w:lineRule="auto"/>
        <w:ind w:firstLine="480" w:firstLineChars="200"/>
        <w:jc w:val="left"/>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
          <w:bCs/>
          <w:color w:val="auto"/>
          <w:sz w:val="24"/>
          <w:szCs w:val="24"/>
          <w:lang w:eastAsia="zh-CN"/>
        </w:rPr>
        <w:t>②废包装材料</w:t>
      </w:r>
    </w:p>
    <w:p w14:paraId="2F725570">
      <w:pPr>
        <w:adjustRightInd w:val="0"/>
        <w:snapToGrid w:val="0"/>
        <w:spacing w:line="360" w:lineRule="auto"/>
        <w:ind w:firstLine="480" w:firstLineChars="200"/>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Cs/>
          <w:color w:val="auto"/>
          <w:kern w:val="0"/>
          <w:sz w:val="24"/>
          <w:szCs w:val="20"/>
          <w:lang w:val="en-US" w:eastAsia="zh-CN" w:bidi="ar-SA"/>
        </w:rPr>
        <w:t>废包装材料主要为原料拆包包装材料和废的成品包装材料，类比同类服装生产建设项目，项目包装过程产生的废包装材料约为1.2t/a，项目产生的废包装材料经收集后外售</w:t>
      </w:r>
      <w:r>
        <w:rPr>
          <w:rFonts w:hint="default" w:ascii="Times New Roman" w:hAnsi="Times New Roman" w:eastAsia="宋体" w:cs="Times New Roman"/>
          <w:color w:val="auto"/>
          <w:kern w:val="0"/>
          <w:sz w:val="24"/>
          <w:szCs w:val="20"/>
          <w:lang w:val="en-US" w:eastAsia="zh-CN" w:bidi="ar-SA"/>
        </w:rPr>
        <w:t>。</w:t>
      </w:r>
    </w:p>
    <w:p w14:paraId="102B0BAD">
      <w:pPr>
        <w:adjustRightInd w:val="0"/>
        <w:snapToGrid w:val="0"/>
        <w:spacing w:line="360" w:lineRule="auto"/>
        <w:ind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③</w:t>
      </w:r>
      <w:r>
        <w:rPr>
          <w:rFonts w:hint="default" w:ascii="Times New Roman" w:hAnsi="Times New Roman" w:eastAsia="宋体" w:cs="Times New Roman"/>
          <w:b/>
          <w:bCs/>
          <w:color w:val="auto"/>
          <w:sz w:val="24"/>
          <w:szCs w:val="24"/>
        </w:rPr>
        <w:t>生活垃圾</w:t>
      </w:r>
    </w:p>
    <w:p w14:paraId="10570699">
      <w:pPr>
        <w:spacing w:line="36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项目劳动定员为</w:t>
      </w:r>
      <w:r>
        <w:rPr>
          <w:rFonts w:hint="default" w:ascii="Times New Roman" w:hAnsi="Times New Roman" w:eastAsia="宋体" w:cs="Times New Roman"/>
          <w:color w:val="auto"/>
          <w:sz w:val="24"/>
          <w:szCs w:val="24"/>
          <w:lang w:val="en-US" w:eastAsia="zh-CN"/>
        </w:rPr>
        <w:t>580</w:t>
      </w:r>
      <w:r>
        <w:rPr>
          <w:rFonts w:hint="default" w:ascii="Times New Roman" w:hAnsi="Times New Roman" w:eastAsia="宋体" w:cs="Times New Roman"/>
          <w:color w:val="auto"/>
          <w:sz w:val="24"/>
          <w:szCs w:val="24"/>
        </w:rPr>
        <w:t>人，</w:t>
      </w:r>
      <w:r>
        <w:rPr>
          <w:rFonts w:hint="default" w:ascii="Times New Roman" w:hAnsi="Times New Roman" w:eastAsia="宋体" w:cs="Times New Roman"/>
          <w:color w:val="auto"/>
          <w:sz w:val="24"/>
          <w:szCs w:val="24"/>
          <w:lang w:eastAsia="zh-CN"/>
        </w:rPr>
        <w:t>均不在项目内住宿，在项目食堂用餐</w:t>
      </w:r>
      <w:r>
        <w:rPr>
          <w:rFonts w:hint="default" w:ascii="Times New Roman" w:hAnsi="Times New Roman" w:eastAsia="宋体" w:cs="Times New Roman"/>
          <w:color w:val="auto"/>
          <w:sz w:val="24"/>
          <w:szCs w:val="24"/>
        </w:rPr>
        <w:t>。每人每天按0.5kg计，项目年运营约300天，故项目员工生活垃圾产生量为</w:t>
      </w:r>
      <w:r>
        <w:rPr>
          <w:rFonts w:hint="default" w:ascii="Times New Roman" w:hAnsi="Times New Roman" w:eastAsia="宋体" w:cs="Times New Roman"/>
          <w:color w:val="auto"/>
          <w:sz w:val="24"/>
          <w:szCs w:val="24"/>
          <w:lang w:val="en-US" w:eastAsia="zh-CN"/>
        </w:rPr>
        <w:t>290</w:t>
      </w:r>
      <w:r>
        <w:rPr>
          <w:rFonts w:hint="default" w:ascii="Times New Roman" w:hAnsi="Times New Roman" w:eastAsia="宋体" w:cs="Times New Roman"/>
          <w:color w:val="auto"/>
          <w:sz w:val="24"/>
          <w:szCs w:val="24"/>
        </w:rPr>
        <w:t>kg/d，</w:t>
      </w:r>
      <w:r>
        <w:rPr>
          <w:rFonts w:hint="default"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t/a，</w:t>
      </w:r>
      <w:r>
        <w:rPr>
          <w:rFonts w:hint="default" w:ascii="Times New Roman" w:hAnsi="Times New Roman" w:eastAsia="宋体" w:cs="Times New Roman"/>
          <w:b w:val="0"/>
          <w:bCs w:val="0"/>
          <w:color w:val="auto"/>
          <w:sz w:val="24"/>
          <w:szCs w:val="24"/>
        </w:rPr>
        <w:t>收集后</w:t>
      </w:r>
      <w:r>
        <w:rPr>
          <w:rFonts w:hint="default" w:ascii="Times New Roman" w:hAnsi="Times New Roman" w:eastAsia="宋体" w:cs="Times New Roman"/>
          <w:color w:val="auto"/>
          <w:sz w:val="24"/>
          <w:szCs w:val="24"/>
        </w:rPr>
        <w:t>委托环卫部门清运处置</w:t>
      </w:r>
      <w:r>
        <w:rPr>
          <w:rFonts w:hint="default" w:ascii="Times New Roman" w:hAnsi="Times New Roman" w:eastAsia="宋体" w:cs="Times New Roman"/>
          <w:color w:val="auto"/>
          <w:sz w:val="24"/>
          <w:szCs w:val="24"/>
          <w:lang w:eastAsia="zh-CN"/>
        </w:rPr>
        <w:t>。</w:t>
      </w:r>
    </w:p>
    <w:p w14:paraId="6E1970E8">
      <w:pPr>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④</w:t>
      </w:r>
      <w:r>
        <w:rPr>
          <w:rFonts w:hint="default" w:ascii="Times New Roman" w:hAnsi="Times New Roman" w:eastAsia="宋体" w:cs="Times New Roman"/>
          <w:b/>
          <w:bCs/>
          <w:color w:val="auto"/>
          <w:sz w:val="24"/>
          <w:szCs w:val="24"/>
        </w:rPr>
        <w:t>食堂泔水及废油</w:t>
      </w:r>
    </w:p>
    <w:p w14:paraId="73955721">
      <w:pPr>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项目食堂就餐人员共</w:t>
      </w:r>
      <w:r>
        <w:rPr>
          <w:rFonts w:hint="default" w:ascii="Times New Roman" w:hAnsi="Times New Roman" w:eastAsia="宋体" w:cs="Times New Roman"/>
          <w:color w:val="auto"/>
          <w:sz w:val="24"/>
          <w:szCs w:val="24"/>
          <w:lang w:val="en-US" w:eastAsia="zh-CN"/>
        </w:rPr>
        <w:t>580</w:t>
      </w:r>
      <w:r>
        <w:rPr>
          <w:rFonts w:hint="default" w:ascii="Times New Roman" w:hAnsi="Times New Roman" w:eastAsia="宋体" w:cs="Times New Roman"/>
          <w:color w:val="auto"/>
          <w:sz w:val="24"/>
          <w:szCs w:val="24"/>
        </w:rPr>
        <w:t>人，平按每人每天产生食堂泔水量按0.5kg计算，本项目食宿人员产生的食堂泔水量约为</w:t>
      </w:r>
      <w:r>
        <w:rPr>
          <w:rFonts w:hint="default" w:ascii="Times New Roman" w:hAnsi="Times New Roman" w:eastAsia="宋体" w:cs="Times New Roman"/>
          <w:color w:val="auto"/>
          <w:sz w:val="24"/>
          <w:szCs w:val="24"/>
          <w:lang w:val="en-US" w:eastAsia="zh-CN"/>
        </w:rPr>
        <w:t>290</w:t>
      </w:r>
      <w:r>
        <w:rPr>
          <w:rFonts w:hint="default" w:ascii="Times New Roman" w:hAnsi="Times New Roman" w:eastAsia="宋体" w:cs="Times New Roman"/>
          <w:color w:val="auto"/>
          <w:sz w:val="24"/>
          <w:szCs w:val="24"/>
        </w:rPr>
        <w:t>kg/d，</w:t>
      </w:r>
      <w:r>
        <w:rPr>
          <w:rFonts w:hint="default" w:ascii="Times New Roman" w:hAnsi="Times New Roman" w:eastAsia="宋体" w:cs="Times New Roman"/>
          <w:color w:val="auto"/>
          <w:sz w:val="24"/>
          <w:szCs w:val="24"/>
          <w:lang w:val="en-US" w:eastAsia="zh-CN"/>
        </w:rPr>
        <w:t>87</w:t>
      </w:r>
      <w:r>
        <w:rPr>
          <w:rFonts w:hint="default" w:ascii="Times New Roman" w:hAnsi="Times New Roman" w:eastAsia="宋体" w:cs="Times New Roman"/>
          <w:color w:val="auto"/>
          <w:sz w:val="24"/>
          <w:szCs w:val="24"/>
        </w:rPr>
        <w:t>t/a。隔油池产生的废油约0.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该部分废物总量共为：</w:t>
      </w:r>
      <w:r>
        <w:rPr>
          <w:rFonts w:hint="default" w:ascii="Times New Roman" w:hAnsi="Times New Roman" w:eastAsia="宋体" w:cs="Times New Roman"/>
          <w:color w:val="auto"/>
          <w:sz w:val="24"/>
          <w:szCs w:val="24"/>
          <w:lang w:val="en-US" w:eastAsia="zh-CN"/>
        </w:rPr>
        <w:t>87.1t/a。</w:t>
      </w:r>
      <w:r>
        <w:rPr>
          <w:rFonts w:hint="default" w:ascii="Times New Roman" w:hAnsi="Times New Roman" w:eastAsia="宋体" w:cs="Times New Roman"/>
          <w:color w:val="auto"/>
          <w:sz w:val="24"/>
          <w:szCs w:val="24"/>
        </w:rPr>
        <w:t>项目食堂泔水和废油用塑料桶</w:t>
      </w:r>
      <w:r>
        <w:rPr>
          <w:rFonts w:hint="default" w:ascii="Times New Roman" w:hAnsi="Times New Roman" w:eastAsia="宋体" w:cs="Times New Roman"/>
          <w:color w:val="auto"/>
          <w:sz w:val="24"/>
          <w:szCs w:val="24"/>
          <w:lang w:eastAsia="zh-CN"/>
        </w:rPr>
        <w:t>单独</w:t>
      </w:r>
      <w:r>
        <w:rPr>
          <w:rFonts w:hint="default" w:ascii="Times New Roman" w:hAnsi="Times New Roman" w:eastAsia="宋体" w:cs="Times New Roman"/>
          <w:color w:val="auto"/>
          <w:sz w:val="24"/>
          <w:szCs w:val="24"/>
        </w:rPr>
        <w:t>收集后，委托</w:t>
      </w:r>
      <w:r>
        <w:rPr>
          <w:rFonts w:hint="default" w:ascii="Times New Roman" w:hAnsi="Times New Roman" w:eastAsia="宋体" w:cs="Times New Roman"/>
          <w:color w:val="auto"/>
          <w:sz w:val="24"/>
          <w:szCs w:val="24"/>
          <w:lang w:eastAsia="zh-CN"/>
        </w:rPr>
        <w:t>环卫部门</w:t>
      </w:r>
      <w:r>
        <w:rPr>
          <w:rFonts w:hint="default" w:ascii="Times New Roman" w:hAnsi="Times New Roman" w:eastAsia="宋体" w:cs="Times New Roman"/>
          <w:color w:val="auto"/>
          <w:sz w:val="24"/>
          <w:szCs w:val="24"/>
        </w:rPr>
        <w:t>进行处理。</w:t>
      </w:r>
    </w:p>
    <w:p w14:paraId="117458C3">
      <w:pPr>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eastAsia="zh-CN"/>
        </w:rPr>
        <w:t>⑤化粪池及一体化污水处理设备</w:t>
      </w:r>
      <w:r>
        <w:rPr>
          <w:rFonts w:hint="default" w:ascii="Times New Roman" w:hAnsi="Times New Roman" w:eastAsia="宋体" w:cs="Times New Roman"/>
          <w:b/>
          <w:bCs/>
          <w:color w:val="auto"/>
          <w:sz w:val="24"/>
          <w:szCs w:val="24"/>
        </w:rPr>
        <w:t>污泥</w:t>
      </w:r>
    </w:p>
    <w:p w14:paraId="3EA0A105">
      <w:pPr>
        <w:spacing w:line="360" w:lineRule="auto"/>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项目化粪池</w:t>
      </w:r>
      <w:r>
        <w:rPr>
          <w:rFonts w:hint="default" w:ascii="Times New Roman" w:hAnsi="Times New Roman" w:eastAsia="宋体" w:cs="Times New Roman"/>
          <w:bCs/>
          <w:color w:val="auto"/>
          <w:sz w:val="24"/>
          <w:szCs w:val="24"/>
          <w:lang w:eastAsia="zh-CN"/>
        </w:rPr>
        <w:t>及污水处理设备</w:t>
      </w:r>
      <w:r>
        <w:rPr>
          <w:rFonts w:hint="default" w:ascii="Times New Roman" w:hAnsi="Times New Roman" w:eastAsia="宋体" w:cs="Times New Roman"/>
          <w:bCs/>
          <w:color w:val="auto"/>
          <w:sz w:val="24"/>
          <w:szCs w:val="24"/>
        </w:rPr>
        <w:t>在运行一段时候后会产生一定量的污泥，</w:t>
      </w:r>
      <w:r>
        <w:rPr>
          <w:rFonts w:hint="default" w:ascii="Times New Roman" w:hAnsi="Times New Roman" w:eastAsia="宋体" w:cs="Times New Roman"/>
          <w:bCs/>
          <w:color w:val="auto"/>
          <w:sz w:val="24"/>
          <w:szCs w:val="24"/>
          <w:lang w:eastAsia="zh-CN"/>
        </w:rPr>
        <w:t>产生量</w:t>
      </w:r>
      <w:r>
        <w:rPr>
          <w:rFonts w:hint="default" w:ascii="Times New Roman" w:hAnsi="Times New Roman" w:eastAsia="宋体" w:cs="Times New Roman"/>
          <w:bCs/>
          <w:color w:val="auto"/>
          <w:sz w:val="24"/>
          <w:szCs w:val="24"/>
        </w:rPr>
        <w:t>约</w:t>
      </w:r>
      <w:r>
        <w:rPr>
          <w:rFonts w:hint="default" w:ascii="Times New Roman" w:hAnsi="Times New Roman" w:eastAsia="宋体" w:cs="Times New Roman"/>
          <w:bCs/>
          <w:color w:val="auto"/>
          <w:sz w:val="24"/>
          <w:szCs w:val="24"/>
          <w:lang w:val="en-US" w:eastAsia="zh-CN"/>
        </w:rPr>
        <w:t>1.5</w:t>
      </w:r>
      <w:r>
        <w:rPr>
          <w:rFonts w:hint="default" w:ascii="Times New Roman" w:hAnsi="Times New Roman" w:eastAsia="宋体" w:cs="Times New Roman"/>
          <w:bCs/>
          <w:color w:val="auto"/>
          <w:sz w:val="24"/>
          <w:szCs w:val="24"/>
        </w:rPr>
        <w:t>t/a，定期</w:t>
      </w:r>
      <w:r>
        <w:rPr>
          <w:rFonts w:hint="default" w:ascii="Times New Roman" w:hAnsi="Times New Roman" w:eastAsia="宋体" w:cs="Times New Roman"/>
          <w:color w:val="auto"/>
          <w:sz w:val="24"/>
          <w:szCs w:val="24"/>
        </w:rPr>
        <w:t>清掏后与生活垃圾一起委托环卫部门清运处置。</w:t>
      </w:r>
    </w:p>
    <w:p w14:paraId="056EC9AB">
      <w:pPr>
        <w:adjustRightInd w:val="0"/>
        <w:snapToGrid w:val="0"/>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（2）危险废弃物</w:t>
      </w:r>
    </w:p>
    <w:p w14:paraId="3BA44ED8">
      <w:pPr>
        <w:spacing w:line="360" w:lineRule="auto"/>
        <w:ind w:firstLine="480"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①废机油</w:t>
      </w:r>
    </w:p>
    <w:p w14:paraId="142CE2E5">
      <w:pPr>
        <w:spacing w:line="360" w:lineRule="auto"/>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项目机械设备在维护、保养过程中，会产生少量废机油。根据《国家危险废物名录》（</w:t>
      </w:r>
      <w:r>
        <w:rPr>
          <w:rFonts w:hint="eastAsia" w:ascii="Times New Roman" w:hAnsi="Times New Roman" w:cs="Times New Roman"/>
          <w:bCs/>
          <w:color w:val="auto"/>
          <w:sz w:val="24"/>
          <w:szCs w:val="24"/>
          <w:lang w:eastAsia="zh-CN"/>
        </w:rPr>
        <w:t>生态环境局部</w:t>
      </w:r>
      <w:r>
        <w:rPr>
          <w:rFonts w:hint="default" w:ascii="Times New Roman" w:hAnsi="Times New Roman" w:eastAsia="宋体" w:cs="Times New Roman"/>
          <w:bCs/>
          <w:color w:val="auto"/>
          <w:sz w:val="24"/>
          <w:szCs w:val="24"/>
        </w:rPr>
        <w:t>令第39号，自2016年8月1日起实施），废机油因具有毒性、易燃性，属于危险废物（HW08废矿物油与含矿物油废物），废物代码为900-249-08，该部分危废产生量较少，约0.0</w:t>
      </w:r>
      <w:r>
        <w:rPr>
          <w:rFonts w:hint="default" w:ascii="Times New Roman" w:hAnsi="Times New Roman" w:eastAsia="宋体" w:cs="Times New Roman"/>
          <w:bCs/>
          <w:color w:val="auto"/>
          <w:sz w:val="24"/>
          <w:szCs w:val="24"/>
          <w:lang w:val="en-US" w:eastAsia="zh-CN"/>
        </w:rPr>
        <w:t>5</w:t>
      </w:r>
      <w:r>
        <w:rPr>
          <w:rFonts w:hint="default" w:ascii="Times New Roman" w:hAnsi="Times New Roman" w:eastAsia="宋体" w:cs="Times New Roman"/>
          <w:bCs/>
          <w:color w:val="auto"/>
          <w:sz w:val="24"/>
          <w:szCs w:val="24"/>
        </w:rPr>
        <w:t>t/a，统一收集后存贮在密闭的收集</w:t>
      </w:r>
      <w:r>
        <w:rPr>
          <w:rFonts w:hint="default" w:ascii="Times New Roman" w:hAnsi="Times New Roman" w:eastAsia="宋体" w:cs="Times New Roman"/>
          <w:bCs/>
          <w:color w:val="auto"/>
          <w:sz w:val="24"/>
          <w:szCs w:val="24"/>
          <w:lang w:eastAsia="zh-CN"/>
        </w:rPr>
        <w:t>容器</w:t>
      </w:r>
      <w:r>
        <w:rPr>
          <w:rFonts w:hint="default" w:ascii="Times New Roman" w:hAnsi="Times New Roman" w:eastAsia="宋体" w:cs="Times New Roman"/>
          <w:bCs/>
          <w:color w:val="auto"/>
          <w:sz w:val="24"/>
          <w:szCs w:val="24"/>
        </w:rPr>
        <w:t>中，暂存于危险废物暂存间</w:t>
      </w:r>
      <w:r>
        <w:rPr>
          <w:rFonts w:hint="default" w:ascii="Times New Roman" w:hAnsi="Times New Roman" w:eastAsia="宋体" w:cs="Times New Roman"/>
          <w:bCs/>
          <w:color w:val="auto"/>
          <w:sz w:val="24"/>
          <w:szCs w:val="24"/>
          <w:lang w:eastAsia="zh-CN"/>
        </w:rPr>
        <w:t>内</w:t>
      </w:r>
      <w:r>
        <w:rPr>
          <w:rFonts w:hint="default" w:ascii="Times New Roman" w:hAnsi="Times New Roman" w:eastAsia="宋体" w:cs="Times New Roman"/>
          <w:bCs/>
          <w:color w:val="auto"/>
          <w:sz w:val="24"/>
          <w:szCs w:val="24"/>
        </w:rPr>
        <w:t>，定期</w:t>
      </w:r>
      <w:r>
        <w:rPr>
          <w:rFonts w:hint="default" w:ascii="Times New Roman" w:hAnsi="Times New Roman" w:eastAsia="宋体" w:cs="Times New Roman"/>
          <w:bCs/>
          <w:color w:val="auto"/>
          <w:sz w:val="24"/>
          <w:szCs w:val="24"/>
          <w:lang w:eastAsia="zh-CN"/>
        </w:rPr>
        <w:t>委托</w:t>
      </w:r>
      <w:r>
        <w:rPr>
          <w:rFonts w:hint="default" w:ascii="Times New Roman" w:hAnsi="Times New Roman" w:eastAsia="宋体" w:cs="Times New Roman"/>
          <w:bCs/>
          <w:color w:val="auto"/>
          <w:sz w:val="24"/>
          <w:szCs w:val="24"/>
        </w:rPr>
        <w:t>有资质的单位处理处置。</w:t>
      </w:r>
    </w:p>
    <w:p w14:paraId="42886432">
      <w:pPr>
        <w:spacing w:line="360" w:lineRule="auto"/>
        <w:ind w:firstLine="480"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项目内固体废弃物产生及处理情况详见下表。</w:t>
      </w:r>
    </w:p>
    <w:p w14:paraId="70BE6758">
      <w:pPr>
        <w:pStyle w:val="1260"/>
        <w:rPr>
          <w:rFonts w:hint="default" w:ascii="Times New Roman" w:hAnsi="Times New Roman" w:eastAsia="宋体" w:cs="Times New Roman"/>
          <w:color w:val="auto"/>
          <w:lang w:val="en-US" w:eastAsia="zh-CN"/>
        </w:rPr>
      </w:pPr>
    </w:p>
    <w:p w14:paraId="6ADEB65B">
      <w:pPr>
        <w:pStyle w:val="1260"/>
        <w:rPr>
          <w:rFonts w:hint="default" w:ascii="Times New Roman" w:hAnsi="Times New Roman" w:eastAsia="宋体" w:cs="Times New Roman"/>
          <w:color w:val="auto"/>
          <w:lang w:val="en-US" w:eastAsia="zh-CN"/>
        </w:rPr>
      </w:pPr>
    </w:p>
    <w:p w14:paraId="5E37DCBA">
      <w:pPr>
        <w:pStyle w:val="1260"/>
        <w:rPr>
          <w:rFonts w:hint="default" w:ascii="Times New Roman" w:hAnsi="Times New Roman" w:eastAsia="宋体" w:cs="Times New Roman"/>
          <w:color w:val="auto"/>
          <w:lang w:val="en-US" w:eastAsia="zh-CN"/>
        </w:rPr>
      </w:pPr>
    </w:p>
    <w:p w14:paraId="257C9738">
      <w:pPr>
        <w:pStyle w:val="1260"/>
        <w:rPr>
          <w:rFonts w:hint="default" w:ascii="Times New Roman" w:hAnsi="Times New Roman" w:eastAsia="宋体" w:cs="Times New Roman"/>
          <w:color w:val="auto"/>
          <w:lang w:val="en-US" w:eastAsia="zh-CN"/>
        </w:rPr>
      </w:pPr>
    </w:p>
    <w:p w14:paraId="30B89882">
      <w:pPr>
        <w:pStyle w:val="126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表3.4-</w:t>
      </w:r>
      <w:r>
        <w:rPr>
          <w:rFonts w:hint="eastAsia" w:ascii="Times New Roman" w:hAnsi="Times New Roman" w:cs="Times New Roman"/>
          <w:color w:val="auto"/>
          <w:lang w:val="en-US" w:eastAsia="zh-CN"/>
        </w:rPr>
        <w:t>7</w:t>
      </w:r>
      <w:r>
        <w:rPr>
          <w:rFonts w:hint="default" w:ascii="Times New Roman" w:hAnsi="Times New Roman" w:eastAsia="宋体" w:cs="Times New Roman"/>
          <w:color w:val="auto"/>
          <w:lang w:val="en-US" w:eastAsia="zh-CN"/>
        </w:rPr>
        <w:t xml:space="preserve">  固体废弃物产生及处理情况</w:t>
      </w:r>
    </w:p>
    <w:tbl>
      <w:tblPr>
        <w:tblStyle w:val="66"/>
        <w:tblpPr w:leftFromText="180" w:rightFromText="180" w:vertAnchor="text" w:horzAnchor="page" w:tblpX="1675" w:tblpY="419"/>
        <w:tblOverlap w:val="never"/>
        <w:tblW w:w="88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
        <w:gridCol w:w="1477"/>
        <w:gridCol w:w="1035"/>
        <w:gridCol w:w="780"/>
        <w:gridCol w:w="1905"/>
        <w:gridCol w:w="3151"/>
      </w:tblGrid>
      <w:tr w14:paraId="6932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59ED1A57">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477" w:type="dxa"/>
            <w:noWrap w:val="0"/>
            <w:vAlign w:val="center"/>
          </w:tcPr>
          <w:p w14:paraId="53BF86E2">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035" w:type="dxa"/>
            <w:noWrap w:val="0"/>
            <w:vAlign w:val="center"/>
          </w:tcPr>
          <w:p w14:paraId="52A7E8F3">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14:paraId="61B3E2FB">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780" w:type="dxa"/>
            <w:noWrap w:val="0"/>
            <w:vAlign w:val="center"/>
          </w:tcPr>
          <w:p w14:paraId="6371215F">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属性</w:t>
            </w:r>
          </w:p>
        </w:tc>
        <w:tc>
          <w:tcPr>
            <w:tcW w:w="1905" w:type="dxa"/>
            <w:noWrap w:val="0"/>
            <w:vAlign w:val="center"/>
          </w:tcPr>
          <w:p w14:paraId="5B21066A">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《国家危险废物名录》废物代码</w:t>
            </w:r>
          </w:p>
        </w:tc>
        <w:tc>
          <w:tcPr>
            <w:tcW w:w="3151" w:type="dxa"/>
            <w:noWrap w:val="0"/>
            <w:vAlign w:val="center"/>
          </w:tcPr>
          <w:p w14:paraId="07779A7F">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处理去向</w:t>
            </w:r>
          </w:p>
        </w:tc>
      </w:tr>
      <w:tr w14:paraId="7621C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4A0FC7EE">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477" w:type="dxa"/>
            <w:noWrap w:val="0"/>
            <w:vAlign w:val="center"/>
          </w:tcPr>
          <w:p w14:paraId="41FAD072">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边角料及残次品</w:t>
            </w:r>
          </w:p>
        </w:tc>
        <w:tc>
          <w:tcPr>
            <w:tcW w:w="1035" w:type="dxa"/>
            <w:noWrap w:val="0"/>
            <w:vAlign w:val="center"/>
          </w:tcPr>
          <w:p w14:paraId="6B655573">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780" w:type="dxa"/>
            <w:vMerge w:val="restart"/>
            <w:noWrap w:val="0"/>
            <w:vAlign w:val="center"/>
          </w:tcPr>
          <w:p w14:paraId="4EDF20A3">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1905" w:type="dxa"/>
            <w:noWrap w:val="0"/>
            <w:vAlign w:val="center"/>
          </w:tcPr>
          <w:p w14:paraId="78DFC2ED">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51" w:type="dxa"/>
            <w:noWrap w:val="0"/>
            <w:vAlign w:val="center"/>
          </w:tcPr>
          <w:p w14:paraId="72C968C0">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收集后委托环卫部门清运处置。</w:t>
            </w:r>
          </w:p>
        </w:tc>
      </w:tr>
      <w:tr w14:paraId="42B0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27926A37">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477" w:type="dxa"/>
            <w:noWrap w:val="0"/>
            <w:vAlign w:val="center"/>
          </w:tcPr>
          <w:p w14:paraId="725617CE">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废包装材料</w:t>
            </w:r>
          </w:p>
        </w:tc>
        <w:tc>
          <w:tcPr>
            <w:tcW w:w="1035" w:type="dxa"/>
            <w:noWrap w:val="0"/>
            <w:vAlign w:val="center"/>
          </w:tcPr>
          <w:p w14:paraId="24C13AED">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780" w:type="dxa"/>
            <w:vMerge w:val="continue"/>
            <w:noWrap w:val="0"/>
            <w:vAlign w:val="center"/>
          </w:tcPr>
          <w:p w14:paraId="62835DAA">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05" w:type="dxa"/>
            <w:noWrap w:val="0"/>
            <w:vAlign w:val="center"/>
          </w:tcPr>
          <w:p w14:paraId="4FFFA534">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51" w:type="dxa"/>
            <w:noWrap w:val="0"/>
            <w:vAlign w:val="center"/>
          </w:tcPr>
          <w:p w14:paraId="0ECF543D">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外售</w:t>
            </w:r>
          </w:p>
        </w:tc>
      </w:tr>
      <w:tr w14:paraId="64B4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4EAE4AF2">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477" w:type="dxa"/>
            <w:noWrap w:val="0"/>
            <w:vAlign w:val="center"/>
          </w:tcPr>
          <w:p w14:paraId="51BDA0F0">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1035" w:type="dxa"/>
            <w:noWrap w:val="0"/>
            <w:vAlign w:val="center"/>
          </w:tcPr>
          <w:p w14:paraId="3754E33A">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w:t>
            </w:r>
          </w:p>
        </w:tc>
        <w:tc>
          <w:tcPr>
            <w:tcW w:w="780" w:type="dxa"/>
            <w:vMerge w:val="continue"/>
            <w:noWrap w:val="0"/>
            <w:vAlign w:val="center"/>
          </w:tcPr>
          <w:p w14:paraId="13E91879">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05" w:type="dxa"/>
            <w:noWrap w:val="0"/>
            <w:vAlign w:val="center"/>
          </w:tcPr>
          <w:p w14:paraId="66D0A1E4">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151" w:type="dxa"/>
            <w:noWrap w:val="0"/>
            <w:vAlign w:val="center"/>
          </w:tcPr>
          <w:p w14:paraId="2FB909A6">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收集后委托环卫部门清运处置。</w:t>
            </w:r>
          </w:p>
        </w:tc>
      </w:tr>
      <w:tr w14:paraId="6C8B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94" w:type="dxa"/>
            <w:noWrap w:val="0"/>
            <w:vAlign w:val="center"/>
          </w:tcPr>
          <w:p w14:paraId="27280A62">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477" w:type="dxa"/>
            <w:noWrap w:val="0"/>
            <w:vAlign w:val="center"/>
          </w:tcPr>
          <w:p w14:paraId="4AA10181">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食堂泔水及废油</w:t>
            </w:r>
          </w:p>
        </w:tc>
        <w:tc>
          <w:tcPr>
            <w:tcW w:w="1035" w:type="dxa"/>
            <w:noWrap w:val="0"/>
            <w:vAlign w:val="center"/>
          </w:tcPr>
          <w:p w14:paraId="78E5D88C">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87.1</w:t>
            </w:r>
          </w:p>
        </w:tc>
        <w:tc>
          <w:tcPr>
            <w:tcW w:w="780" w:type="dxa"/>
            <w:vMerge w:val="continue"/>
            <w:noWrap w:val="0"/>
            <w:vAlign w:val="center"/>
          </w:tcPr>
          <w:p w14:paraId="07695D42">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05" w:type="dxa"/>
            <w:noWrap w:val="0"/>
            <w:vAlign w:val="center"/>
          </w:tcPr>
          <w:p w14:paraId="79D952B8">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51" w:type="dxa"/>
            <w:noWrap w:val="0"/>
            <w:vAlign w:val="center"/>
          </w:tcPr>
          <w:p w14:paraId="06FB23D0">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食堂泔水和废油用塑料桶</w:t>
            </w:r>
            <w:r>
              <w:rPr>
                <w:rFonts w:hint="default" w:ascii="Times New Roman" w:hAnsi="Times New Roman" w:eastAsia="宋体" w:cs="Times New Roman"/>
                <w:color w:val="auto"/>
                <w:sz w:val="21"/>
                <w:szCs w:val="21"/>
                <w:lang w:eastAsia="zh-CN"/>
              </w:rPr>
              <w:t>单独</w:t>
            </w:r>
            <w:r>
              <w:rPr>
                <w:rFonts w:hint="default" w:ascii="Times New Roman" w:hAnsi="Times New Roman" w:eastAsia="宋体" w:cs="Times New Roman"/>
                <w:color w:val="auto"/>
                <w:sz w:val="21"/>
                <w:szCs w:val="21"/>
              </w:rPr>
              <w:t>收集后，委托</w:t>
            </w:r>
            <w:r>
              <w:rPr>
                <w:rFonts w:hint="default" w:ascii="Times New Roman" w:hAnsi="Times New Roman" w:eastAsia="宋体" w:cs="Times New Roman"/>
                <w:color w:val="auto"/>
                <w:sz w:val="21"/>
                <w:szCs w:val="21"/>
                <w:lang w:eastAsia="zh-CN"/>
              </w:rPr>
              <w:t>环卫部门</w:t>
            </w:r>
            <w:r>
              <w:rPr>
                <w:rFonts w:hint="default" w:ascii="Times New Roman" w:hAnsi="Times New Roman" w:eastAsia="宋体" w:cs="Times New Roman"/>
                <w:color w:val="auto"/>
                <w:sz w:val="21"/>
                <w:szCs w:val="21"/>
              </w:rPr>
              <w:t>进行处理</w:t>
            </w:r>
            <w:r>
              <w:rPr>
                <w:rFonts w:hint="default" w:ascii="Times New Roman" w:hAnsi="Times New Roman" w:eastAsia="宋体" w:cs="Times New Roman"/>
                <w:color w:val="auto"/>
                <w:sz w:val="21"/>
                <w:szCs w:val="21"/>
                <w:lang w:eastAsia="zh-CN"/>
              </w:rPr>
              <w:t>。</w:t>
            </w:r>
          </w:p>
        </w:tc>
      </w:tr>
      <w:tr w14:paraId="5606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75AAB995">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477" w:type="dxa"/>
            <w:noWrap w:val="0"/>
            <w:vAlign w:val="center"/>
          </w:tcPr>
          <w:p w14:paraId="514D7A95">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c>
          <w:tcPr>
            <w:tcW w:w="1035" w:type="dxa"/>
            <w:noWrap w:val="0"/>
            <w:vAlign w:val="center"/>
          </w:tcPr>
          <w:p w14:paraId="6955904D">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780" w:type="dxa"/>
            <w:vMerge w:val="continue"/>
            <w:noWrap w:val="0"/>
            <w:vAlign w:val="center"/>
          </w:tcPr>
          <w:p w14:paraId="50BEA7FC">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05" w:type="dxa"/>
            <w:noWrap w:val="0"/>
            <w:vAlign w:val="center"/>
          </w:tcPr>
          <w:p w14:paraId="4AF0935D">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3151" w:type="dxa"/>
            <w:noWrap w:val="0"/>
            <w:vAlign w:val="center"/>
          </w:tcPr>
          <w:p w14:paraId="636D832B">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定期清掏后委托环卫部门清运处理。</w:t>
            </w:r>
          </w:p>
        </w:tc>
      </w:tr>
      <w:tr w14:paraId="30FA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494" w:type="dxa"/>
            <w:noWrap w:val="0"/>
            <w:vAlign w:val="center"/>
          </w:tcPr>
          <w:p w14:paraId="2408C173">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477" w:type="dxa"/>
            <w:noWrap w:val="0"/>
            <w:vAlign w:val="center"/>
          </w:tcPr>
          <w:p w14:paraId="6E9E1822">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1035" w:type="dxa"/>
            <w:noWrap w:val="0"/>
            <w:vAlign w:val="center"/>
          </w:tcPr>
          <w:p w14:paraId="1AA51D4D">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780" w:type="dxa"/>
            <w:noWrap w:val="0"/>
            <w:vAlign w:val="center"/>
          </w:tcPr>
          <w:p w14:paraId="15CDAE2F">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905" w:type="dxa"/>
            <w:noWrap w:val="0"/>
            <w:vAlign w:val="center"/>
          </w:tcPr>
          <w:p w14:paraId="6E5447F0">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900-249-08</w:t>
            </w:r>
          </w:p>
        </w:tc>
        <w:tc>
          <w:tcPr>
            <w:tcW w:w="3151" w:type="dxa"/>
            <w:noWrap w:val="0"/>
            <w:vAlign w:val="center"/>
          </w:tcPr>
          <w:p w14:paraId="2078C879">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委托</w:t>
            </w:r>
            <w:r>
              <w:rPr>
                <w:rFonts w:hint="default" w:ascii="Times New Roman" w:hAnsi="Times New Roman" w:eastAsia="宋体" w:cs="Times New Roman"/>
                <w:color w:val="auto"/>
                <w:sz w:val="21"/>
                <w:szCs w:val="21"/>
              </w:rPr>
              <w:t>有资质的单位回收处置。</w:t>
            </w:r>
          </w:p>
        </w:tc>
      </w:tr>
      <w:tr w14:paraId="5333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94" w:type="dxa"/>
            <w:noWrap w:val="0"/>
            <w:vAlign w:val="center"/>
          </w:tcPr>
          <w:p w14:paraId="6765CBCB">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477" w:type="dxa"/>
            <w:noWrap w:val="0"/>
            <w:vAlign w:val="center"/>
          </w:tcPr>
          <w:p w14:paraId="5E0D52BE">
            <w:pPr>
              <w:autoSpaceDE w:val="0"/>
              <w:autoSpaceDN w:val="0"/>
              <w:adjustRightInd w:val="0"/>
              <w:spacing w:line="240" w:lineRule="auto"/>
              <w:jc w:val="center"/>
              <w:rPr>
                <w:rFonts w:hint="default" w:ascii="Times New Roman" w:hAnsi="Times New Roman" w:eastAsia="宋体" w:cs="Times New Roman"/>
                <w:b/>
                <w:bCs/>
                <w:color w:val="auto"/>
                <w:sz w:val="21"/>
                <w:szCs w:val="24"/>
                <w:lang w:eastAsia="zh-CN"/>
              </w:rPr>
            </w:pPr>
            <w:r>
              <w:rPr>
                <w:rFonts w:hint="default" w:ascii="Times New Roman" w:hAnsi="Times New Roman" w:eastAsia="宋体" w:cs="Times New Roman"/>
                <w:b/>
                <w:bCs/>
                <w:color w:val="auto"/>
                <w:sz w:val="21"/>
                <w:szCs w:val="24"/>
                <w:lang w:eastAsia="zh-CN"/>
              </w:rPr>
              <w:t>合计</w:t>
            </w:r>
          </w:p>
        </w:tc>
        <w:tc>
          <w:tcPr>
            <w:tcW w:w="1035" w:type="dxa"/>
            <w:noWrap w:val="0"/>
            <w:vAlign w:val="center"/>
          </w:tcPr>
          <w:p w14:paraId="0295ED3A">
            <w:pPr>
              <w:autoSpaceDE w:val="0"/>
              <w:autoSpaceDN w:val="0"/>
              <w:adjustRightIn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position w:val="-10"/>
                <w:sz w:val="21"/>
                <w:szCs w:val="21"/>
                <w:lang w:val="en-US" w:eastAsia="zh-CN"/>
              </w:rPr>
              <w:object>
                <v:shape id="_x0000_i1031" o:spt="75" type="#_x0000_t75" style="height:17pt;width:72pt;" o:ole="t" filled="f" o:preferrelative="t" stroked="f" coordsize="21600,21600">
                  <v:path/>
                  <v:fill on="f" focussize="0,0"/>
                  <v:stroke on="f"/>
                  <v:imagedata r:id="rId21" o:title=""/>
                  <o:lock v:ext="edit" aspectratio="t"/>
                  <w10:wrap type="none"/>
                  <w10:anchorlock/>
                </v:shape>
                <o:OLEObject Type="Embed" ProgID="Equation.KSEE3" ShapeID="_x0000_i1031" DrawAspect="Content" ObjectID="_1468075731" r:id="rId28">
                  <o:LockedField>false</o:LockedField>
                </o:OLEObject>
              </w:object>
            </w:r>
            <w:r>
              <w:rPr>
                <w:rFonts w:hint="default" w:ascii="Times New Roman" w:hAnsi="Times New Roman" w:eastAsia="宋体" w:cs="Times New Roman"/>
                <w:b/>
                <w:bCs/>
                <w:color w:val="auto"/>
                <w:sz w:val="21"/>
                <w:szCs w:val="21"/>
                <w:lang w:val="en-US" w:eastAsia="zh-CN"/>
              </w:rPr>
              <w:t>178.65</w:t>
            </w:r>
          </w:p>
        </w:tc>
        <w:tc>
          <w:tcPr>
            <w:tcW w:w="780" w:type="dxa"/>
            <w:noWrap w:val="0"/>
            <w:vAlign w:val="center"/>
          </w:tcPr>
          <w:p w14:paraId="45A3F757">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05" w:type="dxa"/>
            <w:tcBorders>
              <w:left w:val="single" w:color="000000" w:sz="4" w:space="0"/>
            </w:tcBorders>
            <w:noWrap w:val="0"/>
            <w:vAlign w:val="center"/>
          </w:tcPr>
          <w:p w14:paraId="0CCE8E99">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151" w:type="dxa"/>
            <w:tcBorders>
              <w:left w:val="single" w:color="000000" w:sz="4" w:space="0"/>
            </w:tcBorders>
            <w:noWrap w:val="0"/>
            <w:vAlign w:val="center"/>
          </w:tcPr>
          <w:p w14:paraId="447E51B7">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分类收集、处置，处置率100%</w:t>
            </w:r>
          </w:p>
        </w:tc>
      </w:tr>
    </w:tbl>
    <w:p w14:paraId="1FEFD3BF">
      <w:pPr>
        <w:adjustRightInd w:val="0"/>
        <w:snapToGrid w:val="0"/>
        <w:spacing w:beforeLines="50"/>
        <w:outlineLvl w:val="1"/>
        <w:rPr>
          <w:rFonts w:hint="default" w:ascii="Times New Roman" w:hAnsi="Times New Roman" w:eastAsia="宋体" w:cs="Times New Roman"/>
          <w:b/>
          <w:color w:val="auto"/>
          <w:sz w:val="32"/>
          <w:szCs w:val="32"/>
        </w:rPr>
      </w:pPr>
      <w:bookmarkStart w:id="262" w:name="_Toc30961"/>
      <w:r>
        <w:rPr>
          <w:rFonts w:hint="default" w:ascii="Times New Roman" w:hAnsi="Times New Roman" w:eastAsia="宋体" w:cs="Times New Roman"/>
          <w:b/>
          <w:color w:val="auto"/>
          <w:sz w:val="32"/>
          <w:szCs w:val="32"/>
        </w:rPr>
        <w:t>3.</w:t>
      </w:r>
      <w:r>
        <w:rPr>
          <w:rFonts w:hint="eastAsia" w:ascii="Times New Roman" w:hAnsi="Times New Roman" w:cs="Times New Roman"/>
          <w:b/>
          <w:color w:val="auto"/>
          <w:sz w:val="32"/>
          <w:szCs w:val="32"/>
          <w:lang w:val="en-US" w:eastAsia="zh-CN"/>
        </w:rPr>
        <w:t>5</w:t>
      </w:r>
      <w:r>
        <w:rPr>
          <w:rFonts w:hint="default" w:ascii="Times New Roman" w:hAnsi="Times New Roman" w:eastAsia="宋体" w:cs="Times New Roman"/>
          <w:b/>
          <w:color w:val="auto"/>
          <w:sz w:val="32"/>
          <w:szCs w:val="32"/>
        </w:rPr>
        <w:t>非正常排放情况</w:t>
      </w:r>
      <w:bookmarkEnd w:id="262"/>
    </w:p>
    <w:p w14:paraId="33AC3577">
      <w:pPr>
        <w:autoSpaceDE w:val="0"/>
        <w:autoSpaceDN w:val="0"/>
        <w:adjustRightInd w:val="0"/>
        <w:snapToGrid w:val="0"/>
        <w:ind w:firstLine="480" w:firstLineChars="200"/>
        <w:jc w:val="left"/>
        <w:rPr>
          <w:rFonts w:hint="default" w:ascii="Times New Roman" w:hAnsi="Times New Roman" w:eastAsia="宋体" w:cs="Times New Roman"/>
          <w:b/>
          <w:bCs/>
          <w:color w:val="auto"/>
          <w:kern w:val="0"/>
          <w:lang w:eastAsia="zh-CN"/>
        </w:rPr>
      </w:pPr>
      <w:r>
        <w:rPr>
          <w:rFonts w:hint="default" w:ascii="Times New Roman" w:hAnsi="Times New Roman" w:eastAsia="宋体" w:cs="Times New Roman"/>
          <w:b/>
          <w:bCs/>
          <w:color w:val="auto"/>
          <w:kern w:val="0"/>
          <w:lang w:eastAsia="zh-CN"/>
        </w:rPr>
        <w:t>（</w:t>
      </w:r>
      <w:r>
        <w:rPr>
          <w:rFonts w:hint="default" w:ascii="Times New Roman" w:hAnsi="Times New Roman" w:eastAsia="宋体" w:cs="Times New Roman"/>
          <w:b/>
          <w:bCs/>
          <w:color w:val="auto"/>
          <w:kern w:val="0"/>
          <w:lang w:val="en-US" w:eastAsia="zh-CN"/>
        </w:rPr>
        <w:t>1</w:t>
      </w:r>
      <w:r>
        <w:rPr>
          <w:rFonts w:hint="default" w:ascii="Times New Roman" w:hAnsi="Times New Roman" w:eastAsia="宋体" w:cs="Times New Roman"/>
          <w:b/>
          <w:bCs/>
          <w:color w:val="auto"/>
          <w:kern w:val="0"/>
          <w:lang w:eastAsia="zh-CN"/>
        </w:rPr>
        <w:t>）废气非正常排放</w:t>
      </w:r>
    </w:p>
    <w:p w14:paraId="57A45BA0">
      <w:pPr>
        <w:autoSpaceDE w:val="0"/>
        <w:autoSpaceDN w:val="0"/>
        <w:adjustRightInd w:val="0"/>
        <w:snapToGrid w:val="0"/>
        <w:ind w:firstLine="480" w:firstLineChars="200"/>
        <w:jc w:val="left"/>
        <w:rPr>
          <w:rFonts w:hint="default" w:ascii="Times New Roman" w:hAnsi="Times New Roman" w:eastAsia="宋体" w:cs="Times New Roman"/>
          <w:b/>
          <w:snapToGrid w:val="0"/>
          <w:color w:val="auto"/>
          <w:sz w:val="24"/>
          <w:szCs w:val="24"/>
        </w:rPr>
      </w:pPr>
      <w:r>
        <w:rPr>
          <w:rFonts w:hint="default" w:ascii="Times New Roman" w:hAnsi="Times New Roman" w:eastAsia="宋体" w:cs="Times New Roman"/>
          <w:color w:val="auto"/>
          <w:kern w:val="0"/>
        </w:rPr>
        <w:t xml:space="preserve">非正常排放是指在生产运行阶段的检修维护和工艺设备或环保设施达不到设计规定指标运行时排放的“三废”。项目重点考虑废气非正常排放的影响情况。 </w:t>
      </w:r>
    </w:p>
    <w:p w14:paraId="7EC24AC3">
      <w:pPr>
        <w:pStyle w:val="206"/>
        <w:snapToGrid w:val="0"/>
        <w:spacing w:line="360" w:lineRule="auto"/>
        <w:ind w:firstLine="482"/>
        <w:textAlignment w:val="baseline"/>
        <w:rPr>
          <w:rFonts w:hint="default" w:ascii="Times New Roman" w:hAnsi="Times New Roman" w:eastAsia="宋体" w:cs="Times New Roman"/>
          <w:b/>
          <w:snapToGrid w:val="0"/>
          <w:color w:val="auto"/>
          <w:sz w:val="24"/>
          <w:szCs w:val="24"/>
        </w:rPr>
      </w:pPr>
      <w:r>
        <w:rPr>
          <w:rFonts w:hint="default" w:ascii="Times New Roman" w:hAnsi="Times New Roman" w:eastAsia="宋体" w:cs="Times New Roman"/>
          <w:b/>
          <w:snapToGrid w:val="0"/>
          <w:color w:val="auto"/>
          <w:sz w:val="24"/>
          <w:szCs w:val="24"/>
        </w:rPr>
        <w:t>（2）生产设备或污水站处理设施故障</w:t>
      </w:r>
    </w:p>
    <w:p w14:paraId="5B83BF14">
      <w:pPr>
        <w:widowControl w:val="0"/>
        <w:adjustRightInd w:val="0"/>
        <w:snapToGrid w:val="0"/>
        <w:spacing w:line="360" w:lineRule="auto"/>
        <w:ind w:firstLine="480" w:firstLineChars="200"/>
        <w:jc w:val="both"/>
        <w:textAlignment w:val="baseline"/>
        <w:rPr>
          <w:rFonts w:hint="default" w:ascii="Times New Roman" w:hAnsi="Times New Roman" w:eastAsia="宋体" w:cs="Times New Roman"/>
          <w:b/>
          <w:color w:val="auto"/>
          <w:sz w:val="32"/>
          <w:szCs w:val="32"/>
        </w:rPr>
      </w:pPr>
      <w:r>
        <w:rPr>
          <w:rFonts w:hint="default" w:ascii="Times New Roman" w:hAnsi="Times New Roman" w:eastAsia="宋体" w:cs="Times New Roman"/>
          <w:snapToGrid w:val="0"/>
          <w:color w:val="auto"/>
          <w:kern w:val="2"/>
          <w:sz w:val="24"/>
          <w:szCs w:val="24"/>
          <w:lang w:val="en-US" w:eastAsia="zh-CN" w:bidi="ar-SA"/>
        </w:rPr>
        <w:t>当厂内生产设备或污水处理设施在投药调整、操作失误、设备清洗或检修时，影响废水正常回用或污水处理站的正常运行，从而导致废水中污染物处理效率的下降，针对本项目生产设备及污水处理设施非正常运转情况，建设单位拟设计事故池1个，总容积不低于</w:t>
      </w:r>
      <w:r>
        <w:rPr>
          <w:rFonts w:hint="eastAsia" w:ascii="Times New Roman" w:hAnsi="Times New Roman" w:cs="Times New Roman"/>
          <w:snapToGrid w:val="0"/>
          <w:color w:val="auto"/>
          <w:kern w:val="2"/>
          <w:sz w:val="24"/>
          <w:szCs w:val="24"/>
          <w:lang w:val="en-US" w:eastAsia="zh-CN" w:bidi="ar-SA"/>
        </w:rPr>
        <w:t>231</w:t>
      </w:r>
      <w:r>
        <w:rPr>
          <w:rFonts w:hint="default" w:ascii="Times New Roman" w:hAnsi="Times New Roman" w:eastAsia="宋体" w:cs="Times New Roman"/>
          <w:snapToGrid w:val="0"/>
          <w:color w:val="auto"/>
          <w:kern w:val="2"/>
          <w:sz w:val="24"/>
          <w:szCs w:val="24"/>
          <w:lang w:val="en-US" w:eastAsia="zh-CN" w:bidi="ar-SA"/>
        </w:rPr>
        <w:t>m</w:t>
      </w:r>
      <w:r>
        <w:rPr>
          <w:rFonts w:hint="default" w:ascii="Times New Roman" w:hAnsi="Times New Roman" w:eastAsia="宋体" w:cs="Times New Roman"/>
          <w:snapToGrid w:val="0"/>
          <w:color w:val="auto"/>
          <w:kern w:val="2"/>
          <w:sz w:val="24"/>
          <w:szCs w:val="24"/>
          <w:vertAlign w:val="superscript"/>
          <w:lang w:val="en-US" w:eastAsia="zh-CN" w:bidi="ar-SA"/>
        </w:rPr>
        <w:t>3</w:t>
      </w:r>
      <w:r>
        <w:rPr>
          <w:rFonts w:hint="default" w:ascii="Times New Roman" w:hAnsi="Times New Roman" w:eastAsia="宋体" w:cs="Times New Roman"/>
          <w:snapToGrid w:val="0"/>
          <w:color w:val="auto"/>
          <w:kern w:val="2"/>
          <w:sz w:val="24"/>
          <w:szCs w:val="24"/>
          <w:lang w:val="en-US" w:eastAsia="zh-CN" w:bidi="ar-SA"/>
        </w:rPr>
        <w:t>，将全厂废水排入事故水池，同时全厂停产检修，严禁废水外排进入外环境，待项目厂区污水处理设施恢复正常后再复工生产。</w:t>
      </w:r>
    </w:p>
    <w:p w14:paraId="6FC251B7">
      <w:pPr>
        <w:adjustRightInd w:val="0"/>
        <w:snapToGrid w:val="0"/>
        <w:spacing w:beforeLines="50"/>
        <w:outlineLvl w:val="1"/>
        <w:rPr>
          <w:rFonts w:hint="default" w:ascii="Times New Roman" w:hAnsi="Times New Roman" w:eastAsia="宋体" w:cs="Times New Roman"/>
          <w:b/>
          <w:color w:val="auto"/>
          <w:sz w:val="32"/>
          <w:szCs w:val="32"/>
        </w:rPr>
      </w:pPr>
      <w:bookmarkStart w:id="263" w:name="_Toc5079"/>
      <w:r>
        <w:rPr>
          <w:rFonts w:hint="default" w:ascii="Times New Roman" w:hAnsi="Times New Roman" w:eastAsia="宋体" w:cs="Times New Roman"/>
          <w:b/>
          <w:color w:val="auto"/>
          <w:sz w:val="32"/>
          <w:szCs w:val="32"/>
        </w:rPr>
        <w:t>3.</w:t>
      </w:r>
      <w:r>
        <w:rPr>
          <w:rFonts w:hint="eastAsia" w:ascii="Times New Roman" w:hAnsi="Times New Roman" w:cs="Times New Roman"/>
          <w:b/>
          <w:color w:val="auto"/>
          <w:sz w:val="32"/>
          <w:szCs w:val="32"/>
          <w:lang w:val="en-US" w:eastAsia="zh-CN"/>
        </w:rPr>
        <w:t>6</w:t>
      </w:r>
      <w:r>
        <w:rPr>
          <w:rFonts w:hint="default" w:ascii="Times New Roman" w:hAnsi="Times New Roman" w:eastAsia="宋体" w:cs="Times New Roman"/>
          <w:b/>
          <w:color w:val="auto"/>
          <w:sz w:val="32"/>
          <w:szCs w:val="32"/>
        </w:rPr>
        <w:t>项目污染物排放汇总</w:t>
      </w:r>
      <w:bookmarkEnd w:id="263"/>
    </w:p>
    <w:p w14:paraId="0CBA1B40">
      <w:pPr>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本项目污染物排放情况见表3.</w:t>
      </w:r>
      <w:r>
        <w:rPr>
          <w:rFonts w:hint="eastAsia" w:ascii="Times New Roman" w:hAnsi="Times New Roman" w:cs="Times New Roman"/>
          <w:color w:val="auto"/>
          <w:lang w:val="en-US" w:eastAsia="zh-CN"/>
        </w:rPr>
        <w:t>6</w:t>
      </w:r>
      <w:r>
        <w:rPr>
          <w:rFonts w:hint="default" w:ascii="Times New Roman" w:hAnsi="Times New Roman" w:eastAsia="宋体" w:cs="Times New Roman"/>
          <w:color w:val="auto"/>
        </w:rPr>
        <w:t>-1。</w:t>
      </w:r>
    </w:p>
    <w:p w14:paraId="6BD23D86">
      <w:pPr>
        <w:pStyle w:val="72"/>
        <w:rPr>
          <w:rFonts w:hint="default"/>
          <w:color w:val="auto"/>
        </w:rPr>
      </w:pPr>
    </w:p>
    <w:p w14:paraId="79FE968E">
      <w:pPr>
        <w:rPr>
          <w:rFonts w:hint="default"/>
          <w:color w:val="auto"/>
        </w:rPr>
        <w:sectPr>
          <w:footerReference r:id="rId9" w:type="default"/>
          <w:pgSz w:w="11906" w:h="16838"/>
          <w:pgMar w:top="1440" w:right="1797" w:bottom="1440" w:left="1797" w:header="851" w:footer="992" w:gutter="0"/>
          <w:pgNumType w:fmt="decimal"/>
          <w:cols w:space="425" w:num="1"/>
          <w:docGrid w:type="linesAndChars" w:linePitch="312" w:charSpace="0"/>
        </w:sectPr>
      </w:pPr>
    </w:p>
    <w:p w14:paraId="5210BFD9">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表3.</w:t>
      </w:r>
      <w:r>
        <w:rPr>
          <w:rFonts w:hint="eastAsia" w:ascii="Times New Roman" w:hAnsi="Times New Roman" w:cs="Times New Roman"/>
          <w:b/>
          <w:color w:val="auto"/>
          <w:lang w:val="en-US" w:eastAsia="zh-CN"/>
        </w:rPr>
        <w:t>6</w:t>
      </w:r>
      <w:r>
        <w:rPr>
          <w:rFonts w:hint="default" w:ascii="Times New Roman" w:hAnsi="Times New Roman" w:eastAsia="宋体" w:cs="Times New Roman"/>
          <w:b/>
          <w:color w:val="auto"/>
        </w:rPr>
        <w:t>-1 项目污染物产排情况汇总表</w:t>
      </w:r>
    </w:p>
    <w:tbl>
      <w:tblPr>
        <w:tblStyle w:val="66"/>
        <w:tblW w:w="14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303"/>
        <w:gridCol w:w="1666"/>
        <w:gridCol w:w="1559"/>
        <w:gridCol w:w="2"/>
        <w:gridCol w:w="1224"/>
        <w:gridCol w:w="2963"/>
        <w:gridCol w:w="1140"/>
        <w:gridCol w:w="116"/>
        <w:gridCol w:w="1113"/>
        <w:gridCol w:w="1623"/>
        <w:gridCol w:w="707"/>
        <w:gridCol w:w="3"/>
      </w:tblGrid>
      <w:tr w14:paraId="73D1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tblHeader/>
          <w:jc w:val="center"/>
        </w:trPr>
        <w:tc>
          <w:tcPr>
            <w:tcW w:w="754" w:type="dxa"/>
            <w:vMerge w:val="restart"/>
            <w:tcBorders>
              <w:top w:val="single" w:color="auto" w:sz="4" w:space="0"/>
              <w:left w:val="single" w:color="auto" w:sz="4" w:space="0"/>
              <w:bottom w:val="single" w:color="auto" w:sz="4" w:space="0"/>
              <w:right w:val="single" w:color="auto" w:sz="4" w:space="0"/>
            </w:tcBorders>
            <w:vAlign w:val="center"/>
          </w:tcPr>
          <w:p w14:paraId="4027D2D8">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分类</w:t>
            </w:r>
          </w:p>
        </w:tc>
        <w:tc>
          <w:tcPr>
            <w:tcW w:w="1303" w:type="dxa"/>
            <w:vMerge w:val="restart"/>
            <w:tcBorders>
              <w:top w:val="single" w:color="auto" w:sz="4" w:space="0"/>
              <w:left w:val="single" w:color="auto" w:sz="4" w:space="0"/>
              <w:bottom w:val="single" w:color="auto" w:sz="4" w:space="0"/>
              <w:right w:val="single" w:color="auto" w:sz="4" w:space="0"/>
            </w:tcBorders>
            <w:vAlign w:val="center"/>
          </w:tcPr>
          <w:p w14:paraId="63DCEA0F">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w:t>
            </w:r>
          </w:p>
        </w:tc>
        <w:tc>
          <w:tcPr>
            <w:tcW w:w="1666" w:type="dxa"/>
            <w:vMerge w:val="restart"/>
            <w:tcBorders>
              <w:top w:val="single" w:color="auto" w:sz="4" w:space="0"/>
              <w:left w:val="single" w:color="auto" w:sz="4" w:space="0"/>
              <w:bottom w:val="single" w:color="auto" w:sz="4" w:space="0"/>
              <w:right w:val="single" w:color="auto" w:sz="4" w:space="0"/>
            </w:tcBorders>
            <w:vAlign w:val="center"/>
          </w:tcPr>
          <w:p w14:paraId="34AE9394">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2785" w:type="dxa"/>
            <w:gridSpan w:val="3"/>
            <w:tcBorders>
              <w:top w:val="single" w:color="auto" w:sz="4" w:space="0"/>
              <w:left w:val="single" w:color="auto" w:sz="4" w:space="0"/>
              <w:bottom w:val="single" w:color="auto" w:sz="4" w:space="0"/>
              <w:right w:val="single" w:color="auto" w:sz="4" w:space="0"/>
            </w:tcBorders>
            <w:vAlign w:val="center"/>
          </w:tcPr>
          <w:p w14:paraId="50E34419">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2963" w:type="dxa"/>
            <w:vMerge w:val="restart"/>
            <w:tcBorders>
              <w:top w:val="single" w:color="auto" w:sz="4" w:space="0"/>
              <w:left w:val="single" w:color="auto" w:sz="4" w:space="0"/>
              <w:bottom w:val="single" w:color="auto" w:sz="4" w:space="0"/>
              <w:right w:val="single" w:color="auto" w:sz="4" w:space="0"/>
            </w:tcBorders>
            <w:vAlign w:val="center"/>
          </w:tcPr>
          <w:p w14:paraId="16D33B49">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处理措施</w:t>
            </w:r>
          </w:p>
        </w:tc>
        <w:tc>
          <w:tcPr>
            <w:tcW w:w="2369" w:type="dxa"/>
            <w:gridSpan w:val="3"/>
            <w:tcBorders>
              <w:top w:val="single" w:color="auto" w:sz="4" w:space="0"/>
              <w:left w:val="single" w:color="auto" w:sz="4" w:space="0"/>
              <w:bottom w:val="single" w:color="auto" w:sz="4" w:space="0"/>
              <w:right w:val="single" w:color="auto" w:sz="4" w:space="0"/>
            </w:tcBorders>
            <w:vAlign w:val="center"/>
          </w:tcPr>
          <w:p w14:paraId="35793144">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1623" w:type="dxa"/>
            <w:vMerge w:val="restart"/>
            <w:tcBorders>
              <w:top w:val="single" w:color="auto" w:sz="4" w:space="0"/>
              <w:left w:val="single" w:color="auto" w:sz="4" w:space="0"/>
              <w:bottom w:val="single" w:color="auto" w:sz="4" w:space="0"/>
              <w:right w:val="single" w:color="auto" w:sz="4" w:space="0"/>
            </w:tcBorders>
            <w:vAlign w:val="center"/>
          </w:tcPr>
          <w:p w14:paraId="7067C92E">
            <w:pPr>
              <w:adjustRightInd w:val="0"/>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标准值</w:t>
            </w:r>
          </w:p>
        </w:tc>
        <w:tc>
          <w:tcPr>
            <w:tcW w:w="707" w:type="dxa"/>
            <w:vMerge w:val="restart"/>
            <w:tcBorders>
              <w:top w:val="single" w:color="auto" w:sz="4" w:space="0"/>
              <w:left w:val="single" w:color="auto" w:sz="4" w:space="0"/>
              <w:bottom w:val="single" w:color="auto" w:sz="4" w:space="0"/>
              <w:right w:val="single" w:color="auto" w:sz="4" w:space="0"/>
            </w:tcBorders>
            <w:vAlign w:val="center"/>
          </w:tcPr>
          <w:p w14:paraId="43C6B24A">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5C23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tblHeader/>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2F8E5630">
            <w:pPr>
              <w:widowControl/>
              <w:spacing w:line="240" w:lineRule="auto"/>
              <w:jc w:val="left"/>
              <w:rPr>
                <w:rFonts w:hint="default" w:ascii="Times New Roman" w:hAnsi="Times New Roman" w:eastAsia="宋体" w:cs="Times New Roman"/>
                <w:b/>
                <w:bCs/>
                <w:color w:val="auto"/>
                <w:sz w:val="21"/>
                <w:szCs w:val="21"/>
              </w:rPr>
            </w:pPr>
          </w:p>
        </w:tc>
        <w:tc>
          <w:tcPr>
            <w:tcW w:w="1303" w:type="dxa"/>
            <w:vMerge w:val="continue"/>
            <w:tcBorders>
              <w:top w:val="single" w:color="auto" w:sz="4" w:space="0"/>
              <w:left w:val="single" w:color="auto" w:sz="4" w:space="0"/>
              <w:bottom w:val="single" w:color="auto" w:sz="4" w:space="0"/>
              <w:right w:val="single" w:color="auto" w:sz="4" w:space="0"/>
            </w:tcBorders>
            <w:vAlign w:val="center"/>
          </w:tcPr>
          <w:p w14:paraId="038FE234">
            <w:pPr>
              <w:widowControl/>
              <w:spacing w:line="240" w:lineRule="auto"/>
              <w:jc w:val="left"/>
              <w:rPr>
                <w:rFonts w:hint="default" w:ascii="Times New Roman" w:hAnsi="Times New Roman" w:eastAsia="宋体" w:cs="Times New Roman"/>
                <w:b/>
                <w:bCs/>
                <w:color w:val="auto"/>
                <w:sz w:val="21"/>
                <w:szCs w:val="21"/>
              </w:rPr>
            </w:pPr>
          </w:p>
        </w:tc>
        <w:tc>
          <w:tcPr>
            <w:tcW w:w="1666" w:type="dxa"/>
            <w:vMerge w:val="continue"/>
            <w:tcBorders>
              <w:top w:val="single" w:color="auto" w:sz="4" w:space="0"/>
              <w:left w:val="single" w:color="auto" w:sz="4" w:space="0"/>
              <w:bottom w:val="single" w:color="auto" w:sz="4" w:space="0"/>
              <w:right w:val="single" w:color="auto" w:sz="4" w:space="0"/>
            </w:tcBorders>
            <w:vAlign w:val="center"/>
          </w:tcPr>
          <w:p w14:paraId="534E1AB5">
            <w:pPr>
              <w:widowControl/>
              <w:spacing w:line="240" w:lineRule="auto"/>
              <w:jc w:val="left"/>
              <w:rPr>
                <w:rFonts w:hint="default" w:ascii="Times New Roman" w:hAnsi="Times New Roman" w:eastAsia="宋体" w:cs="Times New Roman"/>
                <w:b/>
                <w:bCs/>
                <w:color w:val="auto"/>
                <w:sz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2823AF28">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产生浓度</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75DE7BF3">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w:t>
            </w:r>
          </w:p>
        </w:tc>
        <w:tc>
          <w:tcPr>
            <w:tcW w:w="2963" w:type="dxa"/>
            <w:vMerge w:val="continue"/>
            <w:tcBorders>
              <w:top w:val="single" w:color="auto" w:sz="4" w:space="0"/>
              <w:left w:val="single" w:color="auto" w:sz="4" w:space="0"/>
              <w:bottom w:val="single" w:color="auto" w:sz="4" w:space="0"/>
              <w:right w:val="single" w:color="auto" w:sz="4" w:space="0"/>
            </w:tcBorders>
            <w:vAlign w:val="center"/>
          </w:tcPr>
          <w:p w14:paraId="5823B2BC">
            <w:pPr>
              <w:widowControl/>
              <w:spacing w:line="240" w:lineRule="auto"/>
              <w:jc w:val="left"/>
              <w:rPr>
                <w:rFonts w:hint="default" w:ascii="Times New Roman" w:hAnsi="Times New Roman" w:eastAsia="宋体" w:cs="Times New Roman"/>
                <w:b/>
                <w:bCs/>
                <w:color w:val="auto"/>
                <w:sz w:val="21"/>
                <w:szCs w:val="21"/>
              </w:rPr>
            </w:pP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2D9F055F">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w:t>
            </w:r>
          </w:p>
        </w:tc>
        <w:tc>
          <w:tcPr>
            <w:tcW w:w="1113" w:type="dxa"/>
            <w:tcBorders>
              <w:top w:val="single" w:color="auto" w:sz="4" w:space="0"/>
              <w:left w:val="single" w:color="auto" w:sz="4" w:space="0"/>
              <w:bottom w:val="single" w:color="auto" w:sz="4" w:space="0"/>
              <w:right w:val="single" w:color="auto" w:sz="4" w:space="0"/>
            </w:tcBorders>
            <w:vAlign w:val="center"/>
          </w:tcPr>
          <w:p w14:paraId="18C4D667">
            <w:pPr>
              <w:adjustRightInd w:val="0"/>
              <w:snapToGrid w:val="0"/>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tc>
        <w:tc>
          <w:tcPr>
            <w:tcW w:w="1623" w:type="dxa"/>
            <w:vMerge w:val="continue"/>
            <w:tcBorders>
              <w:top w:val="single" w:color="auto" w:sz="4" w:space="0"/>
              <w:left w:val="single" w:color="auto" w:sz="4" w:space="0"/>
              <w:bottom w:val="single" w:color="auto" w:sz="4" w:space="0"/>
              <w:right w:val="single" w:color="auto" w:sz="4" w:space="0"/>
            </w:tcBorders>
            <w:vAlign w:val="center"/>
          </w:tcPr>
          <w:p w14:paraId="2441CEAD">
            <w:pPr>
              <w:widowControl/>
              <w:spacing w:line="240" w:lineRule="auto"/>
              <w:jc w:val="left"/>
              <w:rPr>
                <w:rFonts w:hint="default" w:ascii="Times New Roman" w:hAnsi="Times New Roman" w:eastAsia="宋体" w:cs="Times New Roman"/>
                <w:b/>
                <w:bCs/>
                <w:color w:val="auto"/>
                <w:sz w:val="21"/>
                <w:szCs w:val="21"/>
              </w:rPr>
            </w:pPr>
          </w:p>
        </w:tc>
        <w:tc>
          <w:tcPr>
            <w:tcW w:w="707" w:type="dxa"/>
            <w:vMerge w:val="continue"/>
            <w:tcBorders>
              <w:top w:val="single" w:color="auto" w:sz="4" w:space="0"/>
              <w:left w:val="single" w:color="auto" w:sz="4" w:space="0"/>
              <w:bottom w:val="single" w:color="auto" w:sz="4" w:space="0"/>
              <w:right w:val="single" w:color="auto" w:sz="4" w:space="0"/>
            </w:tcBorders>
            <w:vAlign w:val="center"/>
          </w:tcPr>
          <w:p w14:paraId="450489B8">
            <w:pPr>
              <w:widowControl/>
              <w:spacing w:line="240" w:lineRule="auto"/>
              <w:jc w:val="left"/>
              <w:rPr>
                <w:rFonts w:hint="default" w:ascii="Times New Roman" w:hAnsi="Times New Roman" w:eastAsia="宋体" w:cs="Times New Roman"/>
                <w:b/>
                <w:bCs/>
                <w:color w:val="auto"/>
                <w:sz w:val="21"/>
                <w:szCs w:val="21"/>
              </w:rPr>
            </w:pPr>
          </w:p>
        </w:tc>
      </w:tr>
      <w:tr w14:paraId="4FB5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restart"/>
            <w:tcBorders>
              <w:top w:val="single" w:color="auto" w:sz="4" w:space="0"/>
              <w:left w:val="single" w:color="auto" w:sz="4" w:space="0"/>
              <w:right w:val="single" w:color="auto" w:sz="4" w:space="0"/>
            </w:tcBorders>
            <w:vAlign w:val="center"/>
          </w:tcPr>
          <w:p w14:paraId="521B410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p w14:paraId="521A05F3">
            <w:pPr>
              <w:widowControl/>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 </w:t>
            </w:r>
          </w:p>
          <w:p w14:paraId="571A89FB">
            <w:pPr>
              <w:widowControl/>
              <w:spacing w:line="240" w:lineRule="auto"/>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 xml:space="preserve"> </w:t>
            </w:r>
          </w:p>
          <w:p w14:paraId="48E4FE90">
            <w:pPr>
              <w:widowControl/>
              <w:spacing w:line="240" w:lineRule="auto"/>
              <w:jc w:val="left"/>
              <w:rPr>
                <w:rFonts w:hint="default" w:ascii="Times New Roman" w:hAnsi="Times New Roman" w:eastAsia="宋体" w:cs="Times New Roman"/>
                <w:color w:val="auto"/>
                <w:sz w:val="21"/>
                <w:szCs w:val="21"/>
                <w:lang w:eastAsia="zh-CN"/>
              </w:rPr>
            </w:pPr>
          </w:p>
        </w:tc>
        <w:tc>
          <w:tcPr>
            <w:tcW w:w="1303" w:type="dxa"/>
            <w:vMerge w:val="restart"/>
            <w:tcBorders>
              <w:top w:val="single" w:color="auto" w:sz="4" w:space="0"/>
              <w:left w:val="single" w:color="auto" w:sz="4" w:space="0"/>
              <w:right w:val="single" w:color="auto" w:sz="4" w:space="0"/>
            </w:tcBorders>
            <w:vAlign w:val="center"/>
          </w:tcPr>
          <w:p w14:paraId="259B2D2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生产废水</w:t>
            </w:r>
          </w:p>
        </w:tc>
        <w:tc>
          <w:tcPr>
            <w:tcW w:w="1666" w:type="dxa"/>
            <w:tcBorders>
              <w:top w:val="single" w:color="auto" w:sz="4" w:space="0"/>
              <w:left w:val="single" w:color="auto" w:sz="4" w:space="0"/>
              <w:bottom w:val="single" w:color="auto" w:sz="4" w:space="0"/>
              <w:right w:val="single" w:color="auto" w:sz="4" w:space="0"/>
            </w:tcBorders>
            <w:vAlign w:val="center"/>
          </w:tcPr>
          <w:p w14:paraId="03408244">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2785" w:type="dxa"/>
            <w:gridSpan w:val="3"/>
            <w:tcBorders>
              <w:top w:val="single" w:color="auto" w:sz="4" w:space="0"/>
              <w:left w:val="single" w:color="auto" w:sz="4" w:space="0"/>
              <w:bottom w:val="single" w:color="auto" w:sz="4" w:space="0"/>
              <w:right w:val="single" w:color="auto" w:sz="4" w:space="0"/>
            </w:tcBorders>
            <w:vAlign w:val="center"/>
          </w:tcPr>
          <w:p w14:paraId="1580FE6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4432.5</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c>
          <w:tcPr>
            <w:tcW w:w="2963" w:type="dxa"/>
            <w:vMerge w:val="restart"/>
            <w:tcBorders>
              <w:top w:val="single" w:color="auto" w:sz="4" w:space="0"/>
              <w:left w:val="single" w:color="auto" w:sz="4" w:space="0"/>
              <w:right w:val="single" w:color="auto" w:sz="4" w:space="0"/>
            </w:tcBorders>
            <w:vAlign w:val="center"/>
          </w:tcPr>
          <w:p w14:paraId="5BA32F0F">
            <w:pPr>
              <w:adjustRightInd w:val="0"/>
              <w:snapToGrid w:val="0"/>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三级沉淀池、</w:t>
            </w:r>
            <w:r>
              <w:rPr>
                <w:rFonts w:hint="eastAsia" w:ascii="Times New Roman" w:hAnsi="Times New Roman" w:cs="Times New Roman"/>
                <w:color w:val="auto"/>
                <w:sz w:val="21"/>
                <w:szCs w:val="21"/>
                <w:highlight w:val="none"/>
                <w:lang w:val="en-US" w:eastAsia="zh-CN"/>
              </w:rPr>
              <w:t>一体化污水处理设备</w:t>
            </w:r>
          </w:p>
        </w:tc>
        <w:tc>
          <w:tcPr>
            <w:tcW w:w="2369" w:type="dxa"/>
            <w:gridSpan w:val="3"/>
            <w:tcBorders>
              <w:top w:val="single" w:color="auto" w:sz="4" w:space="0"/>
              <w:left w:val="single" w:color="auto" w:sz="4" w:space="0"/>
              <w:bottom w:val="single" w:color="auto" w:sz="4" w:space="0"/>
              <w:right w:val="single" w:color="auto" w:sz="4" w:space="0"/>
            </w:tcBorders>
            <w:vAlign w:val="center"/>
          </w:tcPr>
          <w:p w14:paraId="2964360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4432.5</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c>
          <w:tcPr>
            <w:tcW w:w="1623" w:type="dxa"/>
            <w:tcBorders>
              <w:top w:val="single" w:color="auto" w:sz="4" w:space="0"/>
              <w:left w:val="single" w:color="auto" w:sz="4" w:space="0"/>
              <w:bottom w:val="single" w:color="auto" w:sz="4" w:space="0"/>
              <w:right w:val="single" w:color="auto" w:sz="4" w:space="0"/>
            </w:tcBorders>
            <w:vAlign w:val="center"/>
          </w:tcPr>
          <w:p w14:paraId="60476BAF">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7" w:type="dxa"/>
            <w:tcBorders>
              <w:top w:val="single" w:color="auto" w:sz="4" w:space="0"/>
              <w:left w:val="single" w:color="auto" w:sz="4" w:space="0"/>
              <w:bottom w:val="single" w:color="auto" w:sz="4" w:space="0"/>
              <w:right w:val="single" w:color="auto" w:sz="4" w:space="0"/>
            </w:tcBorders>
            <w:vAlign w:val="center"/>
          </w:tcPr>
          <w:p w14:paraId="0D9B2471">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55E2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6F70878A">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1CFC1EDF">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7FF6F95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5B7255E1">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668mg/m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61AAFF47">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2.96</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4E10CE3B">
            <w:pPr>
              <w:adjustRightInd w:val="0"/>
              <w:snapToGrid w:val="0"/>
              <w:spacing w:line="240" w:lineRule="auto"/>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636138C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0AE33FB4">
            <w:pPr>
              <w:pStyle w:val="75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1.30</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6746127B">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66037A5B">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171BF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BE91B67">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24AABEDD">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31F2F0AA">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59DE3CAB">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349</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1405BAD9">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1.55</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6459AFF4">
            <w:pPr>
              <w:adjustRightInd w:val="0"/>
              <w:snapToGrid w:val="0"/>
              <w:spacing w:line="240" w:lineRule="auto"/>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4D8CACA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35E95622">
            <w:pPr>
              <w:pStyle w:val="75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0.74</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3C4EE1A5">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0AD36B95">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达标</w:t>
            </w:r>
          </w:p>
        </w:tc>
      </w:tr>
      <w:tr w14:paraId="4739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4EC87645">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391FBB8F">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3239A2F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30EB6DA2">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445</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777FED37">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1.97</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27C40733">
            <w:pPr>
              <w:adjustRightInd w:val="0"/>
              <w:snapToGrid w:val="0"/>
              <w:spacing w:line="240" w:lineRule="auto"/>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3EB2F62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452F2D1E">
            <w:pPr>
              <w:pStyle w:val="756"/>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0.44</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37C0F67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0940E25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达标</w:t>
            </w:r>
          </w:p>
        </w:tc>
      </w:tr>
      <w:tr w14:paraId="4448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B3912CB">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07231494">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5680EBE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LAS</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68A818F2">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169BC1F1">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0.017</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53354B13">
            <w:pPr>
              <w:adjustRightInd w:val="0"/>
              <w:snapToGrid w:val="0"/>
              <w:spacing w:line="240" w:lineRule="auto"/>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0E71095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45A8819C">
            <w:pPr>
              <w:pStyle w:val="756"/>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0.005</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3C41E367">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523FBF3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达标</w:t>
            </w:r>
          </w:p>
        </w:tc>
      </w:tr>
      <w:tr w14:paraId="0400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1010D422">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482EA031">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7ED45E6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色度</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66B65372">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300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0474CF1D">
            <w:pPr>
              <w:pStyle w:val="756"/>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1.33</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16F65A07">
            <w:pPr>
              <w:adjustRightInd w:val="0"/>
              <w:snapToGrid w:val="0"/>
              <w:spacing w:line="240" w:lineRule="auto"/>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29FF0F5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087B5228">
            <w:pPr>
              <w:pStyle w:val="75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0.07</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46E7C63F">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64</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6E62D0F5">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达标</w:t>
            </w:r>
          </w:p>
        </w:tc>
      </w:tr>
      <w:tr w14:paraId="02D8D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6EBD4DCE">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535786D9">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5BFB3F4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020842B2">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5</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4CE79FEE">
            <w:pPr>
              <w:pStyle w:val="756"/>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43ADCFBE">
            <w:pPr>
              <w:adjustRightInd w:val="0"/>
              <w:snapToGrid w:val="0"/>
              <w:spacing w:line="240" w:lineRule="auto"/>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167FC9B7">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08911DAD">
            <w:pPr>
              <w:pStyle w:val="756"/>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0.009</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4CC9B79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472BE9B5">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达标</w:t>
            </w:r>
          </w:p>
        </w:tc>
      </w:tr>
      <w:tr w14:paraId="5B29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BB6A2C9">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bottom w:val="single" w:color="auto" w:sz="4" w:space="0"/>
              <w:right w:val="single" w:color="auto" w:sz="4" w:space="0"/>
            </w:tcBorders>
            <w:vAlign w:val="center"/>
          </w:tcPr>
          <w:p w14:paraId="4A89CB11">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65302C6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4FDDCD6F">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30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2532A93A">
            <w:pPr>
              <w:pStyle w:val="756"/>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0.13</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bottom w:val="single" w:color="auto" w:sz="4" w:space="0"/>
              <w:right w:val="single" w:color="auto" w:sz="4" w:space="0"/>
            </w:tcBorders>
            <w:vAlign w:val="center"/>
          </w:tcPr>
          <w:p w14:paraId="01C7E8F9">
            <w:pPr>
              <w:adjustRightInd w:val="0"/>
              <w:snapToGrid w:val="0"/>
              <w:spacing w:line="240" w:lineRule="auto"/>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385C2186">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5DD6B0C2">
            <w:pPr>
              <w:pStyle w:val="756"/>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2B1367C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2091CCD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达标</w:t>
            </w:r>
          </w:p>
        </w:tc>
      </w:tr>
      <w:tr w14:paraId="4521E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535" w:hRule="atLeast"/>
          <w:jc w:val="center"/>
        </w:trPr>
        <w:tc>
          <w:tcPr>
            <w:tcW w:w="754" w:type="dxa"/>
            <w:vMerge w:val="continue"/>
            <w:tcBorders>
              <w:left w:val="single" w:color="auto" w:sz="4" w:space="0"/>
              <w:right w:val="single" w:color="auto" w:sz="4" w:space="0"/>
            </w:tcBorders>
            <w:vAlign w:val="center"/>
          </w:tcPr>
          <w:p w14:paraId="12758620">
            <w:pPr>
              <w:widowControl/>
              <w:spacing w:line="240" w:lineRule="auto"/>
              <w:jc w:val="left"/>
              <w:rPr>
                <w:rFonts w:hint="default" w:ascii="Times New Roman" w:hAnsi="Times New Roman" w:eastAsia="宋体" w:cs="Times New Roman"/>
                <w:color w:val="auto"/>
                <w:sz w:val="21"/>
                <w:szCs w:val="21"/>
              </w:rPr>
            </w:pPr>
          </w:p>
        </w:tc>
        <w:tc>
          <w:tcPr>
            <w:tcW w:w="1303" w:type="dxa"/>
            <w:vMerge w:val="restart"/>
            <w:tcBorders>
              <w:left w:val="single" w:color="auto" w:sz="4" w:space="0"/>
              <w:right w:val="single" w:color="auto" w:sz="4" w:space="0"/>
            </w:tcBorders>
            <w:vAlign w:val="center"/>
          </w:tcPr>
          <w:p w14:paraId="3B797DA2">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生活废水</w:t>
            </w:r>
          </w:p>
        </w:tc>
        <w:tc>
          <w:tcPr>
            <w:tcW w:w="1666" w:type="dxa"/>
            <w:tcBorders>
              <w:top w:val="single" w:color="auto" w:sz="4" w:space="0"/>
              <w:left w:val="single" w:color="auto" w:sz="4" w:space="0"/>
              <w:bottom w:val="single" w:color="auto" w:sz="4" w:space="0"/>
              <w:right w:val="single" w:color="auto" w:sz="4" w:space="0"/>
            </w:tcBorders>
            <w:vAlign w:val="center"/>
          </w:tcPr>
          <w:p w14:paraId="6D6D36B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废水量</w:t>
            </w:r>
          </w:p>
        </w:tc>
        <w:tc>
          <w:tcPr>
            <w:tcW w:w="2785" w:type="dxa"/>
            <w:gridSpan w:val="3"/>
            <w:tcBorders>
              <w:top w:val="single" w:color="auto" w:sz="4" w:space="0"/>
              <w:left w:val="single" w:color="auto" w:sz="4" w:space="0"/>
              <w:bottom w:val="single" w:color="auto" w:sz="4" w:space="0"/>
              <w:right w:val="single" w:color="auto" w:sz="4" w:space="0"/>
            </w:tcBorders>
            <w:vAlign w:val="center"/>
          </w:tcPr>
          <w:p w14:paraId="0F2F456E">
            <w:pPr>
              <w:adjustRightInd w:val="0"/>
              <w:snapToGri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lang w:val="en-US" w:eastAsia="zh-CN"/>
              </w:rPr>
              <w:t>6960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c>
          <w:tcPr>
            <w:tcW w:w="2963" w:type="dxa"/>
            <w:vMerge w:val="restart"/>
            <w:tcBorders>
              <w:left w:val="single" w:color="auto" w:sz="4" w:space="0"/>
              <w:right w:val="single" w:color="auto" w:sz="4" w:space="0"/>
            </w:tcBorders>
            <w:vAlign w:val="center"/>
          </w:tcPr>
          <w:p w14:paraId="5656A40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化粪池、隔油池</w:t>
            </w:r>
          </w:p>
        </w:tc>
        <w:tc>
          <w:tcPr>
            <w:tcW w:w="2369" w:type="dxa"/>
            <w:gridSpan w:val="3"/>
            <w:tcBorders>
              <w:top w:val="single" w:color="auto" w:sz="4" w:space="0"/>
              <w:left w:val="single" w:color="auto" w:sz="4" w:space="0"/>
              <w:bottom w:val="single" w:color="auto" w:sz="4" w:space="0"/>
              <w:right w:val="single" w:color="auto" w:sz="4" w:space="0"/>
            </w:tcBorders>
            <w:vAlign w:val="center"/>
          </w:tcPr>
          <w:p w14:paraId="21F7399E">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6960</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c>
          <w:tcPr>
            <w:tcW w:w="1623" w:type="dxa"/>
            <w:tcBorders>
              <w:top w:val="single" w:color="auto" w:sz="4" w:space="0"/>
              <w:left w:val="single" w:color="auto" w:sz="4" w:space="0"/>
              <w:bottom w:val="single" w:color="auto" w:sz="4" w:space="0"/>
              <w:right w:val="single" w:color="auto" w:sz="4" w:space="0"/>
            </w:tcBorders>
            <w:vAlign w:val="center"/>
          </w:tcPr>
          <w:p w14:paraId="12DEEC87">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p>
        </w:tc>
        <w:tc>
          <w:tcPr>
            <w:tcW w:w="707" w:type="dxa"/>
            <w:tcBorders>
              <w:top w:val="single" w:color="auto" w:sz="4" w:space="0"/>
              <w:left w:val="single" w:color="auto" w:sz="4" w:space="0"/>
              <w:bottom w:val="single" w:color="auto" w:sz="4" w:space="0"/>
              <w:right w:val="single" w:color="auto" w:sz="4" w:space="0"/>
            </w:tcBorders>
            <w:vAlign w:val="center"/>
          </w:tcPr>
          <w:p w14:paraId="5001AE78">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p>
        </w:tc>
      </w:tr>
      <w:tr w14:paraId="1776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FDAB5D6">
            <w:pPr>
              <w:widowControl/>
              <w:spacing w:line="240" w:lineRule="auto"/>
              <w:jc w:val="left"/>
              <w:rPr>
                <w:rFonts w:hint="default" w:ascii="Times New Roman" w:hAnsi="Times New Roman" w:eastAsia="宋体" w:cs="Times New Roman"/>
                <w:color w:val="auto"/>
                <w:sz w:val="21"/>
                <w:szCs w:val="21"/>
                <w:lang w:eastAsia="zh-CN"/>
              </w:rPr>
            </w:pPr>
          </w:p>
        </w:tc>
        <w:tc>
          <w:tcPr>
            <w:tcW w:w="1303" w:type="dxa"/>
            <w:vMerge w:val="continue"/>
            <w:tcBorders>
              <w:left w:val="single" w:color="auto" w:sz="4" w:space="0"/>
              <w:right w:val="single" w:color="auto" w:sz="4" w:space="0"/>
            </w:tcBorders>
            <w:vAlign w:val="center"/>
          </w:tcPr>
          <w:p w14:paraId="28740005">
            <w:pPr>
              <w:adjustRightInd w:val="0"/>
              <w:snapToGrid w:val="0"/>
              <w:spacing w:line="240" w:lineRule="auto"/>
              <w:jc w:val="center"/>
              <w:rPr>
                <w:rFonts w:hint="default" w:ascii="Times New Roman" w:hAnsi="Times New Roman" w:eastAsia="宋体" w:cs="Times New Roman"/>
                <w:color w:val="auto"/>
                <w:sz w:val="21"/>
                <w:szCs w:val="21"/>
                <w:lang w:eastAsia="zh-CN"/>
              </w:rPr>
            </w:pPr>
          </w:p>
        </w:tc>
        <w:tc>
          <w:tcPr>
            <w:tcW w:w="1666" w:type="dxa"/>
            <w:tcBorders>
              <w:top w:val="single" w:color="auto" w:sz="4" w:space="0"/>
              <w:left w:val="single" w:color="auto" w:sz="4" w:space="0"/>
              <w:bottom w:val="single" w:color="auto" w:sz="4" w:space="0"/>
              <w:right w:val="single" w:color="auto" w:sz="4" w:space="0"/>
            </w:tcBorders>
            <w:vAlign w:val="center"/>
          </w:tcPr>
          <w:p w14:paraId="019A4B0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440E7BA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6943B45F">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2.44</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10A46B2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57A2FB6C">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300mg/m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6F3E3A70">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2.088</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454ED2F0">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014337DD">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116DD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31BD6C78">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414F3823">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34419C4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5DE0364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451748E9">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1.34</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51EF0349">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316FC146">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180mg/m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4702FFC4">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1.25</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02D0295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105B3A67">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1B06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034F3FBD">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right w:val="single" w:color="auto" w:sz="4" w:space="0"/>
            </w:tcBorders>
            <w:vAlign w:val="center"/>
          </w:tcPr>
          <w:p w14:paraId="399F3265">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6514D16D">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097A07E0">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6D826129">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1.34</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3ECC65AC">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5C1A1820">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140mg/m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7CFFB273">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0.97</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1788C68B">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24B46D1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5B5B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41BC443B">
            <w:pPr>
              <w:widowControl/>
              <w:spacing w:line="240" w:lineRule="auto"/>
              <w:jc w:val="left"/>
              <w:rPr>
                <w:rFonts w:hint="default" w:ascii="Times New Roman" w:hAnsi="Times New Roman" w:eastAsia="宋体" w:cs="Times New Roman"/>
                <w:color w:val="auto"/>
                <w:sz w:val="21"/>
                <w:szCs w:val="21"/>
                <w:lang w:eastAsia="zh-CN"/>
              </w:rPr>
            </w:pPr>
          </w:p>
        </w:tc>
        <w:tc>
          <w:tcPr>
            <w:tcW w:w="1303" w:type="dxa"/>
            <w:vMerge w:val="continue"/>
            <w:tcBorders>
              <w:left w:val="single" w:color="auto" w:sz="4" w:space="0"/>
              <w:right w:val="single" w:color="auto" w:sz="4" w:space="0"/>
            </w:tcBorders>
            <w:vAlign w:val="center"/>
          </w:tcPr>
          <w:p w14:paraId="29B4EA8B">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3339548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54ED7855">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278E33CC">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right w:val="single" w:color="auto" w:sz="4" w:space="0"/>
            </w:tcBorders>
            <w:vAlign w:val="center"/>
          </w:tcPr>
          <w:p w14:paraId="08D7A1D3">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2965B268">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3mg/m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74ABCDCD">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417A2AC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0522F0B4">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748C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06FE6FF">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bottom w:val="single" w:color="auto" w:sz="4" w:space="0"/>
              <w:right w:val="single" w:color="auto" w:sz="4" w:space="0"/>
            </w:tcBorders>
            <w:vAlign w:val="center"/>
          </w:tcPr>
          <w:p w14:paraId="5E450310">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49EC63B8">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561" w:type="dxa"/>
            <w:gridSpan w:val="2"/>
            <w:tcBorders>
              <w:top w:val="single" w:color="auto" w:sz="4" w:space="0"/>
              <w:left w:val="single" w:color="auto" w:sz="4" w:space="0"/>
              <w:bottom w:val="single" w:color="auto" w:sz="4" w:space="0"/>
              <w:right w:val="single" w:color="auto" w:sz="4" w:space="0"/>
            </w:tcBorders>
            <w:vAlign w:val="center"/>
          </w:tcPr>
          <w:p w14:paraId="41712351">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1224" w:type="dxa"/>
            <w:tcBorders>
              <w:top w:val="single" w:color="auto" w:sz="4" w:space="0"/>
              <w:left w:val="single" w:color="auto" w:sz="4" w:space="0"/>
              <w:bottom w:val="single" w:color="auto" w:sz="4" w:space="0"/>
              <w:right w:val="single" w:color="auto" w:sz="4" w:space="0"/>
            </w:tcBorders>
            <w:vAlign w:val="center"/>
          </w:tcPr>
          <w:p w14:paraId="2F421A1B">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r>
              <w:rPr>
                <w:rFonts w:hint="default" w:ascii="Times New Roman" w:hAnsi="Times New Roman" w:eastAsia="宋体" w:cs="Times New Roman"/>
                <w:color w:val="auto"/>
                <w:sz w:val="21"/>
                <w:szCs w:val="21"/>
              </w:rPr>
              <w:t>t/a</w:t>
            </w:r>
          </w:p>
        </w:tc>
        <w:tc>
          <w:tcPr>
            <w:tcW w:w="2963" w:type="dxa"/>
            <w:vMerge w:val="continue"/>
            <w:tcBorders>
              <w:left w:val="single" w:color="auto" w:sz="4" w:space="0"/>
              <w:bottom w:val="single" w:color="auto" w:sz="4" w:space="0"/>
              <w:right w:val="single" w:color="auto" w:sz="4" w:space="0"/>
            </w:tcBorders>
            <w:vAlign w:val="center"/>
          </w:tcPr>
          <w:p w14:paraId="48FB611E">
            <w:pPr>
              <w:adjustRightInd w:val="0"/>
              <w:snapToGrid w:val="0"/>
              <w:spacing w:line="240" w:lineRule="auto"/>
              <w:ind w:firstLine="0" w:firstLineChars="0"/>
              <w:jc w:val="center"/>
              <w:rPr>
                <w:rFonts w:hint="default" w:ascii="Times New Roman" w:hAnsi="Times New Roman" w:eastAsia="宋体" w:cs="Times New Roman"/>
                <w:color w:val="auto"/>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223AEC1F">
            <w:pPr>
              <w:pStyle w:val="75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25mg/m</w:t>
            </w:r>
            <w:r>
              <w:rPr>
                <w:rFonts w:hint="default" w:ascii="Times New Roman" w:hAnsi="Times New Roman" w:eastAsia="宋体" w:cs="Times New Roman"/>
                <w:color w:val="auto"/>
                <w:kern w:val="0"/>
                <w:sz w:val="21"/>
                <w:szCs w:val="21"/>
                <w:vertAlign w:val="superscript"/>
              </w:rPr>
              <w:t>3</w:t>
            </w:r>
          </w:p>
        </w:tc>
        <w:tc>
          <w:tcPr>
            <w:tcW w:w="1229" w:type="dxa"/>
            <w:gridSpan w:val="2"/>
            <w:tcBorders>
              <w:top w:val="single" w:color="auto" w:sz="4" w:space="0"/>
              <w:left w:val="single" w:color="auto" w:sz="4" w:space="0"/>
              <w:bottom w:val="single" w:color="auto" w:sz="4" w:space="0"/>
              <w:right w:val="single" w:color="auto" w:sz="4" w:space="0"/>
            </w:tcBorders>
            <w:vAlign w:val="center"/>
          </w:tcPr>
          <w:p w14:paraId="49F80158">
            <w:pPr>
              <w:pStyle w:val="756"/>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0.17</w:t>
            </w:r>
            <w:r>
              <w:rPr>
                <w:rFonts w:hint="default" w:ascii="Times New Roman" w:hAnsi="Times New Roman" w:eastAsia="宋体" w:cs="Times New Roman"/>
                <w:color w:val="auto"/>
                <w:sz w:val="21"/>
                <w:szCs w:val="21"/>
              </w:rPr>
              <w:t>t/a</w:t>
            </w:r>
          </w:p>
        </w:tc>
        <w:tc>
          <w:tcPr>
            <w:tcW w:w="1623" w:type="dxa"/>
            <w:tcBorders>
              <w:top w:val="single" w:color="auto" w:sz="4" w:space="0"/>
              <w:left w:val="single" w:color="auto" w:sz="4" w:space="0"/>
              <w:bottom w:val="single" w:color="auto" w:sz="4" w:space="0"/>
              <w:right w:val="single" w:color="auto" w:sz="4" w:space="0"/>
            </w:tcBorders>
            <w:vAlign w:val="center"/>
          </w:tcPr>
          <w:p w14:paraId="6E19DB1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r>
              <w:rPr>
                <w:rFonts w:hint="default" w:ascii="Times New Roman" w:hAnsi="Times New Roman" w:eastAsia="宋体" w:cs="Times New Roman"/>
                <w:color w:val="auto"/>
                <w:kern w:val="0"/>
                <w:sz w:val="21"/>
                <w:szCs w:val="21"/>
              </w:rPr>
              <w:t>mg/m</w:t>
            </w:r>
            <w:r>
              <w:rPr>
                <w:rFonts w:hint="default" w:ascii="Times New Roman" w:hAnsi="Times New Roman" w:eastAsia="宋体" w:cs="Times New Roman"/>
                <w:color w:val="auto"/>
                <w:kern w:val="0"/>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48AC3F8B">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达标</w:t>
            </w:r>
          </w:p>
        </w:tc>
      </w:tr>
      <w:tr w14:paraId="4FE5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72" w:hRule="atLeast"/>
          <w:jc w:val="center"/>
        </w:trPr>
        <w:tc>
          <w:tcPr>
            <w:tcW w:w="754" w:type="dxa"/>
            <w:vMerge w:val="restart"/>
            <w:tcBorders>
              <w:left w:val="single" w:color="auto" w:sz="4" w:space="0"/>
              <w:right w:val="single" w:color="auto" w:sz="4" w:space="0"/>
            </w:tcBorders>
            <w:vAlign w:val="center"/>
          </w:tcPr>
          <w:p w14:paraId="086371B4">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废气</w:t>
            </w:r>
          </w:p>
        </w:tc>
        <w:tc>
          <w:tcPr>
            <w:tcW w:w="1303" w:type="dxa"/>
            <w:tcBorders>
              <w:top w:val="single" w:color="auto" w:sz="4" w:space="0"/>
              <w:left w:val="single" w:color="auto" w:sz="4" w:space="0"/>
              <w:bottom w:val="single" w:color="auto" w:sz="4" w:space="0"/>
              <w:right w:val="single" w:color="auto" w:sz="4" w:space="0"/>
            </w:tcBorders>
            <w:vAlign w:val="center"/>
          </w:tcPr>
          <w:p w14:paraId="4362D6DF">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服装制造</w:t>
            </w:r>
          </w:p>
        </w:tc>
        <w:tc>
          <w:tcPr>
            <w:tcW w:w="1666" w:type="dxa"/>
            <w:tcBorders>
              <w:top w:val="single" w:color="auto" w:sz="4" w:space="0"/>
              <w:left w:val="single" w:color="auto" w:sz="4" w:space="0"/>
              <w:bottom w:val="single" w:color="auto" w:sz="4" w:space="0"/>
              <w:right w:val="single" w:color="auto" w:sz="4" w:space="0"/>
            </w:tcBorders>
            <w:vAlign w:val="center"/>
          </w:tcPr>
          <w:p w14:paraId="56CF05A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粉尘</w:t>
            </w:r>
          </w:p>
        </w:tc>
        <w:tc>
          <w:tcPr>
            <w:tcW w:w="1559" w:type="dxa"/>
            <w:tcBorders>
              <w:top w:val="single" w:color="auto" w:sz="4" w:space="0"/>
              <w:left w:val="single" w:color="auto" w:sz="4" w:space="0"/>
              <w:bottom w:val="single" w:color="auto" w:sz="4" w:space="0"/>
              <w:right w:val="single" w:color="auto" w:sz="4" w:space="0"/>
            </w:tcBorders>
            <w:vAlign w:val="center"/>
          </w:tcPr>
          <w:p w14:paraId="57F2EF70">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023B7D03">
            <w:pPr>
              <w:adjustRightInd w:val="0"/>
              <w:snapToGri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少量</w:t>
            </w:r>
          </w:p>
        </w:tc>
        <w:tc>
          <w:tcPr>
            <w:tcW w:w="2963" w:type="dxa"/>
            <w:tcBorders>
              <w:top w:val="single" w:color="auto" w:sz="4" w:space="0"/>
              <w:left w:val="single" w:color="auto" w:sz="4" w:space="0"/>
              <w:bottom w:val="single" w:color="auto" w:sz="4" w:space="0"/>
              <w:right w:val="single" w:color="auto" w:sz="4" w:space="0"/>
            </w:tcBorders>
            <w:vAlign w:val="center"/>
          </w:tcPr>
          <w:p w14:paraId="102330B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室内沉降</w:t>
            </w:r>
            <w:r>
              <w:rPr>
                <w:rFonts w:hint="default" w:ascii="Times New Roman" w:hAnsi="Times New Roman" w:eastAsia="宋体" w:cs="Times New Roman"/>
                <w:color w:val="auto"/>
                <w:sz w:val="21"/>
                <w:szCs w:val="21"/>
                <w:lang w:eastAsia="zh-CN"/>
              </w:rPr>
              <w:t>、自由扩散</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76F24B1A">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1113" w:type="dxa"/>
            <w:tcBorders>
              <w:top w:val="single" w:color="auto" w:sz="4" w:space="0"/>
              <w:left w:val="single" w:color="auto" w:sz="4" w:space="0"/>
              <w:bottom w:val="single" w:color="auto" w:sz="4" w:space="0"/>
              <w:right w:val="single" w:color="auto" w:sz="4" w:space="0"/>
            </w:tcBorders>
            <w:vAlign w:val="center"/>
          </w:tcPr>
          <w:p w14:paraId="075FB9F8">
            <w:pPr>
              <w:adjustRightInd w:val="0"/>
              <w:snapToGrid w:val="0"/>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少量</w:t>
            </w:r>
          </w:p>
        </w:tc>
        <w:tc>
          <w:tcPr>
            <w:tcW w:w="1623" w:type="dxa"/>
            <w:tcBorders>
              <w:top w:val="single" w:color="auto" w:sz="4" w:space="0"/>
              <w:left w:val="single" w:color="auto" w:sz="4" w:space="0"/>
              <w:bottom w:val="single" w:color="auto" w:sz="4" w:space="0"/>
              <w:right w:val="single" w:color="auto" w:sz="4" w:space="0"/>
            </w:tcBorders>
            <w:vAlign w:val="center"/>
          </w:tcPr>
          <w:p w14:paraId="42787A0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07" w:type="dxa"/>
            <w:tcBorders>
              <w:top w:val="single" w:color="auto" w:sz="4" w:space="0"/>
              <w:left w:val="single" w:color="auto" w:sz="4" w:space="0"/>
              <w:bottom w:val="single" w:color="auto" w:sz="4" w:space="0"/>
              <w:right w:val="single" w:color="auto" w:sz="4" w:space="0"/>
            </w:tcBorders>
            <w:vAlign w:val="center"/>
          </w:tcPr>
          <w:p w14:paraId="693E2521">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C22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D0BF02A">
            <w:pPr>
              <w:widowControl/>
              <w:spacing w:line="240" w:lineRule="auto"/>
              <w:jc w:val="left"/>
              <w:rPr>
                <w:rFonts w:hint="default" w:ascii="Times New Roman" w:hAnsi="Times New Roman" w:eastAsia="宋体" w:cs="Times New Roman"/>
                <w:color w:val="auto"/>
                <w:sz w:val="21"/>
                <w:szCs w:val="21"/>
              </w:rPr>
            </w:pPr>
          </w:p>
        </w:tc>
        <w:tc>
          <w:tcPr>
            <w:tcW w:w="1303" w:type="dxa"/>
            <w:tcBorders>
              <w:top w:val="single" w:color="auto" w:sz="4" w:space="0"/>
              <w:left w:val="single" w:color="auto" w:sz="4" w:space="0"/>
              <w:bottom w:val="single" w:color="auto" w:sz="4" w:space="0"/>
              <w:right w:val="single" w:color="auto" w:sz="4" w:space="0"/>
            </w:tcBorders>
            <w:vAlign w:val="center"/>
          </w:tcPr>
          <w:p w14:paraId="0B2EC99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食堂油烟</w:t>
            </w:r>
          </w:p>
        </w:tc>
        <w:tc>
          <w:tcPr>
            <w:tcW w:w="1666" w:type="dxa"/>
            <w:tcBorders>
              <w:top w:val="single" w:color="auto" w:sz="4" w:space="0"/>
              <w:left w:val="single" w:color="auto" w:sz="4" w:space="0"/>
              <w:bottom w:val="single" w:color="auto" w:sz="4" w:space="0"/>
              <w:right w:val="single" w:color="auto" w:sz="4" w:space="0"/>
            </w:tcBorders>
            <w:vAlign w:val="center"/>
          </w:tcPr>
          <w:p w14:paraId="7B87B16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w:t>
            </w:r>
          </w:p>
        </w:tc>
        <w:tc>
          <w:tcPr>
            <w:tcW w:w="1559" w:type="dxa"/>
            <w:tcBorders>
              <w:top w:val="single" w:color="auto" w:sz="4" w:space="0"/>
              <w:left w:val="single" w:color="auto" w:sz="4" w:space="0"/>
              <w:bottom w:val="single" w:color="auto" w:sz="4" w:space="0"/>
              <w:right w:val="single" w:color="auto" w:sz="4" w:space="0"/>
            </w:tcBorders>
            <w:vAlign w:val="center"/>
          </w:tcPr>
          <w:p w14:paraId="20110447">
            <w:pPr>
              <w:adjustRightInd w:val="0"/>
              <w:snapToGrid w:val="0"/>
              <w:spacing w:line="240" w:lineRule="auto"/>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lang w:val="en-US" w:eastAsia="zh-CN"/>
              </w:rPr>
              <w:t>3.75</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54534755">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0.147t/a</w:t>
            </w:r>
          </w:p>
        </w:tc>
        <w:tc>
          <w:tcPr>
            <w:tcW w:w="2963" w:type="dxa"/>
            <w:tcBorders>
              <w:top w:val="single" w:color="auto" w:sz="4" w:space="0"/>
              <w:left w:val="single" w:color="auto" w:sz="4" w:space="0"/>
              <w:bottom w:val="single" w:color="auto" w:sz="4" w:space="0"/>
              <w:right w:val="single" w:color="auto" w:sz="4" w:space="0"/>
            </w:tcBorders>
            <w:vAlign w:val="center"/>
          </w:tcPr>
          <w:p w14:paraId="09360A1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油烟机1台，净化效率不低于</w:t>
            </w:r>
            <w:r>
              <w:rPr>
                <w:rFonts w:hint="default" w:ascii="Times New Roman" w:hAnsi="Times New Roman" w:eastAsia="宋体" w:cs="Times New Roman"/>
                <w:color w:val="auto"/>
                <w:sz w:val="21"/>
                <w:szCs w:val="21"/>
                <w:lang w:val="en-US" w:eastAsia="zh-CN"/>
              </w:rPr>
              <w:t>75</w:t>
            </w:r>
            <w:r>
              <w:rPr>
                <w:rFonts w:hint="default" w:ascii="Times New Roman" w:hAnsi="Times New Roman" w:eastAsia="宋体" w:cs="Times New Roman"/>
                <w:color w:val="auto"/>
                <w:sz w:val="21"/>
                <w:szCs w:val="21"/>
              </w:rPr>
              <w:t>%。</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6B9EA6A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94</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1113" w:type="dxa"/>
            <w:tcBorders>
              <w:top w:val="single" w:color="auto" w:sz="4" w:space="0"/>
              <w:left w:val="single" w:color="auto" w:sz="4" w:space="0"/>
              <w:bottom w:val="single" w:color="auto" w:sz="4" w:space="0"/>
              <w:right w:val="single" w:color="auto" w:sz="4" w:space="0"/>
            </w:tcBorders>
            <w:vAlign w:val="center"/>
          </w:tcPr>
          <w:p w14:paraId="10D55D7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0.036t</w:t>
            </w:r>
            <w:r>
              <w:rPr>
                <w:rFonts w:hint="default" w:ascii="Times New Roman" w:hAnsi="Times New Roman" w:eastAsia="宋体" w:cs="Times New Roman"/>
                <w:color w:val="auto"/>
                <w:sz w:val="21"/>
                <w:szCs w:val="21"/>
              </w:rPr>
              <w:t>/a</w:t>
            </w:r>
          </w:p>
        </w:tc>
        <w:tc>
          <w:tcPr>
            <w:tcW w:w="1623" w:type="dxa"/>
            <w:tcBorders>
              <w:top w:val="single" w:color="auto" w:sz="4" w:space="0"/>
              <w:left w:val="single" w:color="auto" w:sz="4" w:space="0"/>
              <w:bottom w:val="single" w:color="auto" w:sz="4" w:space="0"/>
              <w:right w:val="single" w:color="auto" w:sz="4" w:space="0"/>
            </w:tcBorders>
            <w:vAlign w:val="center"/>
          </w:tcPr>
          <w:p w14:paraId="00DCBCB1">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2.0mg/m</w:t>
            </w:r>
            <w:r>
              <w:rPr>
                <w:rFonts w:hint="default" w:ascii="Times New Roman" w:hAnsi="Times New Roman" w:eastAsia="宋体" w:cs="Times New Roman"/>
                <w:bCs/>
                <w:color w:val="auto"/>
                <w:sz w:val="21"/>
                <w:szCs w:val="21"/>
                <w:vertAlign w:val="superscript"/>
              </w:rPr>
              <w:t>3</w:t>
            </w:r>
          </w:p>
        </w:tc>
        <w:tc>
          <w:tcPr>
            <w:tcW w:w="707" w:type="dxa"/>
            <w:tcBorders>
              <w:top w:val="single" w:color="auto" w:sz="4" w:space="0"/>
              <w:left w:val="single" w:color="auto" w:sz="4" w:space="0"/>
              <w:bottom w:val="single" w:color="auto" w:sz="4" w:space="0"/>
              <w:right w:val="single" w:color="auto" w:sz="4" w:space="0"/>
            </w:tcBorders>
            <w:vAlign w:val="center"/>
          </w:tcPr>
          <w:p w14:paraId="3A40A1B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F06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right w:val="single" w:color="auto" w:sz="4" w:space="0"/>
            </w:tcBorders>
            <w:vAlign w:val="center"/>
          </w:tcPr>
          <w:p w14:paraId="7242999F">
            <w:pPr>
              <w:widowControl/>
              <w:spacing w:line="240" w:lineRule="auto"/>
              <w:jc w:val="left"/>
              <w:rPr>
                <w:rFonts w:hint="default" w:ascii="Times New Roman" w:hAnsi="Times New Roman" w:eastAsia="宋体" w:cs="Times New Roman"/>
                <w:color w:val="auto"/>
                <w:sz w:val="21"/>
                <w:szCs w:val="21"/>
              </w:rPr>
            </w:pPr>
          </w:p>
        </w:tc>
        <w:tc>
          <w:tcPr>
            <w:tcW w:w="1303" w:type="dxa"/>
            <w:vMerge w:val="restart"/>
            <w:tcBorders>
              <w:top w:val="single" w:color="auto" w:sz="4" w:space="0"/>
              <w:left w:val="single" w:color="auto" w:sz="4" w:space="0"/>
              <w:right w:val="single" w:color="auto" w:sz="4" w:space="0"/>
            </w:tcBorders>
            <w:vAlign w:val="center"/>
          </w:tcPr>
          <w:p w14:paraId="178E1B96">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污水处理站</w:t>
            </w:r>
          </w:p>
        </w:tc>
        <w:tc>
          <w:tcPr>
            <w:tcW w:w="1666" w:type="dxa"/>
            <w:tcBorders>
              <w:top w:val="single" w:color="auto" w:sz="4" w:space="0"/>
              <w:left w:val="single" w:color="auto" w:sz="4" w:space="0"/>
              <w:bottom w:val="single" w:color="auto" w:sz="4" w:space="0"/>
              <w:right w:val="single" w:color="auto" w:sz="4" w:space="0"/>
            </w:tcBorders>
            <w:vAlign w:val="center"/>
          </w:tcPr>
          <w:p w14:paraId="164BB50C">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氨气</w:t>
            </w:r>
          </w:p>
        </w:tc>
        <w:tc>
          <w:tcPr>
            <w:tcW w:w="1559" w:type="dxa"/>
            <w:tcBorders>
              <w:top w:val="single" w:color="auto" w:sz="4" w:space="0"/>
              <w:left w:val="single" w:color="auto" w:sz="4" w:space="0"/>
              <w:bottom w:val="single" w:color="auto" w:sz="4" w:space="0"/>
              <w:right w:val="single" w:color="auto" w:sz="4" w:space="0"/>
            </w:tcBorders>
            <w:vAlign w:val="center"/>
          </w:tcPr>
          <w:p w14:paraId="63F25598">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5765C595">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0.0018t/a</w:t>
            </w:r>
          </w:p>
        </w:tc>
        <w:tc>
          <w:tcPr>
            <w:tcW w:w="2963" w:type="dxa"/>
            <w:tcBorders>
              <w:top w:val="single" w:color="auto" w:sz="4" w:space="0"/>
              <w:left w:val="single" w:color="auto" w:sz="4" w:space="0"/>
              <w:bottom w:val="single" w:color="auto" w:sz="4" w:space="0"/>
              <w:right w:val="single" w:color="auto" w:sz="4" w:space="0"/>
            </w:tcBorders>
            <w:vAlign w:val="center"/>
          </w:tcPr>
          <w:p w14:paraId="70325B8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2191BAB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1113" w:type="dxa"/>
            <w:tcBorders>
              <w:top w:val="single" w:color="auto" w:sz="4" w:space="0"/>
              <w:left w:val="single" w:color="auto" w:sz="4" w:space="0"/>
              <w:bottom w:val="single" w:color="auto" w:sz="4" w:space="0"/>
              <w:right w:val="single" w:color="auto" w:sz="4" w:space="0"/>
            </w:tcBorders>
            <w:vAlign w:val="center"/>
          </w:tcPr>
          <w:p w14:paraId="0CE0EB8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0.0018t/a</w:t>
            </w:r>
          </w:p>
        </w:tc>
        <w:tc>
          <w:tcPr>
            <w:tcW w:w="1623" w:type="dxa"/>
            <w:tcBorders>
              <w:top w:val="single" w:color="auto" w:sz="4" w:space="0"/>
              <w:left w:val="single" w:color="auto" w:sz="4" w:space="0"/>
              <w:bottom w:val="single" w:color="auto" w:sz="4" w:space="0"/>
              <w:right w:val="single" w:color="auto" w:sz="4" w:space="0"/>
            </w:tcBorders>
            <w:vAlign w:val="center"/>
          </w:tcPr>
          <w:p w14:paraId="41C2E117">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w:t>
            </w:r>
          </w:p>
        </w:tc>
        <w:tc>
          <w:tcPr>
            <w:tcW w:w="707" w:type="dxa"/>
            <w:tcBorders>
              <w:top w:val="single" w:color="auto" w:sz="4" w:space="0"/>
              <w:left w:val="single" w:color="auto" w:sz="4" w:space="0"/>
              <w:bottom w:val="single" w:color="auto" w:sz="4" w:space="0"/>
              <w:right w:val="single" w:color="auto" w:sz="4" w:space="0"/>
            </w:tcBorders>
            <w:vAlign w:val="center"/>
          </w:tcPr>
          <w:p w14:paraId="022E54C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14:paraId="6386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cantSplit/>
          <w:trHeight w:val="397" w:hRule="atLeast"/>
          <w:jc w:val="center"/>
        </w:trPr>
        <w:tc>
          <w:tcPr>
            <w:tcW w:w="754" w:type="dxa"/>
            <w:vMerge w:val="continue"/>
            <w:tcBorders>
              <w:left w:val="single" w:color="auto" w:sz="4" w:space="0"/>
              <w:bottom w:val="single" w:color="auto" w:sz="4" w:space="0"/>
              <w:right w:val="single" w:color="auto" w:sz="4" w:space="0"/>
            </w:tcBorders>
            <w:vAlign w:val="center"/>
          </w:tcPr>
          <w:p w14:paraId="61874058">
            <w:pPr>
              <w:widowControl/>
              <w:spacing w:line="240" w:lineRule="auto"/>
              <w:jc w:val="left"/>
              <w:rPr>
                <w:rFonts w:hint="default" w:ascii="Times New Roman" w:hAnsi="Times New Roman" w:eastAsia="宋体" w:cs="Times New Roman"/>
                <w:color w:val="auto"/>
                <w:sz w:val="21"/>
                <w:szCs w:val="21"/>
              </w:rPr>
            </w:pPr>
          </w:p>
        </w:tc>
        <w:tc>
          <w:tcPr>
            <w:tcW w:w="1303" w:type="dxa"/>
            <w:vMerge w:val="continue"/>
            <w:tcBorders>
              <w:left w:val="single" w:color="auto" w:sz="4" w:space="0"/>
              <w:bottom w:val="single" w:color="auto" w:sz="4" w:space="0"/>
              <w:right w:val="single" w:color="auto" w:sz="4" w:space="0"/>
            </w:tcBorders>
            <w:vAlign w:val="center"/>
          </w:tcPr>
          <w:p w14:paraId="11EF0EE9">
            <w:pPr>
              <w:adjustRightInd w:val="0"/>
              <w:snapToGrid w:val="0"/>
              <w:spacing w:line="240" w:lineRule="auto"/>
              <w:jc w:val="center"/>
              <w:rPr>
                <w:rFonts w:hint="default" w:ascii="Times New Roman" w:hAnsi="Times New Roman" w:eastAsia="宋体" w:cs="Times New Roman"/>
                <w:color w:val="auto"/>
                <w:sz w:val="21"/>
                <w:szCs w:val="21"/>
              </w:rPr>
            </w:pPr>
          </w:p>
        </w:tc>
        <w:tc>
          <w:tcPr>
            <w:tcW w:w="1666" w:type="dxa"/>
            <w:tcBorders>
              <w:top w:val="single" w:color="auto" w:sz="4" w:space="0"/>
              <w:left w:val="single" w:color="auto" w:sz="4" w:space="0"/>
              <w:bottom w:val="single" w:color="auto" w:sz="4" w:space="0"/>
              <w:right w:val="single" w:color="auto" w:sz="4" w:space="0"/>
            </w:tcBorders>
            <w:vAlign w:val="center"/>
          </w:tcPr>
          <w:p w14:paraId="2BF29351">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硫化氢</w:t>
            </w:r>
          </w:p>
        </w:tc>
        <w:tc>
          <w:tcPr>
            <w:tcW w:w="1559" w:type="dxa"/>
            <w:tcBorders>
              <w:top w:val="single" w:color="auto" w:sz="4" w:space="0"/>
              <w:left w:val="single" w:color="auto" w:sz="4" w:space="0"/>
              <w:bottom w:val="single" w:color="auto" w:sz="4" w:space="0"/>
              <w:right w:val="single" w:color="auto" w:sz="4" w:space="0"/>
            </w:tcBorders>
            <w:vAlign w:val="center"/>
          </w:tcPr>
          <w:p w14:paraId="348A828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4D706BB7">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0.003t/a</w:t>
            </w:r>
          </w:p>
        </w:tc>
        <w:tc>
          <w:tcPr>
            <w:tcW w:w="2963" w:type="dxa"/>
            <w:tcBorders>
              <w:top w:val="single" w:color="auto" w:sz="4" w:space="0"/>
              <w:left w:val="single" w:color="auto" w:sz="4" w:space="0"/>
              <w:bottom w:val="single" w:color="auto" w:sz="4" w:space="0"/>
              <w:right w:val="single" w:color="auto" w:sz="4" w:space="0"/>
            </w:tcBorders>
            <w:vAlign w:val="center"/>
          </w:tcPr>
          <w:p w14:paraId="09998CB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750A100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c>
          <w:tcPr>
            <w:tcW w:w="1113" w:type="dxa"/>
            <w:tcBorders>
              <w:top w:val="single" w:color="auto" w:sz="4" w:space="0"/>
              <w:left w:val="single" w:color="auto" w:sz="4" w:space="0"/>
              <w:bottom w:val="single" w:color="auto" w:sz="4" w:space="0"/>
              <w:right w:val="single" w:color="auto" w:sz="4" w:space="0"/>
            </w:tcBorders>
            <w:vAlign w:val="center"/>
          </w:tcPr>
          <w:p w14:paraId="420F224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0.003t/a</w:t>
            </w:r>
          </w:p>
        </w:tc>
        <w:tc>
          <w:tcPr>
            <w:tcW w:w="1623" w:type="dxa"/>
            <w:tcBorders>
              <w:top w:val="single" w:color="auto" w:sz="4" w:space="0"/>
              <w:left w:val="single" w:color="auto" w:sz="4" w:space="0"/>
              <w:bottom w:val="single" w:color="auto" w:sz="4" w:space="0"/>
              <w:right w:val="single" w:color="auto" w:sz="4" w:space="0"/>
            </w:tcBorders>
            <w:vAlign w:val="center"/>
          </w:tcPr>
          <w:p w14:paraId="7E0038C9">
            <w:pPr>
              <w:adjustRightInd w:val="0"/>
              <w:snapToGri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w:t>
            </w:r>
          </w:p>
        </w:tc>
        <w:tc>
          <w:tcPr>
            <w:tcW w:w="707" w:type="dxa"/>
            <w:tcBorders>
              <w:top w:val="single" w:color="auto" w:sz="4" w:space="0"/>
              <w:left w:val="single" w:color="auto" w:sz="4" w:space="0"/>
              <w:bottom w:val="single" w:color="auto" w:sz="4" w:space="0"/>
              <w:right w:val="single" w:color="auto" w:sz="4" w:space="0"/>
            </w:tcBorders>
            <w:vAlign w:val="center"/>
          </w:tcPr>
          <w:p w14:paraId="301157A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w:t>
            </w:r>
          </w:p>
        </w:tc>
      </w:tr>
      <w:tr w14:paraId="3A30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tcBorders>
              <w:top w:val="single" w:color="auto" w:sz="4" w:space="0"/>
              <w:left w:val="single" w:color="auto" w:sz="4" w:space="0"/>
              <w:bottom w:val="single" w:color="auto" w:sz="4" w:space="0"/>
              <w:right w:val="single" w:color="auto" w:sz="4" w:space="0"/>
            </w:tcBorders>
            <w:vAlign w:val="center"/>
          </w:tcPr>
          <w:p w14:paraId="215F4EA6">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969" w:type="dxa"/>
            <w:gridSpan w:val="2"/>
            <w:tcBorders>
              <w:top w:val="single" w:color="auto" w:sz="4" w:space="0"/>
              <w:left w:val="single" w:color="auto" w:sz="4" w:space="0"/>
              <w:bottom w:val="single" w:color="auto" w:sz="4" w:space="0"/>
              <w:right w:val="single" w:color="auto" w:sz="4" w:space="0"/>
            </w:tcBorders>
            <w:vAlign w:val="center"/>
          </w:tcPr>
          <w:p w14:paraId="7869B986">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设备噪声</w:t>
            </w:r>
          </w:p>
        </w:tc>
        <w:tc>
          <w:tcPr>
            <w:tcW w:w="2785" w:type="dxa"/>
            <w:gridSpan w:val="3"/>
            <w:tcBorders>
              <w:top w:val="single" w:color="auto" w:sz="4" w:space="0"/>
              <w:left w:val="single" w:color="auto" w:sz="4" w:space="0"/>
              <w:bottom w:val="single" w:color="auto" w:sz="4" w:space="0"/>
              <w:right w:val="single" w:color="auto" w:sz="4" w:space="0"/>
            </w:tcBorders>
            <w:vAlign w:val="center"/>
          </w:tcPr>
          <w:p w14:paraId="54BA6A4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85</w:t>
            </w:r>
            <w:r>
              <w:rPr>
                <w:rFonts w:hint="default" w:ascii="Times New Roman" w:hAnsi="Times New Roman" w:eastAsia="宋体" w:cs="Times New Roman"/>
                <w:color w:val="auto"/>
                <w:sz w:val="21"/>
                <w:szCs w:val="21"/>
              </w:rPr>
              <w:t>dB(A)</w:t>
            </w:r>
          </w:p>
        </w:tc>
        <w:tc>
          <w:tcPr>
            <w:tcW w:w="2963" w:type="dxa"/>
            <w:tcBorders>
              <w:top w:val="single" w:color="auto" w:sz="4" w:space="0"/>
              <w:left w:val="single" w:color="auto" w:sz="4" w:space="0"/>
              <w:bottom w:val="single" w:color="auto" w:sz="4" w:space="0"/>
              <w:right w:val="single" w:color="auto" w:sz="4" w:space="0"/>
            </w:tcBorders>
            <w:vAlign w:val="center"/>
          </w:tcPr>
          <w:p w14:paraId="556BF79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基础</w:t>
            </w:r>
            <w:r>
              <w:rPr>
                <w:rFonts w:hint="default" w:ascii="Times New Roman" w:hAnsi="Times New Roman" w:eastAsia="宋体" w:cs="Times New Roman"/>
                <w:color w:val="auto"/>
                <w:sz w:val="21"/>
                <w:szCs w:val="21"/>
              </w:rPr>
              <w:t>震垫、厂房隔声</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7F108BD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13" w:type="dxa"/>
            <w:tcBorders>
              <w:top w:val="single" w:color="auto" w:sz="4" w:space="0"/>
              <w:left w:val="single" w:color="auto" w:sz="4" w:space="0"/>
              <w:bottom w:val="single" w:color="auto" w:sz="4" w:space="0"/>
              <w:right w:val="single" w:color="auto" w:sz="4" w:space="0"/>
            </w:tcBorders>
            <w:vAlign w:val="center"/>
          </w:tcPr>
          <w:p w14:paraId="0D54C0D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23" w:type="dxa"/>
            <w:tcBorders>
              <w:top w:val="single" w:color="auto" w:sz="4" w:space="0"/>
              <w:left w:val="single" w:color="auto" w:sz="4" w:space="0"/>
              <w:bottom w:val="single" w:color="auto" w:sz="4" w:space="0"/>
              <w:right w:val="single" w:color="auto" w:sz="4" w:space="0"/>
            </w:tcBorders>
            <w:vAlign w:val="center"/>
          </w:tcPr>
          <w:p w14:paraId="3F3FD63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昼间≤65dB(A)</w:t>
            </w:r>
          </w:p>
          <w:p w14:paraId="106F53E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夜间≤55dB(A)</w:t>
            </w:r>
          </w:p>
        </w:tc>
        <w:tc>
          <w:tcPr>
            <w:tcW w:w="710" w:type="dxa"/>
            <w:gridSpan w:val="2"/>
            <w:tcBorders>
              <w:top w:val="single" w:color="auto" w:sz="4" w:space="0"/>
              <w:left w:val="single" w:color="auto" w:sz="4" w:space="0"/>
              <w:bottom w:val="single" w:color="auto" w:sz="4" w:space="0"/>
              <w:right w:val="single" w:color="auto" w:sz="4" w:space="0"/>
            </w:tcBorders>
            <w:vAlign w:val="center"/>
          </w:tcPr>
          <w:p w14:paraId="78B6C876">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539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restart"/>
            <w:tcBorders>
              <w:top w:val="single" w:color="auto" w:sz="4" w:space="0"/>
              <w:left w:val="single" w:color="auto" w:sz="4" w:space="0"/>
              <w:bottom w:val="single" w:color="auto" w:sz="4" w:space="0"/>
              <w:right w:val="single" w:color="auto" w:sz="4" w:space="0"/>
            </w:tcBorders>
            <w:vAlign w:val="center"/>
          </w:tcPr>
          <w:p w14:paraId="2695AA67">
            <w:pPr>
              <w:adjustRightInd w:val="0"/>
              <w:snapToGrid w:val="0"/>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固废</w:t>
            </w:r>
          </w:p>
        </w:tc>
        <w:tc>
          <w:tcPr>
            <w:tcW w:w="1303" w:type="dxa"/>
            <w:tcBorders>
              <w:top w:val="single" w:color="auto" w:sz="4" w:space="0"/>
              <w:left w:val="single" w:color="auto" w:sz="4" w:space="0"/>
              <w:bottom w:val="single" w:color="auto" w:sz="4" w:space="0"/>
              <w:right w:val="single" w:color="auto" w:sz="4" w:space="0"/>
            </w:tcBorders>
            <w:vAlign w:val="center"/>
          </w:tcPr>
          <w:p w14:paraId="392057D0">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服装制造</w:t>
            </w:r>
          </w:p>
        </w:tc>
        <w:tc>
          <w:tcPr>
            <w:tcW w:w="1666" w:type="dxa"/>
            <w:tcBorders>
              <w:top w:val="single" w:color="auto" w:sz="4" w:space="0"/>
              <w:left w:val="single" w:color="auto" w:sz="4" w:space="0"/>
              <w:bottom w:val="single" w:color="auto" w:sz="4" w:space="0"/>
              <w:right w:val="single" w:color="auto" w:sz="4" w:space="0"/>
            </w:tcBorders>
            <w:vAlign w:val="center"/>
          </w:tcPr>
          <w:p w14:paraId="02A95D5E">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边角料及残次品</w:t>
            </w:r>
          </w:p>
        </w:tc>
        <w:tc>
          <w:tcPr>
            <w:tcW w:w="1559" w:type="dxa"/>
            <w:tcBorders>
              <w:top w:val="single" w:color="auto" w:sz="4" w:space="0"/>
              <w:left w:val="single" w:color="auto" w:sz="4" w:space="0"/>
              <w:bottom w:val="single" w:color="auto" w:sz="4" w:space="0"/>
              <w:right w:val="single" w:color="auto" w:sz="4" w:space="0"/>
            </w:tcBorders>
            <w:vAlign w:val="center"/>
          </w:tcPr>
          <w:p w14:paraId="4572D80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5C2E562A">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1.8t/a</w:t>
            </w:r>
          </w:p>
        </w:tc>
        <w:tc>
          <w:tcPr>
            <w:tcW w:w="2963" w:type="dxa"/>
            <w:tcBorders>
              <w:top w:val="single" w:color="auto" w:sz="4" w:space="0"/>
              <w:left w:val="single" w:color="auto" w:sz="4" w:space="0"/>
              <w:bottom w:val="single" w:color="auto" w:sz="4" w:space="0"/>
              <w:right w:val="single" w:color="auto" w:sz="4" w:space="0"/>
            </w:tcBorders>
            <w:vAlign w:val="center"/>
          </w:tcPr>
          <w:p w14:paraId="41E6740A">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收集后委托环卫部门清运处置。</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73086F1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restart"/>
            <w:tcBorders>
              <w:top w:val="single" w:color="auto" w:sz="4" w:space="0"/>
              <w:left w:val="single" w:color="auto" w:sz="4" w:space="0"/>
              <w:right w:val="single" w:color="auto" w:sz="4" w:space="0"/>
            </w:tcBorders>
            <w:vAlign w:val="center"/>
          </w:tcPr>
          <w:p w14:paraId="06289EA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固废100%处置。</w:t>
            </w:r>
          </w:p>
        </w:tc>
        <w:tc>
          <w:tcPr>
            <w:tcW w:w="1623" w:type="dxa"/>
            <w:tcBorders>
              <w:top w:val="single" w:color="auto" w:sz="4" w:space="0"/>
              <w:left w:val="single" w:color="auto" w:sz="4" w:space="0"/>
              <w:bottom w:val="single" w:color="auto" w:sz="4" w:space="0"/>
              <w:right w:val="single" w:color="auto" w:sz="4" w:space="0"/>
            </w:tcBorders>
            <w:vAlign w:val="center"/>
          </w:tcPr>
          <w:p w14:paraId="34863A14">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710" w:type="dxa"/>
            <w:gridSpan w:val="2"/>
            <w:vMerge w:val="restart"/>
            <w:tcBorders>
              <w:top w:val="single" w:color="auto" w:sz="4" w:space="0"/>
              <w:left w:val="single" w:color="auto" w:sz="4" w:space="0"/>
              <w:bottom w:val="single" w:color="auto" w:sz="4" w:space="0"/>
              <w:right w:val="single" w:color="auto" w:sz="4" w:space="0"/>
            </w:tcBorders>
            <w:vAlign w:val="center"/>
          </w:tcPr>
          <w:p w14:paraId="0FE6B6A5">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符合环保要求</w:t>
            </w:r>
          </w:p>
        </w:tc>
      </w:tr>
      <w:tr w14:paraId="7965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47A696E0">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73C4DCC7">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包装</w:t>
            </w:r>
          </w:p>
        </w:tc>
        <w:tc>
          <w:tcPr>
            <w:tcW w:w="1666" w:type="dxa"/>
            <w:tcBorders>
              <w:top w:val="single" w:color="auto" w:sz="4" w:space="0"/>
              <w:left w:val="single" w:color="auto" w:sz="4" w:space="0"/>
              <w:bottom w:val="single" w:color="auto" w:sz="4" w:space="0"/>
              <w:right w:val="single" w:color="auto" w:sz="4" w:space="0"/>
            </w:tcBorders>
            <w:vAlign w:val="center"/>
          </w:tcPr>
          <w:p w14:paraId="256B20F0">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废包装材料</w:t>
            </w:r>
          </w:p>
        </w:tc>
        <w:tc>
          <w:tcPr>
            <w:tcW w:w="1559" w:type="dxa"/>
            <w:tcBorders>
              <w:top w:val="single" w:color="auto" w:sz="4" w:space="0"/>
              <w:left w:val="single" w:color="auto" w:sz="4" w:space="0"/>
              <w:bottom w:val="single" w:color="auto" w:sz="4" w:space="0"/>
              <w:right w:val="single" w:color="auto" w:sz="4" w:space="0"/>
            </w:tcBorders>
            <w:vAlign w:val="center"/>
          </w:tcPr>
          <w:p w14:paraId="1FEAEAA2">
            <w:pPr>
              <w:pStyle w:val="57"/>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34E799DC">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1.2t/a</w:t>
            </w:r>
          </w:p>
        </w:tc>
        <w:tc>
          <w:tcPr>
            <w:tcW w:w="2963" w:type="dxa"/>
            <w:tcBorders>
              <w:top w:val="single" w:color="auto" w:sz="4" w:space="0"/>
              <w:left w:val="single" w:color="auto" w:sz="4" w:space="0"/>
              <w:bottom w:val="single" w:color="auto" w:sz="4" w:space="0"/>
              <w:right w:val="single" w:color="auto" w:sz="4" w:space="0"/>
            </w:tcBorders>
            <w:vAlign w:val="center"/>
          </w:tcPr>
          <w:p w14:paraId="2CB5FA39">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外售</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1E025384">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continue"/>
            <w:tcBorders>
              <w:left w:val="single" w:color="auto" w:sz="4" w:space="0"/>
              <w:right w:val="single" w:color="auto" w:sz="4" w:space="0"/>
            </w:tcBorders>
            <w:vAlign w:val="center"/>
          </w:tcPr>
          <w:p w14:paraId="19868B1D">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65617D9E">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val="en-US" w:eastAsia="zh-CN"/>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6CC9996B">
            <w:pPr>
              <w:widowControl/>
              <w:spacing w:line="240" w:lineRule="auto"/>
              <w:jc w:val="left"/>
              <w:rPr>
                <w:rFonts w:hint="default" w:ascii="Times New Roman" w:hAnsi="Times New Roman" w:eastAsia="宋体" w:cs="Times New Roman"/>
                <w:color w:val="auto"/>
                <w:sz w:val="21"/>
                <w:szCs w:val="21"/>
              </w:rPr>
            </w:pPr>
          </w:p>
        </w:tc>
      </w:tr>
      <w:tr w14:paraId="41BC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1F7F433A">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53676232">
            <w:p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职工生活</w:t>
            </w:r>
          </w:p>
        </w:tc>
        <w:tc>
          <w:tcPr>
            <w:tcW w:w="1666" w:type="dxa"/>
            <w:tcBorders>
              <w:top w:val="single" w:color="auto" w:sz="4" w:space="0"/>
              <w:left w:val="single" w:color="auto" w:sz="4" w:space="0"/>
              <w:bottom w:val="single" w:color="auto" w:sz="4" w:space="0"/>
              <w:right w:val="single" w:color="auto" w:sz="4" w:space="0"/>
            </w:tcBorders>
            <w:vAlign w:val="center"/>
          </w:tcPr>
          <w:p w14:paraId="1C4310C3">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生活垃圾</w:t>
            </w:r>
          </w:p>
        </w:tc>
        <w:tc>
          <w:tcPr>
            <w:tcW w:w="1559" w:type="dxa"/>
            <w:tcBorders>
              <w:top w:val="single" w:color="auto" w:sz="4" w:space="0"/>
              <w:left w:val="single" w:color="auto" w:sz="4" w:space="0"/>
              <w:bottom w:val="single" w:color="auto" w:sz="4" w:space="0"/>
              <w:right w:val="single" w:color="auto" w:sz="4" w:space="0"/>
            </w:tcBorders>
            <w:vAlign w:val="center"/>
          </w:tcPr>
          <w:p w14:paraId="4C9FBFE8">
            <w:pPr>
              <w:pStyle w:val="57"/>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269FD3F5">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87t/a</w:t>
            </w:r>
          </w:p>
        </w:tc>
        <w:tc>
          <w:tcPr>
            <w:tcW w:w="2963" w:type="dxa"/>
            <w:tcBorders>
              <w:top w:val="single" w:color="auto" w:sz="4" w:space="0"/>
              <w:left w:val="single" w:color="auto" w:sz="4" w:space="0"/>
              <w:bottom w:val="single" w:color="auto" w:sz="4" w:space="0"/>
              <w:right w:val="single" w:color="auto" w:sz="4" w:space="0"/>
            </w:tcBorders>
            <w:vAlign w:val="center"/>
          </w:tcPr>
          <w:p w14:paraId="4EEC4E2C">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rPr>
              <w:t>收集后委托环卫部门清运处置。</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51781157">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113" w:type="dxa"/>
            <w:vMerge w:val="continue"/>
            <w:tcBorders>
              <w:left w:val="single" w:color="auto" w:sz="4" w:space="0"/>
              <w:right w:val="single" w:color="auto" w:sz="4" w:space="0"/>
            </w:tcBorders>
            <w:vAlign w:val="center"/>
          </w:tcPr>
          <w:p w14:paraId="6D0E59B9">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7D75B00F">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5E767FB7">
            <w:pPr>
              <w:widowControl/>
              <w:spacing w:line="240" w:lineRule="auto"/>
              <w:jc w:val="left"/>
              <w:rPr>
                <w:rFonts w:hint="default" w:ascii="Times New Roman" w:hAnsi="Times New Roman" w:eastAsia="宋体" w:cs="Times New Roman"/>
                <w:color w:val="auto"/>
                <w:sz w:val="21"/>
                <w:szCs w:val="21"/>
              </w:rPr>
            </w:pPr>
          </w:p>
        </w:tc>
      </w:tr>
      <w:tr w14:paraId="4F73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2002D314">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3570729F">
            <w:pPr>
              <w:autoSpaceDE w:val="0"/>
              <w:autoSpaceDN w:val="0"/>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eastAsia="zh-CN"/>
              </w:rPr>
              <w:t>食堂</w:t>
            </w:r>
          </w:p>
        </w:tc>
        <w:tc>
          <w:tcPr>
            <w:tcW w:w="1666" w:type="dxa"/>
            <w:tcBorders>
              <w:top w:val="single" w:color="auto" w:sz="4" w:space="0"/>
              <w:left w:val="single" w:color="auto" w:sz="4" w:space="0"/>
              <w:bottom w:val="single" w:color="auto" w:sz="4" w:space="0"/>
              <w:right w:val="single" w:color="auto" w:sz="4" w:space="0"/>
            </w:tcBorders>
            <w:vAlign w:val="center"/>
          </w:tcPr>
          <w:p w14:paraId="19CC298D">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食堂泔水及废油</w:t>
            </w:r>
          </w:p>
        </w:tc>
        <w:tc>
          <w:tcPr>
            <w:tcW w:w="1559" w:type="dxa"/>
            <w:tcBorders>
              <w:top w:val="single" w:color="auto" w:sz="4" w:space="0"/>
              <w:left w:val="single" w:color="auto" w:sz="4" w:space="0"/>
              <w:bottom w:val="single" w:color="auto" w:sz="4" w:space="0"/>
              <w:right w:val="single" w:color="auto" w:sz="4" w:space="0"/>
            </w:tcBorders>
            <w:vAlign w:val="center"/>
          </w:tcPr>
          <w:p w14:paraId="10F02517">
            <w:pPr>
              <w:pStyle w:val="57"/>
              <w:adjustRightInd w:val="0"/>
              <w:snapToGrid w:val="0"/>
              <w:spacing w:after="0"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1DAD74C8">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87.1t/a</w:t>
            </w:r>
          </w:p>
        </w:tc>
        <w:tc>
          <w:tcPr>
            <w:tcW w:w="2963" w:type="dxa"/>
            <w:tcBorders>
              <w:top w:val="single" w:color="auto" w:sz="4" w:space="0"/>
              <w:left w:val="single" w:color="auto" w:sz="4" w:space="0"/>
              <w:bottom w:val="single" w:color="auto" w:sz="4" w:space="0"/>
              <w:right w:val="single" w:color="auto" w:sz="4" w:space="0"/>
            </w:tcBorders>
            <w:vAlign w:val="center"/>
          </w:tcPr>
          <w:p w14:paraId="650EB08C">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食堂泔水和废油用塑料桶</w:t>
            </w:r>
            <w:r>
              <w:rPr>
                <w:rFonts w:hint="default" w:ascii="Times New Roman" w:hAnsi="Times New Roman" w:eastAsia="宋体" w:cs="Times New Roman"/>
                <w:color w:val="auto"/>
                <w:sz w:val="21"/>
                <w:szCs w:val="21"/>
                <w:lang w:eastAsia="zh-CN"/>
              </w:rPr>
              <w:t>单独</w:t>
            </w:r>
            <w:r>
              <w:rPr>
                <w:rFonts w:hint="default" w:ascii="Times New Roman" w:hAnsi="Times New Roman" w:eastAsia="宋体" w:cs="Times New Roman"/>
                <w:color w:val="auto"/>
                <w:sz w:val="21"/>
                <w:szCs w:val="21"/>
              </w:rPr>
              <w:t>收集后，委托</w:t>
            </w:r>
            <w:r>
              <w:rPr>
                <w:rFonts w:hint="default" w:ascii="Times New Roman" w:hAnsi="Times New Roman" w:eastAsia="宋体" w:cs="Times New Roman"/>
                <w:color w:val="auto"/>
                <w:sz w:val="21"/>
                <w:szCs w:val="21"/>
                <w:lang w:eastAsia="zh-CN"/>
              </w:rPr>
              <w:t>环卫部门</w:t>
            </w:r>
            <w:r>
              <w:rPr>
                <w:rFonts w:hint="default" w:ascii="Times New Roman" w:hAnsi="Times New Roman" w:eastAsia="宋体" w:cs="Times New Roman"/>
                <w:color w:val="auto"/>
                <w:sz w:val="21"/>
                <w:szCs w:val="21"/>
              </w:rPr>
              <w:t>进行处理</w:t>
            </w:r>
            <w:r>
              <w:rPr>
                <w:rFonts w:hint="default" w:ascii="Times New Roman" w:hAnsi="Times New Roman" w:eastAsia="宋体" w:cs="Times New Roman"/>
                <w:color w:val="auto"/>
                <w:sz w:val="21"/>
                <w:szCs w:val="21"/>
                <w:lang w:eastAsia="zh-CN"/>
              </w:rPr>
              <w:t>。</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0F38788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continue"/>
            <w:tcBorders>
              <w:left w:val="single" w:color="auto" w:sz="4" w:space="0"/>
              <w:right w:val="single" w:color="auto" w:sz="4" w:space="0"/>
            </w:tcBorders>
            <w:vAlign w:val="center"/>
          </w:tcPr>
          <w:p w14:paraId="0C82A647">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694293D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0603EA4E">
            <w:pPr>
              <w:widowControl/>
              <w:spacing w:line="240" w:lineRule="auto"/>
              <w:jc w:val="left"/>
              <w:rPr>
                <w:rFonts w:hint="default" w:ascii="Times New Roman" w:hAnsi="Times New Roman" w:eastAsia="宋体" w:cs="Times New Roman"/>
                <w:color w:val="auto"/>
                <w:sz w:val="21"/>
                <w:szCs w:val="21"/>
              </w:rPr>
            </w:pPr>
          </w:p>
        </w:tc>
      </w:tr>
      <w:tr w14:paraId="49FC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3F5FFFF6">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4B103A5E">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highlight w:val="none"/>
                <w:lang w:eastAsia="zh-CN"/>
              </w:rPr>
              <w:t>污水处理站</w:t>
            </w:r>
          </w:p>
        </w:tc>
        <w:tc>
          <w:tcPr>
            <w:tcW w:w="1666" w:type="dxa"/>
            <w:tcBorders>
              <w:top w:val="single" w:color="auto" w:sz="4" w:space="0"/>
              <w:left w:val="single" w:color="auto" w:sz="4" w:space="0"/>
              <w:bottom w:val="single" w:color="auto" w:sz="4" w:space="0"/>
              <w:right w:val="single" w:color="auto" w:sz="4" w:space="0"/>
            </w:tcBorders>
            <w:vAlign w:val="center"/>
          </w:tcPr>
          <w:p w14:paraId="6F4FBA75">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c>
          <w:tcPr>
            <w:tcW w:w="1559" w:type="dxa"/>
            <w:tcBorders>
              <w:top w:val="single" w:color="auto" w:sz="4" w:space="0"/>
              <w:left w:val="single" w:color="auto" w:sz="4" w:space="0"/>
              <w:bottom w:val="single" w:color="auto" w:sz="4" w:space="0"/>
              <w:right w:val="single" w:color="auto" w:sz="4" w:space="0"/>
            </w:tcBorders>
            <w:vAlign w:val="center"/>
          </w:tcPr>
          <w:p w14:paraId="7E993A1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54E9812C">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1.5t/a</w:t>
            </w:r>
          </w:p>
        </w:tc>
        <w:tc>
          <w:tcPr>
            <w:tcW w:w="2963" w:type="dxa"/>
            <w:tcBorders>
              <w:top w:val="single" w:color="auto" w:sz="4" w:space="0"/>
              <w:left w:val="single" w:color="auto" w:sz="4" w:space="0"/>
              <w:bottom w:val="single" w:color="auto" w:sz="4" w:space="0"/>
              <w:right w:val="single" w:color="auto" w:sz="4" w:space="0"/>
            </w:tcBorders>
            <w:vAlign w:val="center"/>
          </w:tcPr>
          <w:p w14:paraId="298F2EFA">
            <w:pPr>
              <w:autoSpaceDE w:val="0"/>
              <w:autoSpaceDN w:val="0"/>
              <w:adjustRightIn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eastAsia="zh-CN"/>
              </w:rPr>
              <w:t>定期清掏后委托环卫部门清运处理。</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19C4408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continue"/>
            <w:tcBorders>
              <w:left w:val="single" w:color="auto" w:sz="4" w:space="0"/>
              <w:right w:val="single" w:color="auto" w:sz="4" w:space="0"/>
            </w:tcBorders>
            <w:vAlign w:val="center"/>
          </w:tcPr>
          <w:p w14:paraId="31E72D14">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5198A4D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5EF4B1EE">
            <w:pPr>
              <w:widowControl/>
              <w:spacing w:line="240" w:lineRule="auto"/>
              <w:jc w:val="left"/>
              <w:rPr>
                <w:rFonts w:hint="default" w:ascii="Times New Roman" w:hAnsi="Times New Roman" w:eastAsia="宋体" w:cs="Times New Roman"/>
                <w:color w:val="auto"/>
                <w:sz w:val="21"/>
                <w:szCs w:val="21"/>
              </w:rPr>
            </w:pPr>
          </w:p>
        </w:tc>
      </w:tr>
      <w:tr w14:paraId="3C783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4" w:type="dxa"/>
            <w:vMerge w:val="continue"/>
            <w:tcBorders>
              <w:top w:val="single" w:color="auto" w:sz="4" w:space="0"/>
              <w:left w:val="single" w:color="auto" w:sz="4" w:space="0"/>
              <w:bottom w:val="single" w:color="auto" w:sz="4" w:space="0"/>
              <w:right w:val="single" w:color="auto" w:sz="4" w:space="0"/>
            </w:tcBorders>
            <w:vAlign w:val="center"/>
          </w:tcPr>
          <w:p w14:paraId="1DD77311">
            <w:pPr>
              <w:widowControl/>
              <w:spacing w:line="240" w:lineRule="auto"/>
              <w:jc w:val="left"/>
              <w:rPr>
                <w:rFonts w:hint="default" w:ascii="Times New Roman" w:hAnsi="Times New Roman" w:eastAsia="宋体" w:cs="Times New Roman"/>
                <w:color w:val="auto"/>
                <w:sz w:val="21"/>
                <w:szCs w:val="21"/>
                <w:highlight w:val="yellow"/>
              </w:rPr>
            </w:pPr>
          </w:p>
        </w:tc>
        <w:tc>
          <w:tcPr>
            <w:tcW w:w="1303" w:type="dxa"/>
            <w:tcBorders>
              <w:top w:val="single" w:color="auto" w:sz="4" w:space="0"/>
              <w:left w:val="single" w:color="auto" w:sz="4" w:space="0"/>
              <w:bottom w:val="single" w:color="auto" w:sz="4" w:space="0"/>
              <w:right w:val="single" w:color="auto" w:sz="4" w:space="0"/>
            </w:tcBorders>
            <w:vAlign w:val="center"/>
          </w:tcPr>
          <w:p w14:paraId="4CA8818B">
            <w:pPr>
              <w:autoSpaceDE w:val="0"/>
              <w:autoSpaceDN w:val="0"/>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w:t>
            </w:r>
          </w:p>
        </w:tc>
        <w:tc>
          <w:tcPr>
            <w:tcW w:w="1666" w:type="dxa"/>
            <w:tcBorders>
              <w:top w:val="single" w:color="auto" w:sz="4" w:space="0"/>
              <w:left w:val="single" w:color="auto" w:sz="4" w:space="0"/>
              <w:bottom w:val="single" w:color="auto" w:sz="4" w:space="0"/>
              <w:right w:val="single" w:color="auto" w:sz="4" w:space="0"/>
            </w:tcBorders>
            <w:vAlign w:val="center"/>
          </w:tcPr>
          <w:p w14:paraId="7CA731DC">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废机油</w:t>
            </w:r>
          </w:p>
        </w:tc>
        <w:tc>
          <w:tcPr>
            <w:tcW w:w="1559" w:type="dxa"/>
            <w:tcBorders>
              <w:top w:val="single" w:color="auto" w:sz="4" w:space="0"/>
              <w:left w:val="single" w:color="auto" w:sz="4" w:space="0"/>
              <w:bottom w:val="single" w:color="auto" w:sz="4" w:space="0"/>
              <w:right w:val="single" w:color="auto" w:sz="4" w:space="0"/>
            </w:tcBorders>
            <w:vAlign w:val="center"/>
          </w:tcPr>
          <w:p w14:paraId="42A37DC7">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26" w:type="dxa"/>
            <w:gridSpan w:val="2"/>
            <w:tcBorders>
              <w:top w:val="single" w:color="auto" w:sz="4" w:space="0"/>
              <w:left w:val="single" w:color="auto" w:sz="4" w:space="0"/>
              <w:bottom w:val="single" w:color="auto" w:sz="4" w:space="0"/>
              <w:right w:val="single" w:color="auto" w:sz="4" w:space="0"/>
            </w:tcBorders>
            <w:vAlign w:val="center"/>
          </w:tcPr>
          <w:p w14:paraId="28DE5B75">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0.05t/a</w:t>
            </w:r>
          </w:p>
        </w:tc>
        <w:tc>
          <w:tcPr>
            <w:tcW w:w="2963" w:type="dxa"/>
            <w:tcBorders>
              <w:top w:val="single" w:color="auto" w:sz="4" w:space="0"/>
              <w:left w:val="single" w:color="auto" w:sz="4" w:space="0"/>
              <w:bottom w:val="single" w:color="auto" w:sz="4" w:space="0"/>
              <w:right w:val="single" w:color="auto" w:sz="4" w:space="0"/>
            </w:tcBorders>
            <w:vAlign w:val="center"/>
          </w:tcPr>
          <w:p w14:paraId="6E7496CC">
            <w:pPr>
              <w:autoSpaceDE w:val="0"/>
              <w:autoSpaceDN w:val="0"/>
              <w:adjustRightInd w:val="0"/>
              <w:spacing w:line="240" w:lineRule="auto"/>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lang w:eastAsia="zh-CN"/>
              </w:rPr>
              <w:t>委托</w:t>
            </w:r>
            <w:r>
              <w:rPr>
                <w:rFonts w:hint="default" w:ascii="Times New Roman" w:hAnsi="Times New Roman" w:eastAsia="宋体" w:cs="Times New Roman"/>
                <w:color w:val="auto"/>
                <w:sz w:val="21"/>
                <w:szCs w:val="21"/>
              </w:rPr>
              <w:t>有资质的单位回收处置。</w:t>
            </w:r>
          </w:p>
        </w:tc>
        <w:tc>
          <w:tcPr>
            <w:tcW w:w="1256" w:type="dxa"/>
            <w:gridSpan w:val="2"/>
            <w:tcBorders>
              <w:top w:val="single" w:color="auto" w:sz="4" w:space="0"/>
              <w:left w:val="single" w:color="auto" w:sz="4" w:space="0"/>
              <w:bottom w:val="single" w:color="auto" w:sz="4" w:space="0"/>
              <w:right w:val="single" w:color="auto" w:sz="4" w:space="0"/>
            </w:tcBorders>
            <w:vAlign w:val="center"/>
          </w:tcPr>
          <w:p w14:paraId="7B0450EF">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1113" w:type="dxa"/>
            <w:vMerge w:val="continue"/>
            <w:tcBorders>
              <w:left w:val="single" w:color="auto" w:sz="4" w:space="0"/>
              <w:right w:val="single" w:color="auto" w:sz="4" w:space="0"/>
            </w:tcBorders>
            <w:vAlign w:val="center"/>
          </w:tcPr>
          <w:p w14:paraId="1FCE6329">
            <w:pPr>
              <w:adjustRightInd w:val="0"/>
              <w:snapToGrid w:val="0"/>
              <w:spacing w:line="240" w:lineRule="auto"/>
              <w:jc w:val="center"/>
              <w:rPr>
                <w:rFonts w:hint="default" w:ascii="Times New Roman" w:hAnsi="Times New Roman" w:eastAsia="宋体" w:cs="Times New Roman"/>
                <w:color w:val="auto"/>
                <w:sz w:val="21"/>
                <w:szCs w:val="21"/>
              </w:rPr>
            </w:pPr>
          </w:p>
        </w:tc>
        <w:tc>
          <w:tcPr>
            <w:tcW w:w="1623" w:type="dxa"/>
            <w:tcBorders>
              <w:top w:val="single" w:color="auto" w:sz="4" w:space="0"/>
              <w:left w:val="single" w:color="auto" w:sz="4" w:space="0"/>
              <w:bottom w:val="single" w:color="auto" w:sz="4" w:space="0"/>
              <w:right w:val="single" w:color="auto" w:sz="4" w:space="0"/>
            </w:tcBorders>
            <w:vAlign w:val="center"/>
          </w:tcPr>
          <w:p w14:paraId="4E331FC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w:t>
            </w:r>
          </w:p>
        </w:tc>
        <w:tc>
          <w:tcPr>
            <w:tcW w:w="710" w:type="dxa"/>
            <w:gridSpan w:val="2"/>
            <w:vMerge w:val="continue"/>
            <w:tcBorders>
              <w:top w:val="single" w:color="auto" w:sz="4" w:space="0"/>
              <w:left w:val="single" w:color="auto" w:sz="4" w:space="0"/>
              <w:bottom w:val="single" w:color="auto" w:sz="4" w:space="0"/>
              <w:right w:val="single" w:color="auto" w:sz="4" w:space="0"/>
            </w:tcBorders>
            <w:vAlign w:val="center"/>
          </w:tcPr>
          <w:p w14:paraId="7D79A43B">
            <w:pPr>
              <w:widowControl/>
              <w:spacing w:line="240" w:lineRule="auto"/>
              <w:jc w:val="left"/>
              <w:rPr>
                <w:rFonts w:hint="default" w:ascii="Times New Roman" w:hAnsi="Times New Roman" w:eastAsia="宋体" w:cs="Times New Roman"/>
                <w:color w:val="auto"/>
                <w:sz w:val="21"/>
                <w:szCs w:val="21"/>
              </w:rPr>
            </w:pPr>
          </w:p>
        </w:tc>
      </w:tr>
    </w:tbl>
    <w:p w14:paraId="296B3432">
      <w:pPr>
        <w:pStyle w:val="1260"/>
        <w:jc w:val="both"/>
        <w:rPr>
          <w:rFonts w:hint="default" w:ascii="Times New Roman" w:hAnsi="Times New Roman" w:eastAsia="宋体" w:cs="Times New Roman"/>
          <w:color w:val="auto"/>
        </w:rPr>
        <w:sectPr>
          <w:pgSz w:w="16838" w:h="11906" w:orient="landscape"/>
          <w:pgMar w:top="1797" w:right="1440" w:bottom="1797" w:left="1440" w:header="851" w:footer="992" w:gutter="0"/>
          <w:pgNumType w:fmt="decimal"/>
          <w:cols w:space="720" w:num="1"/>
          <w:docGrid w:linePitch="312" w:charSpace="0"/>
        </w:sectPr>
      </w:pPr>
    </w:p>
    <w:p w14:paraId="3B0616C4">
      <w:pPr>
        <w:adjustRightInd w:val="0"/>
        <w:snapToGrid w:val="0"/>
        <w:spacing w:beforeLines="50"/>
        <w:outlineLvl w:val="1"/>
        <w:rPr>
          <w:rFonts w:hint="eastAsia" w:ascii="Times New Roman" w:hAnsi="Times New Roman" w:eastAsia="宋体" w:cs="Times New Roman"/>
          <w:b/>
          <w:color w:val="auto"/>
          <w:sz w:val="32"/>
          <w:szCs w:val="32"/>
          <w:lang w:val="en-US" w:eastAsia="zh-CN"/>
        </w:rPr>
      </w:pPr>
      <w:bookmarkStart w:id="264" w:name="_Toc24599"/>
      <w:r>
        <w:rPr>
          <w:rFonts w:hint="eastAsia" w:ascii="Times New Roman" w:hAnsi="Times New Roman" w:cs="Times New Roman"/>
          <w:b/>
          <w:color w:val="auto"/>
          <w:sz w:val="32"/>
          <w:szCs w:val="32"/>
          <w:lang w:val="en-US" w:eastAsia="zh-CN"/>
        </w:rPr>
        <w:t>3.7</w:t>
      </w:r>
      <w:r>
        <w:rPr>
          <w:rFonts w:hint="eastAsia" w:ascii="Times New Roman" w:hAnsi="Times New Roman" w:eastAsia="宋体" w:cs="Times New Roman"/>
          <w:b/>
          <w:color w:val="auto"/>
          <w:sz w:val="32"/>
          <w:szCs w:val="32"/>
          <w:lang w:val="en-US" w:eastAsia="zh-CN"/>
        </w:rPr>
        <w:t>扩建前后污染物排放“三本账”核算</w:t>
      </w:r>
      <w:bookmarkEnd w:id="264"/>
    </w:p>
    <w:p w14:paraId="491A364E">
      <w:pPr>
        <w:spacing w:line="360" w:lineRule="auto"/>
        <w:ind w:firstLine="492" w:firstLineChars="204"/>
        <w:jc w:val="center"/>
        <w:rPr>
          <w:rFonts w:hint="default" w:ascii="Times New Roman" w:hAnsi="Times New Roman" w:cs="Times New Roman"/>
          <w:b/>
          <w:color w:val="auto"/>
          <w:kern w:val="0"/>
          <w:sz w:val="24"/>
          <w:szCs w:val="24"/>
          <w:lang w:val="en-US" w:eastAsia="zh-CN"/>
        </w:rPr>
      </w:pPr>
      <w:r>
        <w:rPr>
          <w:rFonts w:hint="default" w:ascii="Times New Roman" w:hAnsi="Times New Roman" w:cs="Times New Roman"/>
          <w:b/>
          <w:color w:val="auto"/>
          <w:kern w:val="0"/>
          <w:sz w:val="24"/>
          <w:szCs w:val="24"/>
        </w:rPr>
        <w:t>表</w:t>
      </w:r>
      <w:r>
        <w:rPr>
          <w:rFonts w:hint="eastAsia" w:ascii="Times New Roman" w:hAnsi="Times New Roman" w:cs="Times New Roman"/>
          <w:b/>
          <w:color w:val="auto"/>
          <w:kern w:val="0"/>
          <w:sz w:val="24"/>
          <w:szCs w:val="24"/>
          <w:lang w:val="en-US" w:eastAsia="zh-CN"/>
        </w:rPr>
        <w:t>3.7-1</w:t>
      </w:r>
      <w:r>
        <w:rPr>
          <w:rFonts w:hint="default" w:ascii="Times New Roman" w:hAnsi="Times New Roman" w:cs="Times New Roman"/>
          <w:b/>
          <w:color w:val="auto"/>
          <w:kern w:val="0"/>
          <w:sz w:val="24"/>
          <w:szCs w:val="24"/>
        </w:rPr>
        <w:t xml:space="preserve">   </w:t>
      </w:r>
      <w:r>
        <w:rPr>
          <w:rFonts w:hint="eastAsia" w:ascii="Times New Roman" w:hAnsi="Times New Roman" w:cs="Times New Roman"/>
          <w:b/>
          <w:color w:val="auto"/>
          <w:kern w:val="0"/>
          <w:sz w:val="24"/>
          <w:szCs w:val="24"/>
          <w:lang w:eastAsia="zh-CN"/>
        </w:rPr>
        <w:t>本项目</w:t>
      </w:r>
      <w:r>
        <w:rPr>
          <w:rFonts w:hint="default" w:ascii="Times New Roman" w:hAnsi="Times New Roman" w:cs="Times New Roman"/>
          <w:b/>
          <w:color w:val="auto"/>
          <w:kern w:val="0"/>
          <w:sz w:val="24"/>
          <w:szCs w:val="24"/>
          <w:lang w:val="en-US" w:eastAsia="zh-CN"/>
        </w:rPr>
        <w:t>扩建前后污染物排放“三本账”核算</w:t>
      </w:r>
      <w:r>
        <w:rPr>
          <w:rFonts w:hint="eastAsia" w:ascii="Times New Roman" w:hAnsi="Times New Roman" w:cs="Times New Roman"/>
          <w:b/>
          <w:color w:val="auto"/>
          <w:kern w:val="0"/>
          <w:sz w:val="24"/>
          <w:szCs w:val="24"/>
          <w:lang w:val="en-US" w:eastAsia="zh-CN"/>
        </w:rPr>
        <w:t>表</w:t>
      </w:r>
    </w:p>
    <w:tbl>
      <w:tblPr>
        <w:tblStyle w:val="67"/>
        <w:tblW w:w="8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999"/>
        <w:gridCol w:w="1346"/>
        <w:gridCol w:w="1077"/>
        <w:gridCol w:w="1026"/>
        <w:gridCol w:w="884"/>
        <w:gridCol w:w="1067"/>
        <w:gridCol w:w="1325"/>
      </w:tblGrid>
      <w:tr w14:paraId="217C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noWrap w:val="0"/>
            <w:vAlign w:val="center"/>
          </w:tcPr>
          <w:p w14:paraId="43AF8CFB">
            <w:pPr>
              <w:adjustRightInd w:val="0"/>
              <w:snapToGrid w:val="0"/>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类别</w:t>
            </w:r>
          </w:p>
        </w:tc>
        <w:tc>
          <w:tcPr>
            <w:tcW w:w="2345" w:type="dxa"/>
            <w:gridSpan w:val="2"/>
            <w:noWrap w:val="0"/>
            <w:vAlign w:val="center"/>
          </w:tcPr>
          <w:p w14:paraId="536E437E">
            <w:pPr>
              <w:adjustRightInd w:val="0"/>
              <w:snapToGrid w:val="0"/>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污染物名称</w:t>
            </w:r>
          </w:p>
        </w:tc>
        <w:tc>
          <w:tcPr>
            <w:tcW w:w="1077" w:type="dxa"/>
            <w:noWrap w:val="0"/>
            <w:vAlign w:val="center"/>
          </w:tcPr>
          <w:p w14:paraId="7C4F0839">
            <w:pPr>
              <w:adjustRightInd w:val="0"/>
              <w:snapToGrid w:val="0"/>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扩建前排放量</w:t>
            </w:r>
          </w:p>
        </w:tc>
        <w:tc>
          <w:tcPr>
            <w:tcW w:w="1026" w:type="dxa"/>
            <w:noWrap w:val="0"/>
            <w:vAlign w:val="center"/>
          </w:tcPr>
          <w:p w14:paraId="5316AA4F">
            <w:pPr>
              <w:adjustRightInd w:val="0"/>
              <w:snapToGrid w:val="0"/>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本扩建项目排放量</w:t>
            </w:r>
          </w:p>
        </w:tc>
        <w:tc>
          <w:tcPr>
            <w:tcW w:w="884" w:type="dxa"/>
            <w:noWrap w:val="0"/>
            <w:vAlign w:val="center"/>
          </w:tcPr>
          <w:p w14:paraId="77DA0E30">
            <w:pPr>
              <w:adjustRightInd w:val="0"/>
              <w:snapToGrid w:val="0"/>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以新代老消减量</w:t>
            </w:r>
          </w:p>
        </w:tc>
        <w:tc>
          <w:tcPr>
            <w:tcW w:w="1067" w:type="dxa"/>
            <w:noWrap w:val="0"/>
            <w:vAlign w:val="center"/>
          </w:tcPr>
          <w:p w14:paraId="19C35A93">
            <w:pPr>
              <w:adjustRightInd w:val="0"/>
              <w:snapToGrid w:val="0"/>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扩建后总排放量</w:t>
            </w:r>
          </w:p>
        </w:tc>
        <w:tc>
          <w:tcPr>
            <w:tcW w:w="1325" w:type="dxa"/>
            <w:noWrap w:val="0"/>
            <w:vAlign w:val="center"/>
          </w:tcPr>
          <w:p w14:paraId="5621757E">
            <w:pPr>
              <w:adjustRightInd w:val="0"/>
              <w:snapToGrid w:val="0"/>
              <w:spacing w:line="240" w:lineRule="auto"/>
              <w:jc w:val="center"/>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扩建后增减量</w:t>
            </w:r>
          </w:p>
        </w:tc>
      </w:tr>
      <w:tr w14:paraId="16DD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restart"/>
            <w:noWrap w:val="0"/>
            <w:vAlign w:val="center"/>
          </w:tcPr>
          <w:p w14:paraId="5B2E45B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2345" w:type="dxa"/>
            <w:gridSpan w:val="2"/>
            <w:noWrap w:val="0"/>
            <w:vAlign w:val="center"/>
          </w:tcPr>
          <w:p w14:paraId="4D23F8C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粉尘</w:t>
            </w:r>
          </w:p>
        </w:tc>
        <w:tc>
          <w:tcPr>
            <w:tcW w:w="1077" w:type="dxa"/>
            <w:noWrap w:val="0"/>
            <w:vAlign w:val="center"/>
          </w:tcPr>
          <w:p w14:paraId="12BAA26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0.018t</w:t>
            </w:r>
            <w:r>
              <w:rPr>
                <w:rFonts w:hint="default" w:ascii="Times New Roman" w:hAnsi="Times New Roman" w:cs="Times New Roman"/>
                <w:color w:val="auto"/>
                <w:sz w:val="21"/>
                <w:szCs w:val="21"/>
              </w:rPr>
              <w:t>/a</w:t>
            </w:r>
          </w:p>
        </w:tc>
        <w:tc>
          <w:tcPr>
            <w:tcW w:w="1026" w:type="dxa"/>
            <w:noWrap w:val="0"/>
            <w:vAlign w:val="center"/>
          </w:tcPr>
          <w:p w14:paraId="5EF0C15F">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1D020A3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33B55CB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0.018t</w:t>
            </w:r>
            <w:r>
              <w:rPr>
                <w:rFonts w:hint="default" w:ascii="Times New Roman" w:hAnsi="Times New Roman" w:cs="Times New Roman"/>
                <w:color w:val="auto"/>
                <w:sz w:val="21"/>
                <w:szCs w:val="21"/>
              </w:rPr>
              <w:t>/a</w:t>
            </w:r>
          </w:p>
        </w:tc>
        <w:tc>
          <w:tcPr>
            <w:tcW w:w="1325" w:type="dxa"/>
            <w:noWrap w:val="0"/>
            <w:vAlign w:val="center"/>
          </w:tcPr>
          <w:p w14:paraId="0B03EFCA">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14:paraId="3E92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48F9C69A">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2345" w:type="dxa"/>
            <w:gridSpan w:val="2"/>
            <w:noWrap w:val="0"/>
            <w:vAlign w:val="center"/>
          </w:tcPr>
          <w:p w14:paraId="64A103E7">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硫化氢</w:t>
            </w:r>
          </w:p>
        </w:tc>
        <w:tc>
          <w:tcPr>
            <w:tcW w:w="1077" w:type="dxa"/>
            <w:noWrap w:val="0"/>
            <w:vAlign w:val="center"/>
          </w:tcPr>
          <w:p w14:paraId="29F868E5">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1026" w:type="dxa"/>
            <w:noWrap w:val="0"/>
            <w:vAlign w:val="center"/>
          </w:tcPr>
          <w:p w14:paraId="1B841718">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0.0003t</w:t>
            </w:r>
            <w:r>
              <w:rPr>
                <w:rFonts w:hint="default" w:ascii="Times New Roman" w:hAnsi="Times New Roman" w:cs="Times New Roman"/>
                <w:color w:val="auto"/>
                <w:sz w:val="21"/>
                <w:szCs w:val="21"/>
              </w:rPr>
              <w:t>/a</w:t>
            </w:r>
          </w:p>
        </w:tc>
        <w:tc>
          <w:tcPr>
            <w:tcW w:w="884" w:type="dxa"/>
            <w:noWrap w:val="0"/>
            <w:vAlign w:val="center"/>
          </w:tcPr>
          <w:p w14:paraId="4558716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2FEFF1ED">
            <w:pPr>
              <w:adjustRightInd w:val="0"/>
              <w:snapToGrid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0.0003t</w:t>
            </w:r>
            <w:r>
              <w:rPr>
                <w:rFonts w:hint="default" w:ascii="Times New Roman" w:hAnsi="Times New Roman" w:cs="Times New Roman"/>
                <w:color w:val="auto"/>
                <w:sz w:val="21"/>
                <w:szCs w:val="21"/>
              </w:rPr>
              <w:t>/a</w:t>
            </w:r>
          </w:p>
        </w:tc>
        <w:tc>
          <w:tcPr>
            <w:tcW w:w="1325" w:type="dxa"/>
            <w:noWrap w:val="0"/>
            <w:vAlign w:val="center"/>
          </w:tcPr>
          <w:p w14:paraId="34BCDC0E">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+0.0003t</w:t>
            </w:r>
            <w:r>
              <w:rPr>
                <w:rFonts w:hint="default" w:ascii="Times New Roman" w:hAnsi="Times New Roman" w:cs="Times New Roman"/>
                <w:color w:val="auto"/>
                <w:sz w:val="21"/>
                <w:szCs w:val="21"/>
              </w:rPr>
              <w:t>/a</w:t>
            </w:r>
          </w:p>
        </w:tc>
      </w:tr>
      <w:tr w14:paraId="18D1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7F209429">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2345" w:type="dxa"/>
            <w:gridSpan w:val="2"/>
            <w:noWrap w:val="0"/>
            <w:vAlign w:val="center"/>
          </w:tcPr>
          <w:p w14:paraId="1437E892">
            <w:pPr>
              <w:adjustRightInd w:val="0"/>
              <w:snapToGrid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氨气</w:t>
            </w:r>
          </w:p>
        </w:tc>
        <w:tc>
          <w:tcPr>
            <w:tcW w:w="1077" w:type="dxa"/>
            <w:noWrap w:val="0"/>
            <w:vAlign w:val="center"/>
          </w:tcPr>
          <w:p w14:paraId="37573E72">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1026" w:type="dxa"/>
            <w:noWrap w:val="0"/>
            <w:vAlign w:val="center"/>
          </w:tcPr>
          <w:p w14:paraId="0FDDCC8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0.0018t</w:t>
            </w:r>
            <w:r>
              <w:rPr>
                <w:rFonts w:hint="default" w:ascii="Times New Roman" w:hAnsi="Times New Roman" w:cs="Times New Roman"/>
                <w:color w:val="auto"/>
                <w:sz w:val="21"/>
                <w:szCs w:val="21"/>
              </w:rPr>
              <w:t>/a</w:t>
            </w:r>
          </w:p>
        </w:tc>
        <w:tc>
          <w:tcPr>
            <w:tcW w:w="884" w:type="dxa"/>
            <w:noWrap w:val="0"/>
            <w:vAlign w:val="center"/>
          </w:tcPr>
          <w:p w14:paraId="2F0A0DA0">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3AA9FCD8">
            <w:pPr>
              <w:adjustRightInd w:val="0"/>
              <w:snapToGrid w:val="0"/>
              <w:spacing w:line="240"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0.0018t</w:t>
            </w:r>
            <w:r>
              <w:rPr>
                <w:rFonts w:hint="default" w:ascii="Times New Roman" w:hAnsi="Times New Roman" w:cs="Times New Roman"/>
                <w:color w:val="auto"/>
                <w:sz w:val="21"/>
                <w:szCs w:val="21"/>
              </w:rPr>
              <w:t>/a</w:t>
            </w:r>
          </w:p>
        </w:tc>
        <w:tc>
          <w:tcPr>
            <w:tcW w:w="1325" w:type="dxa"/>
            <w:noWrap w:val="0"/>
            <w:vAlign w:val="center"/>
          </w:tcPr>
          <w:p w14:paraId="57E52BBF">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+0.0018t</w:t>
            </w:r>
            <w:r>
              <w:rPr>
                <w:rFonts w:hint="default" w:ascii="Times New Roman" w:hAnsi="Times New Roman" w:cs="Times New Roman"/>
                <w:color w:val="auto"/>
                <w:sz w:val="21"/>
                <w:szCs w:val="21"/>
              </w:rPr>
              <w:t>/a</w:t>
            </w:r>
          </w:p>
        </w:tc>
      </w:tr>
      <w:tr w14:paraId="7193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restart"/>
            <w:noWrap w:val="0"/>
            <w:vAlign w:val="center"/>
          </w:tcPr>
          <w:p w14:paraId="13AB358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999" w:type="dxa"/>
            <w:vMerge w:val="restart"/>
            <w:noWrap w:val="0"/>
            <w:vAlign w:val="center"/>
          </w:tcPr>
          <w:p w14:paraId="6586F2E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eastAsia="zh-CN"/>
              </w:rPr>
              <w:t>生产废水</w:t>
            </w:r>
          </w:p>
        </w:tc>
        <w:tc>
          <w:tcPr>
            <w:tcW w:w="1346" w:type="dxa"/>
            <w:noWrap w:val="0"/>
            <w:vAlign w:val="center"/>
          </w:tcPr>
          <w:p w14:paraId="2A96A1B9">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废水量</w:t>
            </w:r>
          </w:p>
        </w:tc>
        <w:tc>
          <w:tcPr>
            <w:tcW w:w="1077" w:type="dxa"/>
            <w:noWrap w:val="0"/>
            <w:vAlign w:val="center"/>
          </w:tcPr>
          <w:p w14:paraId="5CE7B36E">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6" w:type="dxa"/>
            <w:noWrap w:val="0"/>
            <w:vAlign w:val="center"/>
          </w:tcPr>
          <w:p w14:paraId="36D3A5D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4432.5</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c>
          <w:tcPr>
            <w:tcW w:w="884" w:type="dxa"/>
            <w:noWrap w:val="0"/>
            <w:vAlign w:val="center"/>
          </w:tcPr>
          <w:p w14:paraId="211D332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30DB41D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4432.5</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c>
          <w:tcPr>
            <w:tcW w:w="1325" w:type="dxa"/>
            <w:noWrap w:val="0"/>
            <w:vAlign w:val="center"/>
          </w:tcPr>
          <w:p w14:paraId="2FA24312">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4432.5</w:t>
            </w:r>
            <w:r>
              <w:rPr>
                <w:rFonts w:hint="default" w:ascii="Times New Roman" w:hAnsi="Times New Roman" w:eastAsia="宋体" w:cs="Times New Roman"/>
                <w:color w:val="auto"/>
                <w:kern w:val="0"/>
                <w:sz w:val="21"/>
                <w:szCs w:val="21"/>
                <w:lang w:val="en-US" w:eastAsia="zh-CN" w:bidi="ar"/>
              </w:rPr>
              <w:t>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sz w:val="21"/>
                <w:szCs w:val="21"/>
              </w:rPr>
              <w:t>/a</w:t>
            </w:r>
          </w:p>
        </w:tc>
      </w:tr>
      <w:tr w14:paraId="313D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5024C3ED">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1DEE7632">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75B90F0A">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COD</w:t>
            </w:r>
          </w:p>
        </w:tc>
        <w:tc>
          <w:tcPr>
            <w:tcW w:w="1077" w:type="dxa"/>
            <w:noWrap w:val="0"/>
            <w:vAlign w:val="center"/>
          </w:tcPr>
          <w:p w14:paraId="2BA82BFE">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6" w:type="dxa"/>
            <w:noWrap w:val="0"/>
            <w:vAlign w:val="center"/>
          </w:tcPr>
          <w:p w14:paraId="7B41B0C1">
            <w:pPr>
              <w:pStyle w:val="756"/>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1.30</w:t>
            </w:r>
            <w:r>
              <w:rPr>
                <w:rFonts w:hint="default" w:ascii="Times New Roman" w:hAnsi="Times New Roman" w:eastAsia="宋体" w:cs="Times New Roman"/>
                <w:color w:val="auto"/>
                <w:sz w:val="21"/>
                <w:szCs w:val="21"/>
              </w:rPr>
              <w:t>t/a</w:t>
            </w:r>
          </w:p>
        </w:tc>
        <w:tc>
          <w:tcPr>
            <w:tcW w:w="884" w:type="dxa"/>
            <w:noWrap w:val="0"/>
            <w:vAlign w:val="center"/>
          </w:tcPr>
          <w:p w14:paraId="012CFB5E">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751509CE">
            <w:pPr>
              <w:pStyle w:val="756"/>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1.30</w:t>
            </w:r>
            <w:r>
              <w:rPr>
                <w:rFonts w:hint="default" w:ascii="Times New Roman" w:hAnsi="Times New Roman" w:eastAsia="宋体" w:cs="Times New Roman"/>
                <w:color w:val="auto"/>
                <w:sz w:val="21"/>
                <w:szCs w:val="21"/>
              </w:rPr>
              <w:t>t/a</w:t>
            </w:r>
          </w:p>
        </w:tc>
        <w:tc>
          <w:tcPr>
            <w:tcW w:w="1325" w:type="dxa"/>
            <w:noWrap w:val="0"/>
            <w:vAlign w:val="center"/>
          </w:tcPr>
          <w:p w14:paraId="183097A1">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1.30</w:t>
            </w:r>
            <w:r>
              <w:rPr>
                <w:rFonts w:hint="default" w:ascii="Times New Roman" w:hAnsi="Times New Roman" w:eastAsia="宋体" w:cs="Times New Roman"/>
                <w:color w:val="auto"/>
                <w:sz w:val="21"/>
                <w:szCs w:val="21"/>
              </w:rPr>
              <w:t>t/a</w:t>
            </w:r>
          </w:p>
        </w:tc>
      </w:tr>
      <w:tr w14:paraId="2CC18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27A5E6A7">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21E87EF7">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07A4246E">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077" w:type="dxa"/>
            <w:noWrap w:val="0"/>
            <w:vAlign w:val="center"/>
          </w:tcPr>
          <w:p w14:paraId="36DCF872">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6" w:type="dxa"/>
            <w:noWrap w:val="0"/>
            <w:vAlign w:val="center"/>
          </w:tcPr>
          <w:p w14:paraId="51EBE864">
            <w:pPr>
              <w:pStyle w:val="756"/>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0.74</w:t>
            </w:r>
            <w:r>
              <w:rPr>
                <w:rFonts w:hint="default" w:ascii="Times New Roman" w:hAnsi="Times New Roman" w:eastAsia="宋体" w:cs="Times New Roman"/>
                <w:color w:val="auto"/>
                <w:sz w:val="21"/>
                <w:szCs w:val="21"/>
              </w:rPr>
              <w:t>t/a</w:t>
            </w:r>
          </w:p>
        </w:tc>
        <w:tc>
          <w:tcPr>
            <w:tcW w:w="884" w:type="dxa"/>
            <w:noWrap w:val="0"/>
            <w:vAlign w:val="center"/>
          </w:tcPr>
          <w:p w14:paraId="64967125">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438D7221">
            <w:pPr>
              <w:pStyle w:val="756"/>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0.74</w:t>
            </w:r>
            <w:r>
              <w:rPr>
                <w:rFonts w:hint="default" w:ascii="Times New Roman" w:hAnsi="Times New Roman" w:eastAsia="宋体" w:cs="Times New Roman"/>
                <w:color w:val="auto"/>
                <w:sz w:val="21"/>
                <w:szCs w:val="21"/>
              </w:rPr>
              <w:t>t/a</w:t>
            </w:r>
          </w:p>
        </w:tc>
        <w:tc>
          <w:tcPr>
            <w:tcW w:w="1325" w:type="dxa"/>
            <w:noWrap w:val="0"/>
            <w:vAlign w:val="center"/>
          </w:tcPr>
          <w:p w14:paraId="0E31F7DB">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0.74</w:t>
            </w:r>
            <w:r>
              <w:rPr>
                <w:rFonts w:hint="default" w:ascii="Times New Roman" w:hAnsi="Times New Roman" w:eastAsia="宋体" w:cs="Times New Roman"/>
                <w:color w:val="auto"/>
                <w:sz w:val="21"/>
                <w:szCs w:val="21"/>
              </w:rPr>
              <w:t>t/a</w:t>
            </w:r>
          </w:p>
        </w:tc>
      </w:tr>
      <w:tr w14:paraId="0913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56D9D619">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27F6276F">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46F2757F">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SS</w:t>
            </w:r>
          </w:p>
        </w:tc>
        <w:tc>
          <w:tcPr>
            <w:tcW w:w="1077" w:type="dxa"/>
            <w:noWrap w:val="0"/>
            <w:vAlign w:val="center"/>
          </w:tcPr>
          <w:p w14:paraId="53B94837">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6" w:type="dxa"/>
            <w:noWrap w:val="0"/>
            <w:vAlign w:val="center"/>
          </w:tcPr>
          <w:p w14:paraId="59B8CD8A">
            <w:pPr>
              <w:pStyle w:val="756"/>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0.44</w:t>
            </w:r>
            <w:r>
              <w:rPr>
                <w:rFonts w:hint="default" w:ascii="Times New Roman" w:hAnsi="Times New Roman" w:eastAsia="宋体" w:cs="Times New Roman"/>
                <w:color w:val="auto"/>
                <w:sz w:val="21"/>
                <w:szCs w:val="21"/>
              </w:rPr>
              <w:t>t/a</w:t>
            </w:r>
          </w:p>
        </w:tc>
        <w:tc>
          <w:tcPr>
            <w:tcW w:w="884" w:type="dxa"/>
            <w:noWrap w:val="0"/>
            <w:vAlign w:val="center"/>
          </w:tcPr>
          <w:p w14:paraId="35187496">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7C89F642">
            <w:pPr>
              <w:pStyle w:val="756"/>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0.44</w:t>
            </w:r>
            <w:r>
              <w:rPr>
                <w:rFonts w:hint="default" w:ascii="Times New Roman" w:hAnsi="Times New Roman" w:eastAsia="宋体" w:cs="Times New Roman"/>
                <w:color w:val="auto"/>
                <w:sz w:val="21"/>
                <w:szCs w:val="21"/>
              </w:rPr>
              <w:t>t/a</w:t>
            </w:r>
          </w:p>
        </w:tc>
        <w:tc>
          <w:tcPr>
            <w:tcW w:w="1325" w:type="dxa"/>
            <w:noWrap w:val="0"/>
            <w:vAlign w:val="center"/>
          </w:tcPr>
          <w:p w14:paraId="330ECE92">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0.44</w:t>
            </w:r>
            <w:r>
              <w:rPr>
                <w:rFonts w:hint="default" w:ascii="Times New Roman" w:hAnsi="Times New Roman" w:eastAsia="宋体" w:cs="Times New Roman"/>
                <w:color w:val="auto"/>
                <w:sz w:val="21"/>
                <w:szCs w:val="21"/>
              </w:rPr>
              <w:t>t/a</w:t>
            </w:r>
          </w:p>
        </w:tc>
      </w:tr>
      <w:tr w14:paraId="4AA8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53062468">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68F81157">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19E3F489">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LAS</w:t>
            </w:r>
          </w:p>
        </w:tc>
        <w:tc>
          <w:tcPr>
            <w:tcW w:w="1077" w:type="dxa"/>
            <w:noWrap w:val="0"/>
            <w:vAlign w:val="center"/>
          </w:tcPr>
          <w:p w14:paraId="2D599C3E">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6" w:type="dxa"/>
            <w:noWrap w:val="0"/>
            <w:vAlign w:val="center"/>
          </w:tcPr>
          <w:p w14:paraId="5D4F5278">
            <w:pPr>
              <w:pStyle w:val="756"/>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0.005</w:t>
            </w:r>
            <w:r>
              <w:rPr>
                <w:rFonts w:hint="default" w:ascii="Times New Roman" w:hAnsi="Times New Roman" w:eastAsia="宋体" w:cs="Times New Roman"/>
                <w:color w:val="auto"/>
                <w:sz w:val="21"/>
                <w:szCs w:val="21"/>
              </w:rPr>
              <w:t>t/a</w:t>
            </w:r>
          </w:p>
        </w:tc>
        <w:tc>
          <w:tcPr>
            <w:tcW w:w="884" w:type="dxa"/>
            <w:noWrap w:val="0"/>
            <w:vAlign w:val="center"/>
          </w:tcPr>
          <w:p w14:paraId="2FAD3CD6">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57F1DCB3">
            <w:pPr>
              <w:pStyle w:val="756"/>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0.005</w:t>
            </w:r>
            <w:r>
              <w:rPr>
                <w:rFonts w:hint="default" w:ascii="Times New Roman" w:hAnsi="Times New Roman" w:eastAsia="宋体" w:cs="Times New Roman"/>
                <w:color w:val="auto"/>
                <w:sz w:val="21"/>
                <w:szCs w:val="21"/>
              </w:rPr>
              <w:t>t/a</w:t>
            </w:r>
          </w:p>
        </w:tc>
        <w:tc>
          <w:tcPr>
            <w:tcW w:w="1325" w:type="dxa"/>
            <w:noWrap w:val="0"/>
            <w:vAlign w:val="center"/>
          </w:tcPr>
          <w:p w14:paraId="2316566F">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0.005</w:t>
            </w:r>
            <w:r>
              <w:rPr>
                <w:rFonts w:hint="default" w:ascii="Times New Roman" w:hAnsi="Times New Roman" w:eastAsia="宋体" w:cs="Times New Roman"/>
                <w:color w:val="auto"/>
                <w:sz w:val="21"/>
                <w:szCs w:val="21"/>
              </w:rPr>
              <w:t>t/a</w:t>
            </w:r>
          </w:p>
        </w:tc>
      </w:tr>
      <w:tr w14:paraId="7DDD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03AB04C6">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3A4F4B3A">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406BCFDD">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色度</w:t>
            </w:r>
          </w:p>
        </w:tc>
        <w:tc>
          <w:tcPr>
            <w:tcW w:w="1077" w:type="dxa"/>
            <w:noWrap w:val="0"/>
            <w:vAlign w:val="center"/>
          </w:tcPr>
          <w:p w14:paraId="545CDC31">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6" w:type="dxa"/>
            <w:noWrap w:val="0"/>
            <w:vAlign w:val="center"/>
          </w:tcPr>
          <w:p w14:paraId="1AE9C4CB">
            <w:pPr>
              <w:pStyle w:val="756"/>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0.07</w:t>
            </w:r>
            <w:r>
              <w:rPr>
                <w:rFonts w:hint="default" w:ascii="Times New Roman" w:hAnsi="Times New Roman" w:eastAsia="宋体" w:cs="Times New Roman"/>
                <w:color w:val="auto"/>
                <w:sz w:val="21"/>
                <w:szCs w:val="21"/>
              </w:rPr>
              <w:t>t/a</w:t>
            </w:r>
          </w:p>
        </w:tc>
        <w:tc>
          <w:tcPr>
            <w:tcW w:w="884" w:type="dxa"/>
            <w:noWrap w:val="0"/>
            <w:vAlign w:val="center"/>
          </w:tcPr>
          <w:p w14:paraId="681E3B79">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65238300">
            <w:pPr>
              <w:pStyle w:val="756"/>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0.07</w:t>
            </w:r>
            <w:r>
              <w:rPr>
                <w:rFonts w:hint="default" w:ascii="Times New Roman" w:hAnsi="Times New Roman" w:eastAsia="宋体" w:cs="Times New Roman"/>
                <w:color w:val="auto"/>
                <w:sz w:val="21"/>
                <w:szCs w:val="21"/>
              </w:rPr>
              <w:t>t/a</w:t>
            </w:r>
          </w:p>
        </w:tc>
        <w:tc>
          <w:tcPr>
            <w:tcW w:w="1325" w:type="dxa"/>
            <w:noWrap w:val="0"/>
            <w:vAlign w:val="center"/>
          </w:tcPr>
          <w:p w14:paraId="1C9FDC2F">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0.07</w:t>
            </w:r>
            <w:r>
              <w:rPr>
                <w:rFonts w:hint="default" w:ascii="Times New Roman" w:hAnsi="Times New Roman" w:eastAsia="宋体" w:cs="Times New Roman"/>
                <w:color w:val="auto"/>
                <w:sz w:val="21"/>
                <w:szCs w:val="21"/>
              </w:rPr>
              <w:t>t/a</w:t>
            </w:r>
          </w:p>
        </w:tc>
      </w:tr>
      <w:tr w14:paraId="511D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763727A9">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554D90B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7DC6DDC0">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TP</w:t>
            </w:r>
          </w:p>
        </w:tc>
        <w:tc>
          <w:tcPr>
            <w:tcW w:w="1077" w:type="dxa"/>
            <w:noWrap w:val="0"/>
            <w:vAlign w:val="center"/>
          </w:tcPr>
          <w:p w14:paraId="2BAEDFD3">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6" w:type="dxa"/>
            <w:noWrap w:val="0"/>
            <w:vAlign w:val="center"/>
          </w:tcPr>
          <w:p w14:paraId="1EA78112">
            <w:pPr>
              <w:pStyle w:val="756"/>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0.009</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884" w:type="dxa"/>
            <w:noWrap w:val="0"/>
            <w:vAlign w:val="center"/>
          </w:tcPr>
          <w:p w14:paraId="50A3E034">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7EEEB9CC">
            <w:pPr>
              <w:pStyle w:val="756"/>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0.009</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1325" w:type="dxa"/>
            <w:noWrap w:val="0"/>
            <w:vAlign w:val="center"/>
          </w:tcPr>
          <w:p w14:paraId="2FF27BF8">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0.009</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r>
      <w:tr w14:paraId="137C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472895D7">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6277FACE">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698B65DC">
            <w:pPr>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077" w:type="dxa"/>
            <w:noWrap w:val="0"/>
            <w:vAlign w:val="center"/>
          </w:tcPr>
          <w:p w14:paraId="3CD5FC7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26" w:type="dxa"/>
            <w:noWrap w:val="0"/>
            <w:vAlign w:val="center"/>
          </w:tcPr>
          <w:p w14:paraId="732C2D22">
            <w:pPr>
              <w:pStyle w:val="756"/>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884" w:type="dxa"/>
            <w:noWrap w:val="0"/>
            <w:vAlign w:val="center"/>
          </w:tcPr>
          <w:p w14:paraId="065C9CC8">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73FE3518">
            <w:pPr>
              <w:pStyle w:val="756"/>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rPr>
              <w:t>0.05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c>
          <w:tcPr>
            <w:tcW w:w="1325" w:type="dxa"/>
            <w:noWrap w:val="0"/>
            <w:vAlign w:val="center"/>
          </w:tcPr>
          <w:p w14:paraId="2D05688F">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r>
              <w:rPr>
                <w:rFonts w:hint="eastAsia" w:cs="Times New Roman"/>
                <w:color w:val="auto"/>
                <w:kern w:val="0"/>
                <w:sz w:val="21"/>
                <w:szCs w:val="21"/>
                <w:lang w:val="en-US" w:eastAsia="zh-CN"/>
              </w:rPr>
              <w:t>0.05</w:t>
            </w:r>
            <w:r>
              <w:rPr>
                <w:rFonts w:hint="default" w:ascii="Times New Roman" w:hAnsi="Times New Roman" w:eastAsia="宋体" w:cs="Times New Roman"/>
                <w:color w:val="auto"/>
                <w:kern w:val="0"/>
                <w:sz w:val="21"/>
                <w:szCs w:val="21"/>
              </w:rPr>
              <w:t xml:space="preserve"> </w:t>
            </w:r>
            <w:r>
              <w:rPr>
                <w:rFonts w:hint="default" w:ascii="Times New Roman" w:hAnsi="Times New Roman" w:eastAsia="宋体" w:cs="Times New Roman"/>
                <w:color w:val="auto"/>
                <w:sz w:val="21"/>
                <w:szCs w:val="21"/>
              </w:rPr>
              <w:t>t/a</w:t>
            </w:r>
          </w:p>
        </w:tc>
      </w:tr>
      <w:tr w14:paraId="3C129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0229D6D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restart"/>
            <w:noWrap w:val="0"/>
            <w:vAlign w:val="center"/>
          </w:tcPr>
          <w:p w14:paraId="4A55D34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eastAsia="zh-CN"/>
              </w:rPr>
              <w:t>生活废水</w:t>
            </w:r>
          </w:p>
        </w:tc>
        <w:tc>
          <w:tcPr>
            <w:tcW w:w="1346" w:type="dxa"/>
            <w:noWrap w:val="0"/>
            <w:vAlign w:val="center"/>
          </w:tcPr>
          <w:p w14:paraId="36B5048F">
            <w:pPr>
              <w:adjustRightInd w:val="0"/>
              <w:snapToGrid w:val="0"/>
              <w:spacing w:line="240" w:lineRule="auto"/>
              <w:jc w:val="center"/>
              <w:rPr>
                <w:rFonts w:hint="eastAsia"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color w:val="auto"/>
                <w:sz w:val="21"/>
                <w:szCs w:val="21"/>
              </w:rPr>
              <w:t>废水量</w:t>
            </w:r>
          </w:p>
        </w:tc>
        <w:tc>
          <w:tcPr>
            <w:tcW w:w="1077" w:type="dxa"/>
            <w:noWrap w:val="0"/>
            <w:vAlign w:val="center"/>
          </w:tcPr>
          <w:p w14:paraId="156260A8">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6960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1026" w:type="dxa"/>
            <w:noWrap w:val="0"/>
            <w:vAlign w:val="center"/>
          </w:tcPr>
          <w:p w14:paraId="3654B9AF">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5CC65D6D">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09F684B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6960</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1325" w:type="dxa"/>
            <w:noWrap w:val="0"/>
            <w:vAlign w:val="center"/>
          </w:tcPr>
          <w:p w14:paraId="5085EF3A">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w:t>
            </w:r>
          </w:p>
        </w:tc>
      </w:tr>
      <w:tr w14:paraId="39BF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2D1FC1C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5FA4AF62">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7DA3B93E">
            <w:pPr>
              <w:adjustRightInd w:val="0"/>
              <w:snapToGrid w:val="0"/>
              <w:spacing w:line="24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rPr>
              <w:t>COD</w:t>
            </w:r>
          </w:p>
        </w:tc>
        <w:tc>
          <w:tcPr>
            <w:tcW w:w="1077" w:type="dxa"/>
            <w:noWrap w:val="0"/>
            <w:vAlign w:val="center"/>
          </w:tcPr>
          <w:p w14:paraId="79D71147">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2.088</w:t>
            </w:r>
            <w:r>
              <w:rPr>
                <w:rFonts w:hint="default" w:ascii="Times New Roman" w:hAnsi="Times New Roman" w:eastAsia="宋体" w:cs="Times New Roman"/>
                <w:color w:val="auto"/>
                <w:sz w:val="21"/>
                <w:szCs w:val="21"/>
              </w:rPr>
              <w:t>t/a</w:t>
            </w:r>
          </w:p>
        </w:tc>
        <w:tc>
          <w:tcPr>
            <w:tcW w:w="1026" w:type="dxa"/>
            <w:noWrap w:val="0"/>
            <w:vAlign w:val="center"/>
          </w:tcPr>
          <w:p w14:paraId="4A17A385">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49296AF9">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0325982A">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2.088</w:t>
            </w:r>
            <w:r>
              <w:rPr>
                <w:rFonts w:hint="default" w:ascii="Times New Roman" w:hAnsi="Times New Roman" w:eastAsia="宋体" w:cs="Times New Roman"/>
                <w:color w:val="auto"/>
                <w:sz w:val="21"/>
                <w:szCs w:val="21"/>
              </w:rPr>
              <w:t>t/a</w:t>
            </w:r>
          </w:p>
        </w:tc>
        <w:tc>
          <w:tcPr>
            <w:tcW w:w="1325" w:type="dxa"/>
            <w:noWrap w:val="0"/>
            <w:vAlign w:val="center"/>
          </w:tcPr>
          <w:p w14:paraId="1891F862">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r>
      <w:tr w14:paraId="5B27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08C23CD7">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2BB6BCC3">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4C70A9F6">
            <w:pPr>
              <w:adjustRightInd w:val="0"/>
              <w:snapToGrid w:val="0"/>
              <w:spacing w:line="24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077" w:type="dxa"/>
            <w:noWrap w:val="0"/>
            <w:vAlign w:val="center"/>
          </w:tcPr>
          <w:p w14:paraId="25E8F4B8">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1.25</w:t>
            </w:r>
            <w:r>
              <w:rPr>
                <w:rFonts w:hint="default" w:ascii="Times New Roman" w:hAnsi="Times New Roman" w:eastAsia="宋体" w:cs="Times New Roman"/>
                <w:color w:val="auto"/>
                <w:sz w:val="21"/>
                <w:szCs w:val="21"/>
              </w:rPr>
              <w:t>t/a</w:t>
            </w:r>
          </w:p>
        </w:tc>
        <w:tc>
          <w:tcPr>
            <w:tcW w:w="1026" w:type="dxa"/>
            <w:noWrap w:val="0"/>
            <w:vAlign w:val="center"/>
          </w:tcPr>
          <w:p w14:paraId="5030A92D">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549779D2">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471413E2">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1.25</w:t>
            </w:r>
            <w:r>
              <w:rPr>
                <w:rFonts w:hint="default" w:ascii="Times New Roman" w:hAnsi="Times New Roman" w:eastAsia="宋体" w:cs="Times New Roman"/>
                <w:color w:val="auto"/>
                <w:sz w:val="21"/>
                <w:szCs w:val="21"/>
              </w:rPr>
              <w:t>t/a</w:t>
            </w:r>
          </w:p>
        </w:tc>
        <w:tc>
          <w:tcPr>
            <w:tcW w:w="1325" w:type="dxa"/>
            <w:noWrap w:val="0"/>
            <w:vAlign w:val="center"/>
          </w:tcPr>
          <w:p w14:paraId="4747B19C">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r>
      <w:tr w14:paraId="4639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5651CAEF">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764752B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099B33B3">
            <w:pPr>
              <w:adjustRightInd w:val="0"/>
              <w:snapToGrid w:val="0"/>
              <w:spacing w:line="24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rPr>
              <w:t>SS</w:t>
            </w:r>
          </w:p>
        </w:tc>
        <w:tc>
          <w:tcPr>
            <w:tcW w:w="1077" w:type="dxa"/>
            <w:noWrap w:val="0"/>
            <w:vAlign w:val="center"/>
          </w:tcPr>
          <w:p w14:paraId="4D4859EC">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0.97</w:t>
            </w:r>
            <w:r>
              <w:rPr>
                <w:rFonts w:hint="default" w:ascii="Times New Roman" w:hAnsi="Times New Roman" w:eastAsia="宋体" w:cs="Times New Roman"/>
                <w:color w:val="auto"/>
                <w:sz w:val="21"/>
                <w:szCs w:val="21"/>
              </w:rPr>
              <w:t>t/a</w:t>
            </w:r>
          </w:p>
        </w:tc>
        <w:tc>
          <w:tcPr>
            <w:tcW w:w="1026" w:type="dxa"/>
            <w:noWrap w:val="0"/>
            <w:vAlign w:val="center"/>
          </w:tcPr>
          <w:p w14:paraId="43F7F0FD">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0680664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125B0544">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0.97</w:t>
            </w:r>
            <w:r>
              <w:rPr>
                <w:rFonts w:hint="default" w:ascii="Times New Roman" w:hAnsi="Times New Roman" w:eastAsia="宋体" w:cs="Times New Roman"/>
                <w:color w:val="auto"/>
                <w:sz w:val="21"/>
                <w:szCs w:val="21"/>
              </w:rPr>
              <w:t>t/a</w:t>
            </w:r>
          </w:p>
        </w:tc>
        <w:tc>
          <w:tcPr>
            <w:tcW w:w="1325" w:type="dxa"/>
            <w:noWrap w:val="0"/>
            <w:vAlign w:val="center"/>
          </w:tcPr>
          <w:p w14:paraId="583C21FF">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r>
      <w:tr w14:paraId="1FD0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0AC91E7C">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57A2A75D">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02B0BDFB">
            <w:pPr>
              <w:adjustRightInd w:val="0"/>
              <w:snapToGrid w:val="0"/>
              <w:spacing w:line="24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rPr>
              <w:t>TP</w:t>
            </w:r>
          </w:p>
        </w:tc>
        <w:tc>
          <w:tcPr>
            <w:tcW w:w="1077" w:type="dxa"/>
            <w:noWrap w:val="0"/>
            <w:vAlign w:val="center"/>
          </w:tcPr>
          <w:p w14:paraId="44080FA7">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color w:val="auto"/>
                <w:sz w:val="21"/>
                <w:szCs w:val="21"/>
              </w:rPr>
              <w:t>t/a</w:t>
            </w:r>
          </w:p>
        </w:tc>
        <w:tc>
          <w:tcPr>
            <w:tcW w:w="1026" w:type="dxa"/>
            <w:noWrap w:val="0"/>
            <w:vAlign w:val="center"/>
          </w:tcPr>
          <w:p w14:paraId="4EAC9A07">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657A6155">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4933252B">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0.02</w:t>
            </w:r>
            <w:r>
              <w:rPr>
                <w:rFonts w:hint="default" w:ascii="Times New Roman" w:hAnsi="Times New Roman" w:eastAsia="宋体" w:cs="Times New Roman"/>
                <w:color w:val="auto"/>
                <w:sz w:val="21"/>
                <w:szCs w:val="21"/>
              </w:rPr>
              <w:t>t/a</w:t>
            </w:r>
          </w:p>
        </w:tc>
        <w:tc>
          <w:tcPr>
            <w:tcW w:w="1325" w:type="dxa"/>
            <w:noWrap w:val="0"/>
            <w:vAlign w:val="center"/>
          </w:tcPr>
          <w:p w14:paraId="66865297">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r>
      <w:tr w14:paraId="2851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3FD74162">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21C2C0DA">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6CC16243">
            <w:pPr>
              <w:adjustRightInd w:val="0"/>
              <w:snapToGrid w:val="0"/>
              <w:spacing w:line="240" w:lineRule="auto"/>
              <w:ind w:firstLine="0" w:firstLineChars="0"/>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077" w:type="dxa"/>
            <w:noWrap w:val="0"/>
            <w:vAlign w:val="center"/>
          </w:tcPr>
          <w:p w14:paraId="5CE9DFC9">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0.17</w:t>
            </w:r>
            <w:r>
              <w:rPr>
                <w:rFonts w:hint="default" w:ascii="Times New Roman" w:hAnsi="Times New Roman" w:eastAsia="宋体" w:cs="Times New Roman"/>
                <w:color w:val="auto"/>
                <w:sz w:val="21"/>
                <w:szCs w:val="21"/>
              </w:rPr>
              <w:t>t/a</w:t>
            </w:r>
          </w:p>
        </w:tc>
        <w:tc>
          <w:tcPr>
            <w:tcW w:w="1026" w:type="dxa"/>
            <w:noWrap w:val="0"/>
            <w:vAlign w:val="center"/>
          </w:tcPr>
          <w:p w14:paraId="73EB30C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0316EAB3">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520CED0D">
            <w:pPr>
              <w:pStyle w:val="756"/>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rPr>
              <w:t>0.17</w:t>
            </w:r>
            <w:r>
              <w:rPr>
                <w:rFonts w:hint="default" w:ascii="Times New Roman" w:hAnsi="Times New Roman" w:eastAsia="宋体" w:cs="Times New Roman"/>
                <w:color w:val="auto"/>
                <w:sz w:val="21"/>
                <w:szCs w:val="21"/>
              </w:rPr>
              <w:t>t/a</w:t>
            </w:r>
          </w:p>
        </w:tc>
        <w:tc>
          <w:tcPr>
            <w:tcW w:w="1325" w:type="dxa"/>
            <w:noWrap w:val="0"/>
            <w:vAlign w:val="center"/>
          </w:tcPr>
          <w:p w14:paraId="1E801D65">
            <w:pPr>
              <w:pStyle w:val="756"/>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0</w:t>
            </w:r>
          </w:p>
        </w:tc>
      </w:tr>
      <w:tr w14:paraId="7766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restart"/>
            <w:noWrap w:val="0"/>
            <w:vAlign w:val="center"/>
          </w:tcPr>
          <w:p w14:paraId="3CA356D6">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999" w:type="dxa"/>
            <w:vMerge w:val="restart"/>
            <w:noWrap w:val="0"/>
            <w:vAlign w:val="center"/>
          </w:tcPr>
          <w:p w14:paraId="5FA6D3A4">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生产过程</w:t>
            </w:r>
          </w:p>
        </w:tc>
        <w:tc>
          <w:tcPr>
            <w:tcW w:w="1346" w:type="dxa"/>
            <w:noWrap w:val="0"/>
            <w:vAlign w:val="center"/>
          </w:tcPr>
          <w:p w14:paraId="1992D844">
            <w:pPr>
              <w:autoSpaceDE w:val="0"/>
              <w:autoSpaceDN w:val="0"/>
              <w:adjustRightInd w:val="0"/>
              <w:spacing w:line="240" w:lineRule="auto"/>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lang w:eastAsia="zh-CN"/>
              </w:rPr>
              <w:t>边角料及残次品</w:t>
            </w:r>
          </w:p>
        </w:tc>
        <w:tc>
          <w:tcPr>
            <w:tcW w:w="1077" w:type="dxa"/>
            <w:noWrap w:val="0"/>
            <w:vAlign w:val="center"/>
          </w:tcPr>
          <w:p w14:paraId="526E8D57">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1.8t/a</w:t>
            </w:r>
          </w:p>
        </w:tc>
        <w:tc>
          <w:tcPr>
            <w:tcW w:w="1026" w:type="dxa"/>
            <w:noWrap w:val="0"/>
            <w:vAlign w:val="center"/>
          </w:tcPr>
          <w:p w14:paraId="1C8F0A9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0E8486DD">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7D6457F3">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1.8t/a</w:t>
            </w:r>
          </w:p>
        </w:tc>
        <w:tc>
          <w:tcPr>
            <w:tcW w:w="1325" w:type="dxa"/>
            <w:noWrap w:val="0"/>
            <w:vAlign w:val="center"/>
          </w:tcPr>
          <w:p w14:paraId="5196AFB1">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14:paraId="7777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79BC6C2F">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6235776E">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49A1245E">
            <w:pPr>
              <w:autoSpaceDE w:val="0"/>
              <w:autoSpaceDN w:val="0"/>
              <w:adjustRightInd w:val="0"/>
              <w:spacing w:line="240" w:lineRule="auto"/>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lang w:eastAsia="zh-CN"/>
              </w:rPr>
              <w:t>废包装材料</w:t>
            </w:r>
          </w:p>
        </w:tc>
        <w:tc>
          <w:tcPr>
            <w:tcW w:w="1077" w:type="dxa"/>
            <w:noWrap w:val="0"/>
            <w:vAlign w:val="center"/>
          </w:tcPr>
          <w:p w14:paraId="6E662137">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1.2t/a</w:t>
            </w:r>
          </w:p>
        </w:tc>
        <w:tc>
          <w:tcPr>
            <w:tcW w:w="1026" w:type="dxa"/>
            <w:noWrap w:val="0"/>
            <w:vAlign w:val="center"/>
          </w:tcPr>
          <w:p w14:paraId="4EFC5F5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78029681">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6CD26ED9">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1.2t/a</w:t>
            </w:r>
          </w:p>
        </w:tc>
        <w:tc>
          <w:tcPr>
            <w:tcW w:w="1325" w:type="dxa"/>
            <w:noWrap w:val="0"/>
            <w:vAlign w:val="center"/>
          </w:tcPr>
          <w:p w14:paraId="5C96E185">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14:paraId="1199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374E2A8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1A87D820">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51018A84">
            <w:pPr>
              <w:autoSpaceDE w:val="0"/>
              <w:autoSpaceDN w:val="0"/>
              <w:adjustRightInd w:val="0"/>
              <w:spacing w:line="240" w:lineRule="auto"/>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lang w:eastAsia="zh-CN"/>
              </w:rPr>
              <w:t>生活垃圾</w:t>
            </w:r>
          </w:p>
        </w:tc>
        <w:tc>
          <w:tcPr>
            <w:tcW w:w="1077" w:type="dxa"/>
            <w:noWrap w:val="0"/>
            <w:vAlign w:val="center"/>
          </w:tcPr>
          <w:p w14:paraId="33C4B52E">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87t/a</w:t>
            </w:r>
          </w:p>
        </w:tc>
        <w:tc>
          <w:tcPr>
            <w:tcW w:w="1026" w:type="dxa"/>
            <w:noWrap w:val="0"/>
            <w:vAlign w:val="center"/>
          </w:tcPr>
          <w:p w14:paraId="6A77E9FE">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05FE5B3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0B8341FB">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87t/a</w:t>
            </w:r>
          </w:p>
        </w:tc>
        <w:tc>
          <w:tcPr>
            <w:tcW w:w="1325" w:type="dxa"/>
            <w:noWrap w:val="0"/>
            <w:vAlign w:val="center"/>
          </w:tcPr>
          <w:p w14:paraId="365D48CA">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14:paraId="248A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center"/>
          </w:tcPr>
          <w:p w14:paraId="79A0AC86">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center"/>
          </w:tcPr>
          <w:p w14:paraId="64BD5A5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6ED4226F">
            <w:pPr>
              <w:autoSpaceDE w:val="0"/>
              <w:autoSpaceDN w:val="0"/>
              <w:adjustRightInd w:val="0"/>
              <w:spacing w:line="240" w:lineRule="auto"/>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rPr>
              <w:t>食堂泔水及废油</w:t>
            </w:r>
          </w:p>
        </w:tc>
        <w:tc>
          <w:tcPr>
            <w:tcW w:w="1077" w:type="dxa"/>
            <w:noWrap w:val="0"/>
            <w:vAlign w:val="center"/>
          </w:tcPr>
          <w:p w14:paraId="5A1493B3">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87.1t/a</w:t>
            </w:r>
          </w:p>
        </w:tc>
        <w:tc>
          <w:tcPr>
            <w:tcW w:w="1026" w:type="dxa"/>
            <w:noWrap w:val="0"/>
            <w:vAlign w:val="center"/>
          </w:tcPr>
          <w:p w14:paraId="79EC1C09">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center"/>
          </w:tcPr>
          <w:p w14:paraId="07F2F50C">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52B6CE49">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87.1t/a</w:t>
            </w:r>
          </w:p>
        </w:tc>
        <w:tc>
          <w:tcPr>
            <w:tcW w:w="1325" w:type="dxa"/>
            <w:noWrap w:val="0"/>
            <w:vAlign w:val="center"/>
          </w:tcPr>
          <w:p w14:paraId="2C2BFEF1">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r w14:paraId="36A4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top"/>
          </w:tcPr>
          <w:p w14:paraId="78E22D68">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top"/>
          </w:tcPr>
          <w:p w14:paraId="58FE5EED">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71094257">
            <w:pPr>
              <w:autoSpaceDE w:val="0"/>
              <w:autoSpaceDN w:val="0"/>
              <w:adjustRightInd w:val="0"/>
              <w:spacing w:line="240" w:lineRule="auto"/>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rPr>
              <w:t>污泥</w:t>
            </w:r>
          </w:p>
        </w:tc>
        <w:tc>
          <w:tcPr>
            <w:tcW w:w="1077" w:type="dxa"/>
            <w:noWrap w:val="0"/>
            <w:vAlign w:val="center"/>
          </w:tcPr>
          <w:p w14:paraId="2E6E2153">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c>
          <w:tcPr>
            <w:tcW w:w="1026" w:type="dxa"/>
            <w:noWrap w:val="0"/>
            <w:vAlign w:val="top"/>
          </w:tcPr>
          <w:p w14:paraId="3F480427">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884" w:type="dxa"/>
            <w:noWrap w:val="0"/>
            <w:vAlign w:val="top"/>
          </w:tcPr>
          <w:p w14:paraId="2C0A4438">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t/a</w:t>
            </w:r>
          </w:p>
        </w:tc>
        <w:tc>
          <w:tcPr>
            <w:tcW w:w="1067" w:type="dxa"/>
            <w:noWrap w:val="0"/>
            <w:vAlign w:val="center"/>
          </w:tcPr>
          <w:p w14:paraId="37E1E0E1">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1.5t/a</w:t>
            </w:r>
          </w:p>
        </w:tc>
        <w:tc>
          <w:tcPr>
            <w:tcW w:w="1325" w:type="dxa"/>
            <w:noWrap w:val="0"/>
            <w:vAlign w:val="center"/>
          </w:tcPr>
          <w:p w14:paraId="2E8352E7">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1.5t/a</w:t>
            </w:r>
          </w:p>
        </w:tc>
      </w:tr>
      <w:tr w14:paraId="5594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6" w:type="dxa"/>
            <w:vMerge w:val="continue"/>
            <w:noWrap w:val="0"/>
            <w:vAlign w:val="top"/>
          </w:tcPr>
          <w:p w14:paraId="45BCE732">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999" w:type="dxa"/>
            <w:vMerge w:val="continue"/>
            <w:noWrap w:val="0"/>
            <w:vAlign w:val="top"/>
          </w:tcPr>
          <w:p w14:paraId="2FCFB603">
            <w:pPr>
              <w:adjustRightInd w:val="0"/>
              <w:snapToGrid w:val="0"/>
              <w:spacing w:line="240" w:lineRule="auto"/>
              <w:jc w:val="center"/>
              <w:rPr>
                <w:rFonts w:hint="eastAsia" w:ascii="Times New Roman" w:hAnsi="Times New Roman" w:eastAsia="宋体" w:cs="Times New Roman"/>
                <w:color w:val="auto"/>
                <w:sz w:val="21"/>
                <w:szCs w:val="21"/>
                <w:lang w:val="en-US" w:eastAsia="zh-CN"/>
              </w:rPr>
            </w:pPr>
          </w:p>
        </w:tc>
        <w:tc>
          <w:tcPr>
            <w:tcW w:w="1346" w:type="dxa"/>
            <w:noWrap w:val="0"/>
            <w:vAlign w:val="center"/>
          </w:tcPr>
          <w:p w14:paraId="43693261">
            <w:pPr>
              <w:autoSpaceDE w:val="0"/>
              <w:autoSpaceDN w:val="0"/>
              <w:adjustRightInd w:val="0"/>
              <w:spacing w:line="240" w:lineRule="auto"/>
              <w:jc w:val="center"/>
              <w:rPr>
                <w:rFonts w:hint="default" w:ascii="Times New Roman" w:hAnsi="Times New Roman" w:cs="Times New Roman"/>
                <w:bCs/>
                <w:color w:val="auto"/>
                <w:kern w:val="0"/>
                <w:sz w:val="21"/>
                <w:szCs w:val="21"/>
                <w:highlight w:val="none"/>
              </w:rPr>
            </w:pPr>
            <w:r>
              <w:rPr>
                <w:rFonts w:hint="default" w:ascii="Times New Roman" w:hAnsi="Times New Roman" w:eastAsia="宋体" w:cs="Times New Roman"/>
                <w:color w:val="auto"/>
                <w:sz w:val="21"/>
                <w:szCs w:val="21"/>
              </w:rPr>
              <w:t>废机油</w:t>
            </w:r>
          </w:p>
        </w:tc>
        <w:tc>
          <w:tcPr>
            <w:tcW w:w="1077" w:type="dxa"/>
            <w:noWrap w:val="0"/>
            <w:vAlign w:val="center"/>
          </w:tcPr>
          <w:p w14:paraId="7FA1E611">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0.05t/a</w:t>
            </w:r>
          </w:p>
        </w:tc>
        <w:tc>
          <w:tcPr>
            <w:tcW w:w="1026" w:type="dxa"/>
            <w:noWrap w:val="0"/>
            <w:vAlign w:val="center"/>
          </w:tcPr>
          <w:p w14:paraId="7DBEEA85">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w:t>
            </w:r>
            <w:r>
              <w:rPr>
                <w:rFonts w:hint="default" w:ascii="Times New Roman" w:hAnsi="Times New Roman" w:cs="Times New Roman"/>
                <w:color w:val="auto"/>
                <w:sz w:val="21"/>
                <w:szCs w:val="21"/>
              </w:rPr>
              <w:t>t/a</w:t>
            </w:r>
          </w:p>
        </w:tc>
        <w:tc>
          <w:tcPr>
            <w:tcW w:w="884" w:type="dxa"/>
            <w:noWrap w:val="0"/>
            <w:vAlign w:val="top"/>
          </w:tcPr>
          <w:p w14:paraId="1A1290E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067" w:type="dxa"/>
            <w:noWrap w:val="0"/>
            <w:vAlign w:val="center"/>
          </w:tcPr>
          <w:p w14:paraId="3AE8A498">
            <w:pPr>
              <w:autoSpaceDE w:val="0"/>
              <w:autoSpaceDN w:val="0"/>
              <w:adjustRightIn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0.05t/a</w:t>
            </w:r>
          </w:p>
        </w:tc>
        <w:tc>
          <w:tcPr>
            <w:tcW w:w="1325" w:type="dxa"/>
            <w:noWrap w:val="0"/>
            <w:vAlign w:val="center"/>
          </w:tcPr>
          <w:p w14:paraId="3226C5D7">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w:t>
            </w:r>
          </w:p>
        </w:tc>
      </w:tr>
    </w:tbl>
    <w:p w14:paraId="67D4BAE4">
      <w:pPr>
        <w:adjustRightInd w:val="0"/>
        <w:snapToGrid w:val="0"/>
        <w:spacing w:beforeLines="50"/>
        <w:jc w:val="center"/>
        <w:outlineLvl w:val="0"/>
        <w:rPr>
          <w:rFonts w:hint="default" w:ascii="Times New Roman" w:hAnsi="Times New Roman" w:eastAsia="宋体" w:cs="Times New Roman"/>
          <w:b/>
          <w:color w:val="auto"/>
          <w:sz w:val="36"/>
          <w:szCs w:val="36"/>
        </w:rPr>
        <w:sectPr>
          <w:pgSz w:w="11906" w:h="16838"/>
          <w:pgMar w:top="1440" w:right="1797" w:bottom="1440" w:left="1797" w:header="851" w:footer="992" w:gutter="0"/>
          <w:pgNumType w:fmt="decimal"/>
          <w:cols w:space="425" w:num="1"/>
          <w:docGrid w:linePitch="312" w:charSpace="0"/>
        </w:sectPr>
      </w:pPr>
      <w:bookmarkStart w:id="265" w:name="_Toc2503"/>
    </w:p>
    <w:p w14:paraId="52AB9384">
      <w:pPr>
        <w:adjustRightInd w:val="0"/>
        <w:snapToGrid w:val="0"/>
        <w:spacing w:beforeLines="50"/>
        <w:jc w:val="center"/>
        <w:outlineLvl w:val="0"/>
        <w:rPr>
          <w:rFonts w:hint="default" w:ascii="Times New Roman" w:hAnsi="Times New Roman" w:eastAsia="宋体" w:cs="Times New Roman"/>
          <w:b/>
          <w:color w:val="auto"/>
          <w:sz w:val="36"/>
          <w:szCs w:val="36"/>
        </w:rPr>
      </w:pPr>
      <w:bookmarkStart w:id="266" w:name="_Toc27763"/>
      <w:r>
        <w:rPr>
          <w:rFonts w:hint="default" w:ascii="Times New Roman" w:hAnsi="Times New Roman" w:eastAsia="宋体" w:cs="Times New Roman"/>
          <w:b/>
          <w:color w:val="auto"/>
          <w:sz w:val="36"/>
          <w:szCs w:val="36"/>
        </w:rPr>
        <w:t>4.环境现状调查与评价</w:t>
      </w:r>
      <w:bookmarkEnd w:id="265"/>
      <w:bookmarkEnd w:id="266"/>
    </w:p>
    <w:p w14:paraId="33D23832">
      <w:pPr>
        <w:keepNext/>
        <w:keepLines/>
        <w:adjustRightInd w:val="0"/>
        <w:snapToGrid w:val="0"/>
        <w:outlineLvl w:val="1"/>
        <w:rPr>
          <w:rFonts w:hint="default" w:ascii="Times New Roman" w:hAnsi="Times New Roman" w:eastAsia="宋体" w:cs="Times New Roman"/>
          <w:b/>
          <w:bCs/>
          <w:color w:val="auto"/>
          <w:sz w:val="30"/>
          <w:szCs w:val="30"/>
        </w:rPr>
      </w:pPr>
      <w:bookmarkStart w:id="267" w:name="_Toc23862"/>
      <w:bookmarkStart w:id="268" w:name="_Toc23610"/>
      <w:bookmarkStart w:id="269" w:name="_Toc350159324"/>
      <w:r>
        <w:rPr>
          <w:rFonts w:hint="default" w:ascii="Times New Roman" w:hAnsi="Times New Roman" w:eastAsia="宋体" w:cs="Times New Roman"/>
          <w:b/>
          <w:bCs/>
          <w:color w:val="auto"/>
          <w:sz w:val="30"/>
          <w:szCs w:val="30"/>
        </w:rPr>
        <w:t>4.1自然环境概况</w:t>
      </w:r>
      <w:bookmarkEnd w:id="267"/>
      <w:bookmarkEnd w:id="268"/>
      <w:bookmarkEnd w:id="269"/>
    </w:p>
    <w:p w14:paraId="333A7857">
      <w:pPr>
        <w:keepNext/>
        <w:keepLines/>
        <w:adjustRightInd w:val="0"/>
        <w:snapToGrid w:val="0"/>
        <w:outlineLvl w:val="2"/>
        <w:rPr>
          <w:rFonts w:hint="default" w:ascii="Times New Roman" w:hAnsi="Times New Roman" w:eastAsia="宋体" w:cs="Times New Roman"/>
          <w:b/>
          <w:bCs/>
          <w:color w:val="auto"/>
          <w:sz w:val="28"/>
          <w:szCs w:val="28"/>
        </w:rPr>
      </w:pPr>
      <w:bookmarkStart w:id="270" w:name="_Toc350159325"/>
      <w:bookmarkStart w:id="271" w:name="_Toc295318819"/>
      <w:bookmarkStart w:id="272" w:name="_Toc18904"/>
      <w:bookmarkStart w:id="273" w:name="_Toc302132021"/>
      <w:r>
        <w:rPr>
          <w:rFonts w:hint="default" w:ascii="Times New Roman" w:hAnsi="Times New Roman" w:eastAsia="宋体" w:cs="Times New Roman"/>
          <w:b/>
          <w:bCs/>
          <w:color w:val="auto"/>
          <w:sz w:val="28"/>
          <w:szCs w:val="28"/>
        </w:rPr>
        <w:t>4.1.1地理位置</w:t>
      </w:r>
      <w:bookmarkEnd w:id="270"/>
      <w:bookmarkEnd w:id="271"/>
      <w:bookmarkEnd w:id="272"/>
      <w:bookmarkEnd w:id="273"/>
    </w:p>
    <w:p w14:paraId="4722D2D6">
      <w:pPr>
        <w:spacing w:line="360" w:lineRule="auto"/>
        <w:ind w:firstLine="480" w:firstLineChars="200"/>
        <w:rPr>
          <w:rFonts w:hint="default" w:ascii="Times New Roman" w:hAnsi="Times New Roman" w:eastAsia="宋体" w:cs="Times New Roman"/>
          <w:color w:val="auto"/>
          <w:sz w:val="24"/>
        </w:rPr>
      </w:pPr>
      <w:bookmarkStart w:id="274" w:name="_Toc198814371"/>
      <w:bookmarkStart w:id="275" w:name="_Toc350159326"/>
      <w:bookmarkStart w:id="276" w:name="_Toc199175057"/>
      <w:bookmarkStart w:id="277" w:name="_Toc194465336"/>
      <w:bookmarkStart w:id="278" w:name="_Toc328725361"/>
      <w:bookmarkStart w:id="279" w:name="_Toc283889126"/>
      <w:bookmarkStart w:id="280" w:name="_Toc281999370"/>
      <w:r>
        <w:rPr>
          <w:rFonts w:hint="default" w:ascii="Times New Roman" w:hAnsi="Times New Roman" w:eastAsia="宋体" w:cs="Times New Roman"/>
          <w:color w:val="auto"/>
          <w:szCs w:val="24"/>
          <w:lang w:eastAsia="zh-CN"/>
        </w:rPr>
        <w:t>项目位于芒市帕底工业园区。</w:t>
      </w:r>
      <w:r>
        <w:rPr>
          <w:rFonts w:hint="default" w:ascii="Times New Roman" w:hAnsi="Times New Roman" w:eastAsia="宋体" w:cs="Times New Roman"/>
          <w:color w:val="auto"/>
          <w:sz w:val="24"/>
        </w:rPr>
        <w:t>芒市是德宏傣族景颇族自治州5个县（市）之一，地处云南西部，德宏州东南部，位于东经98°01′～98°44′，北纬24°05′～24°39′之间。东西长约71公里，南北宽约62公里。总面积2987平方公里，其中山区占85%，坝区占15%。东、东北接保山市龙陵县，西南连瑞丽市、畹町经济开发区，西、西北与梁河县、陇川县隔龙江（龙川江）相望，南与缅甸交界，国境线长68.23公里。市政府驻地芒市镇（城镇规划面积25平方公里），同时是州府驻地，陆距省会昆明679公里，空距427公里。</w:t>
      </w:r>
    </w:p>
    <w:p w14:paraId="607CF6D4">
      <w:pPr>
        <w:spacing w:line="360" w:lineRule="auto"/>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bCs/>
          <w:color w:val="auto"/>
          <w:sz w:val="24"/>
        </w:rPr>
        <w:t>本项目位于云南瑞丽重点开发开放试验区风平片区（现芒市工业园区帕底片区），</w:t>
      </w:r>
      <w:r>
        <w:rPr>
          <w:rFonts w:hint="default" w:ascii="Times New Roman" w:hAnsi="Times New Roman" w:eastAsia="宋体" w:cs="Times New Roman"/>
          <w:color w:val="auto"/>
          <w:sz w:val="24"/>
        </w:rPr>
        <w:t>项目所在地位于芒市风平镇，地理位置东经98°28'</w:t>
      </w:r>
      <w:r>
        <w:rPr>
          <w:rFonts w:hint="eastAsia" w:ascii="Times New Roman" w:hAnsi="Times New Roman" w:cs="Times New Roman"/>
          <w:color w:val="auto"/>
          <w:sz w:val="24"/>
          <w:lang w:val="en-US" w:eastAsia="zh-CN"/>
        </w:rPr>
        <w:t>27</w:t>
      </w:r>
      <w:r>
        <w:rPr>
          <w:rFonts w:hint="default" w:ascii="Times New Roman" w:hAnsi="Times New Roman" w:eastAsia="宋体" w:cs="Times New Roman"/>
          <w:color w:val="auto"/>
          <w:sz w:val="24"/>
        </w:rPr>
        <w:t>"，北纬24°21'</w:t>
      </w:r>
      <w:r>
        <w:rPr>
          <w:rFonts w:hint="eastAsia" w:ascii="Times New Roman" w:hAnsi="Times New Roman" w:cs="Times New Roman"/>
          <w:color w:val="auto"/>
          <w:sz w:val="24"/>
          <w:lang w:val="en-US" w:eastAsia="zh-CN"/>
        </w:rPr>
        <w:t>32</w:t>
      </w:r>
      <w:r>
        <w:rPr>
          <w:rFonts w:hint="default" w:ascii="Times New Roman" w:hAnsi="Times New Roman" w:eastAsia="宋体" w:cs="Times New Roman"/>
          <w:color w:val="auto"/>
          <w:sz w:val="24"/>
        </w:rPr>
        <w:t>"。项目地理位置见图</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p>
    <w:p w14:paraId="173B3493">
      <w:pPr>
        <w:keepNext/>
        <w:keepLines/>
        <w:adjustRightInd w:val="0"/>
        <w:snapToGrid w:val="0"/>
        <w:spacing w:beforeLines="50"/>
        <w:outlineLvl w:val="2"/>
        <w:rPr>
          <w:rFonts w:hint="default" w:ascii="Times New Roman" w:hAnsi="Times New Roman" w:eastAsia="宋体" w:cs="Times New Roman"/>
          <w:b/>
          <w:bCs/>
          <w:color w:val="auto"/>
          <w:sz w:val="28"/>
          <w:szCs w:val="28"/>
        </w:rPr>
      </w:pPr>
      <w:bookmarkStart w:id="281" w:name="_Toc12562"/>
      <w:r>
        <w:rPr>
          <w:rFonts w:hint="default" w:ascii="Times New Roman" w:hAnsi="Times New Roman" w:eastAsia="宋体" w:cs="Times New Roman"/>
          <w:b/>
          <w:bCs/>
          <w:color w:val="auto"/>
          <w:sz w:val="28"/>
          <w:szCs w:val="28"/>
        </w:rPr>
        <w:t>4.1.2地形、地貌</w:t>
      </w:r>
      <w:bookmarkEnd w:id="274"/>
      <w:bookmarkEnd w:id="275"/>
      <w:bookmarkEnd w:id="276"/>
      <w:bookmarkEnd w:id="277"/>
      <w:bookmarkEnd w:id="278"/>
      <w:bookmarkEnd w:id="279"/>
      <w:bookmarkEnd w:id="280"/>
      <w:bookmarkEnd w:id="281"/>
    </w:p>
    <w:p w14:paraId="7D784DC2">
      <w:pPr>
        <w:spacing w:line="360" w:lineRule="auto"/>
        <w:ind w:firstLine="480" w:firstLineChars="200"/>
        <w:rPr>
          <w:rFonts w:hint="default" w:ascii="Times New Roman" w:hAnsi="Times New Roman" w:eastAsia="宋体" w:cs="Times New Roman"/>
          <w:color w:val="auto"/>
          <w:sz w:val="24"/>
        </w:rPr>
      </w:pPr>
      <w:bookmarkStart w:id="282" w:name="_Toc3634"/>
      <w:bookmarkStart w:id="283" w:name="_Toc302132022"/>
      <w:bookmarkStart w:id="284" w:name="_Toc350159327"/>
      <w:bookmarkStart w:id="285" w:name="_Toc295318820"/>
      <w:r>
        <w:rPr>
          <w:rFonts w:hint="default" w:ascii="Times New Roman" w:hAnsi="Times New Roman" w:eastAsia="宋体" w:cs="Times New Roman"/>
          <w:color w:val="auto"/>
          <w:sz w:val="24"/>
        </w:rPr>
        <w:t>芒市地处滇西纵谷区南端，地质结构属高黎贡山台凹，厂区分布在芒市坝区，海拔868米左右。芒市市处于表藏滇缅印尼“歹”字型构造西支中段与三江经向构造带中南段，南岭纬向构造带西延部分的交汇部位，是藏滇地槽褶皱系的横断山地槽褶皱带的一部分，褶皱断裂相当发育。地震活动频繁，芒市为八度抗震设防区。</w:t>
      </w:r>
    </w:p>
    <w:p w14:paraId="011524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芒市属横断系南段中切割中山盆地类型，呈现出“两山、两坝、两河”的地貌特征。地势特点为东北高而陡峻、西南低而宽缓，东北山地脊线海拔 2000—2700 米，西南山地脊线海拔 1700—2200 米，芒市盆地放盆地（俗称坝子）相连，四周大山环抱。芒市坝</w:t>
      </w:r>
      <w:r>
        <w:rPr>
          <w:rFonts w:hint="eastAsia" w:ascii="Times New Roman" w:hAnsi="Times New Roman" w:cs="Times New Roman"/>
          <w:color w:val="auto"/>
          <w:sz w:val="24"/>
          <w:lang w:val="en-US" w:eastAsia="zh-CN"/>
        </w:rPr>
        <w:t>海拔在</w:t>
      </w:r>
      <w:r>
        <w:rPr>
          <w:rFonts w:hint="default" w:ascii="Times New Roman" w:hAnsi="Times New Roman" w:eastAsia="宋体" w:cs="Times New Roman"/>
          <w:color w:val="auto"/>
          <w:sz w:val="24"/>
        </w:rPr>
        <w:t>860—900 米之间。长</w:t>
      </w:r>
      <w:r>
        <w:rPr>
          <w:rFonts w:hint="eastAsia" w:ascii="Times New Roman" w:hAnsi="Times New Roman" w:cs="Times New Roman"/>
          <w:color w:val="auto"/>
          <w:sz w:val="24"/>
          <w:lang w:val="en-US" w:eastAsia="zh-CN"/>
        </w:rPr>
        <w:t>约</w:t>
      </w:r>
      <w:r>
        <w:rPr>
          <w:rFonts w:hint="default" w:ascii="Times New Roman" w:hAnsi="Times New Roman" w:eastAsia="宋体" w:cs="Times New Roman"/>
          <w:color w:val="auto"/>
          <w:sz w:val="24"/>
        </w:rPr>
        <w:t>26.5公里，宽约6—10 公里，坝区面积为141.2 平方公里。市区整个地势东高西低，现状建成区主要位于东部山地，逐步向西发展。</w:t>
      </w:r>
    </w:p>
    <w:p w14:paraId="3888579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本项目所在区域位于中部岩溶地貌区，总体地势东南高西北低，最高海拔 1897.4米，最低海拔1831米，一般海拔1855.8米左右，是县城的绿色廊道和蓝色廊道，流经片区西部；整体地貌以丘陵、低山为主，最高海拔1852.4米，最低海拔1822米，一般海拔1840.5米左右，从片区中部穿过，可作为片区的景观水源。</w:t>
      </w:r>
    </w:p>
    <w:p w14:paraId="7D3B38A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项目区位于芒市河河谷阶地的前缘地段，与阶地的前缘大致平行。且西北高，东南低，利用排水，厂区自然地形平均坡度1.1％。</w:t>
      </w:r>
    </w:p>
    <w:bookmarkEnd w:id="282"/>
    <w:p w14:paraId="4879D042">
      <w:pPr>
        <w:keepNext/>
        <w:keepLines/>
        <w:adjustRightInd w:val="0"/>
        <w:snapToGrid w:val="0"/>
        <w:spacing w:beforeLines="50"/>
        <w:outlineLvl w:val="2"/>
        <w:rPr>
          <w:rFonts w:hint="default" w:ascii="Times New Roman" w:hAnsi="Times New Roman" w:eastAsia="宋体" w:cs="Times New Roman"/>
          <w:b/>
          <w:bCs/>
          <w:color w:val="auto"/>
          <w:sz w:val="28"/>
          <w:szCs w:val="28"/>
        </w:rPr>
      </w:pPr>
      <w:bookmarkStart w:id="286" w:name="_Toc12248"/>
      <w:r>
        <w:rPr>
          <w:rFonts w:hint="default" w:ascii="Times New Roman" w:hAnsi="Times New Roman" w:eastAsia="宋体" w:cs="Times New Roman"/>
          <w:b/>
          <w:bCs/>
          <w:color w:val="auto"/>
          <w:sz w:val="28"/>
          <w:szCs w:val="28"/>
        </w:rPr>
        <w:t>4.1.</w:t>
      </w:r>
      <w:r>
        <w:rPr>
          <w:rFonts w:hint="default" w:ascii="Times New Roman" w:hAnsi="Times New Roman" w:eastAsia="宋体" w:cs="Times New Roman"/>
          <w:b/>
          <w:bCs/>
          <w:color w:val="auto"/>
          <w:sz w:val="28"/>
          <w:szCs w:val="28"/>
          <w:lang w:val="en-US" w:eastAsia="zh-CN"/>
        </w:rPr>
        <w:t>3</w:t>
      </w:r>
      <w:r>
        <w:rPr>
          <w:rFonts w:hint="default" w:ascii="Times New Roman" w:hAnsi="Times New Roman" w:eastAsia="宋体" w:cs="Times New Roman"/>
          <w:b/>
          <w:bCs/>
          <w:color w:val="auto"/>
          <w:sz w:val="28"/>
          <w:szCs w:val="28"/>
        </w:rPr>
        <w:t>气候、气象</w:t>
      </w:r>
      <w:bookmarkEnd w:id="283"/>
      <w:bookmarkEnd w:id="284"/>
      <w:bookmarkEnd w:id="285"/>
      <w:bookmarkEnd w:id="286"/>
    </w:p>
    <w:p w14:paraId="50A18559">
      <w:pPr>
        <w:spacing w:line="360" w:lineRule="auto"/>
        <w:ind w:firstLine="480" w:firstLineChars="200"/>
        <w:rPr>
          <w:rFonts w:hint="default" w:ascii="Times New Roman" w:hAnsi="Times New Roman" w:eastAsia="宋体" w:cs="Times New Roman"/>
          <w:color w:val="auto"/>
          <w:sz w:val="24"/>
        </w:rPr>
      </w:pPr>
      <w:bookmarkStart w:id="287" w:name="_Toc350159328"/>
      <w:bookmarkStart w:id="288" w:name="_Toc295318821"/>
      <w:bookmarkStart w:id="289" w:name="_Toc302132023"/>
      <w:bookmarkStart w:id="290" w:name="_Toc2945"/>
      <w:r>
        <w:rPr>
          <w:rFonts w:hint="default" w:ascii="Times New Roman" w:hAnsi="Times New Roman" w:eastAsia="宋体" w:cs="Times New Roman"/>
          <w:color w:val="auto"/>
          <w:sz w:val="24"/>
        </w:rPr>
        <w:t>芒市具有南亚热带南部气候特征(又称准热带气候)，气候温和，雨量充沛，全年多为西南风，全年分为旱，雨两季。旱季为1-6月，晴天为主；雨季为7-12月，多雷雨，低云天气，云底高一般200—500m。4-10月多为雷暴天气，午后雷暴较频繁。项目区域属南亚热带半湿润季风气候，热量充足，水湿适中，日照丰富。</w:t>
      </w:r>
    </w:p>
    <w:p w14:paraId="2692535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芒市地处低纬高原，热量丰富，</w:t>
      </w:r>
      <w:r>
        <w:rPr>
          <w:rFonts w:hint="eastAsia" w:ascii="Times New Roman" w:hAnsi="Times New Roman" w:cs="Times New Roman"/>
          <w:color w:val="auto"/>
          <w:sz w:val="24"/>
          <w:lang w:eastAsia="zh-CN"/>
        </w:rPr>
        <w:t>气候</w:t>
      </w:r>
      <w:r>
        <w:rPr>
          <w:rFonts w:hint="default" w:ascii="Times New Roman" w:hAnsi="Times New Roman" w:eastAsia="宋体" w:cs="Times New Roman"/>
          <w:color w:val="auto"/>
          <w:sz w:val="24"/>
        </w:rPr>
        <w:t>温和，属南亚热带季风气候，具有夏长冬短、干湿分明、冬无严寒、夏无酷暑，日照时间长、雨量充沛、冬季多雾等特点。年平均气温19.6℃，最热月（6月）平均气温24.1℃，最冷月（1月）平均气温12.3℃，极端最高气温36.2℃（1960年4月29日），极端最低气温-0.6℃（1963年1月5日），年积温7170℃。年平均降水量1654.6㎜，年最多降水量2294.4㎜（2001年），年最少降水量1177.3㎜（2006年），雨季（5～10月）降水量占全年降水量的89%，年平均降雨日数170天，一日最大降水量158.3㎜（2002年10月25日）。日照时数2252.9小时，蒸发量1723.6㎜，无霜期315天。</w:t>
      </w:r>
    </w:p>
    <w:p w14:paraId="258613F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厂址所在的芒市坝区，年均温19.5℃，≥10℃年积温7000℃以上，最冷月均温12.2℃，极端最低气温一般年份大于1℃，年降水量1649毫米，气温偏高，年均气温19.5℃，暖冬现象，冬春连旱、干湿季明显。年平均相对湿度78-80％。年日照2400小时以上。多年平均风速1.1米/秒。</w:t>
      </w:r>
    </w:p>
    <w:p w14:paraId="12831839">
      <w:pPr>
        <w:keepNext/>
        <w:keepLines/>
        <w:adjustRightInd w:val="0"/>
        <w:snapToGrid w:val="0"/>
        <w:spacing w:beforeLines="5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4.1.</w:t>
      </w:r>
      <w:bookmarkEnd w:id="287"/>
      <w:bookmarkEnd w:id="288"/>
      <w:bookmarkEnd w:id="289"/>
      <w:r>
        <w:rPr>
          <w:rFonts w:hint="default" w:ascii="Times New Roman" w:hAnsi="Times New Roman" w:eastAsia="宋体" w:cs="Times New Roman"/>
          <w:b/>
          <w:bCs/>
          <w:color w:val="auto"/>
          <w:sz w:val="28"/>
          <w:szCs w:val="28"/>
          <w:lang w:val="en-US" w:eastAsia="zh-CN"/>
        </w:rPr>
        <w:t>6</w:t>
      </w:r>
      <w:r>
        <w:rPr>
          <w:rFonts w:hint="default" w:ascii="Times New Roman" w:hAnsi="Times New Roman" w:eastAsia="宋体" w:cs="Times New Roman"/>
          <w:b/>
          <w:bCs/>
          <w:color w:val="auto"/>
          <w:sz w:val="28"/>
          <w:szCs w:val="28"/>
        </w:rPr>
        <w:t>河流水系</w:t>
      </w:r>
      <w:bookmarkEnd w:id="290"/>
    </w:p>
    <w:p w14:paraId="7D6731B2">
      <w:pPr>
        <w:spacing w:line="360" w:lineRule="auto"/>
        <w:ind w:firstLine="480" w:firstLineChars="200"/>
        <w:rPr>
          <w:rFonts w:hint="default" w:ascii="Times New Roman" w:hAnsi="Times New Roman" w:eastAsia="宋体" w:cs="Times New Roman"/>
          <w:color w:val="auto"/>
          <w:sz w:val="24"/>
        </w:rPr>
      </w:pPr>
      <w:bookmarkStart w:id="291" w:name="_Toc302132025"/>
      <w:bookmarkStart w:id="292" w:name="_Toc350159330"/>
      <w:bookmarkStart w:id="293" w:name="_Toc13224"/>
      <w:bookmarkStart w:id="294" w:name="_Toc295318823"/>
      <w:r>
        <w:rPr>
          <w:rFonts w:hint="default" w:ascii="Times New Roman" w:hAnsi="Times New Roman" w:eastAsia="宋体" w:cs="Times New Roman"/>
          <w:color w:val="auto"/>
          <w:sz w:val="24"/>
        </w:rPr>
        <w:t>芒市水资源丰富，多年平均总产水量 31.8 亿立方米（径流量）。水资源季节分布不均匀，雨季水量有余，有山洪暴涨成灾现象。年均地表径流量 23.11 亿立方米，地下水 8.69亿立方米。平均年径流量 1085 毫米。水资源的特点：因是降雨径流，水资源季节分布不均匀，雨季水量有余，5～10 月为丰水期，径流量约占全年总量的 77%，有山洪暴发成灾现象；干季水源不足，3～5 月缺水，径流量仅占全年总量 5%左右，分布支流干涸。</w:t>
      </w:r>
    </w:p>
    <w:p w14:paraId="3596C28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年平均地表水量为 23.11 亿立方米。河域分属伊洛瓦底江水系和怒江水系，共有大小河流 229 条，其中属伊洛瓦底江水系河流 139 条，流域面积约 2360 平方公里，年均地表径流量 18.87 亿立方米。主要干流为：</w:t>
      </w:r>
    </w:p>
    <w:p w14:paraId="0299F3B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龙江：发源于高黎贡山西麓腾冲县境，海拔 2520 米的火草地山，由北向南绕行与梁河、芒市、陇川三县界峡谷区，过芒市杏万、梁河县勐养盆地东侧、于朗蚌村附近入芒市河，芒市遮放盆底南缘，与芒市河汇口以下称瑞丽江，经黑山门峡谷进入瑞丽市境内。龙江干流经市境总长 81.0 千米，干流过境水量 49.9 亿立方米每秒。龙江在芒市境内主要支流有芒市河、番家山河、光荣河、南茄何等。集雨面积 2360.3 平方公里。产水量为25.45 亿立方米。</w:t>
      </w:r>
    </w:p>
    <w:p w14:paraId="78D11E2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芒市大河：发源于龙陵县金竹村北部诸山溪，从大山田进入芒市境内，入境海拔 1300米。之帕连进入芒市盆底首部，沿北东至南西流经遮告、芒黑、弄相、风平、芒波、帕底、允门，纵穿芒市坝，而后进入三台山峡谷，至遮放镇芒里寨出谷进入遮放盆底，纵贯盆地内的团结、户信、芒瓦、东相、至南蚌西注入龙江，汇口海拔 783 米。芒市河径流面积 1830.5平方公里，主河长 102.1 千米，河道平均坡度 11‰，多年平均径流量 20.6 亿立方米，水能理论蕴藏量 35.34 万千瓦。</w:t>
      </w:r>
    </w:p>
    <w:p w14:paraId="39AC8C9C">
      <w:pPr>
        <w:spacing w:line="360" w:lineRule="auto"/>
        <w:ind w:firstLine="482"/>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项目区附近地表水体主要为</w:t>
      </w:r>
      <w:r>
        <w:rPr>
          <w:rFonts w:hint="default" w:ascii="Times New Roman" w:hAnsi="Times New Roman" w:eastAsia="宋体" w:cs="Times New Roman"/>
          <w:color w:val="auto"/>
          <w:sz w:val="24"/>
        </w:rPr>
        <w:t>果（戈）朗河</w:t>
      </w:r>
      <w:r>
        <w:rPr>
          <w:rFonts w:hint="default" w:ascii="Times New Roman" w:hAnsi="Times New Roman" w:eastAsia="宋体" w:cs="Times New Roman"/>
          <w:bCs/>
          <w:color w:val="auto"/>
          <w:sz w:val="24"/>
        </w:rPr>
        <w:t>和芒市河。</w:t>
      </w:r>
      <w:r>
        <w:rPr>
          <w:rFonts w:hint="default" w:ascii="Times New Roman" w:hAnsi="Times New Roman" w:eastAsia="宋体" w:cs="Times New Roman"/>
          <w:color w:val="auto"/>
          <w:kern w:val="0"/>
          <w:sz w:val="24"/>
        </w:rPr>
        <w:t>项目区周边水系图见图</w:t>
      </w:r>
      <w:r>
        <w:rPr>
          <w:rFonts w:hint="eastAsia" w:ascii="Times New Roman" w:hAnsi="Times New Roman" w:cs="Times New Roman"/>
          <w:color w:val="auto"/>
          <w:kern w:val="0"/>
          <w:sz w:val="24"/>
          <w:lang w:val="en-US" w:eastAsia="zh-CN"/>
        </w:rPr>
        <w:t>3</w:t>
      </w:r>
      <w:r>
        <w:rPr>
          <w:rFonts w:hint="default" w:ascii="Times New Roman" w:hAnsi="Times New Roman" w:eastAsia="宋体" w:cs="Times New Roman"/>
          <w:color w:val="auto"/>
          <w:kern w:val="0"/>
          <w:sz w:val="24"/>
        </w:rPr>
        <w:t>。</w:t>
      </w:r>
    </w:p>
    <w:p w14:paraId="262E2BBB">
      <w:pPr>
        <w:keepNext/>
        <w:keepLines/>
        <w:adjustRightInd w:val="0"/>
        <w:snapToGrid w:val="0"/>
        <w:spacing w:beforeLines="50"/>
        <w:outlineLvl w:val="2"/>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rPr>
        <w:t>4.1.</w:t>
      </w:r>
      <w:r>
        <w:rPr>
          <w:rFonts w:hint="default" w:ascii="Times New Roman" w:hAnsi="Times New Roman" w:eastAsia="宋体" w:cs="Times New Roman"/>
          <w:b/>
          <w:bCs/>
          <w:color w:val="auto"/>
          <w:sz w:val="28"/>
          <w:szCs w:val="28"/>
          <w:lang w:val="en-US" w:eastAsia="zh-CN"/>
        </w:rPr>
        <w:t>7</w:t>
      </w:r>
      <w:r>
        <w:rPr>
          <w:rFonts w:hint="default" w:ascii="Times New Roman" w:hAnsi="Times New Roman" w:eastAsia="宋体" w:cs="Times New Roman"/>
          <w:b/>
          <w:bCs/>
          <w:color w:val="auto"/>
          <w:sz w:val="28"/>
          <w:szCs w:val="28"/>
        </w:rPr>
        <w:t>土壤</w:t>
      </w:r>
      <w:bookmarkEnd w:id="291"/>
      <w:bookmarkEnd w:id="292"/>
      <w:bookmarkEnd w:id="293"/>
      <w:bookmarkEnd w:id="294"/>
      <w:r>
        <w:rPr>
          <w:rFonts w:hint="default" w:ascii="Times New Roman" w:hAnsi="Times New Roman" w:eastAsia="宋体" w:cs="Times New Roman"/>
          <w:b/>
          <w:bCs/>
          <w:color w:val="auto"/>
          <w:sz w:val="28"/>
          <w:szCs w:val="28"/>
          <w:lang w:eastAsia="zh-CN"/>
        </w:rPr>
        <w:t>及植被</w:t>
      </w:r>
    </w:p>
    <w:p w14:paraId="376304FD">
      <w:pPr>
        <w:spacing w:line="360" w:lineRule="auto"/>
        <w:ind w:firstLine="480" w:firstLineChars="200"/>
        <w:rPr>
          <w:rFonts w:hint="default" w:ascii="Times New Roman" w:hAnsi="Times New Roman" w:eastAsia="宋体" w:cs="Times New Roman"/>
          <w:color w:val="auto"/>
          <w:sz w:val="24"/>
        </w:rPr>
      </w:pPr>
      <w:bookmarkStart w:id="295" w:name="_Toc21248"/>
      <w:bookmarkStart w:id="296" w:name="_Toc308626453"/>
      <w:bookmarkStart w:id="297" w:name="_Toc308627565"/>
      <w:bookmarkStart w:id="298" w:name="_Toc350159331"/>
      <w:bookmarkStart w:id="299" w:name="_Toc235353184"/>
      <w:r>
        <w:rPr>
          <w:rFonts w:hint="default" w:ascii="Times New Roman" w:hAnsi="Times New Roman" w:eastAsia="宋体" w:cs="Times New Roman"/>
          <w:color w:val="auto"/>
          <w:sz w:val="24"/>
        </w:rPr>
        <w:t>因气候、生物、地质、地形等的相互作用，造成芒市境内土壤类型多，有 9 个土类， 16 个亚类， 35 个土属， 58 个土种。分地带性的砖红壤性红壤、红壤、黄壤、棕壤和非地带性的水稻土、沼泽土、冲积土、石灰岩土和紫色土等。项目用地土壤为水稻土。</w:t>
      </w:r>
    </w:p>
    <w:p w14:paraId="72E8EC5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芒市的植被以森林植被为主，其次为草本植被。森林植被为南亚热带季雨林、云南松、思茅松等，因温湿条件差异而呈现垂直和水平分布的差异。</w:t>
      </w:r>
    </w:p>
    <w:p w14:paraId="1F7D740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海拔1000米以下的坝区，由于气候干湿交替教明显，森林植被为南亚热带季雨林，主要种类为高山榕、红椿、楹树、木乃果、酸枣、铁刀木、大叶藤黄、窄叶、对叶蓉、羊蹄甲、攀枝花等。</w:t>
      </w:r>
    </w:p>
    <w:p w14:paraId="79069CB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盆地边缘丘陵地带分布以刺栲和山茶科的红木荷为优势，伴生黄檀、高山榕、对叶榕、攀枝花等。</w:t>
      </w:r>
    </w:p>
    <w:p w14:paraId="222F1B6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海拔1000～1500米为含高山榕的南亚热带常绿阔叶混叶林。北部芒市附近以桤木、红木荷、桦木等偏湿性树种占优势，中部的三台山及西南部的遮放附近雨量略少，以麻栗、红锥栗占优势，次生地上常伴有耐旱的野火绳，阴湿的沟谷中可见到树蕨等热带沟谷雨林作物。高山榕在东、西部山脉中分布海拔到1600多米。</w:t>
      </w:r>
    </w:p>
    <w:p w14:paraId="49D0EE6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海拔2000米以上，山高风大，冷湿多雾，树干多生树衣，为北亚热带暖湿带山地苔藓林，优势树种为包头栎、青岗栎，此外还有楠木、木莲、云南松、实心竹、灰竹、竹等。</w:t>
      </w:r>
    </w:p>
    <w:p w14:paraId="0E0AE67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经实地勘察，项目周围目前为工业园区用地，无重点保护动、植物。</w:t>
      </w:r>
    </w:p>
    <w:p w14:paraId="0E05B40A">
      <w:pPr>
        <w:keepNext/>
        <w:keepLines/>
        <w:adjustRightInd w:val="0"/>
        <w:snapToGrid w:val="0"/>
        <w:spacing w:beforeLines="5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4.1.</w:t>
      </w:r>
      <w:bookmarkEnd w:id="295"/>
      <w:r>
        <w:rPr>
          <w:rFonts w:hint="default" w:ascii="Times New Roman" w:hAnsi="Times New Roman" w:eastAsia="宋体" w:cs="Times New Roman"/>
          <w:b/>
          <w:bCs/>
          <w:color w:val="auto"/>
          <w:sz w:val="28"/>
          <w:szCs w:val="28"/>
          <w:lang w:val="en-US" w:eastAsia="zh-CN"/>
        </w:rPr>
        <w:t>8</w:t>
      </w:r>
      <w:r>
        <w:rPr>
          <w:rFonts w:hint="default" w:ascii="Times New Roman" w:hAnsi="Times New Roman" w:eastAsia="宋体" w:cs="Times New Roman"/>
          <w:b/>
          <w:bCs/>
          <w:color w:val="auto"/>
          <w:sz w:val="28"/>
          <w:szCs w:val="28"/>
        </w:rPr>
        <w:t>风景名胜区、历史古迹</w:t>
      </w:r>
    </w:p>
    <w:p w14:paraId="2880B196">
      <w:pPr>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项目位于</w:t>
      </w:r>
      <w:r>
        <w:rPr>
          <w:rFonts w:hint="default" w:ascii="Times New Roman" w:hAnsi="Times New Roman" w:eastAsia="宋体" w:cs="Times New Roman"/>
          <w:color w:val="auto"/>
          <w:szCs w:val="24"/>
          <w:lang w:eastAsia="zh-CN"/>
        </w:rPr>
        <w:t>芒市帕底工业园区</w:t>
      </w:r>
      <w:r>
        <w:rPr>
          <w:rFonts w:hint="default" w:ascii="Times New Roman" w:hAnsi="Times New Roman" w:eastAsia="宋体" w:cs="Times New Roman"/>
          <w:color w:val="auto"/>
          <w:szCs w:val="24"/>
        </w:rPr>
        <w:t>，周围无名胜古迹和历史文物等保护设施。无自然保护区、</w:t>
      </w:r>
      <w:r>
        <w:rPr>
          <w:rFonts w:hint="default" w:ascii="Times New Roman" w:hAnsi="Times New Roman" w:eastAsia="宋体" w:cs="Times New Roman"/>
          <w:color w:val="auto"/>
          <w:szCs w:val="24"/>
          <w:lang w:eastAsia="zh-CN"/>
        </w:rPr>
        <w:t>风景名胜区、</w:t>
      </w:r>
      <w:r>
        <w:rPr>
          <w:rFonts w:hint="default" w:ascii="Times New Roman" w:hAnsi="Times New Roman" w:eastAsia="宋体" w:cs="Times New Roman"/>
          <w:color w:val="auto"/>
          <w:szCs w:val="24"/>
        </w:rPr>
        <w:t>古树名木，未发现国家保护的珍稀动植物。</w:t>
      </w:r>
    </w:p>
    <w:bookmarkEnd w:id="296"/>
    <w:bookmarkEnd w:id="297"/>
    <w:bookmarkEnd w:id="298"/>
    <w:bookmarkEnd w:id="299"/>
    <w:p w14:paraId="2FC3B2DF">
      <w:pPr>
        <w:keepNext/>
        <w:keepLines/>
        <w:adjustRightInd w:val="0"/>
        <w:snapToGrid w:val="0"/>
        <w:spacing w:beforeLines="50"/>
        <w:outlineLvl w:val="1"/>
        <w:rPr>
          <w:rFonts w:hint="default" w:ascii="Times New Roman" w:hAnsi="Times New Roman" w:eastAsia="宋体" w:cs="Times New Roman"/>
          <w:b/>
          <w:bCs/>
          <w:color w:val="auto"/>
          <w:sz w:val="30"/>
          <w:szCs w:val="30"/>
        </w:rPr>
      </w:pPr>
      <w:bookmarkStart w:id="300" w:name="_Toc4606"/>
      <w:bookmarkStart w:id="301" w:name="_Toc21954"/>
      <w:bookmarkStart w:id="302" w:name="_Toc281999382"/>
      <w:bookmarkStart w:id="303" w:name="_Toc328725374"/>
      <w:bookmarkStart w:id="304" w:name="_Toc350159337"/>
      <w:bookmarkStart w:id="305" w:name="_Toc283889138"/>
      <w:r>
        <w:rPr>
          <w:rFonts w:hint="default" w:ascii="Times New Roman" w:hAnsi="Times New Roman" w:eastAsia="宋体" w:cs="Times New Roman"/>
          <w:b/>
          <w:bCs/>
          <w:color w:val="auto"/>
          <w:sz w:val="30"/>
          <w:szCs w:val="30"/>
        </w:rPr>
        <w:t>4.2</w:t>
      </w:r>
      <w:bookmarkEnd w:id="300"/>
      <w:r>
        <w:rPr>
          <w:rFonts w:hint="default" w:ascii="Times New Roman" w:hAnsi="Times New Roman" w:eastAsia="宋体" w:cs="Times New Roman"/>
          <w:b/>
          <w:bCs/>
          <w:color w:val="auto"/>
          <w:sz w:val="30"/>
          <w:szCs w:val="30"/>
        </w:rPr>
        <w:t>开发开放试验区建设总体规划</w:t>
      </w:r>
      <w:bookmarkEnd w:id="301"/>
    </w:p>
    <w:p w14:paraId="445096AE">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建设云南瑞丽重点开发开放试验区，是党中央、国务院完善我国全方位对外开放格局的重大部署，是深入实施西部大开发战略的重大举措，是加快建设我国面向西南开放重要桥头堡的突破口。</w:t>
      </w:r>
    </w:p>
    <w:p w14:paraId="49A99B2B">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2010年6月</w:t>
      </w:r>
      <w:r>
        <w:rPr>
          <w:rFonts w:hint="default" w:ascii="Times New Roman" w:hAnsi="Times New Roman" w:eastAsia="宋体" w:cs="Times New Roman"/>
          <w:color w:val="auto"/>
          <w:sz w:val="24"/>
          <w:shd w:val="clear" w:color="auto" w:fill="FFFFFF"/>
        </w:rPr>
        <w:t>中共中央、国务院颁布的</w:t>
      </w:r>
      <w:r>
        <w:rPr>
          <w:rFonts w:hint="default" w:ascii="Times New Roman" w:hAnsi="Times New Roman" w:eastAsia="宋体" w:cs="Times New Roman"/>
          <w:color w:val="auto"/>
          <w:sz w:val="24"/>
        </w:rPr>
        <w:t>《中共中央国务院关于深入实施西部大开发战略的若干意见》中就提出要建设好内蒙古的满洲里、广州的东兴和云南的瑞丽作为沿边的重点开发开放试验区。2011年5月，国务院发布实施的</w:t>
      </w:r>
      <w:r>
        <w:rPr>
          <w:rFonts w:hint="default" w:ascii="Times New Roman" w:hAnsi="Times New Roman" w:eastAsia="宋体" w:cs="Times New Roman"/>
          <w:color w:val="auto"/>
          <w:sz w:val="24"/>
          <w:shd w:val="clear" w:color="auto" w:fill="FFFFFF"/>
        </w:rPr>
        <w:t>《国务院关于支持云南省加快建设面向西南开放重要桥头堡的意见》</w:t>
      </w:r>
      <w:r>
        <w:rPr>
          <w:rFonts w:hint="default" w:ascii="Times New Roman" w:hAnsi="Times New Roman" w:eastAsia="宋体" w:cs="Times New Roman"/>
          <w:color w:val="auto"/>
          <w:sz w:val="24"/>
        </w:rPr>
        <w:t>提出，云南</w:t>
      </w:r>
      <w:r>
        <w:rPr>
          <w:rFonts w:hint="default" w:ascii="Times New Roman" w:hAnsi="Times New Roman" w:eastAsia="宋体" w:cs="Times New Roman"/>
          <w:color w:val="auto"/>
          <w:sz w:val="24"/>
          <w:shd w:val="clear" w:color="auto" w:fill="FFFFFF"/>
        </w:rPr>
        <w:t>是我国沿边开放的试验区和西部地区实施“走出去”战略的先行区。</w:t>
      </w:r>
      <w:r>
        <w:rPr>
          <w:rFonts w:hint="default" w:ascii="Times New Roman" w:hAnsi="Times New Roman" w:eastAsia="宋体" w:cs="Times New Roman"/>
          <w:color w:val="auto"/>
          <w:sz w:val="24"/>
        </w:rPr>
        <w:t>2012年7月国务院批复的《云南瑞丽重点开发开放试验区建设实施方案》明确了瑞丽重点开发开放试验区产业发展的空间布局、发展重点和发展目标。方案提出，培育特色优势产业，发展出口加工产业、进口加工产业、商贸流通产业、旅游文化产业、特色农业，形成沿边经济增长极。</w:t>
      </w:r>
    </w:p>
    <w:p w14:paraId="358BA765">
      <w:pPr>
        <w:spacing w:line="360" w:lineRule="auto"/>
        <w:ind w:firstLine="480" w:firstLineChars="200"/>
        <w:jc w:val="left"/>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《云南瑞丽重点开发开放试验区建设总体规划》经</w:t>
      </w:r>
      <w:r>
        <w:rPr>
          <w:rFonts w:hint="eastAsia" w:ascii="Times New Roman" w:hAnsi="Times New Roman" w:cs="Times New Roman"/>
          <w:color w:val="auto"/>
          <w:sz w:val="24"/>
          <w:shd w:val="clear" w:color="auto" w:fill="FFFFFF"/>
          <w:lang w:eastAsia="zh-CN"/>
        </w:rPr>
        <w:t>国家发展和改革委员会</w:t>
      </w:r>
      <w:r>
        <w:rPr>
          <w:rFonts w:hint="default" w:ascii="Times New Roman" w:hAnsi="Times New Roman" w:eastAsia="宋体" w:cs="Times New Roman"/>
          <w:color w:val="auto"/>
          <w:sz w:val="24"/>
          <w:shd w:val="clear" w:color="auto" w:fill="FFFFFF"/>
        </w:rPr>
        <w:t>批复同意实施（发改西部［2013］1554号）。</w:t>
      </w:r>
    </w:p>
    <w:p w14:paraId="2869C1F1">
      <w:pPr>
        <w:spacing w:line="360" w:lineRule="auto"/>
        <w:ind w:firstLine="482" w:firstLineChars="200"/>
        <w:jc w:val="left"/>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b/>
          <w:color w:val="auto"/>
          <w:sz w:val="24"/>
          <w:shd w:val="clear" w:color="auto" w:fill="FFFFFF"/>
        </w:rPr>
        <w:t>规划范围</w:t>
      </w:r>
      <w:r>
        <w:rPr>
          <w:rFonts w:hint="default" w:ascii="Times New Roman" w:hAnsi="Times New Roman" w:eastAsia="宋体" w:cs="Times New Roman"/>
          <w:color w:val="auto"/>
          <w:sz w:val="24"/>
          <w:shd w:val="clear" w:color="auto" w:fill="FFFFFF"/>
        </w:rPr>
        <w:t>：瑞丽市全境，产业布局辐射芒市、陇川等周边县（市）。</w:t>
      </w:r>
    </w:p>
    <w:p w14:paraId="359B1F33">
      <w:pPr>
        <w:spacing w:line="360" w:lineRule="auto"/>
        <w:ind w:firstLine="482" w:firstLineChars="200"/>
        <w:jc w:val="left"/>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b/>
          <w:color w:val="auto"/>
          <w:sz w:val="24"/>
          <w:shd w:val="clear" w:color="auto" w:fill="FFFFFF"/>
        </w:rPr>
        <w:t>规划期限：</w:t>
      </w:r>
      <w:r>
        <w:rPr>
          <w:rFonts w:hint="default" w:ascii="Times New Roman" w:hAnsi="Times New Roman" w:eastAsia="宋体" w:cs="Times New Roman"/>
          <w:color w:val="auto"/>
          <w:sz w:val="24"/>
          <w:shd w:val="clear" w:color="auto" w:fill="FFFFFF"/>
        </w:rPr>
        <w:t>2013-2022年。</w:t>
      </w:r>
    </w:p>
    <w:p w14:paraId="3DF90097">
      <w:pPr>
        <w:spacing w:line="360" w:lineRule="auto"/>
        <w:ind w:firstLine="482"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shd w:val="clear" w:color="auto" w:fill="FFFFFF"/>
        </w:rPr>
        <w:t>规划产业空间布局：</w:t>
      </w:r>
    </w:p>
    <w:p w14:paraId="4726FD7E">
      <w:pPr>
        <w:spacing w:line="360" w:lineRule="auto"/>
        <w:ind w:firstLine="424" w:firstLineChars="177"/>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shd w:val="clear" w:color="auto" w:fill="FFFFFF"/>
        </w:rPr>
        <w:t>（1）</w:t>
      </w:r>
      <w:r>
        <w:rPr>
          <w:rFonts w:hint="default" w:ascii="Times New Roman" w:hAnsi="Times New Roman" w:eastAsia="宋体" w:cs="Times New Roman"/>
          <w:bCs/>
          <w:color w:val="auto"/>
          <w:sz w:val="24"/>
        </w:rPr>
        <w:t>一核两翼</w:t>
      </w:r>
    </w:p>
    <w:p w14:paraId="0CC94AB3">
      <w:pPr>
        <w:spacing w:line="360" w:lineRule="auto"/>
        <w:ind w:firstLine="424" w:firstLineChars="177"/>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一核即瑞丽市全境，面积1020平方公里，以勐卯镇、畹町镇、弄岛镇为重点，拥有瑞丽、畹町国家级边境合作区和口岸经济区。</w:t>
      </w:r>
    </w:p>
    <w:p w14:paraId="3C26715E">
      <w:pPr>
        <w:spacing w:line="360" w:lineRule="auto"/>
        <w:ind w:firstLine="424" w:firstLineChars="177"/>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两翼</w:t>
      </w:r>
      <w:bookmarkStart w:id="706" w:name="_GoBack"/>
      <w:bookmarkEnd w:id="706"/>
      <w:r>
        <w:rPr>
          <w:rFonts w:hint="default" w:ascii="Times New Roman" w:hAnsi="Times New Roman" w:eastAsia="宋体" w:cs="Times New Roman"/>
          <w:bCs/>
          <w:color w:val="auto"/>
          <w:sz w:val="24"/>
        </w:rPr>
        <w:t>即试验区联动发展的四个乡镇。“东翼”为芒市遮放镇、风平镇、轩岗乡。西翼”为陇川章凤镇。</w:t>
      </w:r>
    </w:p>
    <w:p w14:paraId="21143F4A">
      <w:pPr>
        <w:spacing w:line="360" w:lineRule="auto"/>
        <w:ind w:firstLine="360" w:firstLineChars="15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（2）六大功能区</w:t>
      </w:r>
    </w:p>
    <w:p w14:paraId="5133CFAF">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边境经济合作区。瑞丽、畹町2个国家级边境经济合作区现有面积11平方公里，在符合土地利用总体规划和相关原则、标准的前提下，根据发展需要，按规定程序调整区位，适当扩大面积，增强配套服务能力。充分发挥区位优势和资源优势，利用国内国外两个市场、两种资源，努力建设成为集边境贸易、加工制作、生产服务、物流采购等功能为一体的经济功能区。在条件成熟时，研究建设中缅跨境经济合作区。</w:t>
      </w:r>
    </w:p>
    <w:p w14:paraId="3FEB9BD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际物流仓储区。依托主要交通干线和口岸，在瑞丽市勐卯镇芒令、弄岛镇大沙河、畹町镇芒满，芒市风平镇菲红，陇川章凤镇拉影，重点发展仓储物流、国际货运、第三方物流等产业，建设现代化国际物流基地。尽快启动建立综合保税区前期工作，在条件成熟时按程序申请设立。</w:t>
      </w:r>
    </w:p>
    <w:p w14:paraId="1AE24B3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际商贸旅游服务区。在瑞丽市主城区和北部半山区，重点发展国际贸易、总部经济、金融服务、信息服务、教育培训、科技研发、文化创意、医疗服务、休闲旅游等产业，建立国际商贸服务基地、国际旅游文化交流平台。</w:t>
      </w:r>
    </w:p>
    <w:p w14:paraId="4D4FCE5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进出口加工产业区。以瑞丽市为中心，以陇川县、芒市为两翼。布局建设各具特色的进出口加工产业基地。在瑞丽市勐卯镇、畹町镇、弄岛镇，建设进出口加工基地，巩固提升珠宝玉石、幼稚木材、天然橡胶等特色资源深加工产业，重点发展面向南亚、东南亚市场的机械制造、家用电器、电子信息、轻纺服装、生物制药等出口加工产业。在陇川县章凤镇，建设进口资源加工基地，发展具有资源和产业优势的清洁载能产业，配套发展出口加工装配业。在芒市遮放镇、风平镇、轩岗乡，建设进口能源等资源加工基地，重点发展天然气综合利用为主的现代化工等产业。</w:t>
      </w:r>
    </w:p>
    <w:p w14:paraId="3138FF9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特色农业示范区。在瑞丽市姐相乡、户育乡、勐秀乡、弄岛镇，重点发展优质水稻、冬早蔬菜和咖啡、柚子、石斛、柠檬等特色经济作物，加快发展绿色养殖业和特色林果业，发展壮大特色生物和农产品加工业，加上亚热带现代农业产业基地和国家有机食品基地。</w:t>
      </w:r>
    </w:p>
    <w:p w14:paraId="4570E12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生态屏障区。在瑞丽市北部山区和瑞丽江—大盈江流域，加强热带雨林保护、湿地保护和自然保护区建设，保护生物多样性，严格控制外来物种入侵，建设生态屏障区。</w:t>
      </w:r>
    </w:p>
    <w:p w14:paraId="75713983">
      <w:pPr>
        <w:spacing w:line="360" w:lineRule="auto"/>
        <w:ind w:firstLine="482" w:firstLineChars="200"/>
        <w:rPr>
          <w:rFonts w:hint="default" w:ascii="Times New Roman" w:hAnsi="Times New Roman" w:eastAsia="宋体" w:cs="Times New Roman"/>
          <w:bCs/>
          <w:color w:val="auto"/>
          <w:sz w:val="24"/>
        </w:rPr>
      </w:pPr>
      <w:r>
        <w:rPr>
          <w:rFonts w:hint="default" w:ascii="Times New Roman" w:hAnsi="Times New Roman" w:eastAsia="宋体" w:cs="Times New Roman"/>
          <w:b/>
          <w:color w:val="auto"/>
          <w:sz w:val="24"/>
        </w:rPr>
        <w:t>发展定位：</w:t>
      </w:r>
      <w:r>
        <w:rPr>
          <w:rFonts w:hint="default" w:ascii="Times New Roman" w:hAnsi="Times New Roman" w:eastAsia="宋体" w:cs="Times New Roman"/>
          <w:bCs/>
          <w:color w:val="auto"/>
          <w:sz w:val="24"/>
        </w:rPr>
        <w:t>依托区位优势，建设成为中缅两国边境经济贸易中心；依托国际大通道，实现太平洋与印度洋国际港口的物流连接，建成面向印度洋沿岸国家的西南开放重要国际陆港；依托多民族聚居、同一民族跨境而居、多元文化交汇融合的有利条件，建设成为国际文化交流窗口；并将其发展成为沿边统筹城乡发展示范区和睦邻安邻富邻示范区。</w:t>
      </w:r>
    </w:p>
    <w:p w14:paraId="5637DE19">
      <w:pPr>
        <w:spacing w:line="360" w:lineRule="auto"/>
        <w:ind w:firstLine="482" w:firstLineChars="200"/>
        <w:rPr>
          <w:rFonts w:hint="default" w:ascii="Times New Roman" w:hAnsi="Times New Roman" w:eastAsia="宋体" w:cs="Times New Roman"/>
          <w:color w:val="auto"/>
          <w:szCs w:val="24"/>
        </w:rPr>
      </w:pPr>
      <w:r>
        <w:rPr>
          <w:rFonts w:hint="default" w:ascii="Times New Roman" w:hAnsi="Times New Roman" w:eastAsia="宋体" w:cs="Times New Roman"/>
          <w:b/>
          <w:color w:val="auto"/>
          <w:sz w:val="24"/>
        </w:rPr>
        <w:t>规划环境控制目标</w:t>
      </w:r>
      <w:r>
        <w:rPr>
          <w:rFonts w:hint="default" w:ascii="Times New Roman" w:hAnsi="Times New Roman" w:eastAsia="宋体" w:cs="Times New Roman"/>
          <w:color w:val="auto"/>
          <w:sz w:val="24"/>
        </w:rPr>
        <w:t>：工业园各片区的环境保护要坚决执行国家颁布的环境影响评价法，使废水处理率达100%，固体废物处理率达100%，工业废气污染源排放实现100%达标。</w:t>
      </w:r>
    </w:p>
    <w:bookmarkEnd w:id="302"/>
    <w:bookmarkEnd w:id="303"/>
    <w:bookmarkEnd w:id="304"/>
    <w:bookmarkEnd w:id="305"/>
    <w:p w14:paraId="44F26370">
      <w:pPr>
        <w:keepNext/>
        <w:keepLines/>
        <w:adjustRightInd w:val="0"/>
        <w:snapToGrid w:val="0"/>
        <w:spacing w:beforeLines="50"/>
        <w:outlineLvl w:val="1"/>
        <w:rPr>
          <w:rFonts w:hint="default" w:ascii="Times New Roman" w:hAnsi="Times New Roman" w:eastAsia="宋体" w:cs="Times New Roman"/>
          <w:b/>
          <w:bCs/>
          <w:color w:val="auto"/>
          <w:sz w:val="30"/>
          <w:szCs w:val="30"/>
          <w:lang w:eastAsia="zh-CN"/>
        </w:rPr>
      </w:pPr>
      <w:bookmarkStart w:id="306" w:name="_Toc411569442"/>
      <w:bookmarkStart w:id="307" w:name="_Toc14397"/>
      <w:r>
        <w:rPr>
          <w:rFonts w:hint="default" w:ascii="Times New Roman" w:hAnsi="Times New Roman" w:eastAsia="宋体" w:cs="Times New Roman"/>
          <w:b/>
          <w:bCs/>
          <w:color w:val="auto"/>
          <w:sz w:val="30"/>
          <w:szCs w:val="30"/>
          <w:lang w:eastAsia="zh-CN"/>
        </w:rPr>
        <w:t>4</w:t>
      </w:r>
      <w:r>
        <w:rPr>
          <w:rFonts w:hint="default" w:ascii="Times New Roman" w:hAnsi="Times New Roman" w:eastAsia="宋体" w:cs="Times New Roman"/>
          <w:b/>
          <w:bCs/>
          <w:color w:val="auto"/>
          <w:sz w:val="30"/>
          <w:szCs w:val="30"/>
        </w:rPr>
        <w:t>.3环境质量现状</w:t>
      </w:r>
      <w:bookmarkEnd w:id="306"/>
      <w:bookmarkEnd w:id="307"/>
    </w:p>
    <w:p w14:paraId="7B1DAF4B">
      <w:pPr>
        <w:keepNext/>
        <w:keepLines/>
        <w:adjustRightInd w:val="0"/>
        <w:snapToGrid w:val="0"/>
        <w:spacing w:beforeLines="5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4.3.1环境空气质量现状</w:t>
      </w:r>
    </w:p>
    <w:p w14:paraId="022F692D">
      <w:pPr>
        <w:spacing w:line="360" w:lineRule="auto"/>
        <w:ind w:firstLine="482"/>
        <w:rPr>
          <w:rFonts w:hint="default" w:ascii="Times New Roman" w:hAnsi="Times New Roman" w:eastAsia="宋体" w:cs="Times New Roman"/>
          <w:color w:val="auto"/>
          <w:sz w:val="24"/>
          <w:szCs w:val="30"/>
        </w:rPr>
      </w:pPr>
      <w:r>
        <w:rPr>
          <w:rFonts w:hint="default" w:ascii="Times New Roman" w:hAnsi="Times New Roman" w:eastAsia="宋体" w:cs="Times New Roman"/>
          <w:color w:val="auto"/>
          <w:sz w:val="24"/>
        </w:rPr>
        <w:t>为了解</w:t>
      </w:r>
      <w:r>
        <w:rPr>
          <w:rFonts w:hint="default" w:ascii="Times New Roman" w:hAnsi="Times New Roman" w:eastAsia="宋体" w:cs="Times New Roman"/>
          <w:color w:val="auto"/>
          <w:sz w:val="24"/>
          <w:szCs w:val="30"/>
        </w:rPr>
        <w:t>项目区域环境空气质量</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本项目引用</w:t>
      </w:r>
      <w:r>
        <w:rPr>
          <w:rFonts w:hint="default" w:ascii="Times New Roman" w:hAnsi="Times New Roman" w:eastAsia="宋体" w:cs="Times New Roman"/>
          <w:color w:val="auto"/>
          <w:sz w:val="24"/>
          <w:szCs w:val="30"/>
        </w:rPr>
        <w:t>云南省环境科院研究院环境分析测试中心于2016年06月21日-06月27日对项目区域进行环境空气质量</w:t>
      </w:r>
      <w:r>
        <w:rPr>
          <w:rFonts w:hint="default" w:ascii="Times New Roman" w:hAnsi="Times New Roman" w:eastAsia="宋体" w:cs="Times New Roman"/>
          <w:color w:val="auto"/>
          <w:sz w:val="24"/>
          <w:szCs w:val="30"/>
          <w:lang w:eastAsia="zh-CN"/>
        </w:rPr>
        <w:t>的</w:t>
      </w:r>
      <w:r>
        <w:rPr>
          <w:rFonts w:hint="default" w:ascii="Times New Roman" w:hAnsi="Times New Roman" w:eastAsia="宋体" w:cs="Times New Roman"/>
          <w:color w:val="auto"/>
          <w:sz w:val="24"/>
          <w:szCs w:val="30"/>
        </w:rPr>
        <w:t>现状监测</w:t>
      </w:r>
      <w:r>
        <w:rPr>
          <w:rFonts w:hint="default" w:ascii="Times New Roman" w:hAnsi="Times New Roman" w:eastAsia="宋体" w:cs="Times New Roman"/>
          <w:color w:val="auto"/>
          <w:sz w:val="24"/>
          <w:szCs w:val="30"/>
          <w:lang w:eastAsia="zh-CN"/>
        </w:rPr>
        <w:t>数据</w:t>
      </w:r>
      <w:r>
        <w:rPr>
          <w:rFonts w:hint="default" w:ascii="Times New Roman" w:hAnsi="Times New Roman" w:eastAsia="宋体" w:cs="Times New Roman"/>
          <w:color w:val="auto"/>
          <w:sz w:val="24"/>
          <w:szCs w:val="30"/>
        </w:rPr>
        <w:t>，监测因子为</w:t>
      </w:r>
      <w:r>
        <w:rPr>
          <w:rFonts w:hint="default" w:ascii="Times New Roman" w:hAnsi="Times New Roman" w:eastAsia="宋体" w:cs="Times New Roman"/>
          <w:color w:val="auto"/>
          <w:sz w:val="24"/>
        </w:rPr>
        <w:t>可吸入颗粒物、总悬浮颗粒物、二氧化硫、二氧化氮、非甲烷总烃</w:t>
      </w:r>
      <w:r>
        <w:rPr>
          <w:rFonts w:hint="default" w:ascii="Times New Roman" w:hAnsi="Times New Roman" w:eastAsia="宋体" w:cs="Times New Roman"/>
          <w:color w:val="auto"/>
          <w:sz w:val="24"/>
          <w:szCs w:val="30"/>
        </w:rPr>
        <w:t>。</w:t>
      </w:r>
    </w:p>
    <w:p w14:paraId="36FE1E8E">
      <w:pPr>
        <w:pStyle w:val="1262"/>
        <w:spacing w:line="360" w:lineRule="auto"/>
        <w:ind w:firstLine="480" w:firstLineChars="200"/>
        <w:jc w:val="both"/>
        <w:rPr>
          <w:rFonts w:hint="default" w:ascii="Times New Roman" w:hAnsi="Times New Roman" w:eastAsia="宋体" w:cs="Times New Roman"/>
          <w:color w:val="auto"/>
          <w:sz w:val="24"/>
          <w:szCs w:val="30"/>
          <w:lang w:eastAsia="zh-CN"/>
        </w:rPr>
      </w:pPr>
      <w:r>
        <w:rPr>
          <w:rFonts w:hint="default" w:ascii="Times New Roman" w:hAnsi="Times New Roman" w:eastAsia="宋体" w:cs="Times New Roman"/>
          <w:color w:val="auto"/>
          <w:sz w:val="24"/>
          <w:szCs w:val="30"/>
          <w:lang w:eastAsia="zh-CN"/>
        </w:rPr>
        <w:t>1、监测布点</w:t>
      </w:r>
    </w:p>
    <w:p w14:paraId="684F8D72">
      <w:pPr>
        <w:pStyle w:val="1262"/>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弄转村、帕底村、帕底分场八队、公租房、界桃村和芒市糖厂。</w:t>
      </w:r>
    </w:p>
    <w:p w14:paraId="4C93B860">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监测周期和频率：根据国家环保局颁布的关于空气环境质量采样频率和采样时间的等有关规定确定：连续采样7天。可吸入颗粒物、二氧化硫、二氧化氮日平均浓度：每日至少有20个小时；总悬浮颗粒物每日采样24小时；二氧化硫、二氧化氮每天采样4个时段（2:00-3:00、8:00-9:00、14:00-15:00、20:00-21:00）采样时间不少于45分钟；非甲烷总烃每天采（2:00-3:00、8:00-9:00、14:00-15:00、20:00-21:00）瞬时浓度值。</w:t>
      </w:r>
    </w:p>
    <w:p w14:paraId="00A4A2CB">
      <w:pPr>
        <w:pStyle w:val="1262"/>
        <w:spacing w:line="360" w:lineRule="auto"/>
        <w:ind w:firstLine="480" w:firstLineChars="200"/>
        <w:jc w:val="both"/>
        <w:rPr>
          <w:rFonts w:hint="default" w:ascii="Times New Roman" w:hAnsi="Times New Roman" w:eastAsia="宋体" w:cs="Times New Roman"/>
          <w:color w:val="auto"/>
          <w:sz w:val="24"/>
          <w:szCs w:val="30"/>
          <w:lang w:eastAsia="zh-CN"/>
        </w:rPr>
      </w:pPr>
      <w:r>
        <w:rPr>
          <w:rFonts w:hint="default" w:ascii="Times New Roman" w:hAnsi="Times New Roman" w:eastAsia="宋体" w:cs="Times New Roman"/>
          <w:color w:val="auto"/>
          <w:sz w:val="24"/>
          <w:szCs w:val="30"/>
          <w:lang w:eastAsia="zh-CN"/>
        </w:rPr>
        <w:t>3、监测结果</w:t>
      </w:r>
    </w:p>
    <w:tbl>
      <w:tblPr>
        <w:tblStyle w:val="66"/>
        <w:tblpPr w:leftFromText="181" w:rightFromText="181" w:vertAnchor="text" w:horzAnchor="margin" w:tblpXSpec="center" w:tblpY="472"/>
        <w:tblOverlap w:val="never"/>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322"/>
        <w:gridCol w:w="1322"/>
        <w:gridCol w:w="1322"/>
        <w:gridCol w:w="1322"/>
        <w:gridCol w:w="1322"/>
        <w:gridCol w:w="1318"/>
      </w:tblGrid>
      <w:tr w14:paraId="613DE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top w:val="single" w:color="auto" w:sz="8" w:space="0"/>
              <w:left w:val="single" w:color="auto" w:sz="8" w:space="0"/>
              <w:bottom w:val="single" w:color="auto" w:sz="4" w:space="0"/>
              <w:tl2br w:val="single" w:color="auto" w:sz="4" w:space="0"/>
            </w:tcBorders>
            <w:noWrap w:val="0"/>
            <w:vAlign w:val="top"/>
          </w:tcPr>
          <w:p w14:paraId="2B41C8C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地  点</w:t>
            </w:r>
          </w:p>
          <w:p w14:paraId="6E33AAB2">
            <w:pP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  期</w:t>
            </w:r>
          </w:p>
        </w:tc>
        <w:tc>
          <w:tcPr>
            <w:tcW w:w="1322" w:type="dxa"/>
            <w:tcBorders>
              <w:top w:val="single" w:color="auto" w:sz="8" w:space="0"/>
              <w:bottom w:val="single" w:color="auto" w:sz="4" w:space="0"/>
            </w:tcBorders>
            <w:noWrap w:val="0"/>
            <w:vAlign w:val="center"/>
          </w:tcPr>
          <w:p w14:paraId="719DE69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弄转村</w:t>
            </w:r>
          </w:p>
        </w:tc>
        <w:tc>
          <w:tcPr>
            <w:tcW w:w="1322" w:type="dxa"/>
            <w:tcBorders>
              <w:top w:val="single" w:color="auto" w:sz="8" w:space="0"/>
              <w:bottom w:val="single" w:color="auto" w:sz="4" w:space="0"/>
              <w:right w:val="single" w:color="auto" w:sz="6" w:space="0"/>
            </w:tcBorders>
            <w:noWrap w:val="0"/>
            <w:vAlign w:val="center"/>
          </w:tcPr>
          <w:p w14:paraId="19EE701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帕底村</w:t>
            </w:r>
          </w:p>
        </w:tc>
        <w:tc>
          <w:tcPr>
            <w:tcW w:w="1322" w:type="dxa"/>
            <w:tcBorders>
              <w:top w:val="single" w:color="auto" w:sz="8" w:space="0"/>
              <w:left w:val="single" w:color="auto" w:sz="6" w:space="0"/>
              <w:bottom w:val="single" w:color="auto" w:sz="4" w:space="0"/>
              <w:right w:val="single" w:color="auto" w:sz="6" w:space="0"/>
            </w:tcBorders>
            <w:noWrap w:val="0"/>
            <w:vAlign w:val="center"/>
          </w:tcPr>
          <w:p w14:paraId="1FA4D32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帕底分场</w:t>
            </w:r>
          </w:p>
          <w:p w14:paraId="2A9A7BD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八队</w:t>
            </w:r>
          </w:p>
        </w:tc>
        <w:tc>
          <w:tcPr>
            <w:tcW w:w="1322" w:type="dxa"/>
            <w:tcBorders>
              <w:top w:val="single" w:color="auto" w:sz="8" w:space="0"/>
              <w:left w:val="single" w:color="auto" w:sz="6" w:space="0"/>
              <w:bottom w:val="single" w:color="auto" w:sz="4" w:space="0"/>
              <w:right w:val="single" w:color="auto" w:sz="6" w:space="0"/>
            </w:tcBorders>
            <w:noWrap w:val="0"/>
            <w:vAlign w:val="center"/>
          </w:tcPr>
          <w:p w14:paraId="6CC80F6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公租房</w:t>
            </w:r>
          </w:p>
        </w:tc>
        <w:tc>
          <w:tcPr>
            <w:tcW w:w="1322" w:type="dxa"/>
            <w:tcBorders>
              <w:top w:val="single" w:color="auto" w:sz="8" w:space="0"/>
              <w:left w:val="single" w:color="auto" w:sz="6" w:space="0"/>
              <w:bottom w:val="single" w:color="auto" w:sz="4" w:space="0"/>
              <w:right w:val="single" w:color="auto" w:sz="6" w:space="0"/>
            </w:tcBorders>
            <w:noWrap w:val="0"/>
            <w:vAlign w:val="center"/>
          </w:tcPr>
          <w:p w14:paraId="1B3E79A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界桃村</w:t>
            </w:r>
          </w:p>
        </w:tc>
        <w:tc>
          <w:tcPr>
            <w:tcW w:w="1318" w:type="dxa"/>
            <w:tcBorders>
              <w:top w:val="single" w:color="auto" w:sz="8" w:space="0"/>
              <w:left w:val="single" w:color="auto" w:sz="6" w:space="0"/>
              <w:bottom w:val="single" w:color="auto" w:sz="4" w:space="0"/>
              <w:right w:val="single" w:color="auto" w:sz="6" w:space="0"/>
            </w:tcBorders>
            <w:noWrap w:val="0"/>
            <w:vAlign w:val="center"/>
          </w:tcPr>
          <w:p w14:paraId="27000ED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芒市糖厂</w:t>
            </w:r>
          </w:p>
        </w:tc>
      </w:tr>
      <w:tr w14:paraId="34015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tcBorders>
            <w:noWrap w:val="0"/>
            <w:vAlign w:val="center"/>
          </w:tcPr>
          <w:p w14:paraId="443F0A4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2016.06.21</w:t>
            </w:r>
          </w:p>
        </w:tc>
        <w:tc>
          <w:tcPr>
            <w:tcW w:w="1322" w:type="dxa"/>
            <w:noWrap w:val="0"/>
            <w:vAlign w:val="center"/>
          </w:tcPr>
          <w:p w14:paraId="3A30E8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0.046</w:t>
            </w:r>
          </w:p>
        </w:tc>
        <w:tc>
          <w:tcPr>
            <w:tcW w:w="1322" w:type="dxa"/>
            <w:tcBorders>
              <w:right w:val="single" w:color="auto" w:sz="6" w:space="0"/>
            </w:tcBorders>
            <w:noWrap w:val="0"/>
            <w:vAlign w:val="center"/>
          </w:tcPr>
          <w:p w14:paraId="7C3CED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0.057</w:t>
            </w:r>
          </w:p>
        </w:tc>
        <w:tc>
          <w:tcPr>
            <w:tcW w:w="1322" w:type="dxa"/>
            <w:tcBorders>
              <w:left w:val="single" w:color="auto" w:sz="6" w:space="0"/>
              <w:right w:val="single" w:color="auto" w:sz="6" w:space="0"/>
            </w:tcBorders>
            <w:noWrap w:val="0"/>
            <w:vAlign w:val="center"/>
          </w:tcPr>
          <w:p w14:paraId="55E935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0.063</w:t>
            </w:r>
          </w:p>
        </w:tc>
        <w:tc>
          <w:tcPr>
            <w:tcW w:w="1322" w:type="dxa"/>
            <w:tcBorders>
              <w:left w:val="single" w:color="auto" w:sz="6" w:space="0"/>
              <w:right w:val="single" w:color="auto" w:sz="6" w:space="0"/>
            </w:tcBorders>
            <w:noWrap w:val="0"/>
            <w:vAlign w:val="center"/>
          </w:tcPr>
          <w:p w14:paraId="183C6E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0.065</w:t>
            </w:r>
          </w:p>
        </w:tc>
        <w:tc>
          <w:tcPr>
            <w:tcW w:w="1322" w:type="dxa"/>
            <w:tcBorders>
              <w:left w:val="single" w:color="auto" w:sz="6" w:space="0"/>
              <w:right w:val="single" w:color="auto" w:sz="6" w:space="0"/>
            </w:tcBorders>
            <w:noWrap w:val="0"/>
            <w:vAlign w:val="center"/>
          </w:tcPr>
          <w:p w14:paraId="1EFE4F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0.052</w:t>
            </w:r>
          </w:p>
        </w:tc>
        <w:tc>
          <w:tcPr>
            <w:tcW w:w="1318" w:type="dxa"/>
            <w:tcBorders>
              <w:left w:val="single" w:color="auto" w:sz="6" w:space="0"/>
              <w:right w:val="single" w:color="auto" w:sz="6" w:space="0"/>
            </w:tcBorders>
            <w:noWrap w:val="0"/>
            <w:vAlign w:val="center"/>
          </w:tcPr>
          <w:p w14:paraId="168BD3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w:t>
            </w:r>
          </w:p>
        </w:tc>
      </w:tr>
      <w:tr w14:paraId="3883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tcBorders>
            <w:noWrap w:val="0"/>
            <w:vAlign w:val="center"/>
          </w:tcPr>
          <w:p w14:paraId="2CD060D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2016.06.22</w:t>
            </w:r>
          </w:p>
        </w:tc>
        <w:tc>
          <w:tcPr>
            <w:tcW w:w="1322" w:type="dxa"/>
            <w:noWrap w:val="0"/>
            <w:vAlign w:val="center"/>
          </w:tcPr>
          <w:p w14:paraId="26BF8A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0.045</w:t>
            </w:r>
          </w:p>
        </w:tc>
        <w:tc>
          <w:tcPr>
            <w:tcW w:w="1322" w:type="dxa"/>
            <w:tcBorders>
              <w:right w:val="single" w:color="auto" w:sz="6" w:space="0"/>
            </w:tcBorders>
            <w:noWrap w:val="0"/>
            <w:vAlign w:val="center"/>
          </w:tcPr>
          <w:p w14:paraId="091A44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0.055</w:t>
            </w:r>
          </w:p>
        </w:tc>
        <w:tc>
          <w:tcPr>
            <w:tcW w:w="1322" w:type="dxa"/>
            <w:tcBorders>
              <w:left w:val="single" w:color="auto" w:sz="6" w:space="0"/>
              <w:right w:val="single" w:color="auto" w:sz="6" w:space="0"/>
            </w:tcBorders>
            <w:noWrap w:val="0"/>
            <w:vAlign w:val="center"/>
          </w:tcPr>
          <w:p w14:paraId="202B3F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0.061</w:t>
            </w:r>
          </w:p>
        </w:tc>
        <w:tc>
          <w:tcPr>
            <w:tcW w:w="1322" w:type="dxa"/>
            <w:tcBorders>
              <w:left w:val="single" w:color="auto" w:sz="6" w:space="0"/>
              <w:right w:val="single" w:color="auto" w:sz="6" w:space="0"/>
            </w:tcBorders>
            <w:noWrap w:val="0"/>
            <w:vAlign w:val="center"/>
          </w:tcPr>
          <w:p w14:paraId="465D5F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0.066</w:t>
            </w:r>
          </w:p>
        </w:tc>
        <w:tc>
          <w:tcPr>
            <w:tcW w:w="1322" w:type="dxa"/>
            <w:tcBorders>
              <w:left w:val="single" w:color="auto" w:sz="6" w:space="0"/>
              <w:right w:val="single" w:color="auto" w:sz="6" w:space="0"/>
            </w:tcBorders>
            <w:noWrap w:val="0"/>
            <w:vAlign w:val="center"/>
          </w:tcPr>
          <w:p w14:paraId="631B2A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c>
          <w:tcPr>
            <w:tcW w:w="1318" w:type="dxa"/>
            <w:tcBorders>
              <w:left w:val="single" w:color="auto" w:sz="6" w:space="0"/>
              <w:right w:val="single" w:color="auto" w:sz="6" w:space="0"/>
            </w:tcBorders>
            <w:noWrap w:val="0"/>
            <w:vAlign w:val="center"/>
          </w:tcPr>
          <w:p w14:paraId="2956DA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0.063</w:t>
            </w:r>
          </w:p>
        </w:tc>
      </w:tr>
      <w:tr w14:paraId="38CB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tcBorders>
            <w:noWrap w:val="0"/>
            <w:vAlign w:val="center"/>
          </w:tcPr>
          <w:p w14:paraId="09E7DA6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2016.06.23</w:t>
            </w:r>
          </w:p>
        </w:tc>
        <w:tc>
          <w:tcPr>
            <w:tcW w:w="1322" w:type="dxa"/>
            <w:noWrap w:val="0"/>
            <w:vAlign w:val="center"/>
          </w:tcPr>
          <w:p w14:paraId="4C8A16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0.043 </w:t>
            </w:r>
          </w:p>
        </w:tc>
        <w:tc>
          <w:tcPr>
            <w:tcW w:w="1322" w:type="dxa"/>
            <w:tcBorders>
              <w:right w:val="single" w:color="auto" w:sz="6" w:space="0"/>
            </w:tcBorders>
            <w:noWrap w:val="0"/>
            <w:vAlign w:val="center"/>
          </w:tcPr>
          <w:p w14:paraId="1D6D47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0.056</w:t>
            </w:r>
          </w:p>
        </w:tc>
        <w:tc>
          <w:tcPr>
            <w:tcW w:w="1322" w:type="dxa"/>
            <w:tcBorders>
              <w:left w:val="single" w:color="auto" w:sz="6" w:space="0"/>
              <w:right w:val="single" w:color="auto" w:sz="6" w:space="0"/>
            </w:tcBorders>
            <w:noWrap w:val="0"/>
            <w:vAlign w:val="center"/>
          </w:tcPr>
          <w:p w14:paraId="617A7E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0.058</w:t>
            </w:r>
          </w:p>
        </w:tc>
        <w:tc>
          <w:tcPr>
            <w:tcW w:w="1322" w:type="dxa"/>
            <w:tcBorders>
              <w:left w:val="single" w:color="auto" w:sz="6" w:space="0"/>
              <w:right w:val="single" w:color="auto" w:sz="6" w:space="0"/>
            </w:tcBorders>
            <w:noWrap w:val="0"/>
            <w:vAlign w:val="center"/>
          </w:tcPr>
          <w:p w14:paraId="04BD37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0.062</w:t>
            </w:r>
          </w:p>
        </w:tc>
        <w:tc>
          <w:tcPr>
            <w:tcW w:w="1322" w:type="dxa"/>
            <w:tcBorders>
              <w:left w:val="single" w:color="auto" w:sz="6" w:space="0"/>
              <w:right w:val="single" w:color="auto" w:sz="6" w:space="0"/>
            </w:tcBorders>
            <w:noWrap w:val="0"/>
            <w:vAlign w:val="center"/>
          </w:tcPr>
          <w:p w14:paraId="4EBF2B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0.048</w:t>
            </w:r>
          </w:p>
        </w:tc>
        <w:tc>
          <w:tcPr>
            <w:tcW w:w="1318" w:type="dxa"/>
            <w:tcBorders>
              <w:left w:val="single" w:color="auto" w:sz="6" w:space="0"/>
              <w:right w:val="single" w:color="auto" w:sz="6" w:space="0"/>
            </w:tcBorders>
            <w:noWrap w:val="0"/>
            <w:vAlign w:val="center"/>
          </w:tcPr>
          <w:p w14:paraId="5B711C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0.058</w:t>
            </w:r>
          </w:p>
        </w:tc>
      </w:tr>
      <w:tr w14:paraId="2C6C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tcBorders>
            <w:noWrap w:val="0"/>
            <w:vAlign w:val="center"/>
          </w:tcPr>
          <w:p w14:paraId="0EB6C8E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2016.06.24</w:t>
            </w:r>
          </w:p>
        </w:tc>
        <w:tc>
          <w:tcPr>
            <w:tcW w:w="1322" w:type="dxa"/>
            <w:noWrap w:val="0"/>
            <w:vAlign w:val="center"/>
          </w:tcPr>
          <w:p w14:paraId="6660CD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0.046 </w:t>
            </w:r>
          </w:p>
        </w:tc>
        <w:tc>
          <w:tcPr>
            <w:tcW w:w="1322" w:type="dxa"/>
            <w:tcBorders>
              <w:right w:val="single" w:color="auto" w:sz="6" w:space="0"/>
            </w:tcBorders>
            <w:noWrap w:val="0"/>
            <w:vAlign w:val="center"/>
          </w:tcPr>
          <w:p w14:paraId="301420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0.054</w:t>
            </w:r>
          </w:p>
        </w:tc>
        <w:tc>
          <w:tcPr>
            <w:tcW w:w="1322" w:type="dxa"/>
            <w:tcBorders>
              <w:left w:val="single" w:color="auto" w:sz="6" w:space="0"/>
              <w:right w:val="single" w:color="auto" w:sz="6" w:space="0"/>
            </w:tcBorders>
            <w:noWrap w:val="0"/>
            <w:vAlign w:val="center"/>
          </w:tcPr>
          <w:p w14:paraId="0BBECA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0.059</w:t>
            </w:r>
          </w:p>
        </w:tc>
        <w:tc>
          <w:tcPr>
            <w:tcW w:w="1322" w:type="dxa"/>
            <w:tcBorders>
              <w:left w:val="single" w:color="auto" w:sz="6" w:space="0"/>
              <w:right w:val="single" w:color="auto" w:sz="6" w:space="0"/>
            </w:tcBorders>
            <w:noWrap w:val="0"/>
            <w:vAlign w:val="center"/>
          </w:tcPr>
          <w:p w14:paraId="684E15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w:t>
            </w:r>
          </w:p>
        </w:tc>
        <w:tc>
          <w:tcPr>
            <w:tcW w:w="1322" w:type="dxa"/>
            <w:tcBorders>
              <w:left w:val="single" w:color="auto" w:sz="6" w:space="0"/>
              <w:right w:val="single" w:color="auto" w:sz="6" w:space="0"/>
            </w:tcBorders>
            <w:noWrap w:val="0"/>
            <w:vAlign w:val="center"/>
          </w:tcPr>
          <w:p w14:paraId="41053D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w:t>
            </w:r>
          </w:p>
        </w:tc>
        <w:tc>
          <w:tcPr>
            <w:tcW w:w="1318" w:type="dxa"/>
            <w:tcBorders>
              <w:left w:val="single" w:color="auto" w:sz="6" w:space="0"/>
              <w:right w:val="single" w:color="auto" w:sz="6" w:space="0"/>
            </w:tcBorders>
            <w:noWrap w:val="0"/>
            <w:vAlign w:val="center"/>
          </w:tcPr>
          <w:p w14:paraId="6D4165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w:t>
            </w:r>
          </w:p>
        </w:tc>
      </w:tr>
      <w:tr w14:paraId="1B30F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tcBorders>
            <w:noWrap w:val="0"/>
            <w:vAlign w:val="center"/>
          </w:tcPr>
          <w:p w14:paraId="735BFC2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2016.06.25</w:t>
            </w:r>
          </w:p>
        </w:tc>
        <w:tc>
          <w:tcPr>
            <w:tcW w:w="1322" w:type="dxa"/>
            <w:noWrap w:val="0"/>
            <w:vAlign w:val="center"/>
          </w:tcPr>
          <w:p w14:paraId="7F5D5A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0.044</w:t>
            </w:r>
          </w:p>
        </w:tc>
        <w:tc>
          <w:tcPr>
            <w:tcW w:w="1322" w:type="dxa"/>
            <w:tcBorders>
              <w:right w:val="single" w:color="auto" w:sz="6" w:space="0"/>
            </w:tcBorders>
            <w:noWrap w:val="0"/>
            <w:vAlign w:val="center"/>
          </w:tcPr>
          <w:p w14:paraId="0AC6EE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0.055</w:t>
            </w:r>
          </w:p>
        </w:tc>
        <w:tc>
          <w:tcPr>
            <w:tcW w:w="1322" w:type="dxa"/>
            <w:tcBorders>
              <w:left w:val="single" w:color="auto" w:sz="6" w:space="0"/>
              <w:right w:val="single" w:color="auto" w:sz="6" w:space="0"/>
            </w:tcBorders>
            <w:noWrap w:val="0"/>
            <w:vAlign w:val="center"/>
          </w:tcPr>
          <w:p w14:paraId="6ED0DC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0.062</w:t>
            </w:r>
          </w:p>
        </w:tc>
        <w:tc>
          <w:tcPr>
            <w:tcW w:w="1322" w:type="dxa"/>
            <w:tcBorders>
              <w:left w:val="single" w:color="auto" w:sz="6" w:space="0"/>
              <w:right w:val="single" w:color="auto" w:sz="6" w:space="0"/>
            </w:tcBorders>
            <w:noWrap w:val="0"/>
            <w:vAlign w:val="center"/>
          </w:tcPr>
          <w:p w14:paraId="2CA67A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0.064</w:t>
            </w:r>
          </w:p>
        </w:tc>
        <w:tc>
          <w:tcPr>
            <w:tcW w:w="1322" w:type="dxa"/>
            <w:tcBorders>
              <w:left w:val="single" w:color="auto" w:sz="6" w:space="0"/>
              <w:right w:val="single" w:color="auto" w:sz="6" w:space="0"/>
            </w:tcBorders>
            <w:noWrap w:val="0"/>
            <w:vAlign w:val="center"/>
          </w:tcPr>
          <w:p w14:paraId="26B9F2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0.054</w:t>
            </w:r>
          </w:p>
        </w:tc>
        <w:tc>
          <w:tcPr>
            <w:tcW w:w="1318" w:type="dxa"/>
            <w:tcBorders>
              <w:left w:val="single" w:color="auto" w:sz="6" w:space="0"/>
              <w:right w:val="single" w:color="auto" w:sz="6" w:space="0"/>
            </w:tcBorders>
            <w:noWrap w:val="0"/>
            <w:vAlign w:val="center"/>
          </w:tcPr>
          <w:p w14:paraId="681834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0.057</w:t>
            </w:r>
          </w:p>
        </w:tc>
      </w:tr>
      <w:tr w14:paraId="263C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tcBorders>
            <w:noWrap w:val="0"/>
            <w:vAlign w:val="center"/>
          </w:tcPr>
          <w:p w14:paraId="1849A840">
            <w:pPr>
              <w:ind w:firstLine="105" w:firstLineChars="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2016.06.26</w:t>
            </w:r>
          </w:p>
        </w:tc>
        <w:tc>
          <w:tcPr>
            <w:tcW w:w="1322" w:type="dxa"/>
            <w:noWrap w:val="0"/>
            <w:vAlign w:val="center"/>
          </w:tcPr>
          <w:p w14:paraId="3A503B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0.043</w:t>
            </w:r>
          </w:p>
        </w:tc>
        <w:tc>
          <w:tcPr>
            <w:tcW w:w="1322" w:type="dxa"/>
            <w:tcBorders>
              <w:right w:val="single" w:color="auto" w:sz="6" w:space="0"/>
            </w:tcBorders>
            <w:noWrap w:val="0"/>
            <w:vAlign w:val="center"/>
          </w:tcPr>
          <w:p w14:paraId="32B634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0.052</w:t>
            </w:r>
          </w:p>
        </w:tc>
        <w:tc>
          <w:tcPr>
            <w:tcW w:w="1322" w:type="dxa"/>
            <w:tcBorders>
              <w:left w:val="single" w:color="auto" w:sz="6" w:space="0"/>
              <w:right w:val="single" w:color="auto" w:sz="6" w:space="0"/>
            </w:tcBorders>
            <w:noWrap w:val="0"/>
            <w:vAlign w:val="center"/>
          </w:tcPr>
          <w:p w14:paraId="016EEF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0.061</w:t>
            </w:r>
          </w:p>
        </w:tc>
        <w:tc>
          <w:tcPr>
            <w:tcW w:w="1322" w:type="dxa"/>
            <w:tcBorders>
              <w:left w:val="single" w:color="auto" w:sz="6" w:space="0"/>
              <w:right w:val="single" w:color="auto" w:sz="6" w:space="0"/>
            </w:tcBorders>
            <w:noWrap w:val="0"/>
            <w:vAlign w:val="center"/>
          </w:tcPr>
          <w:p w14:paraId="7620E8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0.061</w:t>
            </w:r>
          </w:p>
        </w:tc>
        <w:tc>
          <w:tcPr>
            <w:tcW w:w="1322" w:type="dxa"/>
            <w:tcBorders>
              <w:left w:val="single" w:color="auto" w:sz="6" w:space="0"/>
              <w:right w:val="single" w:color="auto" w:sz="6" w:space="0"/>
            </w:tcBorders>
            <w:noWrap w:val="0"/>
            <w:vAlign w:val="center"/>
          </w:tcPr>
          <w:p w14:paraId="1154C3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0.051</w:t>
            </w:r>
          </w:p>
        </w:tc>
        <w:tc>
          <w:tcPr>
            <w:tcW w:w="1318" w:type="dxa"/>
            <w:tcBorders>
              <w:left w:val="single" w:color="auto" w:sz="6" w:space="0"/>
              <w:right w:val="single" w:color="auto" w:sz="6" w:space="0"/>
            </w:tcBorders>
            <w:noWrap w:val="0"/>
            <w:vAlign w:val="center"/>
          </w:tcPr>
          <w:p w14:paraId="029889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0.054</w:t>
            </w:r>
          </w:p>
        </w:tc>
      </w:tr>
      <w:tr w14:paraId="5784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tcBorders>
            <w:noWrap w:val="0"/>
            <w:vAlign w:val="center"/>
          </w:tcPr>
          <w:p w14:paraId="3BD3DDC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2016.06.27</w:t>
            </w:r>
          </w:p>
        </w:tc>
        <w:tc>
          <w:tcPr>
            <w:tcW w:w="1322" w:type="dxa"/>
            <w:noWrap w:val="0"/>
            <w:vAlign w:val="center"/>
          </w:tcPr>
          <w:p w14:paraId="244DD6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0.045</w:t>
            </w:r>
          </w:p>
        </w:tc>
        <w:tc>
          <w:tcPr>
            <w:tcW w:w="1322" w:type="dxa"/>
            <w:tcBorders>
              <w:right w:val="single" w:color="auto" w:sz="6" w:space="0"/>
            </w:tcBorders>
            <w:noWrap w:val="0"/>
            <w:vAlign w:val="center"/>
          </w:tcPr>
          <w:p w14:paraId="6E8E6C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0.053</w:t>
            </w:r>
          </w:p>
        </w:tc>
        <w:tc>
          <w:tcPr>
            <w:tcW w:w="1322" w:type="dxa"/>
            <w:tcBorders>
              <w:left w:val="single" w:color="auto" w:sz="6" w:space="0"/>
              <w:right w:val="single" w:color="auto" w:sz="6" w:space="0"/>
            </w:tcBorders>
            <w:noWrap w:val="0"/>
            <w:vAlign w:val="center"/>
          </w:tcPr>
          <w:p w14:paraId="0F8645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0.062</w:t>
            </w:r>
          </w:p>
        </w:tc>
        <w:tc>
          <w:tcPr>
            <w:tcW w:w="1322" w:type="dxa"/>
            <w:tcBorders>
              <w:left w:val="single" w:color="auto" w:sz="6" w:space="0"/>
              <w:right w:val="single" w:color="auto" w:sz="6" w:space="0"/>
            </w:tcBorders>
            <w:noWrap w:val="0"/>
            <w:vAlign w:val="center"/>
          </w:tcPr>
          <w:p w14:paraId="4C6A9B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w:t>
            </w:r>
          </w:p>
        </w:tc>
        <w:tc>
          <w:tcPr>
            <w:tcW w:w="1322" w:type="dxa"/>
            <w:tcBorders>
              <w:left w:val="single" w:color="auto" w:sz="6" w:space="0"/>
              <w:right w:val="single" w:color="auto" w:sz="6" w:space="0"/>
            </w:tcBorders>
            <w:noWrap w:val="0"/>
            <w:vAlign w:val="center"/>
          </w:tcPr>
          <w:p w14:paraId="56DD7D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0.049</w:t>
            </w:r>
          </w:p>
        </w:tc>
        <w:tc>
          <w:tcPr>
            <w:tcW w:w="1318" w:type="dxa"/>
            <w:tcBorders>
              <w:left w:val="single" w:color="auto" w:sz="6" w:space="0"/>
              <w:right w:val="single" w:color="auto" w:sz="6" w:space="0"/>
            </w:tcBorders>
            <w:noWrap w:val="0"/>
            <w:vAlign w:val="center"/>
          </w:tcPr>
          <w:p w14:paraId="3E7C6F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0.052</w:t>
            </w:r>
          </w:p>
        </w:tc>
      </w:tr>
      <w:tr w14:paraId="6371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tcBorders>
            <w:noWrap w:val="0"/>
            <w:vAlign w:val="center"/>
          </w:tcPr>
          <w:p w14:paraId="1EA81EC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322" w:type="dxa"/>
            <w:noWrap w:val="0"/>
            <w:vAlign w:val="center"/>
          </w:tcPr>
          <w:p w14:paraId="100210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≤0.15</w:t>
            </w:r>
          </w:p>
        </w:tc>
        <w:tc>
          <w:tcPr>
            <w:tcW w:w="1322" w:type="dxa"/>
            <w:tcBorders>
              <w:right w:val="single" w:color="auto" w:sz="6" w:space="0"/>
            </w:tcBorders>
            <w:noWrap w:val="0"/>
            <w:vAlign w:val="top"/>
          </w:tcPr>
          <w:p w14:paraId="23E660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≤0.15</w:t>
            </w:r>
          </w:p>
        </w:tc>
        <w:tc>
          <w:tcPr>
            <w:tcW w:w="1322" w:type="dxa"/>
            <w:tcBorders>
              <w:left w:val="single" w:color="auto" w:sz="6" w:space="0"/>
              <w:right w:val="single" w:color="auto" w:sz="6" w:space="0"/>
            </w:tcBorders>
            <w:noWrap w:val="0"/>
            <w:vAlign w:val="top"/>
          </w:tcPr>
          <w:p w14:paraId="55AADC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≤0.15</w:t>
            </w:r>
          </w:p>
        </w:tc>
        <w:tc>
          <w:tcPr>
            <w:tcW w:w="1322" w:type="dxa"/>
            <w:tcBorders>
              <w:left w:val="single" w:color="auto" w:sz="6" w:space="0"/>
              <w:right w:val="single" w:color="auto" w:sz="6" w:space="0"/>
            </w:tcBorders>
            <w:noWrap w:val="0"/>
            <w:vAlign w:val="top"/>
          </w:tcPr>
          <w:p w14:paraId="5D0AF6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≤0.15</w:t>
            </w:r>
          </w:p>
        </w:tc>
        <w:tc>
          <w:tcPr>
            <w:tcW w:w="1322" w:type="dxa"/>
            <w:tcBorders>
              <w:left w:val="single" w:color="auto" w:sz="6" w:space="0"/>
              <w:right w:val="single" w:color="auto" w:sz="6" w:space="0"/>
            </w:tcBorders>
            <w:noWrap w:val="0"/>
            <w:vAlign w:val="top"/>
          </w:tcPr>
          <w:p w14:paraId="2D9EA8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≤0.15</w:t>
            </w:r>
          </w:p>
        </w:tc>
        <w:tc>
          <w:tcPr>
            <w:tcW w:w="1318" w:type="dxa"/>
            <w:tcBorders>
              <w:left w:val="single" w:color="auto" w:sz="6" w:space="0"/>
              <w:right w:val="single" w:color="auto" w:sz="6" w:space="0"/>
            </w:tcBorders>
            <w:noWrap w:val="0"/>
            <w:vAlign w:val="top"/>
          </w:tcPr>
          <w:p w14:paraId="3D57C1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≤0.15</w:t>
            </w:r>
          </w:p>
        </w:tc>
      </w:tr>
      <w:tr w14:paraId="1B50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528" w:type="dxa"/>
            <w:tcBorders>
              <w:left w:val="single" w:color="auto" w:sz="8" w:space="0"/>
              <w:bottom w:val="single" w:color="auto" w:sz="8" w:space="0"/>
            </w:tcBorders>
            <w:noWrap w:val="0"/>
            <w:vAlign w:val="center"/>
          </w:tcPr>
          <w:p w14:paraId="3D6B86F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c>
          <w:tcPr>
            <w:tcW w:w="1322" w:type="dxa"/>
            <w:tcBorders>
              <w:bottom w:val="single" w:color="auto" w:sz="8" w:space="0"/>
            </w:tcBorders>
            <w:noWrap w:val="0"/>
            <w:vAlign w:val="top"/>
          </w:tcPr>
          <w:p w14:paraId="206004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322" w:type="dxa"/>
            <w:tcBorders>
              <w:bottom w:val="single" w:color="auto" w:sz="8" w:space="0"/>
              <w:right w:val="single" w:color="auto" w:sz="6" w:space="0"/>
            </w:tcBorders>
            <w:noWrap w:val="0"/>
            <w:vAlign w:val="top"/>
          </w:tcPr>
          <w:p w14:paraId="4061DD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322" w:type="dxa"/>
            <w:tcBorders>
              <w:left w:val="single" w:color="auto" w:sz="6" w:space="0"/>
              <w:bottom w:val="single" w:color="auto" w:sz="8" w:space="0"/>
              <w:right w:val="single" w:color="auto" w:sz="6" w:space="0"/>
            </w:tcBorders>
            <w:noWrap w:val="0"/>
            <w:vAlign w:val="top"/>
          </w:tcPr>
          <w:p w14:paraId="03F48A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322" w:type="dxa"/>
            <w:tcBorders>
              <w:left w:val="single" w:color="auto" w:sz="6" w:space="0"/>
              <w:bottom w:val="single" w:color="auto" w:sz="8" w:space="0"/>
              <w:right w:val="single" w:color="auto" w:sz="6" w:space="0"/>
            </w:tcBorders>
            <w:noWrap w:val="0"/>
            <w:vAlign w:val="top"/>
          </w:tcPr>
          <w:p w14:paraId="672339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322" w:type="dxa"/>
            <w:tcBorders>
              <w:left w:val="single" w:color="auto" w:sz="6" w:space="0"/>
              <w:bottom w:val="single" w:color="auto" w:sz="8" w:space="0"/>
              <w:right w:val="single" w:color="auto" w:sz="6" w:space="0"/>
            </w:tcBorders>
            <w:noWrap w:val="0"/>
            <w:vAlign w:val="top"/>
          </w:tcPr>
          <w:p w14:paraId="1F35FF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318" w:type="dxa"/>
            <w:tcBorders>
              <w:left w:val="single" w:color="auto" w:sz="6" w:space="0"/>
              <w:bottom w:val="single" w:color="auto" w:sz="8" w:space="0"/>
              <w:right w:val="single" w:color="auto" w:sz="6" w:space="0"/>
            </w:tcBorders>
            <w:noWrap w:val="0"/>
            <w:vAlign w:val="top"/>
          </w:tcPr>
          <w:p w14:paraId="01DD19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64D1505A">
      <w:pPr>
        <w:tabs>
          <w:tab w:val="left" w:pos="1800"/>
        </w:tabs>
        <w:ind w:firstLine="2168" w:firstLineChars="9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 xml:space="preserve">表4.3-1   可吸入颗粒物检测结果          </w:t>
      </w:r>
      <w:r>
        <w:rPr>
          <w:rFonts w:hint="default" w:ascii="Times New Roman" w:hAnsi="Times New Roman" w:eastAsia="宋体" w:cs="Times New Roman"/>
          <w:color w:val="auto"/>
          <w:sz w:val="24"/>
        </w:rPr>
        <w:t>单位：mg/m</w:t>
      </w:r>
      <w:r>
        <w:rPr>
          <w:rFonts w:hint="default" w:ascii="Times New Roman" w:hAnsi="Times New Roman" w:eastAsia="宋体" w:cs="Times New Roman"/>
          <w:color w:val="auto"/>
          <w:sz w:val="24"/>
          <w:vertAlign w:val="superscript"/>
        </w:rPr>
        <w:t>3</w:t>
      </w:r>
    </w:p>
    <w:p w14:paraId="35232513">
      <w:pPr>
        <w:tabs>
          <w:tab w:val="left" w:pos="1800"/>
        </w:tabs>
        <w:spacing w:line="360" w:lineRule="auto"/>
        <w:ind w:firstLine="422" w:firstLineChars="200"/>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根据监测结果各监测点监测值均满足《环境空气质量标准》(GB3095-2012)二级标准。</w:t>
      </w:r>
    </w:p>
    <w:p w14:paraId="1E02DE0A">
      <w:pPr>
        <w:tabs>
          <w:tab w:val="left" w:pos="1800"/>
        </w:tabs>
        <w:ind w:firstLine="2168" w:firstLineChars="900"/>
        <w:jc w:val="left"/>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rPr>
        <w:t xml:space="preserve">表4.3-2  总悬浮颗粒物检测结果 </w:t>
      </w:r>
      <w:r>
        <w:rPr>
          <w:rFonts w:hint="default" w:ascii="Times New Roman" w:hAnsi="Times New Roman" w:eastAsia="宋体" w:cs="Times New Roman"/>
          <w:color w:val="auto"/>
          <w:sz w:val="24"/>
        </w:rPr>
        <w:t xml:space="preserve">           单位：mg/m</w:t>
      </w:r>
      <w:r>
        <w:rPr>
          <w:rFonts w:hint="default" w:ascii="Times New Roman" w:hAnsi="Times New Roman" w:eastAsia="宋体" w:cs="Times New Roman"/>
          <w:color w:val="auto"/>
          <w:sz w:val="24"/>
          <w:vertAlign w:val="superscript"/>
        </w:rPr>
        <w:t>3</w:t>
      </w:r>
    </w:p>
    <w:tbl>
      <w:tblPr>
        <w:tblStyle w:val="66"/>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1411"/>
        <w:gridCol w:w="1165"/>
        <w:gridCol w:w="1399"/>
        <w:gridCol w:w="1163"/>
        <w:gridCol w:w="1398"/>
        <w:gridCol w:w="1398"/>
      </w:tblGrid>
      <w:tr w14:paraId="0B1B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top w:val="single" w:color="auto" w:sz="8" w:space="0"/>
              <w:left w:val="single" w:color="auto" w:sz="8" w:space="0"/>
              <w:bottom w:val="single" w:color="auto" w:sz="4" w:space="0"/>
              <w:tl2br w:val="single" w:color="auto" w:sz="4" w:space="0"/>
            </w:tcBorders>
            <w:noWrap w:val="0"/>
            <w:vAlign w:val="top"/>
          </w:tcPr>
          <w:p w14:paraId="75030C0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地  点</w:t>
            </w:r>
          </w:p>
          <w:p w14:paraId="27DBF376">
            <w:pP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  期</w:t>
            </w:r>
          </w:p>
        </w:tc>
        <w:tc>
          <w:tcPr>
            <w:tcW w:w="1411" w:type="dxa"/>
            <w:tcBorders>
              <w:top w:val="single" w:color="auto" w:sz="8" w:space="0"/>
              <w:bottom w:val="single" w:color="auto" w:sz="4" w:space="0"/>
            </w:tcBorders>
            <w:noWrap w:val="0"/>
            <w:vAlign w:val="center"/>
          </w:tcPr>
          <w:p w14:paraId="7DF3D3C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弄转村</w:t>
            </w:r>
          </w:p>
        </w:tc>
        <w:tc>
          <w:tcPr>
            <w:tcW w:w="1165" w:type="dxa"/>
            <w:tcBorders>
              <w:top w:val="single" w:color="auto" w:sz="8" w:space="0"/>
              <w:bottom w:val="single" w:color="auto" w:sz="4" w:space="0"/>
              <w:right w:val="single" w:color="auto" w:sz="6" w:space="0"/>
            </w:tcBorders>
            <w:noWrap w:val="0"/>
            <w:vAlign w:val="center"/>
          </w:tcPr>
          <w:p w14:paraId="6DA130D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帕底村</w:t>
            </w:r>
          </w:p>
        </w:tc>
        <w:tc>
          <w:tcPr>
            <w:tcW w:w="1399" w:type="dxa"/>
            <w:tcBorders>
              <w:top w:val="single" w:color="auto" w:sz="8" w:space="0"/>
              <w:left w:val="single" w:color="auto" w:sz="6" w:space="0"/>
              <w:bottom w:val="single" w:color="auto" w:sz="4" w:space="0"/>
              <w:right w:val="single" w:color="auto" w:sz="6" w:space="0"/>
            </w:tcBorders>
            <w:noWrap w:val="0"/>
            <w:vAlign w:val="center"/>
          </w:tcPr>
          <w:p w14:paraId="441D72B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帕底分场</w:t>
            </w:r>
          </w:p>
          <w:p w14:paraId="0717D8B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八队</w:t>
            </w:r>
          </w:p>
        </w:tc>
        <w:tc>
          <w:tcPr>
            <w:tcW w:w="1163" w:type="dxa"/>
            <w:tcBorders>
              <w:top w:val="single" w:color="auto" w:sz="8" w:space="0"/>
              <w:left w:val="single" w:color="auto" w:sz="6" w:space="0"/>
              <w:bottom w:val="single" w:color="auto" w:sz="4" w:space="0"/>
              <w:right w:val="single" w:color="auto" w:sz="6" w:space="0"/>
            </w:tcBorders>
            <w:noWrap w:val="0"/>
            <w:vAlign w:val="center"/>
          </w:tcPr>
          <w:p w14:paraId="1649523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公租房</w:t>
            </w:r>
          </w:p>
        </w:tc>
        <w:tc>
          <w:tcPr>
            <w:tcW w:w="1398" w:type="dxa"/>
            <w:tcBorders>
              <w:top w:val="single" w:color="auto" w:sz="8" w:space="0"/>
              <w:left w:val="single" w:color="auto" w:sz="6" w:space="0"/>
              <w:bottom w:val="single" w:color="auto" w:sz="4" w:space="0"/>
              <w:right w:val="single" w:color="auto" w:sz="6" w:space="0"/>
            </w:tcBorders>
            <w:noWrap w:val="0"/>
            <w:vAlign w:val="center"/>
          </w:tcPr>
          <w:p w14:paraId="472F718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界桃村</w:t>
            </w:r>
          </w:p>
        </w:tc>
        <w:tc>
          <w:tcPr>
            <w:tcW w:w="1398" w:type="dxa"/>
            <w:tcBorders>
              <w:top w:val="single" w:color="auto" w:sz="8" w:space="0"/>
              <w:left w:val="single" w:color="auto" w:sz="6" w:space="0"/>
              <w:bottom w:val="single" w:color="auto" w:sz="4" w:space="0"/>
              <w:right w:val="single" w:color="auto" w:sz="6" w:space="0"/>
            </w:tcBorders>
            <w:noWrap w:val="0"/>
            <w:vAlign w:val="center"/>
          </w:tcPr>
          <w:p w14:paraId="06A7E67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芒市糖厂</w:t>
            </w:r>
          </w:p>
        </w:tc>
      </w:tr>
      <w:tr w14:paraId="1544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tcBorders>
            <w:noWrap w:val="0"/>
            <w:vAlign w:val="center"/>
          </w:tcPr>
          <w:p w14:paraId="5D6B4AF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2016.06.21</w:t>
            </w:r>
          </w:p>
        </w:tc>
        <w:tc>
          <w:tcPr>
            <w:tcW w:w="1411" w:type="dxa"/>
            <w:noWrap w:val="0"/>
            <w:vAlign w:val="center"/>
          </w:tcPr>
          <w:p w14:paraId="5F8FF8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0.097</w:t>
            </w:r>
          </w:p>
        </w:tc>
        <w:tc>
          <w:tcPr>
            <w:tcW w:w="1165" w:type="dxa"/>
            <w:tcBorders>
              <w:right w:val="single" w:color="auto" w:sz="6" w:space="0"/>
            </w:tcBorders>
            <w:noWrap w:val="0"/>
            <w:vAlign w:val="center"/>
          </w:tcPr>
          <w:p w14:paraId="3B8557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1399" w:type="dxa"/>
            <w:tcBorders>
              <w:left w:val="single" w:color="auto" w:sz="6" w:space="0"/>
              <w:right w:val="single" w:color="auto" w:sz="6" w:space="0"/>
            </w:tcBorders>
            <w:noWrap w:val="0"/>
            <w:vAlign w:val="center"/>
          </w:tcPr>
          <w:p w14:paraId="3DFD40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163" w:type="dxa"/>
            <w:tcBorders>
              <w:left w:val="single" w:color="auto" w:sz="6" w:space="0"/>
              <w:right w:val="single" w:color="auto" w:sz="6" w:space="0"/>
            </w:tcBorders>
            <w:noWrap w:val="0"/>
            <w:vAlign w:val="center"/>
          </w:tcPr>
          <w:p w14:paraId="08A36F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c>
          <w:tcPr>
            <w:tcW w:w="1398" w:type="dxa"/>
            <w:tcBorders>
              <w:left w:val="single" w:color="auto" w:sz="6" w:space="0"/>
              <w:right w:val="single" w:color="auto" w:sz="6" w:space="0"/>
            </w:tcBorders>
            <w:noWrap w:val="0"/>
            <w:vAlign w:val="center"/>
          </w:tcPr>
          <w:p w14:paraId="74F23B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0.096</w:t>
            </w:r>
          </w:p>
        </w:tc>
        <w:tc>
          <w:tcPr>
            <w:tcW w:w="1398" w:type="dxa"/>
            <w:tcBorders>
              <w:left w:val="single" w:color="auto" w:sz="6" w:space="0"/>
              <w:right w:val="single" w:color="auto" w:sz="6" w:space="0"/>
            </w:tcBorders>
            <w:noWrap w:val="0"/>
            <w:vAlign w:val="center"/>
          </w:tcPr>
          <w:p w14:paraId="3B4819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r>
      <w:tr w14:paraId="3E19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tcBorders>
            <w:noWrap w:val="0"/>
            <w:vAlign w:val="center"/>
          </w:tcPr>
          <w:p w14:paraId="7C454D6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2016.06.22</w:t>
            </w:r>
          </w:p>
        </w:tc>
        <w:tc>
          <w:tcPr>
            <w:tcW w:w="1411" w:type="dxa"/>
            <w:noWrap w:val="0"/>
            <w:vAlign w:val="center"/>
          </w:tcPr>
          <w:p w14:paraId="2C7EF5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0.095</w:t>
            </w:r>
          </w:p>
        </w:tc>
        <w:tc>
          <w:tcPr>
            <w:tcW w:w="1165" w:type="dxa"/>
            <w:tcBorders>
              <w:right w:val="single" w:color="auto" w:sz="6" w:space="0"/>
            </w:tcBorders>
            <w:noWrap w:val="0"/>
            <w:vAlign w:val="center"/>
          </w:tcPr>
          <w:p w14:paraId="2CBA87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1399" w:type="dxa"/>
            <w:tcBorders>
              <w:left w:val="single" w:color="auto" w:sz="6" w:space="0"/>
              <w:right w:val="single" w:color="auto" w:sz="6" w:space="0"/>
            </w:tcBorders>
            <w:noWrap w:val="0"/>
            <w:vAlign w:val="center"/>
          </w:tcPr>
          <w:p w14:paraId="110852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1163" w:type="dxa"/>
            <w:tcBorders>
              <w:left w:val="single" w:color="auto" w:sz="6" w:space="0"/>
              <w:right w:val="single" w:color="auto" w:sz="6" w:space="0"/>
            </w:tcBorders>
            <w:noWrap w:val="0"/>
            <w:vAlign w:val="center"/>
          </w:tcPr>
          <w:p w14:paraId="32991D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398" w:type="dxa"/>
            <w:tcBorders>
              <w:left w:val="single" w:color="auto" w:sz="6" w:space="0"/>
              <w:right w:val="single" w:color="auto" w:sz="6" w:space="0"/>
            </w:tcBorders>
            <w:noWrap w:val="0"/>
            <w:vAlign w:val="center"/>
          </w:tcPr>
          <w:p w14:paraId="414C77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0.093</w:t>
            </w:r>
          </w:p>
        </w:tc>
        <w:tc>
          <w:tcPr>
            <w:tcW w:w="1398" w:type="dxa"/>
            <w:tcBorders>
              <w:left w:val="single" w:color="auto" w:sz="6" w:space="0"/>
              <w:right w:val="single" w:color="auto" w:sz="6" w:space="0"/>
            </w:tcBorders>
            <w:noWrap w:val="0"/>
            <w:vAlign w:val="center"/>
          </w:tcPr>
          <w:p w14:paraId="66DCFA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r>
      <w:tr w14:paraId="3845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tcBorders>
            <w:noWrap w:val="0"/>
            <w:vAlign w:val="center"/>
          </w:tcPr>
          <w:p w14:paraId="638BB7F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2016.06.23</w:t>
            </w:r>
          </w:p>
        </w:tc>
        <w:tc>
          <w:tcPr>
            <w:tcW w:w="1411" w:type="dxa"/>
            <w:noWrap w:val="0"/>
            <w:vAlign w:val="center"/>
          </w:tcPr>
          <w:p w14:paraId="23CC74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0.096</w:t>
            </w:r>
          </w:p>
        </w:tc>
        <w:tc>
          <w:tcPr>
            <w:tcW w:w="1165" w:type="dxa"/>
            <w:tcBorders>
              <w:right w:val="single" w:color="auto" w:sz="6" w:space="0"/>
            </w:tcBorders>
            <w:noWrap w:val="0"/>
            <w:vAlign w:val="center"/>
          </w:tcPr>
          <w:p w14:paraId="0C177C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399" w:type="dxa"/>
            <w:tcBorders>
              <w:left w:val="single" w:color="auto" w:sz="6" w:space="0"/>
              <w:right w:val="single" w:color="auto" w:sz="6" w:space="0"/>
            </w:tcBorders>
            <w:noWrap w:val="0"/>
            <w:vAlign w:val="center"/>
          </w:tcPr>
          <w:p w14:paraId="5D94C6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0.098</w:t>
            </w:r>
          </w:p>
        </w:tc>
        <w:tc>
          <w:tcPr>
            <w:tcW w:w="1163" w:type="dxa"/>
            <w:tcBorders>
              <w:left w:val="single" w:color="auto" w:sz="6" w:space="0"/>
              <w:right w:val="single" w:color="auto" w:sz="6" w:space="0"/>
            </w:tcBorders>
            <w:noWrap w:val="0"/>
            <w:vAlign w:val="center"/>
          </w:tcPr>
          <w:p w14:paraId="169384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0.099</w:t>
            </w:r>
          </w:p>
        </w:tc>
        <w:tc>
          <w:tcPr>
            <w:tcW w:w="1398" w:type="dxa"/>
            <w:tcBorders>
              <w:left w:val="single" w:color="auto" w:sz="6" w:space="0"/>
              <w:right w:val="single" w:color="auto" w:sz="6" w:space="0"/>
            </w:tcBorders>
            <w:noWrap w:val="0"/>
            <w:vAlign w:val="center"/>
          </w:tcPr>
          <w:p w14:paraId="10F285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0.091</w:t>
            </w:r>
          </w:p>
        </w:tc>
        <w:tc>
          <w:tcPr>
            <w:tcW w:w="1398" w:type="dxa"/>
            <w:tcBorders>
              <w:left w:val="single" w:color="auto" w:sz="6" w:space="0"/>
              <w:right w:val="single" w:color="auto" w:sz="6" w:space="0"/>
            </w:tcBorders>
            <w:noWrap w:val="0"/>
            <w:vAlign w:val="center"/>
          </w:tcPr>
          <w:p w14:paraId="35BF09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r>
      <w:tr w14:paraId="52B02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tcBorders>
            <w:noWrap w:val="0"/>
            <w:vAlign w:val="center"/>
          </w:tcPr>
          <w:p w14:paraId="12076C6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2016.06.24</w:t>
            </w:r>
          </w:p>
        </w:tc>
        <w:tc>
          <w:tcPr>
            <w:tcW w:w="1411" w:type="dxa"/>
            <w:noWrap w:val="0"/>
            <w:vAlign w:val="center"/>
          </w:tcPr>
          <w:p w14:paraId="540000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0.094</w:t>
            </w:r>
          </w:p>
        </w:tc>
        <w:tc>
          <w:tcPr>
            <w:tcW w:w="1165" w:type="dxa"/>
            <w:tcBorders>
              <w:right w:val="single" w:color="auto" w:sz="6" w:space="0"/>
            </w:tcBorders>
            <w:noWrap w:val="0"/>
            <w:vAlign w:val="center"/>
          </w:tcPr>
          <w:p w14:paraId="2E133F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c>
          <w:tcPr>
            <w:tcW w:w="1399" w:type="dxa"/>
            <w:tcBorders>
              <w:left w:val="single" w:color="auto" w:sz="6" w:space="0"/>
              <w:right w:val="single" w:color="auto" w:sz="6" w:space="0"/>
            </w:tcBorders>
            <w:noWrap w:val="0"/>
            <w:vAlign w:val="center"/>
          </w:tcPr>
          <w:p w14:paraId="4FFDBC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1163" w:type="dxa"/>
            <w:tcBorders>
              <w:left w:val="single" w:color="auto" w:sz="6" w:space="0"/>
              <w:right w:val="single" w:color="auto" w:sz="6" w:space="0"/>
            </w:tcBorders>
            <w:noWrap w:val="0"/>
            <w:vAlign w:val="center"/>
          </w:tcPr>
          <w:p w14:paraId="4B729B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398" w:type="dxa"/>
            <w:tcBorders>
              <w:left w:val="single" w:color="auto" w:sz="6" w:space="0"/>
              <w:right w:val="single" w:color="auto" w:sz="6" w:space="0"/>
            </w:tcBorders>
            <w:noWrap w:val="0"/>
            <w:vAlign w:val="center"/>
          </w:tcPr>
          <w:p w14:paraId="4B62B2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0.092</w:t>
            </w:r>
          </w:p>
        </w:tc>
        <w:tc>
          <w:tcPr>
            <w:tcW w:w="1398" w:type="dxa"/>
            <w:tcBorders>
              <w:left w:val="single" w:color="auto" w:sz="6" w:space="0"/>
              <w:right w:val="single" w:color="auto" w:sz="6" w:space="0"/>
            </w:tcBorders>
            <w:noWrap w:val="0"/>
            <w:vAlign w:val="center"/>
          </w:tcPr>
          <w:p w14:paraId="0B426D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r>
      <w:tr w14:paraId="467A9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tcBorders>
            <w:noWrap w:val="0"/>
            <w:vAlign w:val="center"/>
          </w:tcPr>
          <w:p w14:paraId="41B3ACB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2016.06.25</w:t>
            </w:r>
          </w:p>
        </w:tc>
        <w:tc>
          <w:tcPr>
            <w:tcW w:w="1411" w:type="dxa"/>
            <w:noWrap w:val="0"/>
            <w:vAlign w:val="center"/>
          </w:tcPr>
          <w:p w14:paraId="252141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0.092</w:t>
            </w:r>
          </w:p>
        </w:tc>
        <w:tc>
          <w:tcPr>
            <w:tcW w:w="1165" w:type="dxa"/>
            <w:tcBorders>
              <w:right w:val="single" w:color="auto" w:sz="6" w:space="0"/>
            </w:tcBorders>
            <w:noWrap w:val="0"/>
            <w:vAlign w:val="center"/>
          </w:tcPr>
          <w:p w14:paraId="462C9D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1399" w:type="dxa"/>
            <w:tcBorders>
              <w:left w:val="single" w:color="auto" w:sz="6" w:space="0"/>
              <w:right w:val="single" w:color="auto" w:sz="6" w:space="0"/>
            </w:tcBorders>
            <w:noWrap w:val="0"/>
            <w:vAlign w:val="center"/>
          </w:tcPr>
          <w:p w14:paraId="509FD5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c>
          <w:tcPr>
            <w:tcW w:w="1163" w:type="dxa"/>
            <w:tcBorders>
              <w:left w:val="single" w:color="auto" w:sz="6" w:space="0"/>
              <w:right w:val="single" w:color="auto" w:sz="6" w:space="0"/>
            </w:tcBorders>
            <w:noWrap w:val="0"/>
            <w:vAlign w:val="center"/>
          </w:tcPr>
          <w:p w14:paraId="1C879F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1398" w:type="dxa"/>
            <w:tcBorders>
              <w:left w:val="single" w:color="auto" w:sz="6" w:space="0"/>
              <w:right w:val="single" w:color="auto" w:sz="6" w:space="0"/>
            </w:tcBorders>
            <w:noWrap w:val="0"/>
            <w:vAlign w:val="center"/>
          </w:tcPr>
          <w:p w14:paraId="1AB8AB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0.092</w:t>
            </w:r>
          </w:p>
        </w:tc>
        <w:tc>
          <w:tcPr>
            <w:tcW w:w="1398" w:type="dxa"/>
            <w:tcBorders>
              <w:left w:val="single" w:color="auto" w:sz="6" w:space="0"/>
              <w:right w:val="single" w:color="auto" w:sz="6" w:space="0"/>
            </w:tcBorders>
            <w:noWrap w:val="0"/>
            <w:vAlign w:val="center"/>
          </w:tcPr>
          <w:p w14:paraId="2E867E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w:t>
            </w:r>
          </w:p>
        </w:tc>
      </w:tr>
      <w:tr w14:paraId="3AD5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tcBorders>
            <w:noWrap w:val="0"/>
            <w:vAlign w:val="center"/>
          </w:tcPr>
          <w:p w14:paraId="502022DC">
            <w:pPr>
              <w:ind w:firstLine="105" w:firstLineChars="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2016.06.26</w:t>
            </w:r>
          </w:p>
        </w:tc>
        <w:tc>
          <w:tcPr>
            <w:tcW w:w="1411" w:type="dxa"/>
            <w:noWrap w:val="0"/>
            <w:vAlign w:val="center"/>
          </w:tcPr>
          <w:p w14:paraId="3CBFB0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0.095</w:t>
            </w:r>
          </w:p>
        </w:tc>
        <w:tc>
          <w:tcPr>
            <w:tcW w:w="1165" w:type="dxa"/>
            <w:tcBorders>
              <w:right w:val="single" w:color="auto" w:sz="6" w:space="0"/>
            </w:tcBorders>
            <w:noWrap w:val="0"/>
            <w:vAlign w:val="center"/>
          </w:tcPr>
          <w:p w14:paraId="12ECD0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399" w:type="dxa"/>
            <w:tcBorders>
              <w:left w:val="single" w:color="auto" w:sz="6" w:space="0"/>
              <w:right w:val="single" w:color="auto" w:sz="6" w:space="0"/>
            </w:tcBorders>
            <w:noWrap w:val="0"/>
            <w:vAlign w:val="center"/>
          </w:tcPr>
          <w:p w14:paraId="365A37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c>
          <w:tcPr>
            <w:tcW w:w="1163" w:type="dxa"/>
            <w:tcBorders>
              <w:left w:val="single" w:color="auto" w:sz="6" w:space="0"/>
              <w:right w:val="single" w:color="auto" w:sz="6" w:space="0"/>
            </w:tcBorders>
            <w:noWrap w:val="0"/>
            <w:vAlign w:val="center"/>
          </w:tcPr>
          <w:p w14:paraId="73CD23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0.090</w:t>
            </w:r>
          </w:p>
        </w:tc>
        <w:tc>
          <w:tcPr>
            <w:tcW w:w="1398" w:type="dxa"/>
            <w:tcBorders>
              <w:left w:val="single" w:color="auto" w:sz="6" w:space="0"/>
              <w:right w:val="single" w:color="auto" w:sz="6" w:space="0"/>
            </w:tcBorders>
            <w:noWrap w:val="0"/>
            <w:vAlign w:val="center"/>
          </w:tcPr>
          <w:p w14:paraId="1BAC39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0.089</w:t>
            </w:r>
          </w:p>
        </w:tc>
        <w:tc>
          <w:tcPr>
            <w:tcW w:w="1398" w:type="dxa"/>
            <w:tcBorders>
              <w:left w:val="single" w:color="auto" w:sz="6" w:space="0"/>
              <w:right w:val="single" w:color="auto" w:sz="6" w:space="0"/>
            </w:tcBorders>
            <w:noWrap w:val="0"/>
            <w:vAlign w:val="center"/>
          </w:tcPr>
          <w:p w14:paraId="272F72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w:t>
            </w:r>
          </w:p>
        </w:tc>
      </w:tr>
      <w:tr w14:paraId="6B666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tcBorders>
            <w:noWrap w:val="0"/>
            <w:vAlign w:val="center"/>
          </w:tcPr>
          <w:p w14:paraId="7C5F7E6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2016.06.27</w:t>
            </w:r>
          </w:p>
        </w:tc>
        <w:tc>
          <w:tcPr>
            <w:tcW w:w="1411" w:type="dxa"/>
            <w:noWrap w:val="0"/>
            <w:vAlign w:val="center"/>
          </w:tcPr>
          <w:p w14:paraId="15E0AC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0.090</w:t>
            </w:r>
          </w:p>
        </w:tc>
        <w:tc>
          <w:tcPr>
            <w:tcW w:w="1165" w:type="dxa"/>
            <w:tcBorders>
              <w:right w:val="single" w:color="auto" w:sz="6" w:space="0"/>
            </w:tcBorders>
            <w:noWrap w:val="0"/>
            <w:vAlign w:val="center"/>
          </w:tcPr>
          <w:p w14:paraId="105550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c>
          <w:tcPr>
            <w:tcW w:w="1399" w:type="dxa"/>
            <w:tcBorders>
              <w:left w:val="single" w:color="auto" w:sz="6" w:space="0"/>
              <w:right w:val="single" w:color="auto" w:sz="6" w:space="0"/>
            </w:tcBorders>
            <w:noWrap w:val="0"/>
            <w:vAlign w:val="center"/>
          </w:tcPr>
          <w:p w14:paraId="155737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w:t>
            </w:r>
          </w:p>
        </w:tc>
        <w:tc>
          <w:tcPr>
            <w:tcW w:w="1163" w:type="dxa"/>
            <w:tcBorders>
              <w:left w:val="single" w:color="auto" w:sz="6" w:space="0"/>
              <w:right w:val="single" w:color="auto" w:sz="6" w:space="0"/>
            </w:tcBorders>
            <w:noWrap w:val="0"/>
            <w:vAlign w:val="center"/>
          </w:tcPr>
          <w:p w14:paraId="13CCE3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0.091</w:t>
            </w:r>
          </w:p>
        </w:tc>
        <w:tc>
          <w:tcPr>
            <w:tcW w:w="1398" w:type="dxa"/>
            <w:tcBorders>
              <w:left w:val="single" w:color="auto" w:sz="6" w:space="0"/>
              <w:right w:val="single" w:color="auto" w:sz="6" w:space="0"/>
            </w:tcBorders>
            <w:noWrap w:val="0"/>
            <w:vAlign w:val="center"/>
          </w:tcPr>
          <w:p w14:paraId="7B95AA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0.088</w:t>
            </w:r>
          </w:p>
        </w:tc>
        <w:tc>
          <w:tcPr>
            <w:tcW w:w="1398" w:type="dxa"/>
            <w:tcBorders>
              <w:left w:val="single" w:color="auto" w:sz="6" w:space="0"/>
              <w:right w:val="single" w:color="auto" w:sz="6" w:space="0"/>
            </w:tcBorders>
            <w:noWrap w:val="0"/>
            <w:vAlign w:val="center"/>
          </w:tcPr>
          <w:p w14:paraId="65C2CD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w:t>
            </w:r>
          </w:p>
        </w:tc>
      </w:tr>
      <w:tr w14:paraId="4686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tcBorders>
            <w:noWrap w:val="0"/>
            <w:vAlign w:val="center"/>
          </w:tcPr>
          <w:p w14:paraId="096EFD6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411" w:type="dxa"/>
            <w:noWrap w:val="0"/>
            <w:vAlign w:val="center"/>
          </w:tcPr>
          <w:p w14:paraId="5ED194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≤0.30</w:t>
            </w:r>
          </w:p>
        </w:tc>
        <w:tc>
          <w:tcPr>
            <w:tcW w:w="1165" w:type="dxa"/>
            <w:tcBorders>
              <w:right w:val="single" w:color="auto" w:sz="6" w:space="0"/>
            </w:tcBorders>
            <w:noWrap w:val="0"/>
            <w:vAlign w:val="center"/>
          </w:tcPr>
          <w:p w14:paraId="65A93F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≤0.30</w:t>
            </w:r>
          </w:p>
        </w:tc>
        <w:tc>
          <w:tcPr>
            <w:tcW w:w="1399" w:type="dxa"/>
            <w:tcBorders>
              <w:left w:val="single" w:color="auto" w:sz="6" w:space="0"/>
              <w:right w:val="single" w:color="auto" w:sz="6" w:space="0"/>
            </w:tcBorders>
            <w:noWrap w:val="0"/>
            <w:vAlign w:val="center"/>
          </w:tcPr>
          <w:p w14:paraId="5D86CC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≤0.30</w:t>
            </w:r>
          </w:p>
        </w:tc>
        <w:tc>
          <w:tcPr>
            <w:tcW w:w="1163" w:type="dxa"/>
            <w:tcBorders>
              <w:left w:val="single" w:color="auto" w:sz="6" w:space="0"/>
              <w:right w:val="single" w:color="auto" w:sz="6" w:space="0"/>
            </w:tcBorders>
            <w:noWrap w:val="0"/>
            <w:vAlign w:val="center"/>
          </w:tcPr>
          <w:p w14:paraId="75B9C2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≤0.30</w:t>
            </w:r>
          </w:p>
        </w:tc>
        <w:tc>
          <w:tcPr>
            <w:tcW w:w="1398" w:type="dxa"/>
            <w:tcBorders>
              <w:left w:val="single" w:color="auto" w:sz="6" w:space="0"/>
              <w:right w:val="single" w:color="auto" w:sz="6" w:space="0"/>
            </w:tcBorders>
            <w:noWrap w:val="0"/>
            <w:vAlign w:val="center"/>
          </w:tcPr>
          <w:p w14:paraId="344EBC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≤0.30</w:t>
            </w:r>
          </w:p>
        </w:tc>
        <w:tc>
          <w:tcPr>
            <w:tcW w:w="1398" w:type="dxa"/>
            <w:tcBorders>
              <w:left w:val="single" w:color="auto" w:sz="6" w:space="0"/>
              <w:right w:val="single" w:color="auto" w:sz="6" w:space="0"/>
            </w:tcBorders>
            <w:noWrap w:val="0"/>
            <w:vAlign w:val="center"/>
          </w:tcPr>
          <w:p w14:paraId="2B2B1D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≤0.30</w:t>
            </w:r>
          </w:p>
        </w:tc>
      </w:tr>
      <w:tr w14:paraId="5DBD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jc w:val="center"/>
        </w:trPr>
        <w:tc>
          <w:tcPr>
            <w:tcW w:w="1522" w:type="dxa"/>
            <w:tcBorders>
              <w:left w:val="single" w:color="auto" w:sz="8" w:space="0"/>
              <w:bottom w:val="single" w:color="auto" w:sz="8" w:space="0"/>
            </w:tcBorders>
            <w:noWrap w:val="0"/>
            <w:vAlign w:val="center"/>
          </w:tcPr>
          <w:p w14:paraId="1062F24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c>
          <w:tcPr>
            <w:tcW w:w="1411" w:type="dxa"/>
            <w:tcBorders>
              <w:bottom w:val="single" w:color="auto" w:sz="8" w:space="0"/>
            </w:tcBorders>
            <w:noWrap w:val="0"/>
            <w:vAlign w:val="center"/>
          </w:tcPr>
          <w:p w14:paraId="21D75A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165" w:type="dxa"/>
            <w:tcBorders>
              <w:bottom w:val="single" w:color="auto" w:sz="8" w:space="0"/>
              <w:right w:val="single" w:color="auto" w:sz="6" w:space="0"/>
            </w:tcBorders>
            <w:noWrap w:val="0"/>
            <w:vAlign w:val="center"/>
          </w:tcPr>
          <w:p w14:paraId="6C4072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399" w:type="dxa"/>
            <w:tcBorders>
              <w:left w:val="single" w:color="auto" w:sz="6" w:space="0"/>
              <w:bottom w:val="single" w:color="auto" w:sz="8" w:space="0"/>
              <w:right w:val="single" w:color="auto" w:sz="6" w:space="0"/>
            </w:tcBorders>
            <w:noWrap w:val="0"/>
            <w:vAlign w:val="center"/>
          </w:tcPr>
          <w:p w14:paraId="53E8D1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163" w:type="dxa"/>
            <w:tcBorders>
              <w:left w:val="single" w:color="auto" w:sz="6" w:space="0"/>
              <w:bottom w:val="single" w:color="auto" w:sz="8" w:space="0"/>
              <w:right w:val="single" w:color="auto" w:sz="6" w:space="0"/>
            </w:tcBorders>
            <w:noWrap w:val="0"/>
            <w:vAlign w:val="center"/>
          </w:tcPr>
          <w:p w14:paraId="5D6DE1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398" w:type="dxa"/>
            <w:tcBorders>
              <w:left w:val="single" w:color="auto" w:sz="6" w:space="0"/>
              <w:bottom w:val="single" w:color="auto" w:sz="8" w:space="0"/>
              <w:right w:val="single" w:color="auto" w:sz="6" w:space="0"/>
            </w:tcBorders>
            <w:noWrap w:val="0"/>
            <w:vAlign w:val="center"/>
          </w:tcPr>
          <w:p w14:paraId="15C7A5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398" w:type="dxa"/>
            <w:tcBorders>
              <w:left w:val="single" w:color="auto" w:sz="6" w:space="0"/>
              <w:bottom w:val="single" w:color="auto" w:sz="8" w:space="0"/>
              <w:right w:val="single" w:color="auto" w:sz="6" w:space="0"/>
            </w:tcBorders>
            <w:noWrap w:val="0"/>
            <w:vAlign w:val="center"/>
          </w:tcPr>
          <w:p w14:paraId="47103C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50C244BB">
      <w:pPr>
        <w:tabs>
          <w:tab w:val="left" w:pos="1800"/>
        </w:tabs>
        <w:spacing w:before="240" w:line="360" w:lineRule="auto"/>
        <w:ind w:firstLine="422" w:firstLineChars="200"/>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各监测点监测值均满足《环境空气质量标准》(GB3095-2012)二级标准。</w:t>
      </w:r>
    </w:p>
    <w:p w14:paraId="480C454C">
      <w:pPr>
        <w:spacing w:line="340" w:lineRule="exact"/>
        <w:jc w:val="center"/>
        <w:rPr>
          <w:rFonts w:hint="default" w:ascii="Times New Roman" w:hAnsi="Times New Roman" w:eastAsia="宋体" w:cs="Times New Roman"/>
          <w:b/>
          <w:color w:val="auto"/>
          <w:sz w:val="24"/>
        </w:rPr>
      </w:pPr>
    </w:p>
    <w:p w14:paraId="7209685B">
      <w:pPr>
        <w:spacing w:line="340" w:lineRule="exact"/>
        <w:jc w:val="center"/>
        <w:rPr>
          <w:rFonts w:hint="default" w:ascii="Times New Roman" w:hAnsi="Times New Roman" w:eastAsia="宋体" w:cs="Times New Roman"/>
          <w:b/>
          <w:color w:val="auto"/>
          <w:sz w:val="24"/>
        </w:rPr>
      </w:pPr>
    </w:p>
    <w:p w14:paraId="295D6763">
      <w:pPr>
        <w:spacing w:line="340" w:lineRule="exact"/>
        <w:jc w:val="center"/>
        <w:rPr>
          <w:rFonts w:hint="default" w:ascii="Times New Roman" w:hAnsi="Times New Roman" w:eastAsia="宋体" w:cs="Times New Roman"/>
          <w:b/>
          <w:color w:val="auto"/>
          <w:sz w:val="24"/>
        </w:rPr>
      </w:pPr>
    </w:p>
    <w:p w14:paraId="4F047925">
      <w:pPr>
        <w:spacing w:line="340" w:lineRule="exact"/>
        <w:jc w:val="center"/>
        <w:rPr>
          <w:rFonts w:hint="default" w:ascii="Times New Roman" w:hAnsi="Times New Roman" w:eastAsia="宋体" w:cs="Times New Roman"/>
          <w:b/>
          <w:color w:val="auto"/>
          <w:sz w:val="24"/>
        </w:rPr>
      </w:pPr>
    </w:p>
    <w:p w14:paraId="410DB6EB">
      <w:pPr>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 w:val="24"/>
        </w:rPr>
        <w:t>表4.3-</w:t>
      </w:r>
      <w:r>
        <w:rPr>
          <w:rFonts w:hint="eastAsia" w:ascii="Times New Roman" w:hAnsi="Times New Roman" w:cs="Times New Roman"/>
          <w:b/>
          <w:color w:val="auto"/>
          <w:sz w:val="24"/>
          <w:lang w:val="en-US" w:eastAsia="zh-CN"/>
        </w:rPr>
        <w:t>3</w:t>
      </w:r>
      <w:r>
        <w:rPr>
          <w:rFonts w:hint="default" w:ascii="Times New Roman" w:hAnsi="Times New Roman" w:eastAsia="宋体" w:cs="Times New Roman"/>
          <w:b/>
          <w:color w:val="auto"/>
          <w:sz w:val="24"/>
        </w:rPr>
        <w:t xml:space="preserve">    非甲烷总烃小时浓度检测结果  </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Cs w:val="21"/>
        </w:rPr>
        <w:t xml:space="preserve"> 单位：mg/m</w:t>
      </w:r>
      <w:r>
        <w:rPr>
          <w:rFonts w:hint="default" w:ascii="Times New Roman" w:hAnsi="Times New Roman" w:eastAsia="宋体" w:cs="Times New Roman"/>
          <w:color w:val="auto"/>
          <w:szCs w:val="21"/>
          <w:vertAlign w:val="superscript"/>
        </w:rPr>
        <w:t>3</w:t>
      </w:r>
    </w:p>
    <w:tbl>
      <w:tblPr>
        <w:tblStyle w:val="66"/>
        <w:tblpPr w:leftFromText="180" w:rightFromText="180" w:vertAnchor="text" w:horzAnchor="margin" w:tblpXSpec="center" w:tblpY="52"/>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2224"/>
        <w:gridCol w:w="1747"/>
        <w:gridCol w:w="1749"/>
        <w:gridCol w:w="1746"/>
      </w:tblGrid>
      <w:tr w14:paraId="00B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14" w:type="dxa"/>
            <w:gridSpan w:val="2"/>
            <w:tcBorders>
              <w:top w:val="single" w:color="auto" w:sz="8" w:space="0"/>
              <w:left w:val="single" w:color="auto" w:sz="8" w:space="0"/>
              <w:tl2br w:val="single" w:color="auto" w:sz="4" w:space="0"/>
            </w:tcBorders>
            <w:shd w:val="clear" w:color="auto" w:fill="auto"/>
            <w:noWrap w:val="0"/>
            <w:vAlign w:val="top"/>
          </w:tcPr>
          <w:p w14:paraId="5FF5509B">
            <w:pPr>
              <w:ind w:firstLine="105" w:firstLineChars="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地 点</w:t>
            </w:r>
          </w:p>
          <w:p w14:paraId="706792A4">
            <w:pPr>
              <w:ind w:firstLine="1054" w:firstLineChars="5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日期/时段</w:t>
            </w:r>
          </w:p>
        </w:tc>
        <w:tc>
          <w:tcPr>
            <w:tcW w:w="1747" w:type="dxa"/>
            <w:tcBorders>
              <w:top w:val="single" w:color="auto" w:sz="8" w:space="0"/>
            </w:tcBorders>
            <w:shd w:val="clear" w:color="auto" w:fill="auto"/>
            <w:noWrap w:val="0"/>
            <w:vAlign w:val="center"/>
          </w:tcPr>
          <w:p w14:paraId="5523AE3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弄转村</w:t>
            </w:r>
          </w:p>
        </w:tc>
        <w:tc>
          <w:tcPr>
            <w:tcW w:w="1749" w:type="dxa"/>
            <w:tcBorders>
              <w:top w:val="single" w:color="auto" w:sz="8" w:space="0"/>
              <w:right w:val="single" w:color="auto" w:sz="6" w:space="0"/>
            </w:tcBorders>
            <w:shd w:val="clear" w:color="auto" w:fill="auto"/>
            <w:noWrap w:val="0"/>
            <w:vAlign w:val="center"/>
          </w:tcPr>
          <w:p w14:paraId="1371544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帕底村</w:t>
            </w:r>
          </w:p>
        </w:tc>
        <w:tc>
          <w:tcPr>
            <w:tcW w:w="1746" w:type="dxa"/>
            <w:tcBorders>
              <w:top w:val="single" w:color="auto" w:sz="8" w:space="0"/>
              <w:right w:val="single" w:color="auto" w:sz="6" w:space="0"/>
            </w:tcBorders>
            <w:shd w:val="clear" w:color="auto" w:fill="auto"/>
            <w:noWrap w:val="0"/>
            <w:vAlign w:val="center"/>
          </w:tcPr>
          <w:p w14:paraId="6AA9F46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帕底分场</w:t>
            </w:r>
          </w:p>
          <w:p w14:paraId="217FEA0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八队</w:t>
            </w:r>
          </w:p>
        </w:tc>
      </w:tr>
      <w:tr w14:paraId="5D6F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top w:val="single" w:color="auto" w:sz="4" w:space="0"/>
              <w:left w:val="single" w:color="auto" w:sz="8" w:space="0"/>
              <w:right w:val="single" w:color="auto" w:sz="4" w:space="0"/>
            </w:tcBorders>
            <w:shd w:val="clear" w:color="auto" w:fill="auto"/>
            <w:noWrap w:val="0"/>
            <w:vAlign w:val="center"/>
          </w:tcPr>
          <w:p w14:paraId="67865F69">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2016.06.21</w:t>
            </w:r>
          </w:p>
        </w:tc>
        <w:tc>
          <w:tcPr>
            <w:tcW w:w="2224" w:type="dxa"/>
            <w:tcBorders>
              <w:top w:val="single" w:color="auto" w:sz="4" w:space="0"/>
              <w:left w:val="single" w:color="auto" w:sz="4" w:space="0"/>
            </w:tcBorders>
            <w:shd w:val="clear" w:color="auto" w:fill="auto"/>
            <w:noWrap w:val="0"/>
            <w:vAlign w:val="top"/>
          </w:tcPr>
          <w:p w14:paraId="36DC998B">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02:00～03:00</w:t>
            </w:r>
          </w:p>
        </w:tc>
        <w:tc>
          <w:tcPr>
            <w:tcW w:w="1747" w:type="dxa"/>
            <w:tcBorders>
              <w:top w:val="single" w:color="auto" w:sz="4" w:space="0"/>
            </w:tcBorders>
            <w:shd w:val="clear" w:color="auto" w:fill="auto"/>
            <w:noWrap w:val="0"/>
            <w:vAlign w:val="top"/>
          </w:tcPr>
          <w:p w14:paraId="61BF79C6">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0.24</w:t>
            </w:r>
          </w:p>
        </w:tc>
        <w:tc>
          <w:tcPr>
            <w:tcW w:w="1749" w:type="dxa"/>
            <w:tcBorders>
              <w:top w:val="single" w:color="auto" w:sz="4" w:space="0"/>
            </w:tcBorders>
            <w:shd w:val="clear" w:color="auto" w:fill="auto"/>
            <w:noWrap w:val="0"/>
            <w:vAlign w:val="top"/>
          </w:tcPr>
          <w:p w14:paraId="1A8F8B49">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0.22</w:t>
            </w:r>
          </w:p>
        </w:tc>
        <w:tc>
          <w:tcPr>
            <w:tcW w:w="1746" w:type="dxa"/>
            <w:tcBorders>
              <w:top w:val="single" w:color="auto" w:sz="4" w:space="0"/>
              <w:right w:val="single" w:color="auto" w:sz="6" w:space="0"/>
            </w:tcBorders>
            <w:shd w:val="clear" w:color="auto" w:fill="auto"/>
            <w:noWrap w:val="0"/>
            <w:vAlign w:val="top"/>
          </w:tcPr>
          <w:p w14:paraId="12E2E4F9">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r>
      <w:tr w14:paraId="3975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135B2746">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7ADA2F1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08:00～09:00</w:t>
            </w:r>
          </w:p>
        </w:tc>
        <w:tc>
          <w:tcPr>
            <w:tcW w:w="1747" w:type="dxa"/>
            <w:shd w:val="clear" w:color="auto" w:fill="auto"/>
            <w:noWrap w:val="0"/>
            <w:vAlign w:val="top"/>
          </w:tcPr>
          <w:p w14:paraId="0CE8C4AE">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0.32</w:t>
            </w:r>
          </w:p>
        </w:tc>
        <w:tc>
          <w:tcPr>
            <w:tcW w:w="1749" w:type="dxa"/>
            <w:shd w:val="clear" w:color="auto" w:fill="auto"/>
            <w:noWrap w:val="0"/>
            <w:vAlign w:val="top"/>
          </w:tcPr>
          <w:p w14:paraId="4687321F">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c>
          <w:tcPr>
            <w:tcW w:w="1746" w:type="dxa"/>
            <w:shd w:val="clear" w:color="auto" w:fill="auto"/>
            <w:noWrap w:val="0"/>
            <w:vAlign w:val="top"/>
          </w:tcPr>
          <w:p w14:paraId="211B3B7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0.34</w:t>
            </w:r>
          </w:p>
        </w:tc>
      </w:tr>
      <w:tr w14:paraId="2DF0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632DCC6C">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4F7DA37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14:00～15:00</w:t>
            </w:r>
          </w:p>
        </w:tc>
        <w:tc>
          <w:tcPr>
            <w:tcW w:w="1747" w:type="dxa"/>
            <w:shd w:val="clear" w:color="auto" w:fill="auto"/>
            <w:noWrap w:val="0"/>
            <w:vAlign w:val="top"/>
          </w:tcPr>
          <w:p w14:paraId="7A48EED2">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0.35</w:t>
            </w:r>
          </w:p>
        </w:tc>
        <w:tc>
          <w:tcPr>
            <w:tcW w:w="1749" w:type="dxa"/>
            <w:shd w:val="clear" w:color="auto" w:fill="auto"/>
            <w:noWrap w:val="0"/>
            <w:vAlign w:val="top"/>
          </w:tcPr>
          <w:p w14:paraId="7BD4033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c>
          <w:tcPr>
            <w:tcW w:w="1746" w:type="dxa"/>
            <w:shd w:val="clear" w:color="auto" w:fill="auto"/>
            <w:noWrap w:val="0"/>
            <w:vAlign w:val="top"/>
          </w:tcPr>
          <w:p w14:paraId="0255CF5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0.39</w:t>
            </w:r>
          </w:p>
        </w:tc>
      </w:tr>
      <w:tr w14:paraId="17DE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6DB76B8">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30D8394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20:00～21:00</w:t>
            </w:r>
          </w:p>
        </w:tc>
        <w:tc>
          <w:tcPr>
            <w:tcW w:w="1747" w:type="dxa"/>
            <w:shd w:val="clear" w:color="auto" w:fill="auto"/>
            <w:noWrap w:val="0"/>
            <w:vAlign w:val="top"/>
          </w:tcPr>
          <w:p w14:paraId="053FA04D">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0.30</w:t>
            </w:r>
          </w:p>
        </w:tc>
        <w:tc>
          <w:tcPr>
            <w:tcW w:w="1749" w:type="dxa"/>
            <w:shd w:val="clear" w:color="auto" w:fill="auto"/>
            <w:noWrap w:val="0"/>
            <w:vAlign w:val="top"/>
          </w:tcPr>
          <w:p w14:paraId="17F74F20">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0.26</w:t>
            </w:r>
          </w:p>
        </w:tc>
        <w:tc>
          <w:tcPr>
            <w:tcW w:w="1746" w:type="dxa"/>
            <w:shd w:val="clear" w:color="auto" w:fill="auto"/>
            <w:noWrap w:val="0"/>
            <w:vAlign w:val="top"/>
          </w:tcPr>
          <w:p w14:paraId="579AFE6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0.30</w:t>
            </w:r>
          </w:p>
        </w:tc>
      </w:tr>
      <w:tr w14:paraId="1AD6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left w:val="single" w:color="auto" w:sz="8" w:space="0"/>
              <w:right w:val="single" w:color="auto" w:sz="4" w:space="0"/>
            </w:tcBorders>
            <w:shd w:val="clear" w:color="auto" w:fill="auto"/>
            <w:noWrap w:val="0"/>
            <w:vAlign w:val="center"/>
          </w:tcPr>
          <w:p w14:paraId="6DAFCD77">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2016.06.22</w:t>
            </w:r>
          </w:p>
        </w:tc>
        <w:tc>
          <w:tcPr>
            <w:tcW w:w="2224" w:type="dxa"/>
            <w:tcBorders>
              <w:left w:val="single" w:color="auto" w:sz="4" w:space="0"/>
            </w:tcBorders>
            <w:shd w:val="clear" w:color="auto" w:fill="auto"/>
            <w:noWrap w:val="0"/>
            <w:vAlign w:val="top"/>
          </w:tcPr>
          <w:p w14:paraId="7D4A3FB1">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02:00～03:00</w:t>
            </w:r>
          </w:p>
        </w:tc>
        <w:tc>
          <w:tcPr>
            <w:tcW w:w="1747" w:type="dxa"/>
            <w:shd w:val="clear" w:color="auto" w:fill="auto"/>
            <w:noWrap w:val="0"/>
            <w:vAlign w:val="top"/>
          </w:tcPr>
          <w:p w14:paraId="66EBABEB">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c>
          <w:tcPr>
            <w:tcW w:w="1749" w:type="dxa"/>
            <w:shd w:val="clear" w:color="auto" w:fill="auto"/>
            <w:noWrap w:val="0"/>
            <w:vAlign w:val="top"/>
          </w:tcPr>
          <w:p w14:paraId="0FBC699F">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0.23</w:t>
            </w:r>
          </w:p>
        </w:tc>
        <w:tc>
          <w:tcPr>
            <w:tcW w:w="1746" w:type="dxa"/>
            <w:shd w:val="clear" w:color="auto" w:fill="auto"/>
            <w:noWrap w:val="0"/>
            <w:vAlign w:val="top"/>
          </w:tcPr>
          <w:p w14:paraId="3D70FE29">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0.24</w:t>
            </w:r>
          </w:p>
        </w:tc>
      </w:tr>
      <w:tr w14:paraId="00D3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6099C1B5">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45F80D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08:00～09:00</w:t>
            </w:r>
          </w:p>
        </w:tc>
        <w:tc>
          <w:tcPr>
            <w:tcW w:w="1747" w:type="dxa"/>
            <w:shd w:val="clear" w:color="auto" w:fill="auto"/>
            <w:noWrap w:val="0"/>
            <w:vAlign w:val="top"/>
          </w:tcPr>
          <w:p w14:paraId="26C188F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0.33</w:t>
            </w:r>
          </w:p>
        </w:tc>
        <w:tc>
          <w:tcPr>
            <w:tcW w:w="1749" w:type="dxa"/>
            <w:shd w:val="clear" w:color="auto" w:fill="auto"/>
            <w:noWrap w:val="0"/>
            <w:vAlign w:val="top"/>
          </w:tcPr>
          <w:p w14:paraId="4ECE377E">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0.29</w:t>
            </w:r>
          </w:p>
        </w:tc>
        <w:tc>
          <w:tcPr>
            <w:tcW w:w="1746" w:type="dxa"/>
            <w:shd w:val="clear" w:color="auto" w:fill="auto"/>
            <w:noWrap w:val="0"/>
            <w:vAlign w:val="top"/>
          </w:tcPr>
          <w:p w14:paraId="61130B6F">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0.37</w:t>
            </w:r>
          </w:p>
        </w:tc>
      </w:tr>
      <w:tr w14:paraId="213A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90B7BCB">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3EF204E2">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14:00～15:00</w:t>
            </w:r>
          </w:p>
        </w:tc>
        <w:tc>
          <w:tcPr>
            <w:tcW w:w="1747" w:type="dxa"/>
            <w:shd w:val="clear" w:color="auto" w:fill="auto"/>
            <w:noWrap w:val="0"/>
            <w:vAlign w:val="top"/>
          </w:tcPr>
          <w:p w14:paraId="1C87165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0.30</w:t>
            </w:r>
          </w:p>
        </w:tc>
        <w:tc>
          <w:tcPr>
            <w:tcW w:w="1749" w:type="dxa"/>
            <w:shd w:val="clear" w:color="auto" w:fill="auto"/>
            <w:noWrap w:val="0"/>
            <w:vAlign w:val="top"/>
          </w:tcPr>
          <w:p w14:paraId="470DE59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0.24</w:t>
            </w:r>
          </w:p>
        </w:tc>
        <w:tc>
          <w:tcPr>
            <w:tcW w:w="1746" w:type="dxa"/>
            <w:shd w:val="clear" w:color="auto" w:fill="auto"/>
            <w:noWrap w:val="0"/>
            <w:vAlign w:val="top"/>
          </w:tcPr>
          <w:p w14:paraId="16A547C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0.33</w:t>
            </w:r>
          </w:p>
        </w:tc>
      </w:tr>
      <w:tr w14:paraId="65DB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73B3699D">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77A2678D">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20:00～21:00</w:t>
            </w:r>
          </w:p>
        </w:tc>
        <w:tc>
          <w:tcPr>
            <w:tcW w:w="1747" w:type="dxa"/>
            <w:shd w:val="clear" w:color="auto" w:fill="auto"/>
            <w:noWrap w:val="0"/>
            <w:vAlign w:val="top"/>
          </w:tcPr>
          <w:p w14:paraId="2A27B41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c>
          <w:tcPr>
            <w:tcW w:w="1749" w:type="dxa"/>
            <w:shd w:val="clear" w:color="auto" w:fill="auto"/>
            <w:noWrap w:val="0"/>
            <w:vAlign w:val="top"/>
          </w:tcPr>
          <w:p w14:paraId="71793F6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0.27</w:t>
            </w:r>
          </w:p>
        </w:tc>
        <w:tc>
          <w:tcPr>
            <w:tcW w:w="1746" w:type="dxa"/>
            <w:shd w:val="clear" w:color="auto" w:fill="auto"/>
            <w:noWrap w:val="0"/>
            <w:vAlign w:val="top"/>
          </w:tcPr>
          <w:p w14:paraId="0D4D8A6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0.31</w:t>
            </w:r>
          </w:p>
        </w:tc>
      </w:tr>
      <w:tr w14:paraId="6F8B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top w:val="single" w:color="auto" w:sz="4" w:space="0"/>
              <w:left w:val="single" w:color="auto" w:sz="8" w:space="0"/>
              <w:right w:val="single" w:color="auto" w:sz="4" w:space="0"/>
            </w:tcBorders>
            <w:shd w:val="clear" w:color="auto" w:fill="auto"/>
            <w:noWrap w:val="0"/>
            <w:vAlign w:val="center"/>
          </w:tcPr>
          <w:p w14:paraId="32CC5E69">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2016.06.23</w:t>
            </w:r>
          </w:p>
        </w:tc>
        <w:tc>
          <w:tcPr>
            <w:tcW w:w="2224" w:type="dxa"/>
            <w:tcBorders>
              <w:top w:val="single" w:color="auto" w:sz="4" w:space="0"/>
              <w:left w:val="single" w:color="auto" w:sz="4" w:space="0"/>
            </w:tcBorders>
            <w:shd w:val="clear" w:color="auto" w:fill="auto"/>
            <w:noWrap w:val="0"/>
            <w:vAlign w:val="top"/>
          </w:tcPr>
          <w:p w14:paraId="78A01B8F">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02:00～03:00</w:t>
            </w:r>
          </w:p>
        </w:tc>
        <w:tc>
          <w:tcPr>
            <w:tcW w:w="1747" w:type="dxa"/>
            <w:shd w:val="clear" w:color="auto" w:fill="auto"/>
            <w:noWrap w:val="0"/>
            <w:vAlign w:val="top"/>
          </w:tcPr>
          <w:p w14:paraId="19A3090C">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0.21</w:t>
            </w:r>
          </w:p>
        </w:tc>
        <w:tc>
          <w:tcPr>
            <w:tcW w:w="1749" w:type="dxa"/>
            <w:shd w:val="clear" w:color="auto" w:fill="auto"/>
            <w:noWrap w:val="0"/>
            <w:vAlign w:val="top"/>
          </w:tcPr>
          <w:p w14:paraId="6D69A870">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w:t>
            </w:r>
          </w:p>
        </w:tc>
        <w:tc>
          <w:tcPr>
            <w:tcW w:w="1746" w:type="dxa"/>
            <w:shd w:val="clear" w:color="auto" w:fill="auto"/>
            <w:noWrap w:val="0"/>
            <w:vAlign w:val="top"/>
          </w:tcPr>
          <w:p w14:paraId="60929A3B">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0.23</w:t>
            </w:r>
          </w:p>
        </w:tc>
      </w:tr>
      <w:tr w14:paraId="715A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2197A329">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29624A9F">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08:00～09:00</w:t>
            </w:r>
          </w:p>
        </w:tc>
        <w:tc>
          <w:tcPr>
            <w:tcW w:w="1747" w:type="dxa"/>
            <w:shd w:val="clear" w:color="auto" w:fill="auto"/>
            <w:noWrap w:val="0"/>
            <w:vAlign w:val="top"/>
          </w:tcPr>
          <w:p w14:paraId="277073AD">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c>
          <w:tcPr>
            <w:tcW w:w="1749" w:type="dxa"/>
            <w:shd w:val="clear" w:color="auto" w:fill="auto"/>
            <w:noWrap w:val="0"/>
            <w:vAlign w:val="top"/>
          </w:tcPr>
          <w:p w14:paraId="6A26FF25">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0.23</w:t>
            </w:r>
          </w:p>
        </w:tc>
        <w:tc>
          <w:tcPr>
            <w:tcW w:w="1746" w:type="dxa"/>
            <w:shd w:val="clear" w:color="auto" w:fill="auto"/>
            <w:noWrap w:val="0"/>
            <w:vAlign w:val="top"/>
          </w:tcPr>
          <w:p w14:paraId="735D4C1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0.33</w:t>
            </w:r>
          </w:p>
        </w:tc>
      </w:tr>
      <w:tr w14:paraId="2095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165DBCB7">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75D72272">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14:00～15:00</w:t>
            </w:r>
          </w:p>
        </w:tc>
        <w:tc>
          <w:tcPr>
            <w:tcW w:w="1747" w:type="dxa"/>
            <w:shd w:val="clear" w:color="auto" w:fill="auto"/>
            <w:noWrap w:val="0"/>
            <w:vAlign w:val="top"/>
          </w:tcPr>
          <w:p w14:paraId="5E331668">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c>
          <w:tcPr>
            <w:tcW w:w="1749" w:type="dxa"/>
            <w:shd w:val="clear" w:color="auto" w:fill="auto"/>
            <w:noWrap w:val="0"/>
            <w:vAlign w:val="top"/>
          </w:tcPr>
          <w:p w14:paraId="65BF6375">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0.27</w:t>
            </w:r>
          </w:p>
        </w:tc>
        <w:tc>
          <w:tcPr>
            <w:tcW w:w="1746" w:type="dxa"/>
            <w:shd w:val="clear" w:color="auto" w:fill="auto"/>
            <w:noWrap w:val="0"/>
            <w:vAlign w:val="top"/>
          </w:tcPr>
          <w:p w14:paraId="6E0E71D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0.27</w:t>
            </w:r>
          </w:p>
        </w:tc>
      </w:tr>
      <w:tr w14:paraId="76A6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1CFFAC52">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4F2C77A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20:00～21:00</w:t>
            </w:r>
          </w:p>
        </w:tc>
        <w:tc>
          <w:tcPr>
            <w:tcW w:w="1747" w:type="dxa"/>
            <w:shd w:val="clear" w:color="auto" w:fill="auto"/>
            <w:noWrap w:val="0"/>
            <w:vAlign w:val="top"/>
          </w:tcPr>
          <w:p w14:paraId="4BC2DBF8">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0.32</w:t>
            </w:r>
          </w:p>
        </w:tc>
        <w:tc>
          <w:tcPr>
            <w:tcW w:w="1749" w:type="dxa"/>
            <w:shd w:val="clear" w:color="auto" w:fill="auto"/>
            <w:noWrap w:val="0"/>
            <w:vAlign w:val="top"/>
          </w:tcPr>
          <w:p w14:paraId="594D943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c>
          <w:tcPr>
            <w:tcW w:w="1746" w:type="dxa"/>
            <w:shd w:val="clear" w:color="auto" w:fill="auto"/>
            <w:noWrap w:val="0"/>
            <w:vAlign w:val="top"/>
          </w:tcPr>
          <w:p w14:paraId="39B4FB65">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0.26</w:t>
            </w:r>
          </w:p>
        </w:tc>
      </w:tr>
      <w:tr w14:paraId="63DE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left w:val="single" w:color="auto" w:sz="8" w:space="0"/>
              <w:right w:val="single" w:color="auto" w:sz="4" w:space="0"/>
            </w:tcBorders>
            <w:shd w:val="clear" w:color="auto" w:fill="auto"/>
            <w:noWrap w:val="0"/>
            <w:vAlign w:val="center"/>
          </w:tcPr>
          <w:p w14:paraId="7C003460">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2016.06.24</w:t>
            </w:r>
          </w:p>
        </w:tc>
        <w:tc>
          <w:tcPr>
            <w:tcW w:w="2224" w:type="dxa"/>
            <w:tcBorders>
              <w:left w:val="single" w:color="auto" w:sz="4" w:space="0"/>
            </w:tcBorders>
            <w:shd w:val="clear" w:color="auto" w:fill="auto"/>
            <w:noWrap w:val="0"/>
            <w:vAlign w:val="top"/>
          </w:tcPr>
          <w:p w14:paraId="3ED9BA5D">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02:00～03:00</w:t>
            </w:r>
          </w:p>
        </w:tc>
        <w:tc>
          <w:tcPr>
            <w:tcW w:w="1747" w:type="dxa"/>
            <w:shd w:val="clear" w:color="auto" w:fill="auto"/>
            <w:noWrap w:val="0"/>
            <w:vAlign w:val="top"/>
          </w:tcPr>
          <w:p w14:paraId="01F134D6">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0.24</w:t>
            </w:r>
          </w:p>
        </w:tc>
        <w:tc>
          <w:tcPr>
            <w:tcW w:w="1749" w:type="dxa"/>
            <w:shd w:val="clear" w:color="auto" w:fill="auto"/>
            <w:noWrap w:val="0"/>
            <w:vAlign w:val="top"/>
          </w:tcPr>
          <w:p w14:paraId="2CF9D316">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0.21</w:t>
            </w:r>
          </w:p>
        </w:tc>
        <w:tc>
          <w:tcPr>
            <w:tcW w:w="1746" w:type="dxa"/>
            <w:shd w:val="clear" w:color="auto" w:fill="auto"/>
            <w:noWrap w:val="0"/>
            <w:vAlign w:val="top"/>
          </w:tcPr>
          <w:p w14:paraId="41797FED">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0.22</w:t>
            </w:r>
          </w:p>
        </w:tc>
      </w:tr>
      <w:tr w14:paraId="7F91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274B0770">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40D62841">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08:00～09:00</w:t>
            </w:r>
          </w:p>
        </w:tc>
        <w:tc>
          <w:tcPr>
            <w:tcW w:w="1747" w:type="dxa"/>
            <w:shd w:val="clear" w:color="auto" w:fill="auto"/>
            <w:noWrap w:val="0"/>
            <w:vAlign w:val="top"/>
          </w:tcPr>
          <w:p w14:paraId="262D2AA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0.30</w:t>
            </w:r>
          </w:p>
        </w:tc>
        <w:tc>
          <w:tcPr>
            <w:tcW w:w="1749" w:type="dxa"/>
            <w:shd w:val="clear" w:color="auto" w:fill="auto"/>
            <w:noWrap w:val="0"/>
            <w:vAlign w:val="top"/>
          </w:tcPr>
          <w:p w14:paraId="21D79C70">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c>
          <w:tcPr>
            <w:tcW w:w="1746" w:type="dxa"/>
            <w:shd w:val="clear" w:color="auto" w:fill="auto"/>
            <w:noWrap w:val="0"/>
            <w:vAlign w:val="top"/>
          </w:tcPr>
          <w:p w14:paraId="16E6394F">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0.30</w:t>
            </w:r>
          </w:p>
        </w:tc>
      </w:tr>
      <w:tr w14:paraId="5F6CF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0987045">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167F73A0">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14:00～15:00</w:t>
            </w:r>
          </w:p>
        </w:tc>
        <w:tc>
          <w:tcPr>
            <w:tcW w:w="1747" w:type="dxa"/>
            <w:shd w:val="clear" w:color="auto" w:fill="auto"/>
            <w:noWrap w:val="0"/>
            <w:vAlign w:val="top"/>
          </w:tcPr>
          <w:p w14:paraId="17E0464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0.27</w:t>
            </w:r>
          </w:p>
        </w:tc>
        <w:tc>
          <w:tcPr>
            <w:tcW w:w="1749" w:type="dxa"/>
            <w:shd w:val="clear" w:color="auto" w:fill="auto"/>
            <w:noWrap w:val="0"/>
            <w:vAlign w:val="top"/>
          </w:tcPr>
          <w:p w14:paraId="56F7ADDD">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0.26</w:t>
            </w:r>
          </w:p>
        </w:tc>
        <w:tc>
          <w:tcPr>
            <w:tcW w:w="1746" w:type="dxa"/>
            <w:shd w:val="clear" w:color="auto" w:fill="auto"/>
            <w:noWrap w:val="0"/>
            <w:vAlign w:val="top"/>
          </w:tcPr>
          <w:p w14:paraId="4F4BCB35">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0.33</w:t>
            </w:r>
          </w:p>
        </w:tc>
      </w:tr>
      <w:tr w14:paraId="1E49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261490F5">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31E727AE">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20:00～21:00</w:t>
            </w:r>
          </w:p>
        </w:tc>
        <w:tc>
          <w:tcPr>
            <w:tcW w:w="1747" w:type="dxa"/>
            <w:shd w:val="clear" w:color="auto" w:fill="auto"/>
            <w:noWrap w:val="0"/>
            <w:vAlign w:val="top"/>
          </w:tcPr>
          <w:p w14:paraId="761ABA98">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0.29</w:t>
            </w:r>
          </w:p>
        </w:tc>
        <w:tc>
          <w:tcPr>
            <w:tcW w:w="1749" w:type="dxa"/>
            <w:shd w:val="clear" w:color="auto" w:fill="auto"/>
            <w:noWrap w:val="0"/>
            <w:vAlign w:val="top"/>
          </w:tcPr>
          <w:p w14:paraId="143F52F1">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0.22</w:t>
            </w:r>
          </w:p>
        </w:tc>
        <w:tc>
          <w:tcPr>
            <w:tcW w:w="1746" w:type="dxa"/>
            <w:shd w:val="clear" w:color="auto" w:fill="auto"/>
            <w:noWrap w:val="0"/>
            <w:vAlign w:val="top"/>
          </w:tcPr>
          <w:p w14:paraId="7418E74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r>
      <w:tr w14:paraId="065C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top w:val="single" w:color="auto" w:sz="4" w:space="0"/>
              <w:left w:val="single" w:color="auto" w:sz="8" w:space="0"/>
              <w:right w:val="single" w:color="auto" w:sz="4" w:space="0"/>
            </w:tcBorders>
            <w:shd w:val="clear" w:color="auto" w:fill="auto"/>
            <w:noWrap w:val="0"/>
            <w:vAlign w:val="center"/>
          </w:tcPr>
          <w:p w14:paraId="56F85710">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2016.06.25</w:t>
            </w:r>
          </w:p>
        </w:tc>
        <w:tc>
          <w:tcPr>
            <w:tcW w:w="2224" w:type="dxa"/>
            <w:tcBorders>
              <w:top w:val="single" w:color="auto" w:sz="4" w:space="0"/>
              <w:left w:val="single" w:color="auto" w:sz="4" w:space="0"/>
            </w:tcBorders>
            <w:shd w:val="clear" w:color="auto" w:fill="auto"/>
            <w:noWrap w:val="0"/>
            <w:vAlign w:val="top"/>
          </w:tcPr>
          <w:p w14:paraId="587ACB79">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02:00～03:00</w:t>
            </w:r>
          </w:p>
        </w:tc>
        <w:tc>
          <w:tcPr>
            <w:tcW w:w="1747" w:type="dxa"/>
            <w:shd w:val="clear" w:color="auto" w:fill="auto"/>
            <w:noWrap w:val="0"/>
            <w:vAlign w:val="top"/>
          </w:tcPr>
          <w:p w14:paraId="2727795E">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0.19</w:t>
            </w:r>
          </w:p>
        </w:tc>
        <w:tc>
          <w:tcPr>
            <w:tcW w:w="1749" w:type="dxa"/>
            <w:shd w:val="clear" w:color="auto" w:fill="auto"/>
            <w:noWrap w:val="0"/>
            <w:vAlign w:val="top"/>
          </w:tcPr>
          <w:p w14:paraId="58A2CE95">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0.21</w:t>
            </w:r>
          </w:p>
        </w:tc>
        <w:tc>
          <w:tcPr>
            <w:tcW w:w="1746" w:type="dxa"/>
            <w:shd w:val="clear" w:color="auto" w:fill="auto"/>
            <w:noWrap w:val="0"/>
            <w:vAlign w:val="top"/>
          </w:tcPr>
          <w:p w14:paraId="3FE12AA0">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0.23</w:t>
            </w:r>
          </w:p>
        </w:tc>
      </w:tr>
      <w:tr w14:paraId="7013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6A476C91">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15EBDBC7">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08:00～09:00</w:t>
            </w:r>
          </w:p>
        </w:tc>
        <w:tc>
          <w:tcPr>
            <w:tcW w:w="1747" w:type="dxa"/>
            <w:shd w:val="clear" w:color="auto" w:fill="auto"/>
            <w:noWrap w:val="0"/>
            <w:vAlign w:val="top"/>
          </w:tcPr>
          <w:p w14:paraId="1FD34CF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c>
          <w:tcPr>
            <w:tcW w:w="1749" w:type="dxa"/>
            <w:shd w:val="clear" w:color="auto" w:fill="auto"/>
            <w:noWrap w:val="0"/>
            <w:vAlign w:val="top"/>
          </w:tcPr>
          <w:p w14:paraId="64E25AA7">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c>
          <w:tcPr>
            <w:tcW w:w="1746" w:type="dxa"/>
            <w:shd w:val="clear" w:color="auto" w:fill="auto"/>
            <w:noWrap w:val="0"/>
            <w:vAlign w:val="top"/>
          </w:tcPr>
          <w:p w14:paraId="138ED93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0.30</w:t>
            </w:r>
          </w:p>
        </w:tc>
      </w:tr>
      <w:tr w14:paraId="7882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27CDBCB7">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2D90C571">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14:00～15:00</w:t>
            </w:r>
          </w:p>
        </w:tc>
        <w:tc>
          <w:tcPr>
            <w:tcW w:w="1747" w:type="dxa"/>
            <w:shd w:val="clear" w:color="auto" w:fill="auto"/>
            <w:noWrap w:val="0"/>
            <w:vAlign w:val="top"/>
          </w:tcPr>
          <w:p w14:paraId="39BF52B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0.33</w:t>
            </w:r>
          </w:p>
        </w:tc>
        <w:tc>
          <w:tcPr>
            <w:tcW w:w="1749" w:type="dxa"/>
            <w:shd w:val="clear" w:color="auto" w:fill="auto"/>
            <w:noWrap w:val="0"/>
            <w:vAlign w:val="top"/>
          </w:tcPr>
          <w:p w14:paraId="6F261CE7">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0.23</w:t>
            </w:r>
          </w:p>
        </w:tc>
        <w:tc>
          <w:tcPr>
            <w:tcW w:w="1746" w:type="dxa"/>
            <w:shd w:val="clear" w:color="auto" w:fill="auto"/>
            <w:noWrap w:val="0"/>
            <w:vAlign w:val="top"/>
          </w:tcPr>
          <w:p w14:paraId="4568AA9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0.22</w:t>
            </w:r>
          </w:p>
        </w:tc>
      </w:tr>
      <w:tr w14:paraId="4194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7D44012F">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79147C0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20:00～21:00</w:t>
            </w:r>
          </w:p>
        </w:tc>
        <w:tc>
          <w:tcPr>
            <w:tcW w:w="1747" w:type="dxa"/>
            <w:shd w:val="clear" w:color="auto" w:fill="auto"/>
            <w:noWrap w:val="0"/>
            <w:vAlign w:val="top"/>
          </w:tcPr>
          <w:p w14:paraId="4D682B4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0.29</w:t>
            </w:r>
          </w:p>
        </w:tc>
        <w:tc>
          <w:tcPr>
            <w:tcW w:w="1749" w:type="dxa"/>
            <w:shd w:val="clear" w:color="auto" w:fill="auto"/>
            <w:noWrap w:val="0"/>
            <w:vAlign w:val="top"/>
          </w:tcPr>
          <w:p w14:paraId="767ABCF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0.24</w:t>
            </w:r>
          </w:p>
        </w:tc>
        <w:tc>
          <w:tcPr>
            <w:tcW w:w="1746" w:type="dxa"/>
            <w:shd w:val="clear" w:color="auto" w:fill="auto"/>
            <w:noWrap w:val="0"/>
            <w:vAlign w:val="top"/>
          </w:tcPr>
          <w:p w14:paraId="34F595F0">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r>
      <w:tr w14:paraId="4B8D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left w:val="single" w:color="auto" w:sz="8" w:space="0"/>
              <w:right w:val="single" w:color="auto" w:sz="4" w:space="0"/>
            </w:tcBorders>
            <w:shd w:val="clear" w:color="auto" w:fill="auto"/>
            <w:noWrap w:val="0"/>
            <w:vAlign w:val="center"/>
          </w:tcPr>
          <w:p w14:paraId="6AC2F457">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2016.06.26</w:t>
            </w:r>
          </w:p>
        </w:tc>
        <w:tc>
          <w:tcPr>
            <w:tcW w:w="2224" w:type="dxa"/>
            <w:tcBorders>
              <w:left w:val="single" w:color="auto" w:sz="4" w:space="0"/>
            </w:tcBorders>
            <w:shd w:val="clear" w:color="auto" w:fill="auto"/>
            <w:noWrap w:val="0"/>
            <w:vAlign w:val="top"/>
          </w:tcPr>
          <w:p w14:paraId="0D60F191">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02:00～03:00</w:t>
            </w:r>
          </w:p>
        </w:tc>
        <w:tc>
          <w:tcPr>
            <w:tcW w:w="1747" w:type="dxa"/>
            <w:shd w:val="clear" w:color="auto" w:fill="auto"/>
            <w:noWrap w:val="0"/>
            <w:vAlign w:val="top"/>
          </w:tcPr>
          <w:p w14:paraId="04200515">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0.22</w:t>
            </w:r>
          </w:p>
        </w:tc>
        <w:tc>
          <w:tcPr>
            <w:tcW w:w="1749" w:type="dxa"/>
            <w:shd w:val="clear" w:color="auto" w:fill="auto"/>
            <w:noWrap w:val="0"/>
            <w:vAlign w:val="top"/>
          </w:tcPr>
          <w:p w14:paraId="490BA093">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0.18</w:t>
            </w:r>
          </w:p>
        </w:tc>
        <w:tc>
          <w:tcPr>
            <w:tcW w:w="1746" w:type="dxa"/>
            <w:shd w:val="clear" w:color="auto" w:fill="auto"/>
            <w:noWrap w:val="0"/>
            <w:vAlign w:val="top"/>
          </w:tcPr>
          <w:p w14:paraId="3ADA462B">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0.21</w:t>
            </w:r>
          </w:p>
        </w:tc>
      </w:tr>
      <w:tr w14:paraId="52A5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0295735">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7FD8F7A2">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08:00～09:00</w:t>
            </w:r>
          </w:p>
        </w:tc>
        <w:tc>
          <w:tcPr>
            <w:tcW w:w="1747" w:type="dxa"/>
            <w:shd w:val="clear" w:color="auto" w:fill="auto"/>
            <w:noWrap w:val="0"/>
            <w:vAlign w:val="top"/>
          </w:tcPr>
          <w:p w14:paraId="7765764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0.27</w:t>
            </w:r>
          </w:p>
        </w:tc>
        <w:tc>
          <w:tcPr>
            <w:tcW w:w="1749" w:type="dxa"/>
            <w:shd w:val="clear" w:color="auto" w:fill="auto"/>
            <w:noWrap w:val="0"/>
            <w:vAlign w:val="top"/>
          </w:tcPr>
          <w:p w14:paraId="681F1A9C">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0.24</w:t>
            </w:r>
          </w:p>
        </w:tc>
        <w:tc>
          <w:tcPr>
            <w:tcW w:w="1746" w:type="dxa"/>
            <w:shd w:val="clear" w:color="auto" w:fill="auto"/>
            <w:noWrap w:val="0"/>
            <w:vAlign w:val="top"/>
          </w:tcPr>
          <w:p w14:paraId="05DC123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r>
      <w:tr w14:paraId="42EA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A536FE2">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2878BCF0">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14:00～15:00</w:t>
            </w:r>
          </w:p>
        </w:tc>
        <w:tc>
          <w:tcPr>
            <w:tcW w:w="1747" w:type="dxa"/>
            <w:shd w:val="clear" w:color="auto" w:fill="auto"/>
            <w:noWrap w:val="0"/>
            <w:vAlign w:val="top"/>
          </w:tcPr>
          <w:p w14:paraId="51265891">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0.26</w:t>
            </w:r>
          </w:p>
        </w:tc>
        <w:tc>
          <w:tcPr>
            <w:tcW w:w="1749" w:type="dxa"/>
            <w:shd w:val="clear" w:color="auto" w:fill="auto"/>
            <w:noWrap w:val="0"/>
            <w:vAlign w:val="top"/>
          </w:tcPr>
          <w:p w14:paraId="264158C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0.22</w:t>
            </w:r>
          </w:p>
        </w:tc>
        <w:tc>
          <w:tcPr>
            <w:tcW w:w="1746" w:type="dxa"/>
            <w:shd w:val="clear" w:color="auto" w:fill="auto"/>
            <w:noWrap w:val="0"/>
            <w:vAlign w:val="top"/>
          </w:tcPr>
          <w:p w14:paraId="6A9F620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0.30</w:t>
            </w:r>
          </w:p>
        </w:tc>
      </w:tr>
      <w:tr w14:paraId="3ED5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2493024D">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1ED8AD8D">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20:00～21:00</w:t>
            </w:r>
          </w:p>
        </w:tc>
        <w:tc>
          <w:tcPr>
            <w:tcW w:w="1747" w:type="dxa"/>
            <w:shd w:val="clear" w:color="auto" w:fill="auto"/>
            <w:noWrap w:val="0"/>
            <w:vAlign w:val="top"/>
          </w:tcPr>
          <w:p w14:paraId="306BF4C3">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0.27</w:t>
            </w:r>
          </w:p>
        </w:tc>
        <w:tc>
          <w:tcPr>
            <w:tcW w:w="1749" w:type="dxa"/>
            <w:shd w:val="clear" w:color="auto" w:fill="auto"/>
            <w:noWrap w:val="0"/>
            <w:vAlign w:val="top"/>
          </w:tcPr>
          <w:p w14:paraId="1D461B5C">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0.22</w:t>
            </w:r>
          </w:p>
        </w:tc>
        <w:tc>
          <w:tcPr>
            <w:tcW w:w="1746" w:type="dxa"/>
            <w:shd w:val="clear" w:color="auto" w:fill="auto"/>
            <w:noWrap w:val="0"/>
            <w:vAlign w:val="top"/>
          </w:tcPr>
          <w:p w14:paraId="29D77E34">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0.27</w:t>
            </w:r>
          </w:p>
        </w:tc>
      </w:tr>
      <w:tr w14:paraId="001B1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top w:val="single" w:color="auto" w:sz="4" w:space="0"/>
              <w:left w:val="single" w:color="auto" w:sz="8" w:space="0"/>
              <w:right w:val="single" w:color="auto" w:sz="4" w:space="0"/>
            </w:tcBorders>
            <w:shd w:val="clear" w:color="auto" w:fill="auto"/>
            <w:noWrap w:val="0"/>
            <w:vAlign w:val="center"/>
          </w:tcPr>
          <w:p w14:paraId="7AD5DA2C">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2016.06.27</w:t>
            </w:r>
          </w:p>
        </w:tc>
        <w:tc>
          <w:tcPr>
            <w:tcW w:w="2224" w:type="dxa"/>
            <w:tcBorders>
              <w:top w:val="single" w:color="auto" w:sz="4" w:space="0"/>
              <w:left w:val="single" w:color="auto" w:sz="4" w:space="0"/>
            </w:tcBorders>
            <w:shd w:val="clear" w:color="auto" w:fill="auto"/>
            <w:noWrap w:val="0"/>
            <w:vAlign w:val="top"/>
          </w:tcPr>
          <w:p w14:paraId="70F60154">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02:00～03:00</w:t>
            </w:r>
          </w:p>
        </w:tc>
        <w:tc>
          <w:tcPr>
            <w:tcW w:w="1747" w:type="dxa"/>
            <w:shd w:val="clear" w:color="auto" w:fill="auto"/>
            <w:noWrap w:val="0"/>
            <w:vAlign w:val="top"/>
          </w:tcPr>
          <w:p w14:paraId="701AA109">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0.19</w:t>
            </w:r>
          </w:p>
        </w:tc>
        <w:tc>
          <w:tcPr>
            <w:tcW w:w="1749" w:type="dxa"/>
            <w:shd w:val="clear" w:color="auto" w:fill="auto"/>
            <w:noWrap w:val="0"/>
            <w:vAlign w:val="top"/>
          </w:tcPr>
          <w:p w14:paraId="71AAC2C7">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0.22</w:t>
            </w:r>
          </w:p>
        </w:tc>
        <w:tc>
          <w:tcPr>
            <w:tcW w:w="1746" w:type="dxa"/>
            <w:shd w:val="clear" w:color="auto" w:fill="auto"/>
            <w:noWrap w:val="0"/>
            <w:vAlign w:val="top"/>
          </w:tcPr>
          <w:p w14:paraId="3DCD8464">
            <w:pPr>
              <w:spacing w:line="420" w:lineRule="exact"/>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0.20</w:t>
            </w:r>
          </w:p>
        </w:tc>
      </w:tr>
      <w:tr w14:paraId="76DE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5846AFF1">
            <w:pPr>
              <w:jc w:val="center"/>
              <w:rPr>
                <w:rFonts w:hint="default" w:ascii="Times New Roman" w:hAnsi="Times New Roman" w:eastAsia="宋体" w:cs="Times New Roman"/>
                <w:b w:val="0"/>
                <w:bCs w:val="0"/>
                <w:color w:val="auto"/>
                <w:sz w:val="21"/>
                <w:szCs w:val="21"/>
              </w:rPr>
            </w:pPr>
          </w:p>
        </w:tc>
        <w:tc>
          <w:tcPr>
            <w:tcW w:w="2224" w:type="dxa"/>
            <w:tcBorders>
              <w:left w:val="single" w:color="auto" w:sz="4" w:space="0"/>
            </w:tcBorders>
            <w:shd w:val="clear" w:color="auto" w:fill="auto"/>
            <w:noWrap w:val="0"/>
            <w:vAlign w:val="top"/>
          </w:tcPr>
          <w:p w14:paraId="44C09BC8">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08:00～09:00</w:t>
            </w:r>
          </w:p>
        </w:tc>
        <w:tc>
          <w:tcPr>
            <w:tcW w:w="1747" w:type="dxa"/>
            <w:shd w:val="clear" w:color="auto" w:fill="auto"/>
            <w:noWrap w:val="0"/>
            <w:vAlign w:val="top"/>
          </w:tcPr>
          <w:p w14:paraId="38DE1A6C">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c>
          <w:tcPr>
            <w:tcW w:w="1749" w:type="dxa"/>
            <w:shd w:val="clear" w:color="auto" w:fill="auto"/>
            <w:noWrap w:val="0"/>
            <w:vAlign w:val="top"/>
          </w:tcPr>
          <w:p w14:paraId="0D79E66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c>
          <w:tcPr>
            <w:tcW w:w="1746" w:type="dxa"/>
            <w:shd w:val="clear" w:color="auto" w:fill="auto"/>
            <w:noWrap w:val="0"/>
            <w:vAlign w:val="top"/>
          </w:tcPr>
          <w:p w14:paraId="58301C3F">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0.26</w:t>
            </w:r>
          </w:p>
        </w:tc>
      </w:tr>
      <w:tr w14:paraId="09CC3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6C7CD479">
            <w:pPr>
              <w:jc w:val="center"/>
              <w:rPr>
                <w:rFonts w:hint="default" w:ascii="Times New Roman" w:hAnsi="Times New Roman" w:eastAsia="宋体" w:cs="Times New Roman"/>
                <w:b w:val="0"/>
                <w:bCs w:val="0"/>
                <w:color w:val="auto"/>
                <w:sz w:val="21"/>
                <w:szCs w:val="21"/>
              </w:rPr>
            </w:pPr>
          </w:p>
        </w:tc>
        <w:tc>
          <w:tcPr>
            <w:tcW w:w="2224" w:type="dxa"/>
            <w:tcBorders>
              <w:left w:val="single" w:color="auto" w:sz="4" w:space="0"/>
            </w:tcBorders>
            <w:shd w:val="clear" w:color="auto" w:fill="auto"/>
            <w:noWrap w:val="0"/>
            <w:vAlign w:val="top"/>
          </w:tcPr>
          <w:p w14:paraId="383527A2">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14:00～15:00</w:t>
            </w:r>
          </w:p>
        </w:tc>
        <w:tc>
          <w:tcPr>
            <w:tcW w:w="1747" w:type="dxa"/>
            <w:shd w:val="clear" w:color="auto" w:fill="auto"/>
            <w:noWrap w:val="0"/>
            <w:vAlign w:val="top"/>
          </w:tcPr>
          <w:p w14:paraId="0851C39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0.30</w:t>
            </w:r>
          </w:p>
        </w:tc>
        <w:tc>
          <w:tcPr>
            <w:tcW w:w="1749" w:type="dxa"/>
            <w:shd w:val="clear" w:color="auto" w:fill="auto"/>
            <w:noWrap w:val="0"/>
            <w:vAlign w:val="top"/>
          </w:tcPr>
          <w:p w14:paraId="61977BE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0.27</w:t>
            </w:r>
          </w:p>
        </w:tc>
        <w:tc>
          <w:tcPr>
            <w:tcW w:w="1746" w:type="dxa"/>
            <w:shd w:val="clear" w:color="auto" w:fill="auto"/>
            <w:noWrap w:val="0"/>
            <w:vAlign w:val="top"/>
          </w:tcPr>
          <w:p w14:paraId="260F85E6">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r>
      <w:tr w14:paraId="5776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26492E6">
            <w:pPr>
              <w:jc w:val="center"/>
              <w:rPr>
                <w:rFonts w:hint="default" w:ascii="Times New Roman" w:hAnsi="Times New Roman" w:eastAsia="宋体" w:cs="Times New Roman"/>
                <w:b w:val="0"/>
                <w:bCs w:val="0"/>
                <w:color w:val="auto"/>
                <w:sz w:val="21"/>
                <w:szCs w:val="21"/>
              </w:rPr>
            </w:pPr>
          </w:p>
        </w:tc>
        <w:tc>
          <w:tcPr>
            <w:tcW w:w="2224" w:type="dxa"/>
            <w:tcBorders>
              <w:left w:val="single" w:color="auto" w:sz="4" w:space="0"/>
            </w:tcBorders>
            <w:shd w:val="clear" w:color="auto" w:fill="auto"/>
            <w:noWrap w:val="0"/>
            <w:vAlign w:val="top"/>
          </w:tcPr>
          <w:p w14:paraId="02050CB7">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20:00～21:00</w:t>
            </w:r>
          </w:p>
        </w:tc>
        <w:tc>
          <w:tcPr>
            <w:tcW w:w="1747" w:type="dxa"/>
            <w:shd w:val="clear" w:color="auto" w:fill="auto"/>
            <w:noWrap w:val="0"/>
            <w:vAlign w:val="top"/>
          </w:tcPr>
          <w:p w14:paraId="2502839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0.24</w:t>
            </w:r>
          </w:p>
        </w:tc>
        <w:tc>
          <w:tcPr>
            <w:tcW w:w="1749" w:type="dxa"/>
            <w:shd w:val="clear" w:color="auto" w:fill="auto"/>
            <w:noWrap w:val="0"/>
            <w:vAlign w:val="top"/>
          </w:tcPr>
          <w:p w14:paraId="658A03F8">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0.28</w:t>
            </w:r>
          </w:p>
        </w:tc>
        <w:tc>
          <w:tcPr>
            <w:tcW w:w="1746" w:type="dxa"/>
            <w:shd w:val="clear" w:color="auto" w:fill="auto"/>
            <w:noWrap w:val="0"/>
            <w:vAlign w:val="top"/>
          </w:tcPr>
          <w:p w14:paraId="4FC36EDA">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0.25</w:t>
            </w:r>
          </w:p>
        </w:tc>
      </w:tr>
      <w:tr w14:paraId="0B99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4" w:type="dxa"/>
            <w:gridSpan w:val="2"/>
            <w:tcBorders>
              <w:left w:val="single" w:color="auto" w:sz="8" w:space="0"/>
            </w:tcBorders>
            <w:shd w:val="clear" w:color="auto" w:fill="auto"/>
            <w:noWrap w:val="0"/>
            <w:vAlign w:val="top"/>
          </w:tcPr>
          <w:p w14:paraId="2F96FD38">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标准值</w:t>
            </w:r>
          </w:p>
        </w:tc>
        <w:tc>
          <w:tcPr>
            <w:tcW w:w="1747" w:type="dxa"/>
            <w:shd w:val="clear" w:color="auto" w:fill="auto"/>
            <w:noWrap w:val="0"/>
            <w:vAlign w:val="top"/>
          </w:tcPr>
          <w:p w14:paraId="0C509D4C">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zh-CN"/>
              </w:rPr>
              <w:t>≤2.0</w:t>
            </w:r>
          </w:p>
        </w:tc>
        <w:tc>
          <w:tcPr>
            <w:tcW w:w="1749" w:type="dxa"/>
            <w:shd w:val="clear" w:color="auto" w:fill="auto"/>
            <w:noWrap w:val="0"/>
            <w:vAlign w:val="top"/>
          </w:tcPr>
          <w:p w14:paraId="5FBE110C">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zh-CN"/>
              </w:rPr>
              <w:t>≤2.0</w:t>
            </w:r>
          </w:p>
        </w:tc>
        <w:tc>
          <w:tcPr>
            <w:tcW w:w="1746" w:type="dxa"/>
            <w:shd w:val="clear" w:color="auto" w:fill="auto"/>
            <w:noWrap w:val="0"/>
            <w:vAlign w:val="top"/>
          </w:tcPr>
          <w:p w14:paraId="52EC1CCE">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kern w:val="0"/>
                <w:sz w:val="21"/>
                <w:szCs w:val="21"/>
                <w:lang w:val="zh-CN"/>
              </w:rPr>
              <w:t>≤2.0</w:t>
            </w:r>
          </w:p>
        </w:tc>
      </w:tr>
      <w:tr w14:paraId="3710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4" w:type="dxa"/>
            <w:gridSpan w:val="2"/>
            <w:tcBorders>
              <w:left w:val="single" w:color="auto" w:sz="8" w:space="0"/>
            </w:tcBorders>
            <w:shd w:val="clear" w:color="auto" w:fill="auto"/>
            <w:noWrap w:val="0"/>
            <w:vAlign w:val="top"/>
          </w:tcPr>
          <w:p w14:paraId="567DBF05">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达标情况</w:t>
            </w:r>
          </w:p>
        </w:tc>
        <w:tc>
          <w:tcPr>
            <w:tcW w:w="1747" w:type="dxa"/>
            <w:shd w:val="clear" w:color="auto" w:fill="auto"/>
            <w:noWrap w:val="0"/>
            <w:vAlign w:val="top"/>
          </w:tcPr>
          <w:p w14:paraId="5F80E970">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w:t>
            </w:r>
          </w:p>
        </w:tc>
        <w:tc>
          <w:tcPr>
            <w:tcW w:w="1749" w:type="dxa"/>
            <w:shd w:val="clear" w:color="auto" w:fill="auto"/>
            <w:noWrap w:val="0"/>
            <w:vAlign w:val="top"/>
          </w:tcPr>
          <w:p w14:paraId="29A7A0F7">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w:t>
            </w:r>
          </w:p>
        </w:tc>
        <w:tc>
          <w:tcPr>
            <w:tcW w:w="1746" w:type="dxa"/>
            <w:shd w:val="clear" w:color="auto" w:fill="auto"/>
            <w:noWrap w:val="0"/>
            <w:vAlign w:val="top"/>
          </w:tcPr>
          <w:p w14:paraId="422FE262">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达标</w:t>
            </w:r>
          </w:p>
        </w:tc>
      </w:tr>
    </w:tbl>
    <w:p w14:paraId="60ABF45C">
      <w:pPr>
        <w:spacing w:before="240" w:line="360" w:lineRule="auto"/>
        <w:ind w:firstLine="527" w:firstLineChars="250"/>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1"/>
          <w:szCs w:val="21"/>
        </w:rPr>
        <w:t>根据监测结果</w:t>
      </w:r>
      <w:r>
        <w:rPr>
          <w:rFonts w:hint="default" w:ascii="Times New Roman" w:hAnsi="Times New Roman" w:eastAsia="宋体" w:cs="Times New Roman"/>
          <w:b/>
          <w:bCs/>
          <w:iCs/>
          <w:color w:val="auto"/>
          <w:sz w:val="21"/>
          <w:szCs w:val="21"/>
        </w:rPr>
        <w:t>非甲烷总烃满足《大气污染物综合排放标准详解》中的要求执行，即</w:t>
      </w:r>
      <w:r>
        <w:rPr>
          <w:rFonts w:hint="default" w:ascii="Times New Roman" w:hAnsi="Times New Roman" w:eastAsia="宋体" w:cs="Times New Roman"/>
          <w:b/>
          <w:bCs/>
          <w:color w:val="auto"/>
          <w:sz w:val="21"/>
          <w:szCs w:val="21"/>
          <w:shd w:val="clear" w:color="auto" w:fill="FFFFFF"/>
        </w:rPr>
        <w:t>2mg/m</w:t>
      </w:r>
      <w:r>
        <w:rPr>
          <w:rFonts w:hint="default" w:ascii="Times New Roman" w:hAnsi="Times New Roman" w:eastAsia="宋体" w:cs="Times New Roman"/>
          <w:b/>
          <w:bCs/>
          <w:color w:val="auto"/>
          <w:sz w:val="21"/>
          <w:szCs w:val="21"/>
          <w:shd w:val="clear" w:color="auto" w:fill="FFFFFF"/>
          <w:vertAlign w:val="superscript"/>
        </w:rPr>
        <w:t>3</w:t>
      </w:r>
      <w:r>
        <w:rPr>
          <w:rFonts w:hint="default" w:ascii="Times New Roman" w:hAnsi="Times New Roman" w:eastAsia="宋体" w:cs="Times New Roman"/>
          <w:b/>
          <w:bCs/>
          <w:iCs/>
          <w:color w:val="auto"/>
          <w:sz w:val="21"/>
          <w:szCs w:val="21"/>
        </w:rPr>
        <w:t>。</w:t>
      </w:r>
    </w:p>
    <w:p w14:paraId="0EDE651D">
      <w:pPr>
        <w:spacing w:line="340" w:lineRule="exact"/>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表4.3-</w:t>
      </w:r>
      <w:r>
        <w:rPr>
          <w:rFonts w:hint="eastAsia" w:ascii="Times New Roman" w:hAnsi="Times New Roman"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非甲烷总烃小时浓度检测结果</w:t>
      </w:r>
      <w:r>
        <w:rPr>
          <w:rFonts w:hint="default" w:ascii="Times New Roman" w:hAnsi="Times New Roman" w:eastAsia="宋体" w:cs="Times New Roman"/>
          <w:color w:val="auto"/>
          <w:sz w:val="24"/>
          <w:szCs w:val="24"/>
        </w:rPr>
        <w:t xml:space="preserve">   单位：mg/m</w:t>
      </w:r>
      <w:r>
        <w:rPr>
          <w:rFonts w:hint="default" w:ascii="Times New Roman" w:hAnsi="Times New Roman" w:eastAsia="宋体" w:cs="Times New Roman"/>
          <w:color w:val="auto"/>
          <w:sz w:val="24"/>
          <w:szCs w:val="24"/>
          <w:vertAlign w:val="superscript"/>
        </w:rPr>
        <w:t>3</w:t>
      </w:r>
    </w:p>
    <w:tbl>
      <w:tblPr>
        <w:tblStyle w:val="66"/>
        <w:tblpPr w:leftFromText="180" w:rightFromText="180" w:vertAnchor="text" w:horzAnchor="margin" w:tblpXSpec="center" w:tblpY="52"/>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2224"/>
        <w:gridCol w:w="1747"/>
        <w:gridCol w:w="1749"/>
        <w:gridCol w:w="1746"/>
      </w:tblGrid>
      <w:tr w14:paraId="65C5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214" w:type="dxa"/>
            <w:gridSpan w:val="2"/>
            <w:tcBorders>
              <w:top w:val="single" w:color="auto" w:sz="8" w:space="0"/>
              <w:left w:val="single" w:color="auto" w:sz="8" w:space="0"/>
              <w:tl2br w:val="single" w:color="auto" w:sz="4" w:space="0"/>
            </w:tcBorders>
            <w:shd w:val="clear" w:color="auto" w:fill="auto"/>
            <w:noWrap w:val="0"/>
            <w:vAlign w:val="top"/>
          </w:tcPr>
          <w:p w14:paraId="0F191DDB">
            <w:pPr>
              <w:ind w:firstLine="105" w:firstLineChars="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地 点</w:t>
            </w:r>
          </w:p>
          <w:p w14:paraId="7A439B1D">
            <w:pPr>
              <w:ind w:firstLine="1054" w:firstLineChars="5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日期/时段</w:t>
            </w:r>
          </w:p>
        </w:tc>
        <w:tc>
          <w:tcPr>
            <w:tcW w:w="1747" w:type="dxa"/>
            <w:tcBorders>
              <w:top w:val="single" w:color="auto" w:sz="8" w:space="0"/>
            </w:tcBorders>
            <w:shd w:val="clear" w:color="auto" w:fill="auto"/>
            <w:noWrap w:val="0"/>
            <w:vAlign w:val="center"/>
          </w:tcPr>
          <w:p w14:paraId="4730D6B5">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公租房</w:t>
            </w:r>
          </w:p>
        </w:tc>
        <w:tc>
          <w:tcPr>
            <w:tcW w:w="1749" w:type="dxa"/>
            <w:tcBorders>
              <w:top w:val="single" w:color="auto" w:sz="8" w:space="0"/>
              <w:right w:val="single" w:color="auto" w:sz="6" w:space="0"/>
            </w:tcBorders>
            <w:shd w:val="clear" w:color="auto" w:fill="auto"/>
            <w:noWrap w:val="0"/>
            <w:vAlign w:val="center"/>
          </w:tcPr>
          <w:p w14:paraId="1C6385DF">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界桃村</w:t>
            </w:r>
          </w:p>
        </w:tc>
        <w:tc>
          <w:tcPr>
            <w:tcW w:w="1746" w:type="dxa"/>
            <w:tcBorders>
              <w:top w:val="single" w:color="auto" w:sz="8" w:space="0"/>
              <w:right w:val="single" w:color="auto" w:sz="6" w:space="0"/>
            </w:tcBorders>
            <w:shd w:val="clear" w:color="auto" w:fill="auto"/>
            <w:noWrap w:val="0"/>
            <w:vAlign w:val="center"/>
          </w:tcPr>
          <w:p w14:paraId="1F9B763C">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芒市糖厂</w:t>
            </w:r>
          </w:p>
        </w:tc>
      </w:tr>
      <w:tr w14:paraId="3FE8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top w:val="single" w:color="auto" w:sz="4" w:space="0"/>
              <w:left w:val="single" w:color="auto" w:sz="8" w:space="0"/>
              <w:right w:val="single" w:color="auto" w:sz="4" w:space="0"/>
            </w:tcBorders>
            <w:shd w:val="clear" w:color="auto" w:fill="auto"/>
            <w:noWrap w:val="0"/>
            <w:vAlign w:val="center"/>
          </w:tcPr>
          <w:p w14:paraId="6826FB0E">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2016.06.21</w:t>
            </w:r>
          </w:p>
        </w:tc>
        <w:tc>
          <w:tcPr>
            <w:tcW w:w="2224" w:type="dxa"/>
            <w:tcBorders>
              <w:top w:val="single" w:color="auto" w:sz="4" w:space="0"/>
              <w:left w:val="single" w:color="auto" w:sz="4" w:space="0"/>
            </w:tcBorders>
            <w:shd w:val="clear" w:color="auto" w:fill="auto"/>
            <w:noWrap w:val="0"/>
            <w:vAlign w:val="top"/>
          </w:tcPr>
          <w:p w14:paraId="6B537A48">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747" w:type="dxa"/>
            <w:tcBorders>
              <w:top w:val="single" w:color="auto" w:sz="4" w:space="0"/>
            </w:tcBorders>
            <w:shd w:val="clear" w:color="auto" w:fill="auto"/>
            <w:noWrap w:val="0"/>
            <w:vAlign w:val="top"/>
          </w:tcPr>
          <w:p w14:paraId="7E771E3B">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749" w:type="dxa"/>
            <w:tcBorders>
              <w:top w:val="single" w:color="auto" w:sz="4" w:space="0"/>
            </w:tcBorders>
            <w:shd w:val="clear" w:color="auto" w:fill="auto"/>
            <w:noWrap w:val="0"/>
            <w:vAlign w:val="top"/>
          </w:tcPr>
          <w:p w14:paraId="319CD2FD">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0.21</w:t>
            </w:r>
          </w:p>
        </w:tc>
        <w:tc>
          <w:tcPr>
            <w:tcW w:w="1746" w:type="dxa"/>
            <w:tcBorders>
              <w:top w:val="single" w:color="auto" w:sz="4" w:space="0"/>
              <w:right w:val="single" w:color="auto" w:sz="6" w:space="0"/>
            </w:tcBorders>
            <w:shd w:val="clear" w:color="auto" w:fill="auto"/>
            <w:noWrap w:val="0"/>
            <w:vAlign w:val="top"/>
          </w:tcPr>
          <w:p w14:paraId="048BA612">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0.21</w:t>
            </w:r>
          </w:p>
        </w:tc>
      </w:tr>
      <w:tr w14:paraId="1C17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35DBF021">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256E2B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747" w:type="dxa"/>
            <w:shd w:val="clear" w:color="auto" w:fill="auto"/>
            <w:noWrap w:val="0"/>
            <w:vAlign w:val="top"/>
          </w:tcPr>
          <w:p w14:paraId="57DE223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1749" w:type="dxa"/>
            <w:shd w:val="clear" w:color="auto" w:fill="auto"/>
            <w:noWrap w:val="0"/>
            <w:vAlign w:val="top"/>
          </w:tcPr>
          <w:p w14:paraId="5581AE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746" w:type="dxa"/>
            <w:shd w:val="clear" w:color="auto" w:fill="auto"/>
            <w:noWrap w:val="0"/>
            <w:vAlign w:val="top"/>
          </w:tcPr>
          <w:p w14:paraId="2D9DF3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0.36</w:t>
            </w:r>
          </w:p>
        </w:tc>
      </w:tr>
      <w:tr w14:paraId="1B29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18E33B64">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33457A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747" w:type="dxa"/>
            <w:shd w:val="clear" w:color="auto" w:fill="auto"/>
            <w:noWrap w:val="0"/>
            <w:vAlign w:val="top"/>
          </w:tcPr>
          <w:p w14:paraId="5BEDA7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0.32</w:t>
            </w:r>
          </w:p>
        </w:tc>
        <w:tc>
          <w:tcPr>
            <w:tcW w:w="1749" w:type="dxa"/>
            <w:shd w:val="clear" w:color="auto" w:fill="auto"/>
            <w:noWrap w:val="0"/>
            <w:vAlign w:val="top"/>
          </w:tcPr>
          <w:p w14:paraId="7D5821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746" w:type="dxa"/>
            <w:shd w:val="clear" w:color="auto" w:fill="auto"/>
            <w:noWrap w:val="0"/>
            <w:vAlign w:val="top"/>
          </w:tcPr>
          <w:p w14:paraId="3D1781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0.35</w:t>
            </w:r>
          </w:p>
        </w:tc>
      </w:tr>
      <w:tr w14:paraId="7EEE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3ABD003">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41D6F9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747" w:type="dxa"/>
            <w:shd w:val="clear" w:color="auto" w:fill="auto"/>
            <w:noWrap w:val="0"/>
            <w:vAlign w:val="top"/>
          </w:tcPr>
          <w:p w14:paraId="5D7AA1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749" w:type="dxa"/>
            <w:shd w:val="clear" w:color="auto" w:fill="auto"/>
            <w:noWrap w:val="0"/>
            <w:vAlign w:val="top"/>
          </w:tcPr>
          <w:p w14:paraId="79DCD4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746" w:type="dxa"/>
            <w:shd w:val="clear" w:color="auto" w:fill="auto"/>
            <w:noWrap w:val="0"/>
            <w:vAlign w:val="top"/>
          </w:tcPr>
          <w:p w14:paraId="77F8EA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0.35</w:t>
            </w:r>
          </w:p>
        </w:tc>
      </w:tr>
      <w:tr w14:paraId="12A0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left w:val="single" w:color="auto" w:sz="8" w:space="0"/>
              <w:right w:val="single" w:color="auto" w:sz="4" w:space="0"/>
            </w:tcBorders>
            <w:shd w:val="clear" w:color="auto" w:fill="auto"/>
            <w:noWrap w:val="0"/>
            <w:vAlign w:val="center"/>
          </w:tcPr>
          <w:p w14:paraId="5C9789F2">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2016.06.22</w:t>
            </w:r>
          </w:p>
        </w:tc>
        <w:tc>
          <w:tcPr>
            <w:tcW w:w="2224" w:type="dxa"/>
            <w:tcBorders>
              <w:left w:val="single" w:color="auto" w:sz="4" w:space="0"/>
            </w:tcBorders>
            <w:shd w:val="clear" w:color="auto" w:fill="auto"/>
            <w:noWrap w:val="0"/>
            <w:vAlign w:val="top"/>
          </w:tcPr>
          <w:p w14:paraId="2E351206">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747" w:type="dxa"/>
            <w:shd w:val="clear" w:color="auto" w:fill="auto"/>
            <w:noWrap w:val="0"/>
            <w:vAlign w:val="top"/>
          </w:tcPr>
          <w:p w14:paraId="05F6E296">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1749" w:type="dxa"/>
            <w:shd w:val="clear" w:color="auto" w:fill="auto"/>
            <w:noWrap w:val="0"/>
            <w:vAlign w:val="top"/>
          </w:tcPr>
          <w:p w14:paraId="792F2B13">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0.22</w:t>
            </w:r>
          </w:p>
        </w:tc>
        <w:tc>
          <w:tcPr>
            <w:tcW w:w="1746" w:type="dxa"/>
            <w:shd w:val="clear" w:color="auto" w:fill="auto"/>
            <w:noWrap w:val="0"/>
            <w:vAlign w:val="top"/>
          </w:tcPr>
          <w:p w14:paraId="5CAAD8FA">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r>
      <w:tr w14:paraId="30D0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6501756A">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3022FC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747" w:type="dxa"/>
            <w:shd w:val="clear" w:color="auto" w:fill="auto"/>
            <w:noWrap w:val="0"/>
            <w:vAlign w:val="top"/>
          </w:tcPr>
          <w:p w14:paraId="6FB043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749" w:type="dxa"/>
            <w:shd w:val="clear" w:color="auto" w:fill="auto"/>
            <w:noWrap w:val="0"/>
            <w:vAlign w:val="top"/>
          </w:tcPr>
          <w:p w14:paraId="45E9B3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1746" w:type="dxa"/>
            <w:shd w:val="clear" w:color="auto" w:fill="auto"/>
            <w:noWrap w:val="0"/>
            <w:vAlign w:val="top"/>
          </w:tcPr>
          <w:p w14:paraId="0852DB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0.39</w:t>
            </w:r>
          </w:p>
        </w:tc>
      </w:tr>
      <w:tr w14:paraId="3EA9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050729C0">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031077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747" w:type="dxa"/>
            <w:shd w:val="clear" w:color="auto" w:fill="auto"/>
            <w:noWrap w:val="0"/>
            <w:vAlign w:val="top"/>
          </w:tcPr>
          <w:p w14:paraId="1F68CF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0.35</w:t>
            </w:r>
          </w:p>
        </w:tc>
        <w:tc>
          <w:tcPr>
            <w:tcW w:w="1749" w:type="dxa"/>
            <w:shd w:val="clear" w:color="auto" w:fill="auto"/>
            <w:noWrap w:val="0"/>
            <w:vAlign w:val="top"/>
          </w:tcPr>
          <w:p w14:paraId="3E588F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1746" w:type="dxa"/>
            <w:shd w:val="clear" w:color="auto" w:fill="auto"/>
            <w:noWrap w:val="0"/>
            <w:vAlign w:val="top"/>
          </w:tcPr>
          <w:p w14:paraId="7F20BD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w:t>
            </w:r>
          </w:p>
        </w:tc>
      </w:tr>
      <w:tr w14:paraId="040E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03E5A78C">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1BB9C7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747" w:type="dxa"/>
            <w:shd w:val="clear" w:color="auto" w:fill="auto"/>
            <w:noWrap w:val="0"/>
            <w:vAlign w:val="top"/>
          </w:tcPr>
          <w:p w14:paraId="5A7505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749" w:type="dxa"/>
            <w:shd w:val="clear" w:color="auto" w:fill="auto"/>
            <w:noWrap w:val="0"/>
            <w:vAlign w:val="top"/>
          </w:tcPr>
          <w:p w14:paraId="14A321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746" w:type="dxa"/>
            <w:shd w:val="clear" w:color="auto" w:fill="auto"/>
            <w:noWrap w:val="0"/>
            <w:vAlign w:val="top"/>
          </w:tcPr>
          <w:p w14:paraId="0A9040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0.40</w:t>
            </w:r>
          </w:p>
        </w:tc>
      </w:tr>
      <w:tr w14:paraId="3CE4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top w:val="single" w:color="auto" w:sz="4" w:space="0"/>
              <w:left w:val="single" w:color="auto" w:sz="8" w:space="0"/>
              <w:right w:val="single" w:color="auto" w:sz="4" w:space="0"/>
            </w:tcBorders>
            <w:shd w:val="clear" w:color="auto" w:fill="auto"/>
            <w:noWrap w:val="0"/>
            <w:vAlign w:val="center"/>
          </w:tcPr>
          <w:p w14:paraId="5297C28A">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2016.06.23</w:t>
            </w:r>
          </w:p>
        </w:tc>
        <w:tc>
          <w:tcPr>
            <w:tcW w:w="2224" w:type="dxa"/>
            <w:tcBorders>
              <w:top w:val="single" w:color="auto" w:sz="4" w:space="0"/>
              <w:left w:val="single" w:color="auto" w:sz="4" w:space="0"/>
            </w:tcBorders>
            <w:shd w:val="clear" w:color="auto" w:fill="auto"/>
            <w:noWrap w:val="0"/>
            <w:vAlign w:val="top"/>
          </w:tcPr>
          <w:p w14:paraId="66459DE6">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747" w:type="dxa"/>
            <w:shd w:val="clear" w:color="auto" w:fill="auto"/>
            <w:noWrap w:val="0"/>
            <w:vAlign w:val="top"/>
          </w:tcPr>
          <w:p w14:paraId="4153BD47">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0.22</w:t>
            </w:r>
          </w:p>
        </w:tc>
        <w:tc>
          <w:tcPr>
            <w:tcW w:w="1749" w:type="dxa"/>
            <w:shd w:val="clear" w:color="auto" w:fill="auto"/>
            <w:noWrap w:val="0"/>
            <w:vAlign w:val="top"/>
          </w:tcPr>
          <w:p w14:paraId="05ED95C7">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w:t>
            </w:r>
          </w:p>
        </w:tc>
        <w:tc>
          <w:tcPr>
            <w:tcW w:w="1746" w:type="dxa"/>
            <w:shd w:val="clear" w:color="auto" w:fill="auto"/>
            <w:noWrap w:val="0"/>
            <w:vAlign w:val="top"/>
          </w:tcPr>
          <w:p w14:paraId="5B4E6A18">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0.21</w:t>
            </w:r>
          </w:p>
        </w:tc>
      </w:tr>
      <w:tr w14:paraId="31C79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1657737C">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3BDA0B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747" w:type="dxa"/>
            <w:shd w:val="clear" w:color="auto" w:fill="auto"/>
            <w:noWrap w:val="0"/>
            <w:vAlign w:val="top"/>
          </w:tcPr>
          <w:p w14:paraId="10986A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1749" w:type="dxa"/>
            <w:shd w:val="clear" w:color="auto" w:fill="auto"/>
            <w:noWrap w:val="0"/>
            <w:vAlign w:val="top"/>
          </w:tcPr>
          <w:p w14:paraId="444EAA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1746" w:type="dxa"/>
            <w:shd w:val="clear" w:color="auto" w:fill="auto"/>
            <w:noWrap w:val="0"/>
            <w:vAlign w:val="top"/>
          </w:tcPr>
          <w:p w14:paraId="2CD9C1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r>
      <w:tr w14:paraId="44D8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E6A21F4">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03F83CB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747" w:type="dxa"/>
            <w:shd w:val="clear" w:color="auto" w:fill="auto"/>
            <w:noWrap w:val="0"/>
            <w:vAlign w:val="top"/>
          </w:tcPr>
          <w:p w14:paraId="445B31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749" w:type="dxa"/>
            <w:shd w:val="clear" w:color="auto" w:fill="auto"/>
            <w:noWrap w:val="0"/>
            <w:vAlign w:val="top"/>
          </w:tcPr>
          <w:p w14:paraId="02072C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1746" w:type="dxa"/>
            <w:shd w:val="clear" w:color="auto" w:fill="auto"/>
            <w:noWrap w:val="0"/>
            <w:vAlign w:val="top"/>
          </w:tcPr>
          <w:p w14:paraId="78A163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r>
      <w:tr w14:paraId="67B6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098043D8">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5334F6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747" w:type="dxa"/>
            <w:shd w:val="clear" w:color="auto" w:fill="auto"/>
            <w:noWrap w:val="0"/>
            <w:vAlign w:val="top"/>
          </w:tcPr>
          <w:p w14:paraId="0424CD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749" w:type="dxa"/>
            <w:shd w:val="clear" w:color="auto" w:fill="auto"/>
            <w:noWrap w:val="0"/>
            <w:vAlign w:val="top"/>
          </w:tcPr>
          <w:p w14:paraId="2B7544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746" w:type="dxa"/>
            <w:shd w:val="clear" w:color="auto" w:fill="auto"/>
            <w:noWrap w:val="0"/>
            <w:vAlign w:val="top"/>
          </w:tcPr>
          <w:p w14:paraId="06E56C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w:t>
            </w:r>
          </w:p>
        </w:tc>
      </w:tr>
      <w:tr w14:paraId="3ABA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left w:val="single" w:color="auto" w:sz="8" w:space="0"/>
              <w:right w:val="single" w:color="auto" w:sz="4" w:space="0"/>
            </w:tcBorders>
            <w:shd w:val="clear" w:color="auto" w:fill="auto"/>
            <w:noWrap w:val="0"/>
            <w:vAlign w:val="center"/>
          </w:tcPr>
          <w:p w14:paraId="5AAC6890">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2016.06.24</w:t>
            </w:r>
          </w:p>
        </w:tc>
        <w:tc>
          <w:tcPr>
            <w:tcW w:w="2224" w:type="dxa"/>
            <w:tcBorders>
              <w:left w:val="single" w:color="auto" w:sz="4" w:space="0"/>
            </w:tcBorders>
            <w:shd w:val="clear" w:color="auto" w:fill="auto"/>
            <w:noWrap w:val="0"/>
            <w:vAlign w:val="top"/>
          </w:tcPr>
          <w:p w14:paraId="2566232C">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747" w:type="dxa"/>
            <w:shd w:val="clear" w:color="auto" w:fill="auto"/>
            <w:noWrap w:val="0"/>
            <w:vAlign w:val="top"/>
          </w:tcPr>
          <w:p w14:paraId="44CA1091">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c>
          <w:tcPr>
            <w:tcW w:w="1749" w:type="dxa"/>
            <w:shd w:val="clear" w:color="auto" w:fill="auto"/>
            <w:noWrap w:val="0"/>
            <w:vAlign w:val="top"/>
          </w:tcPr>
          <w:p w14:paraId="0630AE53">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c>
          <w:tcPr>
            <w:tcW w:w="1746" w:type="dxa"/>
            <w:shd w:val="clear" w:color="auto" w:fill="auto"/>
            <w:noWrap w:val="0"/>
            <w:vAlign w:val="top"/>
          </w:tcPr>
          <w:p w14:paraId="2E460160">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r>
      <w:tr w14:paraId="1478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1259EB64">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037C09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747" w:type="dxa"/>
            <w:shd w:val="clear" w:color="auto" w:fill="auto"/>
            <w:noWrap w:val="0"/>
            <w:vAlign w:val="top"/>
          </w:tcPr>
          <w:p w14:paraId="52A16E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749" w:type="dxa"/>
            <w:shd w:val="clear" w:color="auto" w:fill="auto"/>
            <w:noWrap w:val="0"/>
            <w:vAlign w:val="top"/>
          </w:tcPr>
          <w:p w14:paraId="683ED3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746" w:type="dxa"/>
            <w:shd w:val="clear" w:color="auto" w:fill="auto"/>
            <w:noWrap w:val="0"/>
            <w:vAlign w:val="top"/>
          </w:tcPr>
          <w:p w14:paraId="390BEE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r>
      <w:tr w14:paraId="48FD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FE337E1">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186BF2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747" w:type="dxa"/>
            <w:shd w:val="clear" w:color="auto" w:fill="auto"/>
            <w:noWrap w:val="0"/>
            <w:vAlign w:val="top"/>
          </w:tcPr>
          <w:p w14:paraId="677799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1749" w:type="dxa"/>
            <w:shd w:val="clear" w:color="auto" w:fill="auto"/>
            <w:noWrap w:val="0"/>
            <w:vAlign w:val="top"/>
          </w:tcPr>
          <w:p w14:paraId="6117E4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746" w:type="dxa"/>
            <w:shd w:val="clear" w:color="auto" w:fill="auto"/>
            <w:noWrap w:val="0"/>
            <w:vAlign w:val="top"/>
          </w:tcPr>
          <w:p w14:paraId="344499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w:t>
            </w:r>
          </w:p>
        </w:tc>
      </w:tr>
      <w:tr w14:paraId="0EBB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2D48DAC2">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3EC612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747" w:type="dxa"/>
            <w:shd w:val="clear" w:color="auto" w:fill="auto"/>
            <w:noWrap w:val="0"/>
            <w:vAlign w:val="top"/>
          </w:tcPr>
          <w:p w14:paraId="0C6F07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1749" w:type="dxa"/>
            <w:shd w:val="clear" w:color="auto" w:fill="auto"/>
            <w:noWrap w:val="0"/>
            <w:vAlign w:val="top"/>
          </w:tcPr>
          <w:p w14:paraId="4500F1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1746" w:type="dxa"/>
            <w:shd w:val="clear" w:color="auto" w:fill="auto"/>
            <w:noWrap w:val="0"/>
            <w:vAlign w:val="top"/>
          </w:tcPr>
          <w:p w14:paraId="785E2B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0.35</w:t>
            </w:r>
          </w:p>
        </w:tc>
      </w:tr>
      <w:tr w14:paraId="2ECF7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top w:val="single" w:color="auto" w:sz="4" w:space="0"/>
              <w:left w:val="single" w:color="auto" w:sz="8" w:space="0"/>
              <w:right w:val="single" w:color="auto" w:sz="4" w:space="0"/>
            </w:tcBorders>
            <w:shd w:val="clear" w:color="auto" w:fill="auto"/>
            <w:noWrap w:val="0"/>
            <w:vAlign w:val="center"/>
          </w:tcPr>
          <w:p w14:paraId="253886D9">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2016.06.25</w:t>
            </w:r>
          </w:p>
        </w:tc>
        <w:tc>
          <w:tcPr>
            <w:tcW w:w="2224" w:type="dxa"/>
            <w:tcBorders>
              <w:top w:val="single" w:color="auto" w:sz="4" w:space="0"/>
              <w:left w:val="single" w:color="auto" w:sz="4" w:space="0"/>
            </w:tcBorders>
            <w:shd w:val="clear" w:color="auto" w:fill="auto"/>
            <w:noWrap w:val="0"/>
            <w:vAlign w:val="top"/>
          </w:tcPr>
          <w:p w14:paraId="47C27B0D">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747" w:type="dxa"/>
            <w:shd w:val="clear" w:color="auto" w:fill="auto"/>
            <w:noWrap w:val="0"/>
            <w:vAlign w:val="top"/>
          </w:tcPr>
          <w:p w14:paraId="45705D80">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749" w:type="dxa"/>
            <w:shd w:val="clear" w:color="auto" w:fill="auto"/>
            <w:noWrap w:val="0"/>
            <w:vAlign w:val="top"/>
          </w:tcPr>
          <w:p w14:paraId="621FC4F4">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746" w:type="dxa"/>
            <w:shd w:val="clear" w:color="auto" w:fill="auto"/>
            <w:noWrap w:val="0"/>
            <w:vAlign w:val="top"/>
          </w:tcPr>
          <w:p w14:paraId="2271FAC6">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r>
      <w:tr w14:paraId="12DE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EE62B52">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6E6A7F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747" w:type="dxa"/>
            <w:shd w:val="clear" w:color="auto" w:fill="auto"/>
            <w:noWrap w:val="0"/>
            <w:vAlign w:val="top"/>
          </w:tcPr>
          <w:p w14:paraId="382AD5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749" w:type="dxa"/>
            <w:shd w:val="clear" w:color="auto" w:fill="auto"/>
            <w:noWrap w:val="0"/>
            <w:vAlign w:val="top"/>
          </w:tcPr>
          <w:p w14:paraId="7E6BE8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1746" w:type="dxa"/>
            <w:shd w:val="clear" w:color="auto" w:fill="auto"/>
            <w:noWrap w:val="0"/>
            <w:vAlign w:val="top"/>
          </w:tcPr>
          <w:p w14:paraId="02C85E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r>
      <w:tr w14:paraId="4155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5B1BB79D">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2BC050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747" w:type="dxa"/>
            <w:shd w:val="clear" w:color="auto" w:fill="auto"/>
            <w:noWrap w:val="0"/>
            <w:vAlign w:val="top"/>
          </w:tcPr>
          <w:p w14:paraId="31A003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w:t>
            </w:r>
          </w:p>
        </w:tc>
        <w:tc>
          <w:tcPr>
            <w:tcW w:w="1749" w:type="dxa"/>
            <w:shd w:val="clear" w:color="auto" w:fill="auto"/>
            <w:noWrap w:val="0"/>
            <w:vAlign w:val="top"/>
          </w:tcPr>
          <w:p w14:paraId="637A17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746" w:type="dxa"/>
            <w:shd w:val="clear" w:color="auto" w:fill="auto"/>
            <w:noWrap w:val="0"/>
            <w:vAlign w:val="top"/>
          </w:tcPr>
          <w:p w14:paraId="2DEB69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0.36</w:t>
            </w:r>
          </w:p>
        </w:tc>
      </w:tr>
      <w:tr w14:paraId="40D1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516D6B18">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6BF869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747" w:type="dxa"/>
            <w:shd w:val="clear" w:color="auto" w:fill="auto"/>
            <w:noWrap w:val="0"/>
            <w:vAlign w:val="top"/>
          </w:tcPr>
          <w:p w14:paraId="37164E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1749" w:type="dxa"/>
            <w:shd w:val="clear" w:color="auto" w:fill="auto"/>
            <w:noWrap w:val="0"/>
            <w:vAlign w:val="top"/>
          </w:tcPr>
          <w:p w14:paraId="05F915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w:t>
            </w:r>
          </w:p>
        </w:tc>
        <w:tc>
          <w:tcPr>
            <w:tcW w:w="1746" w:type="dxa"/>
            <w:shd w:val="clear" w:color="auto" w:fill="auto"/>
            <w:noWrap w:val="0"/>
            <w:vAlign w:val="top"/>
          </w:tcPr>
          <w:p w14:paraId="39B206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0.31</w:t>
            </w:r>
          </w:p>
        </w:tc>
      </w:tr>
      <w:tr w14:paraId="5D6B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left w:val="single" w:color="auto" w:sz="8" w:space="0"/>
              <w:right w:val="single" w:color="auto" w:sz="4" w:space="0"/>
            </w:tcBorders>
            <w:shd w:val="clear" w:color="auto" w:fill="auto"/>
            <w:noWrap w:val="0"/>
            <w:vAlign w:val="center"/>
          </w:tcPr>
          <w:p w14:paraId="088B8D5C">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2016.06.26</w:t>
            </w:r>
          </w:p>
        </w:tc>
        <w:tc>
          <w:tcPr>
            <w:tcW w:w="2224" w:type="dxa"/>
            <w:tcBorders>
              <w:left w:val="single" w:color="auto" w:sz="4" w:space="0"/>
            </w:tcBorders>
            <w:shd w:val="clear" w:color="auto" w:fill="auto"/>
            <w:noWrap w:val="0"/>
            <w:vAlign w:val="top"/>
          </w:tcPr>
          <w:p w14:paraId="024F2C0C">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747" w:type="dxa"/>
            <w:shd w:val="clear" w:color="auto" w:fill="auto"/>
            <w:noWrap w:val="0"/>
            <w:vAlign w:val="top"/>
          </w:tcPr>
          <w:p w14:paraId="51398229">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w:t>
            </w:r>
          </w:p>
        </w:tc>
        <w:tc>
          <w:tcPr>
            <w:tcW w:w="1749" w:type="dxa"/>
            <w:shd w:val="clear" w:color="auto" w:fill="auto"/>
            <w:noWrap w:val="0"/>
            <w:vAlign w:val="top"/>
          </w:tcPr>
          <w:p w14:paraId="671CC346">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0.22</w:t>
            </w:r>
          </w:p>
        </w:tc>
        <w:tc>
          <w:tcPr>
            <w:tcW w:w="1746" w:type="dxa"/>
            <w:shd w:val="clear" w:color="auto" w:fill="auto"/>
            <w:noWrap w:val="0"/>
            <w:vAlign w:val="top"/>
          </w:tcPr>
          <w:p w14:paraId="4B8C9917">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r>
      <w:tr w14:paraId="01333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0010F30F">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0273FF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747" w:type="dxa"/>
            <w:shd w:val="clear" w:color="auto" w:fill="auto"/>
            <w:noWrap w:val="0"/>
            <w:vAlign w:val="top"/>
          </w:tcPr>
          <w:p w14:paraId="017BDC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0.22</w:t>
            </w:r>
          </w:p>
        </w:tc>
        <w:tc>
          <w:tcPr>
            <w:tcW w:w="1749" w:type="dxa"/>
            <w:shd w:val="clear" w:color="auto" w:fill="auto"/>
            <w:noWrap w:val="0"/>
            <w:vAlign w:val="top"/>
          </w:tcPr>
          <w:p w14:paraId="17B155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w:t>
            </w:r>
          </w:p>
        </w:tc>
        <w:tc>
          <w:tcPr>
            <w:tcW w:w="1746" w:type="dxa"/>
            <w:shd w:val="clear" w:color="auto" w:fill="auto"/>
            <w:noWrap w:val="0"/>
            <w:vAlign w:val="top"/>
          </w:tcPr>
          <w:p w14:paraId="46FD44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0.36</w:t>
            </w:r>
          </w:p>
        </w:tc>
      </w:tr>
      <w:tr w14:paraId="4579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4215018D">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1C0BFC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747" w:type="dxa"/>
            <w:shd w:val="clear" w:color="auto" w:fill="auto"/>
            <w:noWrap w:val="0"/>
            <w:vAlign w:val="top"/>
          </w:tcPr>
          <w:p w14:paraId="629355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749" w:type="dxa"/>
            <w:shd w:val="clear" w:color="auto" w:fill="auto"/>
            <w:noWrap w:val="0"/>
            <w:vAlign w:val="top"/>
          </w:tcPr>
          <w:p w14:paraId="02D534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c>
          <w:tcPr>
            <w:tcW w:w="1746" w:type="dxa"/>
            <w:shd w:val="clear" w:color="auto" w:fill="auto"/>
            <w:noWrap w:val="0"/>
            <w:vAlign w:val="top"/>
          </w:tcPr>
          <w:p w14:paraId="6EFFF0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w:t>
            </w:r>
          </w:p>
        </w:tc>
      </w:tr>
      <w:tr w14:paraId="1DC3F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3AB77362">
            <w:pPr>
              <w:jc w:val="center"/>
              <w:rPr>
                <w:rFonts w:hint="default" w:ascii="Times New Roman" w:hAnsi="Times New Roman" w:eastAsia="宋体" w:cs="Times New Roman"/>
                <w:b/>
                <w:bCs/>
                <w:color w:val="auto"/>
                <w:sz w:val="21"/>
                <w:szCs w:val="21"/>
              </w:rPr>
            </w:pPr>
          </w:p>
        </w:tc>
        <w:tc>
          <w:tcPr>
            <w:tcW w:w="2224" w:type="dxa"/>
            <w:tcBorders>
              <w:left w:val="single" w:color="auto" w:sz="4" w:space="0"/>
            </w:tcBorders>
            <w:shd w:val="clear" w:color="auto" w:fill="auto"/>
            <w:noWrap w:val="0"/>
            <w:vAlign w:val="top"/>
          </w:tcPr>
          <w:p w14:paraId="13C6D1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747" w:type="dxa"/>
            <w:shd w:val="clear" w:color="auto" w:fill="auto"/>
            <w:noWrap w:val="0"/>
            <w:vAlign w:val="top"/>
          </w:tcPr>
          <w:p w14:paraId="433053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749" w:type="dxa"/>
            <w:shd w:val="clear" w:color="auto" w:fill="auto"/>
            <w:noWrap w:val="0"/>
            <w:vAlign w:val="top"/>
          </w:tcPr>
          <w:p w14:paraId="161AE8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0.21</w:t>
            </w:r>
          </w:p>
        </w:tc>
        <w:tc>
          <w:tcPr>
            <w:tcW w:w="1746" w:type="dxa"/>
            <w:shd w:val="clear" w:color="auto" w:fill="auto"/>
            <w:noWrap w:val="0"/>
            <w:vAlign w:val="top"/>
          </w:tcPr>
          <w:p w14:paraId="573F53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r>
      <w:tr w14:paraId="0D1A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restart"/>
            <w:tcBorders>
              <w:top w:val="single" w:color="auto" w:sz="4" w:space="0"/>
              <w:left w:val="single" w:color="auto" w:sz="8" w:space="0"/>
              <w:right w:val="single" w:color="auto" w:sz="4" w:space="0"/>
            </w:tcBorders>
            <w:shd w:val="clear" w:color="auto" w:fill="auto"/>
            <w:noWrap w:val="0"/>
            <w:vAlign w:val="center"/>
          </w:tcPr>
          <w:p w14:paraId="287841FC">
            <w:pPr>
              <w:spacing w:line="4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2016.06.27</w:t>
            </w:r>
          </w:p>
        </w:tc>
        <w:tc>
          <w:tcPr>
            <w:tcW w:w="2224" w:type="dxa"/>
            <w:tcBorders>
              <w:top w:val="single" w:color="auto" w:sz="4" w:space="0"/>
              <w:left w:val="single" w:color="auto" w:sz="4" w:space="0"/>
            </w:tcBorders>
            <w:shd w:val="clear" w:color="auto" w:fill="auto"/>
            <w:noWrap w:val="0"/>
            <w:vAlign w:val="top"/>
          </w:tcPr>
          <w:p w14:paraId="373AA490">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747" w:type="dxa"/>
            <w:shd w:val="clear" w:color="auto" w:fill="auto"/>
            <w:noWrap w:val="0"/>
            <w:vAlign w:val="top"/>
          </w:tcPr>
          <w:p w14:paraId="745F9809">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749" w:type="dxa"/>
            <w:shd w:val="clear" w:color="auto" w:fill="auto"/>
            <w:noWrap w:val="0"/>
            <w:vAlign w:val="top"/>
          </w:tcPr>
          <w:p w14:paraId="4F6619EE">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0.19</w:t>
            </w:r>
          </w:p>
        </w:tc>
        <w:tc>
          <w:tcPr>
            <w:tcW w:w="1746" w:type="dxa"/>
            <w:shd w:val="clear" w:color="auto" w:fill="auto"/>
            <w:noWrap w:val="0"/>
            <w:vAlign w:val="top"/>
          </w:tcPr>
          <w:p w14:paraId="586FC045">
            <w:pPr>
              <w:spacing w:line="4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0.22</w:t>
            </w:r>
          </w:p>
        </w:tc>
      </w:tr>
      <w:tr w14:paraId="0EB0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173AB3CA">
            <w:pPr>
              <w:jc w:val="center"/>
              <w:rPr>
                <w:rFonts w:hint="default" w:ascii="Times New Roman" w:hAnsi="Times New Roman" w:eastAsia="宋体" w:cs="Times New Roman"/>
                <w:color w:val="auto"/>
                <w:sz w:val="21"/>
                <w:szCs w:val="21"/>
              </w:rPr>
            </w:pPr>
          </w:p>
        </w:tc>
        <w:tc>
          <w:tcPr>
            <w:tcW w:w="2224" w:type="dxa"/>
            <w:tcBorders>
              <w:left w:val="single" w:color="auto" w:sz="4" w:space="0"/>
            </w:tcBorders>
            <w:shd w:val="clear" w:color="auto" w:fill="auto"/>
            <w:noWrap w:val="0"/>
            <w:vAlign w:val="top"/>
          </w:tcPr>
          <w:p w14:paraId="78B71D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747" w:type="dxa"/>
            <w:shd w:val="clear" w:color="auto" w:fill="auto"/>
            <w:noWrap w:val="0"/>
            <w:vAlign w:val="top"/>
          </w:tcPr>
          <w:p w14:paraId="764F60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0.28</w:t>
            </w:r>
          </w:p>
        </w:tc>
        <w:tc>
          <w:tcPr>
            <w:tcW w:w="1749" w:type="dxa"/>
            <w:shd w:val="clear" w:color="auto" w:fill="auto"/>
            <w:noWrap w:val="0"/>
            <w:vAlign w:val="top"/>
          </w:tcPr>
          <w:p w14:paraId="76D546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746" w:type="dxa"/>
            <w:shd w:val="clear" w:color="auto" w:fill="auto"/>
            <w:noWrap w:val="0"/>
            <w:vAlign w:val="top"/>
          </w:tcPr>
          <w:p w14:paraId="1F38A8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r>
      <w:tr w14:paraId="6C9A0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029714B1">
            <w:pPr>
              <w:jc w:val="center"/>
              <w:rPr>
                <w:rFonts w:hint="default" w:ascii="Times New Roman" w:hAnsi="Times New Roman" w:eastAsia="宋体" w:cs="Times New Roman"/>
                <w:color w:val="auto"/>
                <w:sz w:val="21"/>
                <w:szCs w:val="21"/>
              </w:rPr>
            </w:pPr>
          </w:p>
        </w:tc>
        <w:tc>
          <w:tcPr>
            <w:tcW w:w="2224" w:type="dxa"/>
            <w:tcBorders>
              <w:left w:val="single" w:color="auto" w:sz="4" w:space="0"/>
            </w:tcBorders>
            <w:shd w:val="clear" w:color="auto" w:fill="auto"/>
            <w:noWrap w:val="0"/>
            <w:vAlign w:val="top"/>
          </w:tcPr>
          <w:p w14:paraId="37881D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747" w:type="dxa"/>
            <w:shd w:val="clear" w:color="auto" w:fill="auto"/>
            <w:noWrap w:val="0"/>
            <w:vAlign w:val="top"/>
          </w:tcPr>
          <w:p w14:paraId="31E10B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1749" w:type="dxa"/>
            <w:shd w:val="clear" w:color="auto" w:fill="auto"/>
            <w:noWrap w:val="0"/>
            <w:vAlign w:val="top"/>
          </w:tcPr>
          <w:p w14:paraId="3EB473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0.27</w:t>
            </w:r>
          </w:p>
        </w:tc>
        <w:tc>
          <w:tcPr>
            <w:tcW w:w="1746" w:type="dxa"/>
            <w:shd w:val="clear" w:color="auto" w:fill="auto"/>
            <w:noWrap w:val="0"/>
            <w:vAlign w:val="top"/>
          </w:tcPr>
          <w:p w14:paraId="2C5D926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0.35</w:t>
            </w:r>
          </w:p>
        </w:tc>
      </w:tr>
      <w:tr w14:paraId="2D3E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0" w:type="dxa"/>
            <w:vMerge w:val="continue"/>
            <w:tcBorders>
              <w:left w:val="single" w:color="auto" w:sz="8" w:space="0"/>
              <w:right w:val="single" w:color="auto" w:sz="4" w:space="0"/>
            </w:tcBorders>
            <w:shd w:val="clear" w:color="auto" w:fill="auto"/>
            <w:noWrap w:val="0"/>
            <w:vAlign w:val="top"/>
          </w:tcPr>
          <w:p w14:paraId="6B93ADD9">
            <w:pPr>
              <w:jc w:val="center"/>
              <w:rPr>
                <w:rFonts w:hint="default" w:ascii="Times New Roman" w:hAnsi="Times New Roman" w:eastAsia="宋体" w:cs="Times New Roman"/>
                <w:color w:val="auto"/>
                <w:sz w:val="21"/>
                <w:szCs w:val="21"/>
              </w:rPr>
            </w:pPr>
          </w:p>
        </w:tc>
        <w:tc>
          <w:tcPr>
            <w:tcW w:w="2224" w:type="dxa"/>
            <w:tcBorders>
              <w:left w:val="single" w:color="auto" w:sz="4" w:space="0"/>
            </w:tcBorders>
            <w:shd w:val="clear" w:color="auto" w:fill="auto"/>
            <w:noWrap w:val="0"/>
            <w:vAlign w:val="top"/>
          </w:tcPr>
          <w:p w14:paraId="2DD493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747" w:type="dxa"/>
            <w:shd w:val="clear" w:color="auto" w:fill="auto"/>
            <w:noWrap w:val="0"/>
            <w:vAlign w:val="top"/>
          </w:tcPr>
          <w:p w14:paraId="6A7E44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w:t>
            </w:r>
          </w:p>
        </w:tc>
        <w:tc>
          <w:tcPr>
            <w:tcW w:w="1749" w:type="dxa"/>
            <w:shd w:val="clear" w:color="auto" w:fill="auto"/>
            <w:noWrap w:val="0"/>
            <w:vAlign w:val="top"/>
          </w:tcPr>
          <w:p w14:paraId="78835A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0.22</w:t>
            </w:r>
          </w:p>
        </w:tc>
        <w:tc>
          <w:tcPr>
            <w:tcW w:w="1746" w:type="dxa"/>
            <w:shd w:val="clear" w:color="auto" w:fill="auto"/>
            <w:noWrap w:val="0"/>
            <w:vAlign w:val="top"/>
          </w:tcPr>
          <w:p w14:paraId="44667F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w:t>
            </w:r>
          </w:p>
        </w:tc>
      </w:tr>
      <w:tr w14:paraId="7645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4" w:type="dxa"/>
            <w:gridSpan w:val="2"/>
            <w:tcBorders>
              <w:left w:val="single" w:color="auto" w:sz="8" w:space="0"/>
            </w:tcBorders>
            <w:shd w:val="clear" w:color="auto" w:fill="auto"/>
            <w:noWrap w:val="0"/>
            <w:vAlign w:val="top"/>
          </w:tcPr>
          <w:p w14:paraId="7AD7C9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747" w:type="dxa"/>
            <w:shd w:val="clear" w:color="auto" w:fill="auto"/>
            <w:noWrap w:val="0"/>
            <w:vAlign w:val="top"/>
          </w:tcPr>
          <w:p w14:paraId="239A7F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≤2.0</w:t>
            </w:r>
          </w:p>
        </w:tc>
        <w:tc>
          <w:tcPr>
            <w:tcW w:w="1749" w:type="dxa"/>
            <w:shd w:val="clear" w:color="auto" w:fill="auto"/>
            <w:noWrap w:val="0"/>
            <w:vAlign w:val="top"/>
          </w:tcPr>
          <w:p w14:paraId="5239EF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≤2.0</w:t>
            </w:r>
          </w:p>
        </w:tc>
        <w:tc>
          <w:tcPr>
            <w:tcW w:w="1746" w:type="dxa"/>
            <w:shd w:val="clear" w:color="auto" w:fill="auto"/>
            <w:noWrap w:val="0"/>
            <w:vAlign w:val="top"/>
          </w:tcPr>
          <w:p w14:paraId="223AD7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zh-CN"/>
              </w:rPr>
              <w:t>≤2.0</w:t>
            </w:r>
          </w:p>
        </w:tc>
      </w:tr>
      <w:tr w14:paraId="6F4E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4" w:type="dxa"/>
            <w:gridSpan w:val="2"/>
            <w:tcBorders>
              <w:left w:val="single" w:color="auto" w:sz="8" w:space="0"/>
            </w:tcBorders>
            <w:shd w:val="clear" w:color="auto" w:fill="auto"/>
            <w:noWrap w:val="0"/>
            <w:vAlign w:val="top"/>
          </w:tcPr>
          <w:p w14:paraId="31479D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c>
          <w:tcPr>
            <w:tcW w:w="1747" w:type="dxa"/>
            <w:shd w:val="clear" w:color="auto" w:fill="auto"/>
            <w:noWrap w:val="0"/>
            <w:vAlign w:val="top"/>
          </w:tcPr>
          <w:p w14:paraId="683506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749" w:type="dxa"/>
            <w:shd w:val="clear" w:color="auto" w:fill="auto"/>
            <w:noWrap w:val="0"/>
            <w:vAlign w:val="top"/>
          </w:tcPr>
          <w:p w14:paraId="7EB580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1746" w:type="dxa"/>
            <w:shd w:val="clear" w:color="auto" w:fill="auto"/>
            <w:noWrap w:val="0"/>
            <w:vAlign w:val="top"/>
          </w:tcPr>
          <w:p w14:paraId="40E4AD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6D020F5F">
      <w:pPr>
        <w:spacing w:line="360" w:lineRule="auto"/>
        <w:ind w:firstLine="527" w:firstLineChars="250"/>
        <w:rPr>
          <w:rFonts w:hint="default" w:ascii="Times New Roman" w:hAnsi="Times New Roman" w:eastAsia="宋体" w:cs="Times New Roman"/>
          <w:b/>
          <w:bCs/>
          <w:iCs/>
          <w:color w:val="auto"/>
          <w:sz w:val="21"/>
          <w:szCs w:val="21"/>
        </w:rPr>
      </w:pPr>
      <w:r>
        <w:rPr>
          <w:rFonts w:hint="default" w:ascii="Times New Roman" w:hAnsi="Times New Roman" w:eastAsia="宋体" w:cs="Times New Roman"/>
          <w:b/>
          <w:bCs/>
          <w:color w:val="auto"/>
          <w:sz w:val="21"/>
          <w:szCs w:val="21"/>
        </w:rPr>
        <w:t>根据监测结果</w:t>
      </w:r>
      <w:r>
        <w:rPr>
          <w:rFonts w:hint="default" w:ascii="Times New Roman" w:hAnsi="Times New Roman" w:eastAsia="宋体" w:cs="Times New Roman"/>
          <w:b/>
          <w:bCs/>
          <w:iCs/>
          <w:color w:val="auto"/>
          <w:sz w:val="21"/>
          <w:szCs w:val="21"/>
        </w:rPr>
        <w:t>非甲烷总烃满足《大气污染物综合排放标准详解》中的要求执行，即</w:t>
      </w:r>
      <w:r>
        <w:rPr>
          <w:rFonts w:hint="default" w:ascii="Times New Roman" w:hAnsi="Times New Roman" w:eastAsia="宋体" w:cs="Times New Roman"/>
          <w:b/>
          <w:bCs/>
          <w:color w:val="auto"/>
          <w:sz w:val="21"/>
          <w:szCs w:val="21"/>
          <w:shd w:val="clear" w:color="auto" w:fill="FFFFFF"/>
        </w:rPr>
        <w:t>2mg/m</w:t>
      </w:r>
      <w:r>
        <w:rPr>
          <w:rFonts w:hint="default" w:ascii="Times New Roman" w:hAnsi="Times New Roman" w:eastAsia="宋体" w:cs="Times New Roman"/>
          <w:b/>
          <w:bCs/>
          <w:color w:val="auto"/>
          <w:sz w:val="21"/>
          <w:szCs w:val="21"/>
          <w:shd w:val="clear" w:color="auto" w:fill="FFFFFF"/>
          <w:vertAlign w:val="superscript"/>
        </w:rPr>
        <w:t>3</w:t>
      </w:r>
      <w:r>
        <w:rPr>
          <w:rFonts w:hint="default" w:ascii="Times New Roman" w:hAnsi="Times New Roman" w:eastAsia="宋体" w:cs="Times New Roman"/>
          <w:b/>
          <w:bCs/>
          <w:iCs/>
          <w:color w:val="auto"/>
          <w:sz w:val="21"/>
          <w:szCs w:val="21"/>
        </w:rPr>
        <w:t>。</w:t>
      </w:r>
    </w:p>
    <w:p w14:paraId="10BF71C1">
      <w:pPr>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 w:val="24"/>
        </w:rPr>
        <w:t>表4.3-</w:t>
      </w:r>
      <w:r>
        <w:rPr>
          <w:rFonts w:hint="eastAsia" w:ascii="Times New Roman" w:hAnsi="Times New Roman" w:cs="Times New Roman"/>
          <w:b/>
          <w:color w:val="auto"/>
          <w:sz w:val="24"/>
          <w:lang w:val="en-US" w:eastAsia="zh-CN"/>
        </w:rPr>
        <w:t>5</w:t>
      </w:r>
      <w:r>
        <w:rPr>
          <w:rFonts w:hint="default" w:ascii="Times New Roman" w:hAnsi="Times New Roman" w:eastAsia="宋体" w:cs="Times New Roman"/>
          <w:b/>
          <w:color w:val="auto"/>
          <w:sz w:val="24"/>
        </w:rPr>
        <w:t xml:space="preserve"> 二氧化硫小时、日均浓度检测结果</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Cs w:val="21"/>
        </w:rPr>
        <w:t xml:space="preserve"> 单位：mg/m</w:t>
      </w:r>
      <w:r>
        <w:rPr>
          <w:rFonts w:hint="default" w:ascii="Times New Roman" w:hAnsi="Times New Roman" w:eastAsia="宋体" w:cs="Times New Roman"/>
          <w:color w:val="auto"/>
          <w:szCs w:val="21"/>
          <w:vertAlign w:val="superscript"/>
        </w:rPr>
        <w:t>3</w:t>
      </w:r>
    </w:p>
    <w:tbl>
      <w:tblPr>
        <w:tblStyle w:val="66"/>
        <w:tblpPr w:leftFromText="180" w:rightFromText="180" w:vertAnchor="text" w:horzAnchor="margin" w:tblpXSpec="center" w:tblpY="52"/>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846"/>
        <w:gridCol w:w="1275"/>
        <w:gridCol w:w="1135"/>
        <w:gridCol w:w="1133"/>
        <w:gridCol w:w="1110"/>
        <w:gridCol w:w="1434"/>
      </w:tblGrid>
      <w:tr w14:paraId="513F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369" w:type="dxa"/>
            <w:gridSpan w:val="2"/>
            <w:tcBorders>
              <w:top w:val="single" w:color="auto" w:sz="8" w:space="0"/>
              <w:left w:val="single" w:color="auto" w:sz="8" w:space="0"/>
              <w:tl2br w:val="single" w:color="auto" w:sz="4" w:space="0"/>
            </w:tcBorders>
            <w:shd w:val="clear" w:color="auto" w:fill="auto"/>
            <w:noWrap w:val="0"/>
            <w:vAlign w:val="top"/>
          </w:tcPr>
          <w:p w14:paraId="7FEF11AF">
            <w:pPr>
              <w:spacing w:line="340" w:lineRule="exact"/>
              <w:ind w:firstLine="105" w:firstLineChars="50"/>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地 点</w:t>
            </w:r>
          </w:p>
          <w:p w14:paraId="27606377">
            <w:pPr>
              <w:spacing w:line="34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日期/时段</w:t>
            </w:r>
          </w:p>
        </w:tc>
        <w:tc>
          <w:tcPr>
            <w:tcW w:w="1275" w:type="dxa"/>
            <w:tcBorders>
              <w:top w:val="single" w:color="auto" w:sz="8" w:space="0"/>
            </w:tcBorders>
            <w:shd w:val="clear" w:color="auto" w:fill="auto"/>
            <w:noWrap w:val="0"/>
            <w:vAlign w:val="center"/>
          </w:tcPr>
          <w:p w14:paraId="5BAE04E8">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弄转村</w:t>
            </w:r>
          </w:p>
        </w:tc>
        <w:tc>
          <w:tcPr>
            <w:tcW w:w="1135" w:type="dxa"/>
            <w:tcBorders>
              <w:top w:val="single" w:color="auto" w:sz="8" w:space="0"/>
              <w:right w:val="single" w:color="auto" w:sz="4" w:space="0"/>
            </w:tcBorders>
            <w:shd w:val="clear" w:color="auto" w:fill="auto"/>
            <w:noWrap w:val="0"/>
            <w:vAlign w:val="center"/>
          </w:tcPr>
          <w:p w14:paraId="03CDF7CC">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帕底村</w:t>
            </w:r>
          </w:p>
        </w:tc>
        <w:tc>
          <w:tcPr>
            <w:tcW w:w="1133" w:type="dxa"/>
            <w:tcBorders>
              <w:top w:val="single" w:color="auto" w:sz="8" w:space="0"/>
              <w:left w:val="single" w:color="auto" w:sz="4" w:space="0"/>
              <w:right w:val="single" w:color="auto" w:sz="6" w:space="0"/>
            </w:tcBorders>
            <w:shd w:val="clear" w:color="auto" w:fill="auto"/>
            <w:noWrap w:val="0"/>
            <w:vAlign w:val="center"/>
          </w:tcPr>
          <w:p w14:paraId="31E8E749">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帕底分场</w:t>
            </w:r>
          </w:p>
          <w:p w14:paraId="0577750A">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八队</w:t>
            </w:r>
          </w:p>
        </w:tc>
        <w:tc>
          <w:tcPr>
            <w:tcW w:w="1110" w:type="dxa"/>
            <w:tcBorders>
              <w:top w:val="single" w:color="auto" w:sz="8" w:space="0"/>
              <w:left w:val="single" w:color="auto" w:sz="6" w:space="0"/>
              <w:right w:val="single" w:color="auto" w:sz="8" w:space="0"/>
            </w:tcBorders>
            <w:noWrap w:val="0"/>
            <w:vAlign w:val="top"/>
          </w:tcPr>
          <w:p w14:paraId="4DC9FBF0">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434" w:type="dxa"/>
            <w:tcBorders>
              <w:top w:val="single" w:color="auto" w:sz="8" w:space="0"/>
              <w:left w:val="single" w:color="auto" w:sz="6" w:space="0"/>
              <w:right w:val="single" w:color="auto" w:sz="8" w:space="0"/>
            </w:tcBorders>
            <w:noWrap w:val="0"/>
            <w:vAlign w:val="top"/>
          </w:tcPr>
          <w:p w14:paraId="0EA253D8">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79FB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restart"/>
            <w:tcBorders>
              <w:top w:val="single" w:color="auto" w:sz="4" w:space="0"/>
              <w:left w:val="single" w:color="auto" w:sz="8" w:space="0"/>
              <w:right w:val="single" w:color="auto" w:sz="4" w:space="0"/>
            </w:tcBorders>
            <w:shd w:val="clear" w:color="auto" w:fill="auto"/>
            <w:noWrap w:val="0"/>
            <w:vAlign w:val="center"/>
          </w:tcPr>
          <w:p w14:paraId="3C409D16">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2016.06.21</w:t>
            </w:r>
          </w:p>
        </w:tc>
        <w:tc>
          <w:tcPr>
            <w:tcW w:w="1846" w:type="dxa"/>
            <w:tcBorders>
              <w:top w:val="single" w:color="auto" w:sz="4" w:space="0"/>
              <w:left w:val="single" w:color="auto" w:sz="4" w:space="0"/>
            </w:tcBorders>
            <w:shd w:val="clear" w:color="auto" w:fill="auto"/>
            <w:noWrap w:val="0"/>
            <w:vAlign w:val="top"/>
          </w:tcPr>
          <w:p w14:paraId="261B908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275" w:type="dxa"/>
            <w:tcBorders>
              <w:top w:val="single" w:color="auto" w:sz="4" w:space="0"/>
            </w:tcBorders>
            <w:shd w:val="clear" w:color="auto" w:fill="auto"/>
            <w:noWrap w:val="0"/>
            <w:vAlign w:val="top"/>
          </w:tcPr>
          <w:p w14:paraId="5407E8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tcBorders>
              <w:top w:val="single" w:color="auto" w:sz="4" w:space="0"/>
            </w:tcBorders>
            <w:shd w:val="clear" w:color="auto" w:fill="auto"/>
            <w:noWrap w:val="0"/>
            <w:vAlign w:val="top"/>
          </w:tcPr>
          <w:p w14:paraId="6B52FF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3" w:type="dxa"/>
            <w:tcBorders>
              <w:top w:val="single" w:color="auto" w:sz="4" w:space="0"/>
            </w:tcBorders>
            <w:shd w:val="clear" w:color="auto" w:fill="auto"/>
            <w:noWrap w:val="0"/>
            <w:vAlign w:val="top"/>
          </w:tcPr>
          <w:p w14:paraId="738B42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10" w:type="dxa"/>
            <w:tcBorders>
              <w:top w:val="single" w:color="auto" w:sz="4" w:space="0"/>
              <w:left w:val="single" w:color="auto" w:sz="6" w:space="0"/>
              <w:right w:val="single" w:color="auto" w:sz="8" w:space="0"/>
            </w:tcBorders>
            <w:noWrap w:val="0"/>
            <w:vAlign w:val="top"/>
          </w:tcPr>
          <w:p w14:paraId="0B184A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top w:val="single" w:color="auto" w:sz="4" w:space="0"/>
              <w:left w:val="single" w:color="auto" w:sz="6" w:space="0"/>
              <w:right w:val="single" w:color="auto" w:sz="8" w:space="0"/>
            </w:tcBorders>
            <w:noWrap w:val="0"/>
            <w:vAlign w:val="top"/>
          </w:tcPr>
          <w:p w14:paraId="56D2D3AD">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ECC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0E83080B">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54B414BD">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275" w:type="dxa"/>
            <w:shd w:val="clear" w:color="auto" w:fill="auto"/>
            <w:noWrap w:val="0"/>
            <w:vAlign w:val="top"/>
          </w:tcPr>
          <w:p w14:paraId="24E4CE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shd w:val="clear" w:color="auto" w:fill="auto"/>
            <w:noWrap w:val="0"/>
            <w:vAlign w:val="top"/>
          </w:tcPr>
          <w:p w14:paraId="4116E5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57A3F1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10" w:type="dxa"/>
            <w:tcBorders>
              <w:right w:val="single" w:color="auto" w:sz="8" w:space="0"/>
            </w:tcBorders>
            <w:noWrap w:val="0"/>
            <w:vAlign w:val="top"/>
          </w:tcPr>
          <w:p w14:paraId="1C46DE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111F99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2DE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412ADC53">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770E5BC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275" w:type="dxa"/>
            <w:shd w:val="clear" w:color="auto" w:fill="auto"/>
            <w:noWrap w:val="0"/>
            <w:vAlign w:val="top"/>
          </w:tcPr>
          <w:p w14:paraId="4BD8A7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shd w:val="clear" w:color="auto" w:fill="auto"/>
            <w:noWrap w:val="0"/>
            <w:vAlign w:val="top"/>
          </w:tcPr>
          <w:p w14:paraId="2925DE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7AB069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10" w:type="dxa"/>
            <w:tcBorders>
              <w:right w:val="single" w:color="auto" w:sz="8" w:space="0"/>
            </w:tcBorders>
            <w:noWrap w:val="0"/>
            <w:vAlign w:val="top"/>
          </w:tcPr>
          <w:p w14:paraId="723A04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4B0385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5FF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39611DB6">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33392CBD">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275" w:type="dxa"/>
            <w:shd w:val="clear" w:color="auto" w:fill="auto"/>
            <w:noWrap w:val="0"/>
            <w:vAlign w:val="top"/>
          </w:tcPr>
          <w:p w14:paraId="25EA35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5" w:type="dxa"/>
            <w:shd w:val="clear" w:color="auto" w:fill="auto"/>
            <w:noWrap w:val="0"/>
            <w:vAlign w:val="top"/>
          </w:tcPr>
          <w:p w14:paraId="2DC9C2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3" w:type="dxa"/>
            <w:shd w:val="clear" w:color="auto" w:fill="auto"/>
            <w:noWrap w:val="0"/>
            <w:vAlign w:val="top"/>
          </w:tcPr>
          <w:p w14:paraId="0CC23C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10" w:type="dxa"/>
            <w:tcBorders>
              <w:right w:val="single" w:color="auto" w:sz="8" w:space="0"/>
            </w:tcBorders>
            <w:noWrap w:val="0"/>
            <w:vAlign w:val="top"/>
          </w:tcPr>
          <w:p w14:paraId="12BAA0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373D23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A3C8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2F3511A7">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CD5BAD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275" w:type="dxa"/>
            <w:shd w:val="clear" w:color="auto" w:fill="auto"/>
            <w:noWrap w:val="0"/>
            <w:vAlign w:val="center"/>
          </w:tcPr>
          <w:p w14:paraId="5CE6DE4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0BF908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3" w:type="dxa"/>
            <w:shd w:val="clear" w:color="auto" w:fill="auto"/>
            <w:noWrap w:val="0"/>
            <w:vAlign w:val="top"/>
          </w:tcPr>
          <w:p w14:paraId="00B797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10" w:type="dxa"/>
            <w:tcBorders>
              <w:right w:val="single" w:color="auto" w:sz="8" w:space="0"/>
            </w:tcBorders>
            <w:noWrap w:val="0"/>
            <w:vAlign w:val="top"/>
          </w:tcPr>
          <w:p w14:paraId="144D18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434" w:type="dxa"/>
            <w:tcBorders>
              <w:right w:val="single" w:color="auto" w:sz="8" w:space="0"/>
            </w:tcBorders>
            <w:noWrap w:val="0"/>
            <w:vAlign w:val="top"/>
          </w:tcPr>
          <w:p w14:paraId="577104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932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restart"/>
            <w:tcBorders>
              <w:left w:val="single" w:color="auto" w:sz="8" w:space="0"/>
              <w:right w:val="single" w:color="auto" w:sz="4" w:space="0"/>
            </w:tcBorders>
            <w:shd w:val="clear" w:color="auto" w:fill="auto"/>
            <w:noWrap w:val="0"/>
            <w:vAlign w:val="center"/>
          </w:tcPr>
          <w:p w14:paraId="313A81E3">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2016.06.22</w:t>
            </w:r>
          </w:p>
        </w:tc>
        <w:tc>
          <w:tcPr>
            <w:tcW w:w="1846" w:type="dxa"/>
            <w:tcBorders>
              <w:left w:val="single" w:color="auto" w:sz="4" w:space="0"/>
            </w:tcBorders>
            <w:shd w:val="clear" w:color="auto" w:fill="auto"/>
            <w:noWrap w:val="0"/>
            <w:vAlign w:val="top"/>
          </w:tcPr>
          <w:p w14:paraId="4D44F874">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275" w:type="dxa"/>
            <w:shd w:val="clear" w:color="auto" w:fill="auto"/>
            <w:noWrap w:val="0"/>
            <w:vAlign w:val="top"/>
          </w:tcPr>
          <w:p w14:paraId="624985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shd w:val="clear" w:color="auto" w:fill="auto"/>
            <w:noWrap w:val="0"/>
            <w:vAlign w:val="top"/>
          </w:tcPr>
          <w:p w14:paraId="465ABF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3" w:type="dxa"/>
            <w:shd w:val="clear" w:color="auto" w:fill="auto"/>
            <w:noWrap w:val="0"/>
            <w:vAlign w:val="top"/>
          </w:tcPr>
          <w:p w14:paraId="297DD8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10" w:type="dxa"/>
            <w:tcBorders>
              <w:right w:val="single" w:color="auto" w:sz="8" w:space="0"/>
            </w:tcBorders>
            <w:noWrap w:val="0"/>
            <w:vAlign w:val="top"/>
          </w:tcPr>
          <w:p w14:paraId="6E991A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7422B412">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2B2B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1C60E754">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7CFCB9F5">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275" w:type="dxa"/>
            <w:shd w:val="clear" w:color="auto" w:fill="auto"/>
            <w:noWrap w:val="0"/>
            <w:vAlign w:val="top"/>
          </w:tcPr>
          <w:p w14:paraId="554773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5" w:type="dxa"/>
            <w:shd w:val="clear" w:color="auto" w:fill="auto"/>
            <w:noWrap w:val="0"/>
            <w:vAlign w:val="top"/>
          </w:tcPr>
          <w:p w14:paraId="43B9F8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3" w:type="dxa"/>
            <w:shd w:val="clear" w:color="auto" w:fill="auto"/>
            <w:noWrap w:val="0"/>
            <w:vAlign w:val="top"/>
          </w:tcPr>
          <w:p w14:paraId="0CDCA2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10" w:type="dxa"/>
            <w:tcBorders>
              <w:right w:val="single" w:color="auto" w:sz="8" w:space="0"/>
            </w:tcBorders>
            <w:noWrap w:val="0"/>
            <w:vAlign w:val="top"/>
          </w:tcPr>
          <w:p w14:paraId="1A6DFF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70C2E1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201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2F2CA8D1">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0683E9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275" w:type="dxa"/>
            <w:shd w:val="clear" w:color="auto" w:fill="auto"/>
            <w:noWrap w:val="0"/>
            <w:vAlign w:val="top"/>
          </w:tcPr>
          <w:p w14:paraId="7A1AA7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shd w:val="clear" w:color="auto" w:fill="auto"/>
            <w:noWrap w:val="0"/>
            <w:vAlign w:val="top"/>
          </w:tcPr>
          <w:p w14:paraId="165A92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219244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10" w:type="dxa"/>
            <w:tcBorders>
              <w:right w:val="single" w:color="auto" w:sz="8" w:space="0"/>
            </w:tcBorders>
            <w:noWrap w:val="0"/>
            <w:vAlign w:val="top"/>
          </w:tcPr>
          <w:p w14:paraId="14ED04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790642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BF1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5DE191AF">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5B86C5F8">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275" w:type="dxa"/>
            <w:shd w:val="clear" w:color="auto" w:fill="auto"/>
            <w:noWrap w:val="0"/>
            <w:vAlign w:val="top"/>
          </w:tcPr>
          <w:p w14:paraId="1C57BE7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23C6D5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3" w:type="dxa"/>
            <w:shd w:val="clear" w:color="auto" w:fill="auto"/>
            <w:noWrap w:val="0"/>
            <w:vAlign w:val="top"/>
          </w:tcPr>
          <w:p w14:paraId="6D5F1F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10" w:type="dxa"/>
            <w:tcBorders>
              <w:right w:val="single" w:color="auto" w:sz="8" w:space="0"/>
            </w:tcBorders>
            <w:noWrap w:val="0"/>
            <w:vAlign w:val="top"/>
          </w:tcPr>
          <w:p w14:paraId="09C76D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126C2D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7BF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2E94EE19">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46794E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275" w:type="dxa"/>
            <w:shd w:val="clear" w:color="auto" w:fill="auto"/>
            <w:noWrap w:val="0"/>
            <w:vAlign w:val="top"/>
          </w:tcPr>
          <w:p w14:paraId="655B53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03F04E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3" w:type="dxa"/>
            <w:shd w:val="clear" w:color="auto" w:fill="auto"/>
            <w:noWrap w:val="0"/>
            <w:vAlign w:val="top"/>
          </w:tcPr>
          <w:p w14:paraId="2763CC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10" w:type="dxa"/>
            <w:tcBorders>
              <w:right w:val="single" w:color="auto" w:sz="8" w:space="0"/>
            </w:tcBorders>
            <w:noWrap w:val="0"/>
            <w:vAlign w:val="top"/>
          </w:tcPr>
          <w:p w14:paraId="2D051D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434" w:type="dxa"/>
            <w:tcBorders>
              <w:right w:val="single" w:color="auto" w:sz="8" w:space="0"/>
            </w:tcBorders>
            <w:noWrap w:val="0"/>
            <w:vAlign w:val="top"/>
          </w:tcPr>
          <w:p w14:paraId="5A1307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9DC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restart"/>
            <w:tcBorders>
              <w:top w:val="single" w:color="auto" w:sz="4" w:space="0"/>
              <w:left w:val="single" w:color="auto" w:sz="8" w:space="0"/>
              <w:right w:val="single" w:color="auto" w:sz="4" w:space="0"/>
            </w:tcBorders>
            <w:shd w:val="clear" w:color="auto" w:fill="auto"/>
            <w:noWrap w:val="0"/>
            <w:vAlign w:val="center"/>
          </w:tcPr>
          <w:p w14:paraId="626ACCDB">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2016.06.23</w:t>
            </w:r>
          </w:p>
        </w:tc>
        <w:tc>
          <w:tcPr>
            <w:tcW w:w="1846" w:type="dxa"/>
            <w:tcBorders>
              <w:top w:val="single" w:color="auto" w:sz="4" w:space="0"/>
              <w:left w:val="single" w:color="auto" w:sz="4" w:space="0"/>
            </w:tcBorders>
            <w:shd w:val="clear" w:color="auto" w:fill="auto"/>
            <w:noWrap w:val="0"/>
            <w:vAlign w:val="top"/>
          </w:tcPr>
          <w:p w14:paraId="184F6E87">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275" w:type="dxa"/>
            <w:shd w:val="clear" w:color="auto" w:fill="auto"/>
            <w:noWrap w:val="0"/>
            <w:vAlign w:val="top"/>
          </w:tcPr>
          <w:p w14:paraId="40703F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shd w:val="clear" w:color="auto" w:fill="auto"/>
            <w:noWrap w:val="0"/>
            <w:vAlign w:val="top"/>
          </w:tcPr>
          <w:p w14:paraId="3FA901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3" w:type="dxa"/>
            <w:shd w:val="clear" w:color="auto" w:fill="auto"/>
            <w:noWrap w:val="0"/>
            <w:vAlign w:val="top"/>
          </w:tcPr>
          <w:p w14:paraId="1C5F65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10" w:type="dxa"/>
            <w:tcBorders>
              <w:right w:val="single" w:color="auto" w:sz="8" w:space="0"/>
            </w:tcBorders>
            <w:noWrap w:val="0"/>
            <w:vAlign w:val="top"/>
          </w:tcPr>
          <w:p w14:paraId="739376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2218DE55">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282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78537AB6">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3641C054">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275" w:type="dxa"/>
            <w:shd w:val="clear" w:color="auto" w:fill="auto"/>
            <w:noWrap w:val="0"/>
            <w:vAlign w:val="top"/>
          </w:tcPr>
          <w:p w14:paraId="4DD6DA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3A7B22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3" w:type="dxa"/>
            <w:shd w:val="clear" w:color="auto" w:fill="auto"/>
            <w:noWrap w:val="0"/>
            <w:vAlign w:val="top"/>
          </w:tcPr>
          <w:p w14:paraId="5779C6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10" w:type="dxa"/>
            <w:tcBorders>
              <w:right w:val="single" w:color="auto" w:sz="8" w:space="0"/>
            </w:tcBorders>
            <w:noWrap w:val="0"/>
            <w:vAlign w:val="top"/>
          </w:tcPr>
          <w:p w14:paraId="02927E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4D05D4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693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1F5F4E9F">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389605D1">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275" w:type="dxa"/>
            <w:shd w:val="clear" w:color="auto" w:fill="auto"/>
            <w:noWrap w:val="0"/>
            <w:vAlign w:val="top"/>
          </w:tcPr>
          <w:p w14:paraId="24F4EA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shd w:val="clear" w:color="auto" w:fill="auto"/>
            <w:noWrap w:val="0"/>
            <w:vAlign w:val="top"/>
          </w:tcPr>
          <w:p w14:paraId="1AF013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6812FA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10" w:type="dxa"/>
            <w:tcBorders>
              <w:right w:val="single" w:color="auto" w:sz="8" w:space="0"/>
            </w:tcBorders>
            <w:noWrap w:val="0"/>
            <w:vAlign w:val="top"/>
          </w:tcPr>
          <w:p w14:paraId="7C3037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394219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A1A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5683EFC3">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777ED0A2">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275" w:type="dxa"/>
            <w:shd w:val="clear" w:color="auto" w:fill="auto"/>
            <w:noWrap w:val="0"/>
            <w:vAlign w:val="top"/>
          </w:tcPr>
          <w:p w14:paraId="22AA15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160E7F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76C4D4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10" w:type="dxa"/>
            <w:tcBorders>
              <w:right w:val="single" w:color="auto" w:sz="8" w:space="0"/>
            </w:tcBorders>
            <w:noWrap w:val="0"/>
            <w:vAlign w:val="top"/>
          </w:tcPr>
          <w:p w14:paraId="167E39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2E7584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A39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4B2A98C9">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1338F4F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275" w:type="dxa"/>
            <w:shd w:val="clear" w:color="auto" w:fill="auto"/>
            <w:noWrap w:val="0"/>
            <w:vAlign w:val="top"/>
          </w:tcPr>
          <w:p w14:paraId="0F781F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68BE34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3" w:type="dxa"/>
            <w:shd w:val="clear" w:color="auto" w:fill="auto"/>
            <w:noWrap w:val="0"/>
            <w:vAlign w:val="top"/>
          </w:tcPr>
          <w:p w14:paraId="7690F5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10" w:type="dxa"/>
            <w:tcBorders>
              <w:right w:val="single" w:color="auto" w:sz="8" w:space="0"/>
            </w:tcBorders>
            <w:noWrap w:val="0"/>
            <w:vAlign w:val="top"/>
          </w:tcPr>
          <w:p w14:paraId="793E4C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434" w:type="dxa"/>
            <w:tcBorders>
              <w:right w:val="single" w:color="auto" w:sz="8" w:space="0"/>
            </w:tcBorders>
            <w:noWrap w:val="0"/>
            <w:vAlign w:val="top"/>
          </w:tcPr>
          <w:p w14:paraId="16C6A1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9A7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restart"/>
            <w:tcBorders>
              <w:left w:val="single" w:color="auto" w:sz="8" w:space="0"/>
              <w:right w:val="single" w:color="auto" w:sz="4" w:space="0"/>
            </w:tcBorders>
            <w:shd w:val="clear" w:color="auto" w:fill="auto"/>
            <w:noWrap w:val="0"/>
            <w:vAlign w:val="center"/>
          </w:tcPr>
          <w:p w14:paraId="709FF31B">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2016.06.24</w:t>
            </w:r>
          </w:p>
        </w:tc>
        <w:tc>
          <w:tcPr>
            <w:tcW w:w="1846" w:type="dxa"/>
            <w:tcBorders>
              <w:left w:val="single" w:color="auto" w:sz="4" w:space="0"/>
            </w:tcBorders>
            <w:shd w:val="clear" w:color="auto" w:fill="auto"/>
            <w:noWrap w:val="0"/>
            <w:vAlign w:val="top"/>
          </w:tcPr>
          <w:p w14:paraId="29714A1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275" w:type="dxa"/>
            <w:shd w:val="clear" w:color="auto" w:fill="auto"/>
            <w:noWrap w:val="0"/>
            <w:vAlign w:val="top"/>
          </w:tcPr>
          <w:p w14:paraId="002573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shd w:val="clear" w:color="auto" w:fill="auto"/>
            <w:noWrap w:val="0"/>
            <w:vAlign w:val="top"/>
          </w:tcPr>
          <w:p w14:paraId="7F472F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3" w:type="dxa"/>
            <w:shd w:val="clear" w:color="auto" w:fill="auto"/>
            <w:noWrap w:val="0"/>
            <w:vAlign w:val="top"/>
          </w:tcPr>
          <w:p w14:paraId="78BFEC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10" w:type="dxa"/>
            <w:tcBorders>
              <w:right w:val="single" w:color="auto" w:sz="8" w:space="0"/>
            </w:tcBorders>
            <w:noWrap w:val="0"/>
            <w:vAlign w:val="top"/>
          </w:tcPr>
          <w:p w14:paraId="64448E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74178955">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8B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30A35C8A">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C31F7C8">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275" w:type="dxa"/>
            <w:shd w:val="clear" w:color="auto" w:fill="auto"/>
            <w:noWrap w:val="0"/>
            <w:vAlign w:val="top"/>
          </w:tcPr>
          <w:p w14:paraId="5D0BF5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307ED4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3" w:type="dxa"/>
            <w:shd w:val="clear" w:color="auto" w:fill="auto"/>
            <w:noWrap w:val="0"/>
            <w:vAlign w:val="top"/>
          </w:tcPr>
          <w:p w14:paraId="56EF49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10" w:type="dxa"/>
            <w:tcBorders>
              <w:right w:val="single" w:color="auto" w:sz="8" w:space="0"/>
            </w:tcBorders>
            <w:noWrap w:val="0"/>
            <w:vAlign w:val="top"/>
          </w:tcPr>
          <w:p w14:paraId="51A583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5AE937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29D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6593B23E">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551E090E">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275" w:type="dxa"/>
            <w:shd w:val="clear" w:color="auto" w:fill="auto"/>
            <w:noWrap w:val="0"/>
            <w:vAlign w:val="top"/>
          </w:tcPr>
          <w:p w14:paraId="12C892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shd w:val="clear" w:color="auto" w:fill="auto"/>
            <w:noWrap w:val="0"/>
            <w:vAlign w:val="top"/>
          </w:tcPr>
          <w:p w14:paraId="2106B8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4C061E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10" w:type="dxa"/>
            <w:tcBorders>
              <w:right w:val="single" w:color="auto" w:sz="8" w:space="0"/>
            </w:tcBorders>
            <w:noWrap w:val="0"/>
            <w:vAlign w:val="top"/>
          </w:tcPr>
          <w:p w14:paraId="3BFB78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407D63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ED3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6980EF60">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EE4DBA3">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275" w:type="dxa"/>
            <w:shd w:val="clear" w:color="auto" w:fill="auto"/>
            <w:noWrap w:val="0"/>
            <w:vAlign w:val="top"/>
          </w:tcPr>
          <w:p w14:paraId="6FA06B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535B2F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3" w:type="dxa"/>
            <w:shd w:val="clear" w:color="auto" w:fill="auto"/>
            <w:noWrap w:val="0"/>
            <w:vAlign w:val="top"/>
          </w:tcPr>
          <w:p w14:paraId="26A4FB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10" w:type="dxa"/>
            <w:tcBorders>
              <w:right w:val="single" w:color="auto" w:sz="8" w:space="0"/>
            </w:tcBorders>
            <w:noWrap w:val="0"/>
            <w:vAlign w:val="top"/>
          </w:tcPr>
          <w:p w14:paraId="3F7C8F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613155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6F2F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5294F39B">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79481D32">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275" w:type="dxa"/>
            <w:shd w:val="clear" w:color="auto" w:fill="auto"/>
            <w:noWrap w:val="0"/>
            <w:vAlign w:val="center"/>
          </w:tcPr>
          <w:p w14:paraId="65D12B59">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69DAB0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3" w:type="dxa"/>
            <w:shd w:val="clear" w:color="auto" w:fill="auto"/>
            <w:noWrap w:val="0"/>
            <w:vAlign w:val="top"/>
          </w:tcPr>
          <w:p w14:paraId="5117DC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10" w:type="dxa"/>
            <w:tcBorders>
              <w:right w:val="single" w:color="auto" w:sz="8" w:space="0"/>
            </w:tcBorders>
            <w:noWrap w:val="0"/>
            <w:vAlign w:val="top"/>
          </w:tcPr>
          <w:p w14:paraId="5EFA15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434" w:type="dxa"/>
            <w:tcBorders>
              <w:right w:val="single" w:color="auto" w:sz="8" w:space="0"/>
            </w:tcBorders>
            <w:noWrap w:val="0"/>
            <w:vAlign w:val="top"/>
          </w:tcPr>
          <w:p w14:paraId="457A53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C75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restart"/>
            <w:tcBorders>
              <w:top w:val="single" w:color="auto" w:sz="4" w:space="0"/>
              <w:left w:val="single" w:color="auto" w:sz="8" w:space="0"/>
              <w:right w:val="single" w:color="auto" w:sz="4" w:space="0"/>
            </w:tcBorders>
            <w:shd w:val="clear" w:color="auto" w:fill="auto"/>
            <w:noWrap w:val="0"/>
            <w:vAlign w:val="center"/>
          </w:tcPr>
          <w:p w14:paraId="20CA04C6">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2016.06.25</w:t>
            </w:r>
          </w:p>
        </w:tc>
        <w:tc>
          <w:tcPr>
            <w:tcW w:w="1846" w:type="dxa"/>
            <w:tcBorders>
              <w:top w:val="single" w:color="auto" w:sz="4" w:space="0"/>
              <w:left w:val="single" w:color="auto" w:sz="4" w:space="0"/>
            </w:tcBorders>
            <w:shd w:val="clear" w:color="auto" w:fill="auto"/>
            <w:noWrap w:val="0"/>
            <w:vAlign w:val="top"/>
          </w:tcPr>
          <w:p w14:paraId="1DC35F3D">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275" w:type="dxa"/>
            <w:shd w:val="clear" w:color="auto" w:fill="auto"/>
            <w:noWrap w:val="0"/>
            <w:vAlign w:val="top"/>
          </w:tcPr>
          <w:p w14:paraId="762E84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shd w:val="clear" w:color="auto" w:fill="auto"/>
            <w:noWrap w:val="0"/>
            <w:vAlign w:val="top"/>
          </w:tcPr>
          <w:p w14:paraId="6EC973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3" w:type="dxa"/>
            <w:shd w:val="clear" w:color="auto" w:fill="auto"/>
            <w:noWrap w:val="0"/>
            <w:vAlign w:val="top"/>
          </w:tcPr>
          <w:p w14:paraId="4DE545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10" w:type="dxa"/>
            <w:tcBorders>
              <w:right w:val="single" w:color="auto" w:sz="8" w:space="0"/>
            </w:tcBorders>
            <w:noWrap w:val="0"/>
            <w:vAlign w:val="top"/>
          </w:tcPr>
          <w:p w14:paraId="0CD955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2F235045">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9EF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1D5320A0">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2E5B8FD8">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275" w:type="dxa"/>
            <w:shd w:val="clear" w:color="auto" w:fill="auto"/>
            <w:noWrap w:val="0"/>
            <w:vAlign w:val="top"/>
          </w:tcPr>
          <w:p w14:paraId="217AE5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5" w:type="dxa"/>
            <w:shd w:val="clear" w:color="auto" w:fill="auto"/>
            <w:noWrap w:val="0"/>
            <w:vAlign w:val="top"/>
          </w:tcPr>
          <w:p w14:paraId="792B0E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3" w:type="dxa"/>
            <w:shd w:val="clear" w:color="auto" w:fill="auto"/>
            <w:noWrap w:val="0"/>
            <w:vAlign w:val="top"/>
          </w:tcPr>
          <w:p w14:paraId="3AA789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10" w:type="dxa"/>
            <w:tcBorders>
              <w:right w:val="single" w:color="auto" w:sz="8" w:space="0"/>
            </w:tcBorders>
            <w:noWrap w:val="0"/>
            <w:vAlign w:val="top"/>
          </w:tcPr>
          <w:p w14:paraId="63FB19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3F158D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D0EE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22652EA8">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020B9F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275" w:type="dxa"/>
            <w:shd w:val="clear" w:color="auto" w:fill="auto"/>
            <w:noWrap w:val="0"/>
            <w:vAlign w:val="top"/>
          </w:tcPr>
          <w:p w14:paraId="4D0131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shd w:val="clear" w:color="auto" w:fill="auto"/>
            <w:noWrap w:val="0"/>
            <w:vAlign w:val="top"/>
          </w:tcPr>
          <w:p w14:paraId="7A10D2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1183A7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10" w:type="dxa"/>
            <w:tcBorders>
              <w:right w:val="single" w:color="auto" w:sz="8" w:space="0"/>
            </w:tcBorders>
            <w:noWrap w:val="0"/>
            <w:vAlign w:val="top"/>
          </w:tcPr>
          <w:p w14:paraId="390532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57F68B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EAF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3ADA1985">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560FE5C">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275" w:type="dxa"/>
            <w:shd w:val="clear" w:color="auto" w:fill="auto"/>
            <w:noWrap w:val="0"/>
            <w:vAlign w:val="top"/>
          </w:tcPr>
          <w:p w14:paraId="48FCCB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74E645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3" w:type="dxa"/>
            <w:shd w:val="clear" w:color="auto" w:fill="auto"/>
            <w:noWrap w:val="0"/>
            <w:vAlign w:val="top"/>
          </w:tcPr>
          <w:p w14:paraId="1204C2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10" w:type="dxa"/>
            <w:tcBorders>
              <w:right w:val="single" w:color="auto" w:sz="8" w:space="0"/>
            </w:tcBorders>
            <w:noWrap w:val="0"/>
            <w:vAlign w:val="top"/>
          </w:tcPr>
          <w:p w14:paraId="5454B4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71C55D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8D9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0AE79AEF">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CED4793">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275" w:type="dxa"/>
            <w:shd w:val="clear" w:color="auto" w:fill="auto"/>
            <w:noWrap w:val="0"/>
            <w:vAlign w:val="top"/>
          </w:tcPr>
          <w:p w14:paraId="130ACF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2B4A9A6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3" w:type="dxa"/>
            <w:shd w:val="clear" w:color="auto" w:fill="auto"/>
            <w:noWrap w:val="0"/>
            <w:vAlign w:val="top"/>
          </w:tcPr>
          <w:p w14:paraId="67CCC8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10" w:type="dxa"/>
            <w:tcBorders>
              <w:right w:val="single" w:color="auto" w:sz="8" w:space="0"/>
            </w:tcBorders>
            <w:noWrap w:val="0"/>
            <w:vAlign w:val="top"/>
          </w:tcPr>
          <w:p w14:paraId="49AA32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434" w:type="dxa"/>
            <w:tcBorders>
              <w:right w:val="single" w:color="auto" w:sz="8" w:space="0"/>
            </w:tcBorders>
            <w:noWrap w:val="0"/>
            <w:vAlign w:val="top"/>
          </w:tcPr>
          <w:p w14:paraId="565D1F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F3D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restart"/>
            <w:tcBorders>
              <w:left w:val="single" w:color="auto" w:sz="8" w:space="0"/>
              <w:right w:val="single" w:color="auto" w:sz="4" w:space="0"/>
            </w:tcBorders>
            <w:shd w:val="clear" w:color="auto" w:fill="auto"/>
            <w:noWrap w:val="0"/>
            <w:vAlign w:val="center"/>
          </w:tcPr>
          <w:p w14:paraId="50557A02">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2016.06.26</w:t>
            </w:r>
          </w:p>
        </w:tc>
        <w:tc>
          <w:tcPr>
            <w:tcW w:w="1846" w:type="dxa"/>
            <w:tcBorders>
              <w:left w:val="single" w:color="auto" w:sz="4" w:space="0"/>
            </w:tcBorders>
            <w:shd w:val="clear" w:color="auto" w:fill="auto"/>
            <w:noWrap w:val="0"/>
            <w:vAlign w:val="top"/>
          </w:tcPr>
          <w:p w14:paraId="299E2CC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275" w:type="dxa"/>
            <w:shd w:val="clear" w:color="auto" w:fill="auto"/>
            <w:noWrap w:val="0"/>
            <w:vAlign w:val="top"/>
          </w:tcPr>
          <w:p w14:paraId="03BDAE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shd w:val="clear" w:color="auto" w:fill="auto"/>
            <w:noWrap w:val="0"/>
            <w:vAlign w:val="top"/>
          </w:tcPr>
          <w:p w14:paraId="4343B2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3" w:type="dxa"/>
            <w:shd w:val="clear" w:color="auto" w:fill="auto"/>
            <w:noWrap w:val="0"/>
            <w:vAlign w:val="top"/>
          </w:tcPr>
          <w:p w14:paraId="563A2E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10" w:type="dxa"/>
            <w:tcBorders>
              <w:right w:val="single" w:color="auto" w:sz="8" w:space="0"/>
            </w:tcBorders>
            <w:noWrap w:val="0"/>
            <w:vAlign w:val="top"/>
          </w:tcPr>
          <w:p w14:paraId="61B30A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5C18048F">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9EE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032AFCE5">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4C4C0A15">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275" w:type="dxa"/>
            <w:shd w:val="clear" w:color="auto" w:fill="auto"/>
            <w:noWrap w:val="0"/>
            <w:vAlign w:val="top"/>
          </w:tcPr>
          <w:p w14:paraId="0FBF4B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12692C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3" w:type="dxa"/>
            <w:shd w:val="clear" w:color="auto" w:fill="auto"/>
            <w:noWrap w:val="0"/>
            <w:vAlign w:val="top"/>
          </w:tcPr>
          <w:p w14:paraId="060B0E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10" w:type="dxa"/>
            <w:tcBorders>
              <w:right w:val="single" w:color="auto" w:sz="8" w:space="0"/>
            </w:tcBorders>
            <w:noWrap w:val="0"/>
            <w:vAlign w:val="top"/>
          </w:tcPr>
          <w:p w14:paraId="0C462C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425089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5428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6CF2C2E7">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729736B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275" w:type="dxa"/>
            <w:shd w:val="clear" w:color="auto" w:fill="auto"/>
            <w:noWrap w:val="0"/>
            <w:vAlign w:val="top"/>
          </w:tcPr>
          <w:p w14:paraId="0B8431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shd w:val="clear" w:color="auto" w:fill="auto"/>
            <w:noWrap w:val="0"/>
            <w:vAlign w:val="top"/>
          </w:tcPr>
          <w:p w14:paraId="212F356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3D7463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10" w:type="dxa"/>
            <w:tcBorders>
              <w:right w:val="single" w:color="auto" w:sz="8" w:space="0"/>
            </w:tcBorders>
            <w:noWrap w:val="0"/>
            <w:vAlign w:val="top"/>
          </w:tcPr>
          <w:p w14:paraId="72309F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24C109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A1D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63962B1B">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28D400C4">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275" w:type="dxa"/>
            <w:shd w:val="clear" w:color="auto" w:fill="auto"/>
            <w:noWrap w:val="0"/>
            <w:vAlign w:val="top"/>
          </w:tcPr>
          <w:p w14:paraId="48021A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533A16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3" w:type="dxa"/>
            <w:shd w:val="clear" w:color="auto" w:fill="auto"/>
            <w:noWrap w:val="0"/>
            <w:vAlign w:val="top"/>
          </w:tcPr>
          <w:p w14:paraId="2E7C73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10" w:type="dxa"/>
            <w:tcBorders>
              <w:right w:val="single" w:color="auto" w:sz="8" w:space="0"/>
            </w:tcBorders>
            <w:noWrap w:val="0"/>
            <w:vAlign w:val="top"/>
          </w:tcPr>
          <w:p w14:paraId="6B1300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2783FC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459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3070D1B4">
            <w:pPr>
              <w:spacing w:line="340" w:lineRule="exact"/>
              <w:jc w:val="center"/>
              <w:rPr>
                <w:rFonts w:hint="default" w:ascii="Times New Roman" w:hAnsi="Times New Roman" w:eastAsia="宋体" w:cs="Times New Roman"/>
                <w:b/>
                <w:bCs/>
                <w:color w:val="auto"/>
                <w:sz w:val="21"/>
                <w:szCs w:val="21"/>
              </w:rPr>
            </w:pPr>
          </w:p>
        </w:tc>
        <w:tc>
          <w:tcPr>
            <w:tcW w:w="1846" w:type="dxa"/>
            <w:tcBorders>
              <w:left w:val="single" w:color="auto" w:sz="4" w:space="0"/>
            </w:tcBorders>
            <w:shd w:val="clear" w:color="auto" w:fill="auto"/>
            <w:noWrap w:val="0"/>
            <w:vAlign w:val="top"/>
          </w:tcPr>
          <w:p w14:paraId="0C41914B">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275" w:type="dxa"/>
            <w:shd w:val="clear" w:color="auto" w:fill="auto"/>
            <w:noWrap w:val="0"/>
            <w:vAlign w:val="top"/>
          </w:tcPr>
          <w:p w14:paraId="4065F4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7E1832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3" w:type="dxa"/>
            <w:shd w:val="clear" w:color="auto" w:fill="auto"/>
            <w:noWrap w:val="0"/>
            <w:vAlign w:val="top"/>
          </w:tcPr>
          <w:p w14:paraId="31C838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10" w:type="dxa"/>
            <w:tcBorders>
              <w:right w:val="single" w:color="auto" w:sz="8" w:space="0"/>
            </w:tcBorders>
            <w:noWrap w:val="0"/>
            <w:vAlign w:val="top"/>
          </w:tcPr>
          <w:p w14:paraId="40D53E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434" w:type="dxa"/>
            <w:tcBorders>
              <w:right w:val="single" w:color="auto" w:sz="8" w:space="0"/>
            </w:tcBorders>
            <w:noWrap w:val="0"/>
            <w:vAlign w:val="top"/>
          </w:tcPr>
          <w:p w14:paraId="34D156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D10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restart"/>
            <w:tcBorders>
              <w:top w:val="single" w:color="auto" w:sz="4" w:space="0"/>
              <w:left w:val="single" w:color="auto" w:sz="8" w:space="0"/>
              <w:right w:val="single" w:color="auto" w:sz="4" w:space="0"/>
            </w:tcBorders>
            <w:shd w:val="clear" w:color="auto" w:fill="auto"/>
            <w:noWrap w:val="0"/>
            <w:vAlign w:val="center"/>
          </w:tcPr>
          <w:p w14:paraId="3B7747D1">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2016.06.27</w:t>
            </w:r>
          </w:p>
        </w:tc>
        <w:tc>
          <w:tcPr>
            <w:tcW w:w="1846" w:type="dxa"/>
            <w:tcBorders>
              <w:top w:val="single" w:color="auto" w:sz="4" w:space="0"/>
              <w:left w:val="single" w:color="auto" w:sz="4" w:space="0"/>
            </w:tcBorders>
            <w:shd w:val="clear" w:color="auto" w:fill="auto"/>
            <w:noWrap w:val="0"/>
            <w:vAlign w:val="top"/>
          </w:tcPr>
          <w:p w14:paraId="1CB215EE">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275" w:type="dxa"/>
            <w:shd w:val="clear" w:color="auto" w:fill="auto"/>
            <w:noWrap w:val="0"/>
            <w:vAlign w:val="top"/>
          </w:tcPr>
          <w:p w14:paraId="1954E7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shd w:val="clear" w:color="auto" w:fill="auto"/>
            <w:noWrap w:val="0"/>
            <w:vAlign w:val="top"/>
          </w:tcPr>
          <w:p w14:paraId="4FBD55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3" w:type="dxa"/>
            <w:shd w:val="clear" w:color="auto" w:fill="auto"/>
            <w:noWrap w:val="0"/>
            <w:vAlign w:val="top"/>
          </w:tcPr>
          <w:p w14:paraId="5D50FF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10" w:type="dxa"/>
            <w:tcBorders>
              <w:right w:val="single" w:color="auto" w:sz="8" w:space="0"/>
            </w:tcBorders>
            <w:noWrap w:val="0"/>
            <w:vAlign w:val="top"/>
          </w:tcPr>
          <w:p w14:paraId="3B94E8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00567AE6">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6BF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7E037A8C">
            <w:pPr>
              <w:spacing w:line="340" w:lineRule="exact"/>
              <w:jc w:val="center"/>
              <w:rPr>
                <w:rFonts w:hint="default" w:ascii="Times New Roman" w:hAnsi="Times New Roman" w:eastAsia="宋体" w:cs="Times New Roman"/>
                <w:color w:val="auto"/>
                <w:sz w:val="21"/>
                <w:szCs w:val="21"/>
              </w:rPr>
            </w:pPr>
          </w:p>
        </w:tc>
        <w:tc>
          <w:tcPr>
            <w:tcW w:w="1846" w:type="dxa"/>
            <w:tcBorders>
              <w:left w:val="single" w:color="auto" w:sz="4" w:space="0"/>
            </w:tcBorders>
            <w:shd w:val="clear" w:color="auto" w:fill="auto"/>
            <w:noWrap w:val="0"/>
            <w:vAlign w:val="top"/>
          </w:tcPr>
          <w:p w14:paraId="142040D7">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275" w:type="dxa"/>
            <w:shd w:val="clear" w:color="auto" w:fill="auto"/>
            <w:noWrap w:val="0"/>
            <w:vAlign w:val="top"/>
          </w:tcPr>
          <w:p w14:paraId="607587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5" w:type="dxa"/>
            <w:shd w:val="clear" w:color="auto" w:fill="auto"/>
            <w:noWrap w:val="0"/>
            <w:vAlign w:val="top"/>
          </w:tcPr>
          <w:p w14:paraId="0A5A9A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3" w:type="dxa"/>
            <w:shd w:val="clear" w:color="auto" w:fill="auto"/>
            <w:noWrap w:val="0"/>
            <w:vAlign w:val="top"/>
          </w:tcPr>
          <w:p w14:paraId="4105DC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10" w:type="dxa"/>
            <w:tcBorders>
              <w:right w:val="single" w:color="auto" w:sz="8" w:space="0"/>
            </w:tcBorders>
            <w:noWrap w:val="0"/>
            <w:vAlign w:val="top"/>
          </w:tcPr>
          <w:p w14:paraId="557F17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09D48E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793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3D447AF3">
            <w:pPr>
              <w:spacing w:line="340" w:lineRule="exact"/>
              <w:jc w:val="center"/>
              <w:rPr>
                <w:rFonts w:hint="default" w:ascii="Times New Roman" w:hAnsi="Times New Roman" w:eastAsia="宋体" w:cs="Times New Roman"/>
                <w:color w:val="auto"/>
                <w:sz w:val="21"/>
                <w:szCs w:val="21"/>
              </w:rPr>
            </w:pPr>
          </w:p>
        </w:tc>
        <w:tc>
          <w:tcPr>
            <w:tcW w:w="1846" w:type="dxa"/>
            <w:tcBorders>
              <w:left w:val="single" w:color="auto" w:sz="4" w:space="0"/>
            </w:tcBorders>
            <w:shd w:val="clear" w:color="auto" w:fill="auto"/>
            <w:noWrap w:val="0"/>
            <w:vAlign w:val="top"/>
          </w:tcPr>
          <w:p w14:paraId="16BFDB61">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275" w:type="dxa"/>
            <w:shd w:val="clear" w:color="auto" w:fill="auto"/>
            <w:noWrap w:val="0"/>
            <w:vAlign w:val="top"/>
          </w:tcPr>
          <w:p w14:paraId="7A07C1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shd w:val="clear" w:color="auto" w:fill="auto"/>
            <w:noWrap w:val="0"/>
            <w:vAlign w:val="top"/>
          </w:tcPr>
          <w:p w14:paraId="518061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134F53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10" w:type="dxa"/>
            <w:tcBorders>
              <w:right w:val="single" w:color="auto" w:sz="8" w:space="0"/>
            </w:tcBorders>
            <w:noWrap w:val="0"/>
            <w:vAlign w:val="top"/>
          </w:tcPr>
          <w:p w14:paraId="080CC6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1CD23A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969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right w:val="single" w:color="auto" w:sz="4" w:space="0"/>
            </w:tcBorders>
            <w:shd w:val="clear" w:color="auto" w:fill="auto"/>
            <w:noWrap w:val="0"/>
            <w:vAlign w:val="top"/>
          </w:tcPr>
          <w:p w14:paraId="6B41B9B6">
            <w:pPr>
              <w:spacing w:line="340" w:lineRule="exact"/>
              <w:jc w:val="center"/>
              <w:rPr>
                <w:rFonts w:hint="default" w:ascii="Times New Roman" w:hAnsi="Times New Roman" w:eastAsia="宋体" w:cs="Times New Roman"/>
                <w:color w:val="auto"/>
                <w:sz w:val="21"/>
                <w:szCs w:val="21"/>
              </w:rPr>
            </w:pPr>
          </w:p>
        </w:tc>
        <w:tc>
          <w:tcPr>
            <w:tcW w:w="1846" w:type="dxa"/>
            <w:tcBorders>
              <w:left w:val="single" w:color="auto" w:sz="4" w:space="0"/>
            </w:tcBorders>
            <w:shd w:val="clear" w:color="auto" w:fill="auto"/>
            <w:noWrap w:val="0"/>
            <w:vAlign w:val="top"/>
          </w:tcPr>
          <w:p w14:paraId="50AD2C6E">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275" w:type="dxa"/>
            <w:shd w:val="clear" w:color="auto" w:fill="auto"/>
            <w:noWrap w:val="0"/>
            <w:vAlign w:val="top"/>
          </w:tcPr>
          <w:p w14:paraId="6C3580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shd w:val="clear" w:color="auto" w:fill="auto"/>
            <w:noWrap w:val="0"/>
            <w:vAlign w:val="top"/>
          </w:tcPr>
          <w:p w14:paraId="5FF539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3" w:type="dxa"/>
            <w:shd w:val="clear" w:color="auto" w:fill="auto"/>
            <w:noWrap w:val="0"/>
            <w:vAlign w:val="top"/>
          </w:tcPr>
          <w:p w14:paraId="07FAEF9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10" w:type="dxa"/>
            <w:tcBorders>
              <w:right w:val="single" w:color="auto" w:sz="8" w:space="0"/>
            </w:tcBorders>
            <w:noWrap w:val="0"/>
            <w:vAlign w:val="top"/>
          </w:tcPr>
          <w:p w14:paraId="377109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434" w:type="dxa"/>
            <w:tcBorders>
              <w:right w:val="single" w:color="auto" w:sz="8" w:space="0"/>
            </w:tcBorders>
            <w:noWrap w:val="0"/>
            <w:vAlign w:val="top"/>
          </w:tcPr>
          <w:p w14:paraId="57A63A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C42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3" w:type="dxa"/>
            <w:vMerge w:val="continue"/>
            <w:tcBorders>
              <w:left w:val="single" w:color="auto" w:sz="8" w:space="0"/>
              <w:bottom w:val="single" w:color="auto" w:sz="8" w:space="0"/>
              <w:right w:val="single" w:color="auto" w:sz="4" w:space="0"/>
            </w:tcBorders>
            <w:shd w:val="clear" w:color="auto" w:fill="auto"/>
            <w:noWrap w:val="0"/>
            <w:vAlign w:val="top"/>
          </w:tcPr>
          <w:p w14:paraId="222586E2">
            <w:pPr>
              <w:spacing w:line="340" w:lineRule="exact"/>
              <w:jc w:val="center"/>
              <w:rPr>
                <w:rFonts w:hint="default" w:ascii="Times New Roman" w:hAnsi="Times New Roman" w:eastAsia="宋体" w:cs="Times New Roman"/>
                <w:color w:val="auto"/>
                <w:sz w:val="21"/>
                <w:szCs w:val="21"/>
              </w:rPr>
            </w:pPr>
          </w:p>
        </w:tc>
        <w:tc>
          <w:tcPr>
            <w:tcW w:w="1846" w:type="dxa"/>
            <w:tcBorders>
              <w:left w:val="single" w:color="auto" w:sz="4" w:space="0"/>
              <w:bottom w:val="single" w:color="auto" w:sz="8" w:space="0"/>
            </w:tcBorders>
            <w:shd w:val="clear" w:color="auto" w:fill="auto"/>
            <w:noWrap w:val="0"/>
            <w:vAlign w:val="top"/>
          </w:tcPr>
          <w:p w14:paraId="46E707A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275" w:type="dxa"/>
            <w:tcBorders>
              <w:bottom w:val="single" w:color="auto" w:sz="8" w:space="0"/>
            </w:tcBorders>
            <w:shd w:val="clear" w:color="auto" w:fill="auto"/>
            <w:noWrap w:val="0"/>
            <w:vAlign w:val="top"/>
          </w:tcPr>
          <w:p w14:paraId="43328E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tcBorders>
              <w:bottom w:val="single" w:color="auto" w:sz="8" w:space="0"/>
            </w:tcBorders>
            <w:shd w:val="clear" w:color="auto" w:fill="auto"/>
            <w:noWrap w:val="0"/>
            <w:vAlign w:val="top"/>
          </w:tcPr>
          <w:p w14:paraId="7904C2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3" w:type="dxa"/>
            <w:tcBorders>
              <w:bottom w:val="single" w:color="auto" w:sz="8" w:space="0"/>
            </w:tcBorders>
            <w:shd w:val="clear" w:color="auto" w:fill="auto"/>
            <w:noWrap w:val="0"/>
            <w:vAlign w:val="top"/>
          </w:tcPr>
          <w:p w14:paraId="742448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10" w:type="dxa"/>
            <w:tcBorders>
              <w:bottom w:val="single" w:color="auto" w:sz="8" w:space="0"/>
              <w:right w:val="single" w:color="auto" w:sz="8" w:space="0"/>
            </w:tcBorders>
            <w:noWrap w:val="0"/>
            <w:vAlign w:val="top"/>
          </w:tcPr>
          <w:p w14:paraId="4D112E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434" w:type="dxa"/>
            <w:tcBorders>
              <w:bottom w:val="single" w:color="auto" w:sz="8" w:space="0"/>
              <w:right w:val="single" w:color="auto" w:sz="8" w:space="0"/>
            </w:tcBorders>
            <w:noWrap w:val="0"/>
            <w:vAlign w:val="top"/>
          </w:tcPr>
          <w:p w14:paraId="53861A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7023FA21">
      <w:pPr>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rPr>
        <w:t xml:space="preserve"> </w:t>
      </w:r>
      <w:r>
        <w:rPr>
          <w:rFonts w:hint="default" w:ascii="Times New Roman" w:hAnsi="Times New Roman" w:eastAsia="宋体" w:cs="Times New Roman"/>
          <w:b/>
          <w:bCs/>
          <w:color w:val="auto"/>
          <w:sz w:val="21"/>
          <w:szCs w:val="21"/>
        </w:rPr>
        <w:t xml:space="preserve">  据监测结果， SO</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小时、日均浓度满足《环境空气质量标准》(GB3095-2012)一级标准</w:t>
      </w:r>
      <w:r>
        <w:rPr>
          <w:rFonts w:hint="default" w:ascii="Times New Roman" w:hAnsi="Times New Roman" w:eastAsia="宋体" w:cs="Times New Roman"/>
          <w:iCs/>
          <w:color w:val="auto"/>
          <w:sz w:val="24"/>
        </w:rPr>
        <w:t>。</w:t>
      </w:r>
      <w:r>
        <w:rPr>
          <w:rFonts w:hint="default" w:ascii="Times New Roman" w:hAnsi="Times New Roman" w:eastAsia="宋体" w:cs="Times New Roman"/>
          <w:b/>
          <w:color w:val="auto"/>
          <w:sz w:val="24"/>
        </w:rPr>
        <w:t>表4.3-6 二氧化硫小时、日均浓度检测结果</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Cs w:val="21"/>
        </w:rPr>
        <w:t xml:space="preserve"> 单位：mg/m</w:t>
      </w:r>
      <w:r>
        <w:rPr>
          <w:rFonts w:hint="default" w:ascii="Times New Roman" w:hAnsi="Times New Roman" w:eastAsia="宋体" w:cs="Times New Roman"/>
          <w:color w:val="auto"/>
          <w:szCs w:val="21"/>
          <w:vertAlign w:val="superscript"/>
        </w:rPr>
        <w:t>3</w:t>
      </w:r>
    </w:p>
    <w:tbl>
      <w:tblPr>
        <w:tblStyle w:val="66"/>
        <w:tblpPr w:leftFromText="180" w:rightFromText="180" w:vertAnchor="text" w:horzAnchor="margin" w:tblpXSpec="center" w:tblpY="52"/>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5"/>
        <w:gridCol w:w="2120"/>
        <w:gridCol w:w="1193"/>
        <w:gridCol w:w="993"/>
        <w:gridCol w:w="1135"/>
        <w:gridCol w:w="1033"/>
        <w:gridCol w:w="1367"/>
      </w:tblGrid>
      <w:tr w14:paraId="09B0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735" w:type="dxa"/>
            <w:gridSpan w:val="2"/>
            <w:tcBorders>
              <w:top w:val="single" w:color="auto" w:sz="8" w:space="0"/>
              <w:left w:val="single" w:color="auto" w:sz="8" w:space="0"/>
              <w:tl2br w:val="single" w:color="auto" w:sz="4" w:space="0"/>
            </w:tcBorders>
            <w:shd w:val="clear" w:color="auto" w:fill="auto"/>
            <w:noWrap w:val="0"/>
            <w:vAlign w:val="top"/>
          </w:tcPr>
          <w:p w14:paraId="637C9310">
            <w:pPr>
              <w:spacing w:line="340" w:lineRule="exact"/>
              <w:ind w:firstLine="105" w:firstLineChars="50"/>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地 点</w:t>
            </w:r>
          </w:p>
          <w:p w14:paraId="4E98A8F7">
            <w:pPr>
              <w:spacing w:line="340" w:lineRule="exac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日期/时段</w:t>
            </w:r>
          </w:p>
        </w:tc>
        <w:tc>
          <w:tcPr>
            <w:tcW w:w="1193" w:type="dxa"/>
            <w:tcBorders>
              <w:top w:val="single" w:color="auto" w:sz="8" w:space="0"/>
              <w:right w:val="single" w:color="auto" w:sz="6" w:space="0"/>
            </w:tcBorders>
            <w:shd w:val="clear" w:color="auto" w:fill="auto"/>
            <w:noWrap w:val="0"/>
            <w:vAlign w:val="center"/>
          </w:tcPr>
          <w:p w14:paraId="453F5E05">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公租房</w:t>
            </w:r>
          </w:p>
        </w:tc>
        <w:tc>
          <w:tcPr>
            <w:tcW w:w="993" w:type="dxa"/>
            <w:tcBorders>
              <w:top w:val="single" w:color="auto" w:sz="8" w:space="0"/>
              <w:left w:val="single" w:color="auto" w:sz="6" w:space="0"/>
              <w:right w:val="single" w:color="auto" w:sz="4" w:space="0"/>
            </w:tcBorders>
            <w:shd w:val="clear" w:color="auto" w:fill="auto"/>
            <w:noWrap w:val="0"/>
            <w:vAlign w:val="center"/>
          </w:tcPr>
          <w:p w14:paraId="21F01B6B">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界桃村</w:t>
            </w:r>
          </w:p>
        </w:tc>
        <w:tc>
          <w:tcPr>
            <w:tcW w:w="1135" w:type="dxa"/>
            <w:tcBorders>
              <w:top w:val="single" w:color="auto" w:sz="8" w:space="0"/>
              <w:left w:val="single" w:color="auto" w:sz="4" w:space="0"/>
              <w:right w:val="single" w:color="auto" w:sz="8" w:space="0"/>
            </w:tcBorders>
            <w:shd w:val="clear" w:color="auto" w:fill="auto"/>
            <w:noWrap w:val="0"/>
            <w:vAlign w:val="center"/>
          </w:tcPr>
          <w:p w14:paraId="7B41DACE">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芒市糖厂</w:t>
            </w:r>
          </w:p>
        </w:tc>
        <w:tc>
          <w:tcPr>
            <w:tcW w:w="1033" w:type="dxa"/>
            <w:tcBorders>
              <w:top w:val="single" w:color="auto" w:sz="8" w:space="0"/>
              <w:left w:val="single" w:color="auto" w:sz="6" w:space="0"/>
              <w:right w:val="single" w:color="auto" w:sz="8" w:space="0"/>
            </w:tcBorders>
            <w:noWrap w:val="0"/>
            <w:vAlign w:val="top"/>
          </w:tcPr>
          <w:p w14:paraId="6689EC5A">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367" w:type="dxa"/>
            <w:tcBorders>
              <w:top w:val="single" w:color="auto" w:sz="8" w:space="0"/>
              <w:left w:val="single" w:color="auto" w:sz="6" w:space="0"/>
              <w:right w:val="single" w:color="auto" w:sz="8" w:space="0"/>
            </w:tcBorders>
            <w:noWrap w:val="0"/>
            <w:vAlign w:val="top"/>
          </w:tcPr>
          <w:p w14:paraId="2C08E024">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w:t>
            </w:r>
          </w:p>
          <w:p w14:paraId="10E389F7">
            <w:pPr>
              <w:spacing w:line="32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情况</w:t>
            </w:r>
          </w:p>
        </w:tc>
      </w:tr>
      <w:tr w14:paraId="2F8E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restart"/>
            <w:tcBorders>
              <w:top w:val="single" w:color="auto" w:sz="4" w:space="0"/>
              <w:left w:val="single" w:color="auto" w:sz="8" w:space="0"/>
              <w:right w:val="single" w:color="auto" w:sz="4" w:space="0"/>
            </w:tcBorders>
            <w:shd w:val="clear" w:color="auto" w:fill="auto"/>
            <w:noWrap w:val="0"/>
            <w:vAlign w:val="center"/>
          </w:tcPr>
          <w:p w14:paraId="35C8DAA3">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2016.06.21</w:t>
            </w:r>
          </w:p>
        </w:tc>
        <w:tc>
          <w:tcPr>
            <w:tcW w:w="2120" w:type="dxa"/>
            <w:tcBorders>
              <w:top w:val="single" w:color="auto" w:sz="4" w:space="0"/>
              <w:left w:val="single" w:color="auto" w:sz="4" w:space="0"/>
            </w:tcBorders>
            <w:shd w:val="clear" w:color="auto" w:fill="auto"/>
            <w:noWrap w:val="0"/>
            <w:vAlign w:val="top"/>
          </w:tcPr>
          <w:p w14:paraId="092D81C2">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193" w:type="dxa"/>
            <w:tcBorders>
              <w:top w:val="single" w:color="auto" w:sz="4" w:space="0"/>
              <w:right w:val="single" w:color="auto" w:sz="6" w:space="0"/>
            </w:tcBorders>
            <w:shd w:val="clear" w:color="auto" w:fill="auto"/>
            <w:noWrap w:val="0"/>
            <w:vAlign w:val="top"/>
          </w:tcPr>
          <w:p w14:paraId="0AF74F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993" w:type="dxa"/>
            <w:tcBorders>
              <w:top w:val="single" w:color="auto" w:sz="4" w:space="0"/>
              <w:left w:val="single" w:color="auto" w:sz="6" w:space="0"/>
              <w:right w:val="single" w:color="auto" w:sz="4" w:space="0"/>
            </w:tcBorders>
            <w:shd w:val="clear" w:color="auto" w:fill="auto"/>
            <w:noWrap w:val="0"/>
            <w:vAlign w:val="top"/>
          </w:tcPr>
          <w:p w14:paraId="42D4DC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tcBorders>
              <w:top w:val="single" w:color="auto" w:sz="4" w:space="0"/>
              <w:left w:val="single" w:color="auto" w:sz="4" w:space="0"/>
              <w:right w:val="single" w:color="auto" w:sz="8" w:space="0"/>
            </w:tcBorders>
            <w:shd w:val="clear" w:color="auto" w:fill="auto"/>
            <w:noWrap w:val="0"/>
            <w:vAlign w:val="top"/>
          </w:tcPr>
          <w:p w14:paraId="762D96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033" w:type="dxa"/>
            <w:tcBorders>
              <w:top w:val="single" w:color="auto" w:sz="4" w:space="0"/>
              <w:left w:val="single" w:color="auto" w:sz="6" w:space="0"/>
              <w:right w:val="single" w:color="auto" w:sz="8" w:space="0"/>
            </w:tcBorders>
            <w:noWrap w:val="0"/>
            <w:vAlign w:val="top"/>
          </w:tcPr>
          <w:p w14:paraId="3B0FF2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top w:val="single" w:color="auto" w:sz="4" w:space="0"/>
              <w:left w:val="single" w:color="auto" w:sz="6" w:space="0"/>
              <w:right w:val="single" w:color="auto" w:sz="8" w:space="0"/>
            </w:tcBorders>
            <w:noWrap w:val="0"/>
            <w:vAlign w:val="top"/>
          </w:tcPr>
          <w:p w14:paraId="5C034E7D">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709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31EE2D41">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4F735454">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193" w:type="dxa"/>
            <w:shd w:val="clear" w:color="auto" w:fill="auto"/>
            <w:noWrap w:val="0"/>
            <w:vAlign w:val="top"/>
          </w:tcPr>
          <w:p w14:paraId="7D4A63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993" w:type="dxa"/>
            <w:tcBorders>
              <w:right w:val="single" w:color="auto" w:sz="4" w:space="0"/>
            </w:tcBorders>
            <w:shd w:val="clear" w:color="auto" w:fill="auto"/>
            <w:noWrap w:val="0"/>
            <w:vAlign w:val="top"/>
          </w:tcPr>
          <w:p w14:paraId="2E1B17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tcBorders>
              <w:left w:val="single" w:color="auto" w:sz="4" w:space="0"/>
              <w:right w:val="single" w:color="auto" w:sz="8" w:space="0"/>
            </w:tcBorders>
            <w:shd w:val="clear" w:color="auto" w:fill="auto"/>
            <w:noWrap w:val="0"/>
            <w:vAlign w:val="top"/>
          </w:tcPr>
          <w:p w14:paraId="3C93A4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033" w:type="dxa"/>
            <w:tcBorders>
              <w:right w:val="single" w:color="auto" w:sz="8" w:space="0"/>
            </w:tcBorders>
            <w:noWrap w:val="0"/>
            <w:vAlign w:val="top"/>
          </w:tcPr>
          <w:p w14:paraId="34E92B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47DB25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BED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168AFF28">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61EA892B">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193" w:type="dxa"/>
            <w:shd w:val="clear" w:color="auto" w:fill="auto"/>
            <w:noWrap w:val="0"/>
            <w:vAlign w:val="top"/>
          </w:tcPr>
          <w:p w14:paraId="4DD628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993" w:type="dxa"/>
            <w:tcBorders>
              <w:right w:val="single" w:color="auto" w:sz="4" w:space="0"/>
            </w:tcBorders>
            <w:shd w:val="clear" w:color="auto" w:fill="auto"/>
            <w:noWrap w:val="0"/>
            <w:vAlign w:val="top"/>
          </w:tcPr>
          <w:p w14:paraId="3A805A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tcBorders>
              <w:left w:val="single" w:color="auto" w:sz="4" w:space="0"/>
              <w:right w:val="single" w:color="auto" w:sz="8" w:space="0"/>
            </w:tcBorders>
            <w:shd w:val="clear" w:color="auto" w:fill="auto"/>
            <w:noWrap w:val="0"/>
            <w:vAlign w:val="top"/>
          </w:tcPr>
          <w:p w14:paraId="76DD3E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033" w:type="dxa"/>
            <w:tcBorders>
              <w:right w:val="single" w:color="auto" w:sz="8" w:space="0"/>
            </w:tcBorders>
            <w:noWrap w:val="0"/>
            <w:vAlign w:val="top"/>
          </w:tcPr>
          <w:p w14:paraId="04A251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6CEDFD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C22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2838F854">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07D5824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193" w:type="dxa"/>
            <w:shd w:val="clear" w:color="auto" w:fill="auto"/>
            <w:noWrap w:val="0"/>
            <w:vAlign w:val="top"/>
          </w:tcPr>
          <w:p w14:paraId="640641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93" w:type="dxa"/>
            <w:tcBorders>
              <w:right w:val="single" w:color="auto" w:sz="4" w:space="0"/>
            </w:tcBorders>
            <w:shd w:val="clear" w:color="auto" w:fill="auto"/>
            <w:noWrap w:val="0"/>
            <w:vAlign w:val="top"/>
          </w:tcPr>
          <w:p w14:paraId="34E96B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tcBorders>
              <w:left w:val="single" w:color="auto" w:sz="4" w:space="0"/>
              <w:right w:val="single" w:color="auto" w:sz="8" w:space="0"/>
            </w:tcBorders>
            <w:shd w:val="clear" w:color="auto" w:fill="auto"/>
            <w:noWrap w:val="0"/>
            <w:vAlign w:val="top"/>
          </w:tcPr>
          <w:p w14:paraId="42E1AF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033" w:type="dxa"/>
            <w:tcBorders>
              <w:right w:val="single" w:color="auto" w:sz="8" w:space="0"/>
            </w:tcBorders>
            <w:noWrap w:val="0"/>
            <w:vAlign w:val="top"/>
          </w:tcPr>
          <w:p w14:paraId="65309B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254AED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A17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13E6622A">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069E6925">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193" w:type="dxa"/>
            <w:shd w:val="clear" w:color="auto" w:fill="auto"/>
            <w:noWrap w:val="0"/>
            <w:vAlign w:val="center"/>
          </w:tcPr>
          <w:p w14:paraId="481CA1A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93" w:type="dxa"/>
            <w:tcBorders>
              <w:right w:val="single" w:color="auto" w:sz="4" w:space="0"/>
            </w:tcBorders>
            <w:shd w:val="clear" w:color="auto" w:fill="auto"/>
            <w:noWrap w:val="0"/>
            <w:vAlign w:val="top"/>
          </w:tcPr>
          <w:p w14:paraId="0DDD04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tcBorders>
              <w:left w:val="single" w:color="auto" w:sz="4" w:space="0"/>
              <w:right w:val="single" w:color="auto" w:sz="8" w:space="0"/>
            </w:tcBorders>
            <w:shd w:val="clear" w:color="auto" w:fill="auto"/>
            <w:noWrap w:val="0"/>
            <w:vAlign w:val="top"/>
          </w:tcPr>
          <w:p w14:paraId="1041F0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033" w:type="dxa"/>
            <w:tcBorders>
              <w:right w:val="single" w:color="auto" w:sz="8" w:space="0"/>
            </w:tcBorders>
            <w:noWrap w:val="0"/>
            <w:vAlign w:val="top"/>
          </w:tcPr>
          <w:p w14:paraId="5D201A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367" w:type="dxa"/>
            <w:tcBorders>
              <w:right w:val="single" w:color="auto" w:sz="8" w:space="0"/>
            </w:tcBorders>
            <w:noWrap w:val="0"/>
            <w:vAlign w:val="top"/>
          </w:tcPr>
          <w:p w14:paraId="683D16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6025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restart"/>
            <w:tcBorders>
              <w:left w:val="single" w:color="auto" w:sz="8" w:space="0"/>
              <w:right w:val="single" w:color="auto" w:sz="4" w:space="0"/>
            </w:tcBorders>
            <w:shd w:val="clear" w:color="auto" w:fill="auto"/>
            <w:noWrap w:val="0"/>
            <w:vAlign w:val="center"/>
          </w:tcPr>
          <w:p w14:paraId="2FDCE1F8">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2016.06.22</w:t>
            </w:r>
          </w:p>
        </w:tc>
        <w:tc>
          <w:tcPr>
            <w:tcW w:w="2120" w:type="dxa"/>
            <w:tcBorders>
              <w:left w:val="single" w:color="auto" w:sz="4" w:space="0"/>
            </w:tcBorders>
            <w:shd w:val="clear" w:color="auto" w:fill="auto"/>
            <w:noWrap w:val="0"/>
            <w:vAlign w:val="top"/>
          </w:tcPr>
          <w:p w14:paraId="066B1C05">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193" w:type="dxa"/>
            <w:shd w:val="clear" w:color="auto" w:fill="auto"/>
            <w:noWrap w:val="0"/>
            <w:vAlign w:val="top"/>
          </w:tcPr>
          <w:p w14:paraId="3E2E3A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993" w:type="dxa"/>
            <w:tcBorders>
              <w:right w:val="single" w:color="auto" w:sz="4" w:space="0"/>
            </w:tcBorders>
            <w:shd w:val="clear" w:color="auto" w:fill="auto"/>
            <w:noWrap w:val="0"/>
            <w:vAlign w:val="top"/>
          </w:tcPr>
          <w:p w14:paraId="495A0D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tcBorders>
              <w:left w:val="single" w:color="auto" w:sz="4" w:space="0"/>
              <w:right w:val="single" w:color="auto" w:sz="8" w:space="0"/>
            </w:tcBorders>
            <w:shd w:val="clear" w:color="auto" w:fill="auto"/>
            <w:noWrap w:val="0"/>
            <w:vAlign w:val="top"/>
          </w:tcPr>
          <w:p w14:paraId="2BD550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033" w:type="dxa"/>
            <w:tcBorders>
              <w:right w:val="single" w:color="auto" w:sz="8" w:space="0"/>
            </w:tcBorders>
            <w:noWrap w:val="0"/>
            <w:vAlign w:val="top"/>
          </w:tcPr>
          <w:p w14:paraId="50150D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403E3987">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081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4E2388FD">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000BF10E">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193" w:type="dxa"/>
            <w:shd w:val="clear" w:color="auto" w:fill="auto"/>
            <w:noWrap w:val="0"/>
            <w:vAlign w:val="top"/>
          </w:tcPr>
          <w:p w14:paraId="55BD97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93" w:type="dxa"/>
            <w:tcBorders>
              <w:right w:val="single" w:color="auto" w:sz="4" w:space="0"/>
            </w:tcBorders>
            <w:shd w:val="clear" w:color="auto" w:fill="auto"/>
            <w:noWrap w:val="0"/>
            <w:vAlign w:val="top"/>
          </w:tcPr>
          <w:p w14:paraId="283317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tcBorders>
              <w:left w:val="single" w:color="auto" w:sz="4" w:space="0"/>
              <w:right w:val="single" w:color="auto" w:sz="8" w:space="0"/>
            </w:tcBorders>
            <w:shd w:val="clear" w:color="auto" w:fill="auto"/>
            <w:noWrap w:val="0"/>
            <w:vAlign w:val="top"/>
          </w:tcPr>
          <w:p w14:paraId="522195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1033" w:type="dxa"/>
            <w:tcBorders>
              <w:right w:val="single" w:color="auto" w:sz="8" w:space="0"/>
            </w:tcBorders>
            <w:noWrap w:val="0"/>
            <w:vAlign w:val="top"/>
          </w:tcPr>
          <w:p w14:paraId="0B61BE7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548119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1C65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217CD269">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41005E3D">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193" w:type="dxa"/>
            <w:shd w:val="clear" w:color="auto" w:fill="auto"/>
            <w:noWrap w:val="0"/>
            <w:vAlign w:val="top"/>
          </w:tcPr>
          <w:p w14:paraId="76DC29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993" w:type="dxa"/>
            <w:tcBorders>
              <w:right w:val="single" w:color="auto" w:sz="4" w:space="0"/>
            </w:tcBorders>
            <w:shd w:val="clear" w:color="auto" w:fill="auto"/>
            <w:noWrap w:val="0"/>
            <w:vAlign w:val="top"/>
          </w:tcPr>
          <w:p w14:paraId="33A281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tcBorders>
              <w:left w:val="single" w:color="auto" w:sz="4" w:space="0"/>
              <w:right w:val="single" w:color="auto" w:sz="8" w:space="0"/>
            </w:tcBorders>
            <w:shd w:val="clear" w:color="auto" w:fill="auto"/>
            <w:noWrap w:val="0"/>
            <w:vAlign w:val="top"/>
          </w:tcPr>
          <w:p w14:paraId="4FDB01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033" w:type="dxa"/>
            <w:tcBorders>
              <w:right w:val="single" w:color="auto" w:sz="8" w:space="0"/>
            </w:tcBorders>
            <w:noWrap w:val="0"/>
            <w:vAlign w:val="top"/>
          </w:tcPr>
          <w:p w14:paraId="23B88D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5E6CA6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5474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7D351BB1">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218EBE11">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193" w:type="dxa"/>
            <w:shd w:val="clear" w:color="auto" w:fill="auto"/>
            <w:noWrap w:val="0"/>
            <w:vAlign w:val="top"/>
          </w:tcPr>
          <w:p w14:paraId="08E360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93" w:type="dxa"/>
            <w:tcBorders>
              <w:right w:val="single" w:color="auto" w:sz="4" w:space="0"/>
            </w:tcBorders>
            <w:shd w:val="clear" w:color="auto" w:fill="auto"/>
            <w:noWrap w:val="0"/>
            <w:vAlign w:val="top"/>
          </w:tcPr>
          <w:p w14:paraId="5DA05C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tcBorders>
              <w:left w:val="single" w:color="auto" w:sz="4" w:space="0"/>
              <w:right w:val="single" w:color="auto" w:sz="8" w:space="0"/>
            </w:tcBorders>
            <w:shd w:val="clear" w:color="auto" w:fill="auto"/>
            <w:noWrap w:val="0"/>
            <w:vAlign w:val="top"/>
          </w:tcPr>
          <w:p w14:paraId="36342D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1033" w:type="dxa"/>
            <w:tcBorders>
              <w:right w:val="single" w:color="auto" w:sz="8" w:space="0"/>
            </w:tcBorders>
            <w:noWrap w:val="0"/>
            <w:vAlign w:val="top"/>
          </w:tcPr>
          <w:p w14:paraId="77A861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271C82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9469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5CAC75D2">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30F949F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193" w:type="dxa"/>
            <w:shd w:val="clear" w:color="auto" w:fill="auto"/>
            <w:noWrap w:val="0"/>
            <w:vAlign w:val="top"/>
          </w:tcPr>
          <w:p w14:paraId="187C65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93" w:type="dxa"/>
            <w:tcBorders>
              <w:right w:val="single" w:color="auto" w:sz="4" w:space="0"/>
            </w:tcBorders>
            <w:shd w:val="clear" w:color="auto" w:fill="auto"/>
            <w:noWrap w:val="0"/>
            <w:vAlign w:val="top"/>
          </w:tcPr>
          <w:p w14:paraId="2A5A7E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tcBorders>
              <w:left w:val="single" w:color="auto" w:sz="4" w:space="0"/>
              <w:right w:val="single" w:color="auto" w:sz="8" w:space="0"/>
            </w:tcBorders>
            <w:shd w:val="clear" w:color="auto" w:fill="auto"/>
            <w:noWrap w:val="0"/>
            <w:vAlign w:val="top"/>
          </w:tcPr>
          <w:p w14:paraId="2548AF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033" w:type="dxa"/>
            <w:tcBorders>
              <w:right w:val="single" w:color="auto" w:sz="8" w:space="0"/>
            </w:tcBorders>
            <w:noWrap w:val="0"/>
            <w:vAlign w:val="top"/>
          </w:tcPr>
          <w:p w14:paraId="6B529F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367" w:type="dxa"/>
            <w:tcBorders>
              <w:right w:val="single" w:color="auto" w:sz="8" w:space="0"/>
            </w:tcBorders>
            <w:noWrap w:val="0"/>
            <w:vAlign w:val="top"/>
          </w:tcPr>
          <w:p w14:paraId="2B3A8D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314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restart"/>
            <w:tcBorders>
              <w:top w:val="single" w:color="auto" w:sz="4" w:space="0"/>
              <w:left w:val="single" w:color="auto" w:sz="8" w:space="0"/>
              <w:right w:val="single" w:color="auto" w:sz="4" w:space="0"/>
            </w:tcBorders>
            <w:shd w:val="clear" w:color="auto" w:fill="auto"/>
            <w:noWrap w:val="0"/>
            <w:vAlign w:val="center"/>
          </w:tcPr>
          <w:p w14:paraId="08F2EFFE">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2016.06.23</w:t>
            </w:r>
          </w:p>
        </w:tc>
        <w:tc>
          <w:tcPr>
            <w:tcW w:w="2120" w:type="dxa"/>
            <w:tcBorders>
              <w:top w:val="single" w:color="auto" w:sz="4" w:space="0"/>
              <w:left w:val="single" w:color="auto" w:sz="4" w:space="0"/>
            </w:tcBorders>
            <w:shd w:val="clear" w:color="auto" w:fill="auto"/>
            <w:noWrap w:val="0"/>
            <w:vAlign w:val="top"/>
          </w:tcPr>
          <w:p w14:paraId="6035922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193" w:type="dxa"/>
            <w:shd w:val="clear" w:color="auto" w:fill="auto"/>
            <w:noWrap w:val="0"/>
            <w:vAlign w:val="top"/>
          </w:tcPr>
          <w:p w14:paraId="7BB5AB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993" w:type="dxa"/>
            <w:tcBorders>
              <w:right w:val="single" w:color="auto" w:sz="4" w:space="0"/>
            </w:tcBorders>
            <w:shd w:val="clear" w:color="auto" w:fill="auto"/>
            <w:noWrap w:val="0"/>
            <w:vAlign w:val="top"/>
          </w:tcPr>
          <w:p w14:paraId="5C45D8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tcBorders>
              <w:left w:val="single" w:color="auto" w:sz="4" w:space="0"/>
              <w:right w:val="single" w:color="auto" w:sz="8" w:space="0"/>
            </w:tcBorders>
            <w:shd w:val="clear" w:color="auto" w:fill="auto"/>
            <w:noWrap w:val="0"/>
            <w:vAlign w:val="top"/>
          </w:tcPr>
          <w:p w14:paraId="4DA9E7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033" w:type="dxa"/>
            <w:tcBorders>
              <w:right w:val="single" w:color="auto" w:sz="8" w:space="0"/>
            </w:tcBorders>
            <w:noWrap w:val="0"/>
            <w:vAlign w:val="top"/>
          </w:tcPr>
          <w:p w14:paraId="642FC7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491BE7C7">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E16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2756A795">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56B1CA14">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193" w:type="dxa"/>
            <w:shd w:val="clear" w:color="auto" w:fill="auto"/>
            <w:noWrap w:val="0"/>
            <w:vAlign w:val="top"/>
          </w:tcPr>
          <w:p w14:paraId="0EFE3B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93" w:type="dxa"/>
            <w:tcBorders>
              <w:right w:val="single" w:color="auto" w:sz="4" w:space="0"/>
            </w:tcBorders>
            <w:shd w:val="clear" w:color="auto" w:fill="auto"/>
            <w:noWrap w:val="0"/>
            <w:vAlign w:val="top"/>
          </w:tcPr>
          <w:p w14:paraId="0B7E7B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1135" w:type="dxa"/>
            <w:tcBorders>
              <w:left w:val="single" w:color="auto" w:sz="4" w:space="0"/>
              <w:right w:val="single" w:color="auto" w:sz="8" w:space="0"/>
            </w:tcBorders>
            <w:shd w:val="clear" w:color="auto" w:fill="auto"/>
            <w:noWrap w:val="0"/>
            <w:vAlign w:val="top"/>
          </w:tcPr>
          <w:p w14:paraId="38892B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c>
          <w:tcPr>
            <w:tcW w:w="1033" w:type="dxa"/>
            <w:tcBorders>
              <w:right w:val="single" w:color="auto" w:sz="8" w:space="0"/>
            </w:tcBorders>
            <w:noWrap w:val="0"/>
            <w:vAlign w:val="top"/>
          </w:tcPr>
          <w:p w14:paraId="795835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0B6EB0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3DA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3748856A">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683D6F5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193" w:type="dxa"/>
            <w:shd w:val="clear" w:color="auto" w:fill="auto"/>
            <w:noWrap w:val="0"/>
            <w:vAlign w:val="top"/>
          </w:tcPr>
          <w:p w14:paraId="660A0E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993" w:type="dxa"/>
            <w:tcBorders>
              <w:right w:val="single" w:color="auto" w:sz="4" w:space="0"/>
            </w:tcBorders>
            <w:shd w:val="clear" w:color="auto" w:fill="auto"/>
            <w:noWrap w:val="0"/>
            <w:vAlign w:val="top"/>
          </w:tcPr>
          <w:p w14:paraId="13B235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5" w:type="dxa"/>
            <w:tcBorders>
              <w:left w:val="single" w:color="auto" w:sz="4" w:space="0"/>
              <w:right w:val="single" w:color="auto" w:sz="8" w:space="0"/>
            </w:tcBorders>
            <w:shd w:val="clear" w:color="auto" w:fill="auto"/>
            <w:noWrap w:val="0"/>
            <w:vAlign w:val="top"/>
          </w:tcPr>
          <w:p w14:paraId="77BEAC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033" w:type="dxa"/>
            <w:tcBorders>
              <w:right w:val="single" w:color="auto" w:sz="8" w:space="0"/>
            </w:tcBorders>
            <w:noWrap w:val="0"/>
            <w:vAlign w:val="top"/>
          </w:tcPr>
          <w:p w14:paraId="369F4D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4F3CCF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022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0C878D62">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7B77D50E">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193" w:type="dxa"/>
            <w:shd w:val="clear" w:color="auto" w:fill="auto"/>
            <w:noWrap w:val="0"/>
            <w:vAlign w:val="top"/>
          </w:tcPr>
          <w:p w14:paraId="0B37C2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993" w:type="dxa"/>
            <w:tcBorders>
              <w:right w:val="single" w:color="auto" w:sz="4" w:space="0"/>
            </w:tcBorders>
            <w:shd w:val="clear" w:color="auto" w:fill="auto"/>
            <w:noWrap w:val="0"/>
            <w:vAlign w:val="top"/>
          </w:tcPr>
          <w:p w14:paraId="01DF490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tcBorders>
              <w:left w:val="single" w:color="auto" w:sz="4" w:space="0"/>
              <w:right w:val="single" w:color="auto" w:sz="8" w:space="0"/>
            </w:tcBorders>
            <w:shd w:val="clear" w:color="auto" w:fill="auto"/>
            <w:noWrap w:val="0"/>
            <w:vAlign w:val="top"/>
          </w:tcPr>
          <w:p w14:paraId="5551D4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1033" w:type="dxa"/>
            <w:tcBorders>
              <w:right w:val="single" w:color="auto" w:sz="8" w:space="0"/>
            </w:tcBorders>
            <w:noWrap w:val="0"/>
            <w:vAlign w:val="top"/>
          </w:tcPr>
          <w:p w14:paraId="7E801A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18B0DD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F49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584A7C6C">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3F477A9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193" w:type="dxa"/>
            <w:shd w:val="clear" w:color="auto" w:fill="auto"/>
            <w:noWrap w:val="0"/>
            <w:vAlign w:val="top"/>
          </w:tcPr>
          <w:p w14:paraId="541D31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93" w:type="dxa"/>
            <w:tcBorders>
              <w:right w:val="single" w:color="auto" w:sz="4" w:space="0"/>
            </w:tcBorders>
            <w:shd w:val="clear" w:color="auto" w:fill="auto"/>
            <w:noWrap w:val="0"/>
            <w:vAlign w:val="top"/>
          </w:tcPr>
          <w:p w14:paraId="7271F1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tcBorders>
              <w:left w:val="single" w:color="auto" w:sz="4" w:space="0"/>
              <w:right w:val="single" w:color="auto" w:sz="8" w:space="0"/>
            </w:tcBorders>
            <w:shd w:val="clear" w:color="auto" w:fill="auto"/>
            <w:noWrap w:val="0"/>
            <w:vAlign w:val="top"/>
          </w:tcPr>
          <w:p w14:paraId="5CE446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033" w:type="dxa"/>
            <w:tcBorders>
              <w:right w:val="single" w:color="auto" w:sz="8" w:space="0"/>
            </w:tcBorders>
            <w:noWrap w:val="0"/>
            <w:vAlign w:val="top"/>
          </w:tcPr>
          <w:p w14:paraId="242ECD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367" w:type="dxa"/>
            <w:tcBorders>
              <w:right w:val="single" w:color="auto" w:sz="8" w:space="0"/>
            </w:tcBorders>
            <w:noWrap w:val="0"/>
            <w:vAlign w:val="top"/>
          </w:tcPr>
          <w:p w14:paraId="126087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09B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restart"/>
            <w:tcBorders>
              <w:left w:val="single" w:color="auto" w:sz="8" w:space="0"/>
              <w:right w:val="single" w:color="auto" w:sz="4" w:space="0"/>
            </w:tcBorders>
            <w:shd w:val="clear" w:color="auto" w:fill="auto"/>
            <w:noWrap w:val="0"/>
            <w:vAlign w:val="center"/>
          </w:tcPr>
          <w:p w14:paraId="1932C4DB">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2016.06.24</w:t>
            </w:r>
          </w:p>
        </w:tc>
        <w:tc>
          <w:tcPr>
            <w:tcW w:w="2120" w:type="dxa"/>
            <w:tcBorders>
              <w:left w:val="single" w:color="auto" w:sz="4" w:space="0"/>
            </w:tcBorders>
            <w:shd w:val="clear" w:color="auto" w:fill="auto"/>
            <w:noWrap w:val="0"/>
            <w:vAlign w:val="top"/>
          </w:tcPr>
          <w:p w14:paraId="2DA7A62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193" w:type="dxa"/>
            <w:shd w:val="clear" w:color="auto" w:fill="auto"/>
            <w:noWrap w:val="0"/>
            <w:vAlign w:val="top"/>
          </w:tcPr>
          <w:p w14:paraId="1100C3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993" w:type="dxa"/>
            <w:tcBorders>
              <w:right w:val="single" w:color="auto" w:sz="4" w:space="0"/>
            </w:tcBorders>
            <w:shd w:val="clear" w:color="auto" w:fill="auto"/>
            <w:noWrap w:val="0"/>
            <w:vAlign w:val="top"/>
          </w:tcPr>
          <w:p w14:paraId="0E6099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tcBorders>
              <w:left w:val="single" w:color="auto" w:sz="4" w:space="0"/>
              <w:right w:val="single" w:color="auto" w:sz="8" w:space="0"/>
            </w:tcBorders>
            <w:shd w:val="clear" w:color="auto" w:fill="auto"/>
            <w:noWrap w:val="0"/>
            <w:vAlign w:val="top"/>
          </w:tcPr>
          <w:p w14:paraId="742290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033" w:type="dxa"/>
            <w:tcBorders>
              <w:right w:val="single" w:color="auto" w:sz="8" w:space="0"/>
            </w:tcBorders>
            <w:noWrap w:val="0"/>
            <w:vAlign w:val="top"/>
          </w:tcPr>
          <w:p w14:paraId="27A945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34536C36">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921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7E08FDE5">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7FAA50CE">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193" w:type="dxa"/>
            <w:shd w:val="clear" w:color="auto" w:fill="auto"/>
            <w:noWrap w:val="0"/>
            <w:vAlign w:val="top"/>
          </w:tcPr>
          <w:p w14:paraId="753C15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993" w:type="dxa"/>
            <w:tcBorders>
              <w:right w:val="single" w:color="auto" w:sz="4" w:space="0"/>
            </w:tcBorders>
            <w:shd w:val="clear" w:color="auto" w:fill="auto"/>
            <w:noWrap w:val="0"/>
            <w:vAlign w:val="top"/>
          </w:tcPr>
          <w:p w14:paraId="503503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tcBorders>
              <w:left w:val="single" w:color="auto" w:sz="4" w:space="0"/>
              <w:right w:val="single" w:color="auto" w:sz="8" w:space="0"/>
            </w:tcBorders>
            <w:shd w:val="clear" w:color="auto" w:fill="auto"/>
            <w:noWrap w:val="0"/>
            <w:vAlign w:val="top"/>
          </w:tcPr>
          <w:p w14:paraId="5F9931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1033" w:type="dxa"/>
            <w:tcBorders>
              <w:right w:val="single" w:color="auto" w:sz="8" w:space="0"/>
            </w:tcBorders>
            <w:noWrap w:val="0"/>
            <w:vAlign w:val="top"/>
          </w:tcPr>
          <w:p w14:paraId="6835C4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248B18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5A3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5DCADEF2">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0B4600C9">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193" w:type="dxa"/>
            <w:shd w:val="clear" w:color="auto" w:fill="auto"/>
            <w:noWrap w:val="0"/>
            <w:vAlign w:val="top"/>
          </w:tcPr>
          <w:p w14:paraId="0E00B2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993" w:type="dxa"/>
            <w:tcBorders>
              <w:right w:val="single" w:color="auto" w:sz="4" w:space="0"/>
            </w:tcBorders>
            <w:shd w:val="clear" w:color="auto" w:fill="auto"/>
            <w:noWrap w:val="0"/>
            <w:vAlign w:val="top"/>
          </w:tcPr>
          <w:p w14:paraId="794F11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tcBorders>
              <w:left w:val="single" w:color="auto" w:sz="4" w:space="0"/>
              <w:right w:val="single" w:color="auto" w:sz="8" w:space="0"/>
            </w:tcBorders>
            <w:shd w:val="clear" w:color="auto" w:fill="auto"/>
            <w:noWrap w:val="0"/>
            <w:vAlign w:val="top"/>
          </w:tcPr>
          <w:p w14:paraId="3B5A3E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033" w:type="dxa"/>
            <w:tcBorders>
              <w:right w:val="single" w:color="auto" w:sz="8" w:space="0"/>
            </w:tcBorders>
            <w:noWrap w:val="0"/>
            <w:vAlign w:val="top"/>
          </w:tcPr>
          <w:p w14:paraId="0FFAAE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2C5F21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010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7C745DAE">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2E337A5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193" w:type="dxa"/>
            <w:shd w:val="clear" w:color="auto" w:fill="auto"/>
            <w:noWrap w:val="0"/>
            <w:vAlign w:val="top"/>
          </w:tcPr>
          <w:p w14:paraId="72F25E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c>
          <w:tcPr>
            <w:tcW w:w="993" w:type="dxa"/>
            <w:tcBorders>
              <w:right w:val="single" w:color="auto" w:sz="4" w:space="0"/>
            </w:tcBorders>
            <w:shd w:val="clear" w:color="auto" w:fill="auto"/>
            <w:noWrap w:val="0"/>
            <w:vAlign w:val="top"/>
          </w:tcPr>
          <w:p w14:paraId="131FF0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1135" w:type="dxa"/>
            <w:tcBorders>
              <w:left w:val="single" w:color="auto" w:sz="4" w:space="0"/>
              <w:right w:val="single" w:color="auto" w:sz="8" w:space="0"/>
            </w:tcBorders>
            <w:shd w:val="clear" w:color="auto" w:fill="auto"/>
            <w:noWrap w:val="0"/>
            <w:vAlign w:val="top"/>
          </w:tcPr>
          <w:p w14:paraId="383F94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033" w:type="dxa"/>
            <w:tcBorders>
              <w:right w:val="single" w:color="auto" w:sz="8" w:space="0"/>
            </w:tcBorders>
            <w:noWrap w:val="0"/>
            <w:vAlign w:val="top"/>
          </w:tcPr>
          <w:p w14:paraId="17AB33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3148E10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1E3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50E6C7C5">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66DCB09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193" w:type="dxa"/>
            <w:shd w:val="clear" w:color="auto" w:fill="auto"/>
            <w:noWrap w:val="0"/>
            <w:vAlign w:val="center"/>
          </w:tcPr>
          <w:p w14:paraId="37403127">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93" w:type="dxa"/>
            <w:tcBorders>
              <w:right w:val="single" w:color="auto" w:sz="4" w:space="0"/>
            </w:tcBorders>
            <w:shd w:val="clear" w:color="auto" w:fill="auto"/>
            <w:noWrap w:val="0"/>
            <w:vAlign w:val="top"/>
          </w:tcPr>
          <w:p w14:paraId="218408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tcBorders>
              <w:left w:val="single" w:color="auto" w:sz="4" w:space="0"/>
              <w:right w:val="single" w:color="auto" w:sz="8" w:space="0"/>
            </w:tcBorders>
            <w:shd w:val="clear" w:color="auto" w:fill="auto"/>
            <w:noWrap w:val="0"/>
            <w:vAlign w:val="top"/>
          </w:tcPr>
          <w:p w14:paraId="41A87F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033" w:type="dxa"/>
            <w:tcBorders>
              <w:right w:val="single" w:color="auto" w:sz="8" w:space="0"/>
            </w:tcBorders>
            <w:noWrap w:val="0"/>
            <w:vAlign w:val="top"/>
          </w:tcPr>
          <w:p w14:paraId="552998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367" w:type="dxa"/>
            <w:tcBorders>
              <w:right w:val="single" w:color="auto" w:sz="8" w:space="0"/>
            </w:tcBorders>
            <w:noWrap w:val="0"/>
            <w:vAlign w:val="top"/>
          </w:tcPr>
          <w:p w14:paraId="1194D8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37D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restart"/>
            <w:tcBorders>
              <w:top w:val="single" w:color="auto" w:sz="4" w:space="0"/>
              <w:left w:val="single" w:color="auto" w:sz="8" w:space="0"/>
              <w:right w:val="single" w:color="auto" w:sz="4" w:space="0"/>
            </w:tcBorders>
            <w:shd w:val="clear" w:color="auto" w:fill="auto"/>
            <w:noWrap w:val="0"/>
            <w:vAlign w:val="center"/>
          </w:tcPr>
          <w:p w14:paraId="0C188F64">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2016.06.25</w:t>
            </w:r>
          </w:p>
        </w:tc>
        <w:tc>
          <w:tcPr>
            <w:tcW w:w="2120" w:type="dxa"/>
            <w:tcBorders>
              <w:top w:val="single" w:color="auto" w:sz="4" w:space="0"/>
              <w:left w:val="single" w:color="auto" w:sz="4" w:space="0"/>
            </w:tcBorders>
            <w:shd w:val="clear" w:color="auto" w:fill="auto"/>
            <w:noWrap w:val="0"/>
            <w:vAlign w:val="top"/>
          </w:tcPr>
          <w:p w14:paraId="2796ADF6">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193" w:type="dxa"/>
            <w:shd w:val="clear" w:color="auto" w:fill="auto"/>
            <w:noWrap w:val="0"/>
            <w:vAlign w:val="top"/>
          </w:tcPr>
          <w:p w14:paraId="00DC50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993" w:type="dxa"/>
            <w:tcBorders>
              <w:right w:val="single" w:color="auto" w:sz="4" w:space="0"/>
            </w:tcBorders>
            <w:shd w:val="clear" w:color="auto" w:fill="auto"/>
            <w:noWrap w:val="0"/>
            <w:vAlign w:val="top"/>
          </w:tcPr>
          <w:p w14:paraId="046C71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tcBorders>
              <w:left w:val="single" w:color="auto" w:sz="4" w:space="0"/>
              <w:right w:val="single" w:color="auto" w:sz="8" w:space="0"/>
            </w:tcBorders>
            <w:shd w:val="clear" w:color="auto" w:fill="auto"/>
            <w:noWrap w:val="0"/>
            <w:vAlign w:val="top"/>
          </w:tcPr>
          <w:p w14:paraId="1101B9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033" w:type="dxa"/>
            <w:tcBorders>
              <w:right w:val="single" w:color="auto" w:sz="8" w:space="0"/>
            </w:tcBorders>
            <w:noWrap w:val="0"/>
            <w:vAlign w:val="top"/>
          </w:tcPr>
          <w:p w14:paraId="68E8F6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636EE2DF">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7D1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744F83F9">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2F99410F">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193" w:type="dxa"/>
            <w:shd w:val="clear" w:color="auto" w:fill="auto"/>
            <w:noWrap w:val="0"/>
            <w:vAlign w:val="top"/>
          </w:tcPr>
          <w:p w14:paraId="4610D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93" w:type="dxa"/>
            <w:tcBorders>
              <w:right w:val="single" w:color="auto" w:sz="4" w:space="0"/>
            </w:tcBorders>
            <w:shd w:val="clear" w:color="auto" w:fill="auto"/>
            <w:noWrap w:val="0"/>
            <w:vAlign w:val="top"/>
          </w:tcPr>
          <w:p w14:paraId="3380A5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tcBorders>
              <w:left w:val="single" w:color="auto" w:sz="4" w:space="0"/>
              <w:right w:val="single" w:color="auto" w:sz="8" w:space="0"/>
            </w:tcBorders>
            <w:shd w:val="clear" w:color="auto" w:fill="auto"/>
            <w:noWrap w:val="0"/>
            <w:vAlign w:val="top"/>
          </w:tcPr>
          <w:p w14:paraId="4CFC70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033" w:type="dxa"/>
            <w:tcBorders>
              <w:right w:val="single" w:color="auto" w:sz="8" w:space="0"/>
            </w:tcBorders>
            <w:noWrap w:val="0"/>
            <w:vAlign w:val="top"/>
          </w:tcPr>
          <w:p w14:paraId="34C2C2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6BAFB1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3C6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53E03BD5">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110A006E">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193" w:type="dxa"/>
            <w:shd w:val="clear" w:color="auto" w:fill="auto"/>
            <w:noWrap w:val="0"/>
            <w:vAlign w:val="top"/>
          </w:tcPr>
          <w:p w14:paraId="0BD338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993" w:type="dxa"/>
            <w:tcBorders>
              <w:right w:val="single" w:color="auto" w:sz="4" w:space="0"/>
            </w:tcBorders>
            <w:shd w:val="clear" w:color="auto" w:fill="auto"/>
            <w:noWrap w:val="0"/>
            <w:vAlign w:val="top"/>
          </w:tcPr>
          <w:p w14:paraId="394373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tcBorders>
              <w:left w:val="single" w:color="auto" w:sz="4" w:space="0"/>
              <w:right w:val="single" w:color="auto" w:sz="8" w:space="0"/>
            </w:tcBorders>
            <w:shd w:val="clear" w:color="auto" w:fill="auto"/>
            <w:noWrap w:val="0"/>
            <w:vAlign w:val="top"/>
          </w:tcPr>
          <w:p w14:paraId="173FF4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033" w:type="dxa"/>
            <w:tcBorders>
              <w:right w:val="single" w:color="auto" w:sz="8" w:space="0"/>
            </w:tcBorders>
            <w:noWrap w:val="0"/>
            <w:vAlign w:val="top"/>
          </w:tcPr>
          <w:p w14:paraId="0829C4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389E62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FA9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72634866">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2A0FC530">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193" w:type="dxa"/>
            <w:shd w:val="clear" w:color="auto" w:fill="auto"/>
            <w:noWrap w:val="0"/>
            <w:vAlign w:val="top"/>
          </w:tcPr>
          <w:p w14:paraId="14A340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93" w:type="dxa"/>
            <w:tcBorders>
              <w:right w:val="single" w:color="auto" w:sz="4" w:space="0"/>
            </w:tcBorders>
            <w:shd w:val="clear" w:color="auto" w:fill="auto"/>
            <w:noWrap w:val="0"/>
            <w:vAlign w:val="top"/>
          </w:tcPr>
          <w:p w14:paraId="6D1204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135" w:type="dxa"/>
            <w:tcBorders>
              <w:left w:val="single" w:color="auto" w:sz="4" w:space="0"/>
              <w:right w:val="single" w:color="auto" w:sz="8" w:space="0"/>
            </w:tcBorders>
            <w:shd w:val="clear" w:color="auto" w:fill="auto"/>
            <w:noWrap w:val="0"/>
            <w:vAlign w:val="top"/>
          </w:tcPr>
          <w:p w14:paraId="5016AA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033" w:type="dxa"/>
            <w:tcBorders>
              <w:right w:val="single" w:color="auto" w:sz="8" w:space="0"/>
            </w:tcBorders>
            <w:noWrap w:val="0"/>
            <w:vAlign w:val="top"/>
          </w:tcPr>
          <w:p w14:paraId="137222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070BF7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CF7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70AF175C">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6B9EB29B">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193" w:type="dxa"/>
            <w:shd w:val="clear" w:color="auto" w:fill="auto"/>
            <w:noWrap w:val="0"/>
            <w:vAlign w:val="top"/>
          </w:tcPr>
          <w:p w14:paraId="349C7B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93" w:type="dxa"/>
            <w:tcBorders>
              <w:right w:val="single" w:color="auto" w:sz="4" w:space="0"/>
            </w:tcBorders>
            <w:shd w:val="clear" w:color="auto" w:fill="auto"/>
            <w:noWrap w:val="0"/>
            <w:vAlign w:val="top"/>
          </w:tcPr>
          <w:p w14:paraId="0566BF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tcBorders>
              <w:left w:val="single" w:color="auto" w:sz="4" w:space="0"/>
              <w:right w:val="single" w:color="auto" w:sz="8" w:space="0"/>
            </w:tcBorders>
            <w:shd w:val="clear" w:color="auto" w:fill="auto"/>
            <w:noWrap w:val="0"/>
            <w:vAlign w:val="top"/>
          </w:tcPr>
          <w:p w14:paraId="2882F2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033" w:type="dxa"/>
            <w:tcBorders>
              <w:right w:val="single" w:color="auto" w:sz="8" w:space="0"/>
            </w:tcBorders>
            <w:noWrap w:val="0"/>
            <w:vAlign w:val="top"/>
          </w:tcPr>
          <w:p w14:paraId="729204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367" w:type="dxa"/>
            <w:tcBorders>
              <w:right w:val="single" w:color="auto" w:sz="8" w:space="0"/>
            </w:tcBorders>
            <w:noWrap w:val="0"/>
            <w:vAlign w:val="top"/>
          </w:tcPr>
          <w:p w14:paraId="251547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72E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restart"/>
            <w:tcBorders>
              <w:left w:val="single" w:color="auto" w:sz="8" w:space="0"/>
              <w:right w:val="single" w:color="auto" w:sz="4" w:space="0"/>
            </w:tcBorders>
            <w:shd w:val="clear" w:color="auto" w:fill="auto"/>
            <w:noWrap w:val="0"/>
            <w:vAlign w:val="center"/>
          </w:tcPr>
          <w:p w14:paraId="12F99DAA">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2016.06.26</w:t>
            </w:r>
          </w:p>
        </w:tc>
        <w:tc>
          <w:tcPr>
            <w:tcW w:w="2120" w:type="dxa"/>
            <w:tcBorders>
              <w:left w:val="single" w:color="auto" w:sz="4" w:space="0"/>
            </w:tcBorders>
            <w:shd w:val="clear" w:color="auto" w:fill="auto"/>
            <w:noWrap w:val="0"/>
            <w:vAlign w:val="top"/>
          </w:tcPr>
          <w:p w14:paraId="0241F36C">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193" w:type="dxa"/>
            <w:shd w:val="clear" w:color="auto" w:fill="auto"/>
            <w:noWrap w:val="0"/>
            <w:vAlign w:val="top"/>
          </w:tcPr>
          <w:p w14:paraId="2DCC3E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993" w:type="dxa"/>
            <w:tcBorders>
              <w:right w:val="single" w:color="auto" w:sz="4" w:space="0"/>
            </w:tcBorders>
            <w:shd w:val="clear" w:color="auto" w:fill="auto"/>
            <w:noWrap w:val="0"/>
            <w:vAlign w:val="top"/>
          </w:tcPr>
          <w:p w14:paraId="0728C6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tcBorders>
              <w:left w:val="single" w:color="auto" w:sz="4" w:space="0"/>
              <w:right w:val="single" w:color="auto" w:sz="8" w:space="0"/>
            </w:tcBorders>
            <w:shd w:val="clear" w:color="auto" w:fill="auto"/>
            <w:noWrap w:val="0"/>
            <w:vAlign w:val="top"/>
          </w:tcPr>
          <w:p w14:paraId="39B821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033" w:type="dxa"/>
            <w:tcBorders>
              <w:right w:val="single" w:color="auto" w:sz="8" w:space="0"/>
            </w:tcBorders>
            <w:noWrap w:val="0"/>
            <w:vAlign w:val="top"/>
          </w:tcPr>
          <w:p w14:paraId="7B43C3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44672CE8">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581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3269D5C2">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5815C7CC">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193" w:type="dxa"/>
            <w:shd w:val="clear" w:color="auto" w:fill="auto"/>
            <w:noWrap w:val="0"/>
            <w:vAlign w:val="top"/>
          </w:tcPr>
          <w:p w14:paraId="2902EF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93" w:type="dxa"/>
            <w:tcBorders>
              <w:right w:val="single" w:color="auto" w:sz="4" w:space="0"/>
            </w:tcBorders>
            <w:shd w:val="clear" w:color="auto" w:fill="auto"/>
            <w:noWrap w:val="0"/>
            <w:vAlign w:val="top"/>
          </w:tcPr>
          <w:p w14:paraId="7ABB1F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tcBorders>
              <w:left w:val="single" w:color="auto" w:sz="4" w:space="0"/>
              <w:right w:val="single" w:color="auto" w:sz="8" w:space="0"/>
            </w:tcBorders>
            <w:shd w:val="clear" w:color="auto" w:fill="auto"/>
            <w:noWrap w:val="0"/>
            <w:vAlign w:val="top"/>
          </w:tcPr>
          <w:p w14:paraId="1663D4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033" w:type="dxa"/>
            <w:tcBorders>
              <w:right w:val="single" w:color="auto" w:sz="8" w:space="0"/>
            </w:tcBorders>
            <w:noWrap w:val="0"/>
            <w:vAlign w:val="top"/>
          </w:tcPr>
          <w:p w14:paraId="731896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15AF45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83C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6450C501">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534EABE1">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193" w:type="dxa"/>
            <w:shd w:val="clear" w:color="auto" w:fill="auto"/>
            <w:noWrap w:val="0"/>
            <w:vAlign w:val="top"/>
          </w:tcPr>
          <w:p w14:paraId="221EF2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993" w:type="dxa"/>
            <w:tcBorders>
              <w:right w:val="single" w:color="auto" w:sz="4" w:space="0"/>
            </w:tcBorders>
            <w:shd w:val="clear" w:color="auto" w:fill="auto"/>
            <w:noWrap w:val="0"/>
            <w:vAlign w:val="top"/>
          </w:tcPr>
          <w:p w14:paraId="77B6F8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tcBorders>
              <w:left w:val="single" w:color="auto" w:sz="4" w:space="0"/>
              <w:right w:val="single" w:color="auto" w:sz="8" w:space="0"/>
            </w:tcBorders>
            <w:shd w:val="clear" w:color="auto" w:fill="auto"/>
            <w:noWrap w:val="0"/>
            <w:vAlign w:val="top"/>
          </w:tcPr>
          <w:p w14:paraId="7BED3E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033" w:type="dxa"/>
            <w:tcBorders>
              <w:right w:val="single" w:color="auto" w:sz="8" w:space="0"/>
            </w:tcBorders>
            <w:noWrap w:val="0"/>
            <w:vAlign w:val="top"/>
          </w:tcPr>
          <w:p w14:paraId="23DF11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4D8856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A73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5971D58C">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1DE6C325">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193" w:type="dxa"/>
            <w:shd w:val="clear" w:color="auto" w:fill="auto"/>
            <w:noWrap w:val="0"/>
            <w:vAlign w:val="top"/>
          </w:tcPr>
          <w:p w14:paraId="6754065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93" w:type="dxa"/>
            <w:tcBorders>
              <w:right w:val="single" w:color="auto" w:sz="4" w:space="0"/>
            </w:tcBorders>
            <w:shd w:val="clear" w:color="auto" w:fill="auto"/>
            <w:noWrap w:val="0"/>
            <w:vAlign w:val="top"/>
          </w:tcPr>
          <w:p w14:paraId="0BFA46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5" w:type="dxa"/>
            <w:tcBorders>
              <w:left w:val="single" w:color="auto" w:sz="4" w:space="0"/>
              <w:right w:val="single" w:color="auto" w:sz="8" w:space="0"/>
            </w:tcBorders>
            <w:shd w:val="clear" w:color="auto" w:fill="auto"/>
            <w:noWrap w:val="0"/>
            <w:vAlign w:val="top"/>
          </w:tcPr>
          <w:p w14:paraId="2BD66A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033" w:type="dxa"/>
            <w:tcBorders>
              <w:right w:val="single" w:color="auto" w:sz="8" w:space="0"/>
            </w:tcBorders>
            <w:noWrap w:val="0"/>
            <w:vAlign w:val="top"/>
          </w:tcPr>
          <w:p w14:paraId="2DF736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0004B4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C44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11DB9D79">
            <w:pPr>
              <w:spacing w:line="340" w:lineRule="exact"/>
              <w:jc w:val="center"/>
              <w:rPr>
                <w:rFonts w:hint="default" w:ascii="Times New Roman" w:hAnsi="Times New Roman" w:eastAsia="宋体" w:cs="Times New Roman"/>
                <w:b/>
                <w:bCs/>
                <w:color w:val="auto"/>
                <w:sz w:val="21"/>
                <w:szCs w:val="21"/>
              </w:rPr>
            </w:pPr>
          </w:p>
        </w:tc>
        <w:tc>
          <w:tcPr>
            <w:tcW w:w="2120" w:type="dxa"/>
            <w:tcBorders>
              <w:left w:val="single" w:color="auto" w:sz="4" w:space="0"/>
            </w:tcBorders>
            <w:shd w:val="clear" w:color="auto" w:fill="auto"/>
            <w:noWrap w:val="0"/>
            <w:vAlign w:val="top"/>
          </w:tcPr>
          <w:p w14:paraId="397F9A4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193" w:type="dxa"/>
            <w:shd w:val="clear" w:color="auto" w:fill="auto"/>
            <w:noWrap w:val="0"/>
            <w:vAlign w:val="top"/>
          </w:tcPr>
          <w:p w14:paraId="4F1C75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93" w:type="dxa"/>
            <w:tcBorders>
              <w:right w:val="single" w:color="auto" w:sz="4" w:space="0"/>
            </w:tcBorders>
            <w:shd w:val="clear" w:color="auto" w:fill="auto"/>
            <w:noWrap w:val="0"/>
            <w:vAlign w:val="top"/>
          </w:tcPr>
          <w:p w14:paraId="608854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tcBorders>
              <w:left w:val="single" w:color="auto" w:sz="4" w:space="0"/>
              <w:right w:val="single" w:color="auto" w:sz="8" w:space="0"/>
            </w:tcBorders>
            <w:shd w:val="clear" w:color="auto" w:fill="auto"/>
            <w:noWrap w:val="0"/>
            <w:vAlign w:val="top"/>
          </w:tcPr>
          <w:p w14:paraId="03098A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033" w:type="dxa"/>
            <w:tcBorders>
              <w:right w:val="single" w:color="auto" w:sz="8" w:space="0"/>
            </w:tcBorders>
            <w:noWrap w:val="0"/>
            <w:vAlign w:val="top"/>
          </w:tcPr>
          <w:p w14:paraId="5122FB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367" w:type="dxa"/>
            <w:tcBorders>
              <w:right w:val="single" w:color="auto" w:sz="8" w:space="0"/>
            </w:tcBorders>
            <w:noWrap w:val="0"/>
            <w:vAlign w:val="top"/>
          </w:tcPr>
          <w:p w14:paraId="4EC80A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200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restart"/>
            <w:tcBorders>
              <w:top w:val="single" w:color="auto" w:sz="4" w:space="0"/>
              <w:left w:val="single" w:color="auto" w:sz="8" w:space="0"/>
              <w:right w:val="single" w:color="auto" w:sz="4" w:space="0"/>
            </w:tcBorders>
            <w:shd w:val="clear" w:color="auto" w:fill="auto"/>
            <w:noWrap w:val="0"/>
            <w:vAlign w:val="center"/>
          </w:tcPr>
          <w:p w14:paraId="5166345B">
            <w:pPr>
              <w:spacing w:line="34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2016.06.27</w:t>
            </w:r>
          </w:p>
        </w:tc>
        <w:tc>
          <w:tcPr>
            <w:tcW w:w="2120" w:type="dxa"/>
            <w:tcBorders>
              <w:top w:val="single" w:color="auto" w:sz="4" w:space="0"/>
              <w:left w:val="single" w:color="auto" w:sz="4" w:space="0"/>
            </w:tcBorders>
            <w:shd w:val="clear" w:color="auto" w:fill="auto"/>
            <w:noWrap w:val="0"/>
            <w:vAlign w:val="top"/>
          </w:tcPr>
          <w:p w14:paraId="509A68D1">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193" w:type="dxa"/>
            <w:shd w:val="clear" w:color="auto" w:fill="auto"/>
            <w:noWrap w:val="0"/>
            <w:vAlign w:val="top"/>
          </w:tcPr>
          <w:p w14:paraId="43485A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993" w:type="dxa"/>
            <w:tcBorders>
              <w:right w:val="single" w:color="auto" w:sz="4" w:space="0"/>
            </w:tcBorders>
            <w:shd w:val="clear" w:color="auto" w:fill="auto"/>
            <w:noWrap w:val="0"/>
            <w:vAlign w:val="top"/>
          </w:tcPr>
          <w:p w14:paraId="66D8F6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135" w:type="dxa"/>
            <w:tcBorders>
              <w:left w:val="single" w:color="auto" w:sz="4" w:space="0"/>
              <w:right w:val="single" w:color="auto" w:sz="8" w:space="0"/>
            </w:tcBorders>
            <w:shd w:val="clear" w:color="auto" w:fill="auto"/>
            <w:noWrap w:val="0"/>
            <w:vAlign w:val="top"/>
          </w:tcPr>
          <w:p w14:paraId="07C627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033" w:type="dxa"/>
            <w:tcBorders>
              <w:right w:val="single" w:color="auto" w:sz="8" w:space="0"/>
            </w:tcBorders>
            <w:noWrap w:val="0"/>
            <w:vAlign w:val="top"/>
          </w:tcPr>
          <w:p w14:paraId="7C457B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6DC8DB24">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BA9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33A43517">
            <w:pPr>
              <w:spacing w:line="340" w:lineRule="exact"/>
              <w:jc w:val="center"/>
              <w:rPr>
                <w:rFonts w:hint="default" w:ascii="Times New Roman" w:hAnsi="Times New Roman" w:eastAsia="宋体" w:cs="Times New Roman"/>
                <w:color w:val="auto"/>
                <w:sz w:val="21"/>
                <w:szCs w:val="21"/>
              </w:rPr>
            </w:pPr>
          </w:p>
        </w:tc>
        <w:tc>
          <w:tcPr>
            <w:tcW w:w="2120" w:type="dxa"/>
            <w:tcBorders>
              <w:left w:val="single" w:color="auto" w:sz="4" w:space="0"/>
            </w:tcBorders>
            <w:shd w:val="clear" w:color="auto" w:fill="auto"/>
            <w:noWrap w:val="0"/>
            <w:vAlign w:val="top"/>
          </w:tcPr>
          <w:p w14:paraId="04662988">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193" w:type="dxa"/>
            <w:shd w:val="clear" w:color="auto" w:fill="auto"/>
            <w:noWrap w:val="0"/>
            <w:vAlign w:val="top"/>
          </w:tcPr>
          <w:p w14:paraId="1F13E6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993" w:type="dxa"/>
            <w:tcBorders>
              <w:right w:val="single" w:color="auto" w:sz="4" w:space="0"/>
            </w:tcBorders>
            <w:shd w:val="clear" w:color="auto" w:fill="auto"/>
            <w:noWrap w:val="0"/>
            <w:vAlign w:val="top"/>
          </w:tcPr>
          <w:p w14:paraId="1B0322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135" w:type="dxa"/>
            <w:tcBorders>
              <w:left w:val="single" w:color="auto" w:sz="4" w:space="0"/>
              <w:right w:val="single" w:color="auto" w:sz="8" w:space="0"/>
            </w:tcBorders>
            <w:shd w:val="clear" w:color="auto" w:fill="auto"/>
            <w:noWrap w:val="0"/>
            <w:vAlign w:val="top"/>
          </w:tcPr>
          <w:p w14:paraId="104298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1033" w:type="dxa"/>
            <w:tcBorders>
              <w:right w:val="single" w:color="auto" w:sz="8" w:space="0"/>
            </w:tcBorders>
            <w:noWrap w:val="0"/>
            <w:vAlign w:val="top"/>
          </w:tcPr>
          <w:p w14:paraId="7DA9BD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250095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525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7CCF84BB">
            <w:pPr>
              <w:spacing w:line="340" w:lineRule="exact"/>
              <w:jc w:val="center"/>
              <w:rPr>
                <w:rFonts w:hint="default" w:ascii="Times New Roman" w:hAnsi="Times New Roman" w:eastAsia="宋体" w:cs="Times New Roman"/>
                <w:color w:val="auto"/>
                <w:sz w:val="21"/>
                <w:szCs w:val="21"/>
              </w:rPr>
            </w:pPr>
          </w:p>
        </w:tc>
        <w:tc>
          <w:tcPr>
            <w:tcW w:w="2120" w:type="dxa"/>
            <w:tcBorders>
              <w:left w:val="single" w:color="auto" w:sz="4" w:space="0"/>
            </w:tcBorders>
            <w:shd w:val="clear" w:color="auto" w:fill="auto"/>
            <w:noWrap w:val="0"/>
            <w:vAlign w:val="top"/>
          </w:tcPr>
          <w:p w14:paraId="26D62052">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193" w:type="dxa"/>
            <w:shd w:val="clear" w:color="auto" w:fill="auto"/>
            <w:noWrap w:val="0"/>
            <w:vAlign w:val="top"/>
          </w:tcPr>
          <w:p w14:paraId="521FDE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993" w:type="dxa"/>
            <w:tcBorders>
              <w:right w:val="single" w:color="auto" w:sz="4" w:space="0"/>
            </w:tcBorders>
            <w:shd w:val="clear" w:color="auto" w:fill="auto"/>
            <w:noWrap w:val="0"/>
            <w:vAlign w:val="top"/>
          </w:tcPr>
          <w:p w14:paraId="298EB9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tcBorders>
              <w:left w:val="single" w:color="auto" w:sz="4" w:space="0"/>
              <w:right w:val="single" w:color="auto" w:sz="8" w:space="0"/>
            </w:tcBorders>
            <w:shd w:val="clear" w:color="auto" w:fill="auto"/>
            <w:noWrap w:val="0"/>
            <w:vAlign w:val="top"/>
          </w:tcPr>
          <w:p w14:paraId="112B83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033" w:type="dxa"/>
            <w:tcBorders>
              <w:right w:val="single" w:color="auto" w:sz="8" w:space="0"/>
            </w:tcBorders>
            <w:noWrap w:val="0"/>
            <w:vAlign w:val="top"/>
          </w:tcPr>
          <w:p w14:paraId="64D593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1DFD6F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2F6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right w:val="single" w:color="auto" w:sz="4" w:space="0"/>
            </w:tcBorders>
            <w:shd w:val="clear" w:color="auto" w:fill="auto"/>
            <w:noWrap w:val="0"/>
            <w:vAlign w:val="top"/>
          </w:tcPr>
          <w:p w14:paraId="183ED42E">
            <w:pPr>
              <w:spacing w:line="340" w:lineRule="exact"/>
              <w:jc w:val="center"/>
              <w:rPr>
                <w:rFonts w:hint="default" w:ascii="Times New Roman" w:hAnsi="Times New Roman" w:eastAsia="宋体" w:cs="Times New Roman"/>
                <w:color w:val="auto"/>
                <w:sz w:val="21"/>
                <w:szCs w:val="21"/>
              </w:rPr>
            </w:pPr>
          </w:p>
        </w:tc>
        <w:tc>
          <w:tcPr>
            <w:tcW w:w="2120" w:type="dxa"/>
            <w:tcBorders>
              <w:left w:val="single" w:color="auto" w:sz="4" w:space="0"/>
            </w:tcBorders>
            <w:shd w:val="clear" w:color="auto" w:fill="auto"/>
            <w:noWrap w:val="0"/>
            <w:vAlign w:val="top"/>
          </w:tcPr>
          <w:p w14:paraId="3CA83223">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193" w:type="dxa"/>
            <w:shd w:val="clear" w:color="auto" w:fill="auto"/>
            <w:noWrap w:val="0"/>
            <w:vAlign w:val="top"/>
          </w:tcPr>
          <w:p w14:paraId="2C82AA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993" w:type="dxa"/>
            <w:tcBorders>
              <w:right w:val="single" w:color="auto" w:sz="4" w:space="0"/>
            </w:tcBorders>
            <w:shd w:val="clear" w:color="auto" w:fill="auto"/>
            <w:noWrap w:val="0"/>
            <w:vAlign w:val="top"/>
          </w:tcPr>
          <w:p w14:paraId="3D397A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135" w:type="dxa"/>
            <w:tcBorders>
              <w:left w:val="single" w:color="auto" w:sz="4" w:space="0"/>
              <w:right w:val="single" w:color="auto" w:sz="8" w:space="0"/>
            </w:tcBorders>
            <w:shd w:val="clear" w:color="auto" w:fill="auto"/>
            <w:noWrap w:val="0"/>
            <w:vAlign w:val="top"/>
          </w:tcPr>
          <w:p w14:paraId="6B9907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033" w:type="dxa"/>
            <w:tcBorders>
              <w:right w:val="single" w:color="auto" w:sz="8" w:space="0"/>
            </w:tcBorders>
            <w:noWrap w:val="0"/>
            <w:vAlign w:val="top"/>
          </w:tcPr>
          <w:p w14:paraId="5BC739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0.50</w:t>
            </w:r>
          </w:p>
        </w:tc>
        <w:tc>
          <w:tcPr>
            <w:tcW w:w="1367" w:type="dxa"/>
            <w:tcBorders>
              <w:right w:val="single" w:color="auto" w:sz="8" w:space="0"/>
            </w:tcBorders>
            <w:noWrap w:val="0"/>
            <w:vAlign w:val="top"/>
          </w:tcPr>
          <w:p w14:paraId="1AD1B6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A8E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5" w:type="dxa"/>
            <w:vMerge w:val="continue"/>
            <w:tcBorders>
              <w:left w:val="single" w:color="auto" w:sz="8" w:space="0"/>
              <w:bottom w:val="single" w:color="auto" w:sz="8" w:space="0"/>
              <w:right w:val="single" w:color="auto" w:sz="4" w:space="0"/>
            </w:tcBorders>
            <w:shd w:val="clear" w:color="auto" w:fill="auto"/>
            <w:noWrap w:val="0"/>
            <w:vAlign w:val="top"/>
          </w:tcPr>
          <w:p w14:paraId="121E1992">
            <w:pPr>
              <w:spacing w:line="340" w:lineRule="exact"/>
              <w:jc w:val="center"/>
              <w:rPr>
                <w:rFonts w:hint="default" w:ascii="Times New Roman" w:hAnsi="Times New Roman" w:eastAsia="宋体" w:cs="Times New Roman"/>
                <w:color w:val="auto"/>
                <w:sz w:val="21"/>
                <w:szCs w:val="21"/>
              </w:rPr>
            </w:pPr>
          </w:p>
        </w:tc>
        <w:tc>
          <w:tcPr>
            <w:tcW w:w="2120" w:type="dxa"/>
            <w:tcBorders>
              <w:left w:val="single" w:color="auto" w:sz="4" w:space="0"/>
              <w:bottom w:val="single" w:color="auto" w:sz="8" w:space="0"/>
            </w:tcBorders>
            <w:shd w:val="clear" w:color="auto" w:fill="auto"/>
            <w:noWrap w:val="0"/>
            <w:vAlign w:val="top"/>
          </w:tcPr>
          <w:p w14:paraId="14E2AD95">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193" w:type="dxa"/>
            <w:tcBorders>
              <w:bottom w:val="single" w:color="auto" w:sz="8" w:space="0"/>
            </w:tcBorders>
            <w:shd w:val="clear" w:color="auto" w:fill="auto"/>
            <w:noWrap w:val="0"/>
            <w:vAlign w:val="top"/>
          </w:tcPr>
          <w:p w14:paraId="15DFDC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93" w:type="dxa"/>
            <w:tcBorders>
              <w:bottom w:val="single" w:color="auto" w:sz="8" w:space="0"/>
              <w:right w:val="single" w:color="auto" w:sz="4" w:space="0"/>
            </w:tcBorders>
            <w:shd w:val="clear" w:color="auto" w:fill="auto"/>
            <w:noWrap w:val="0"/>
            <w:vAlign w:val="top"/>
          </w:tcPr>
          <w:p w14:paraId="0EC5E4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tcBorders>
              <w:left w:val="single" w:color="auto" w:sz="4" w:space="0"/>
              <w:bottom w:val="single" w:color="auto" w:sz="8" w:space="0"/>
              <w:right w:val="single" w:color="auto" w:sz="8" w:space="0"/>
            </w:tcBorders>
            <w:shd w:val="clear" w:color="auto" w:fill="auto"/>
            <w:noWrap w:val="0"/>
            <w:vAlign w:val="top"/>
          </w:tcPr>
          <w:p w14:paraId="25D295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033" w:type="dxa"/>
            <w:tcBorders>
              <w:bottom w:val="single" w:color="auto" w:sz="8" w:space="0"/>
              <w:right w:val="single" w:color="auto" w:sz="8" w:space="0"/>
            </w:tcBorders>
            <w:noWrap w:val="0"/>
            <w:vAlign w:val="top"/>
          </w:tcPr>
          <w:p w14:paraId="443A88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0.15</w:t>
            </w:r>
          </w:p>
        </w:tc>
        <w:tc>
          <w:tcPr>
            <w:tcW w:w="1367" w:type="dxa"/>
            <w:tcBorders>
              <w:bottom w:val="single" w:color="auto" w:sz="8" w:space="0"/>
              <w:right w:val="single" w:color="auto" w:sz="8" w:space="0"/>
            </w:tcBorders>
            <w:noWrap w:val="0"/>
            <w:vAlign w:val="top"/>
          </w:tcPr>
          <w:p w14:paraId="1EAAB8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4B33C097">
      <w:pPr>
        <w:spacing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根据监测结果， SO</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小时、日均浓度满足《环境空气质量标准》(GB3095-2012)二级标准</w:t>
      </w:r>
      <w:r>
        <w:rPr>
          <w:rFonts w:hint="default" w:ascii="Times New Roman" w:hAnsi="Times New Roman" w:eastAsia="宋体" w:cs="Times New Roman"/>
          <w:b/>
          <w:bCs/>
          <w:iCs/>
          <w:color w:val="auto"/>
          <w:sz w:val="21"/>
          <w:szCs w:val="21"/>
        </w:rPr>
        <w:t>。</w:t>
      </w:r>
    </w:p>
    <w:p w14:paraId="6046275E">
      <w:pPr>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 w:val="24"/>
        </w:rPr>
        <w:t xml:space="preserve">表4.3-7  二氧化氮小时、日均浓度检测结果 </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Cs w:val="21"/>
        </w:rPr>
        <w:t xml:space="preserve"> 单位：mg/m</w:t>
      </w:r>
      <w:r>
        <w:rPr>
          <w:rFonts w:hint="default" w:ascii="Times New Roman" w:hAnsi="Times New Roman" w:eastAsia="宋体" w:cs="Times New Roman"/>
          <w:color w:val="auto"/>
          <w:szCs w:val="21"/>
          <w:vertAlign w:val="superscript"/>
        </w:rPr>
        <w:t>3</w:t>
      </w:r>
    </w:p>
    <w:tbl>
      <w:tblPr>
        <w:tblStyle w:val="66"/>
        <w:tblpPr w:leftFromText="180" w:rightFromText="180" w:vertAnchor="text" w:horzAnchor="margin" w:tblpXSpec="center" w:tblpY="52"/>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592"/>
        <w:gridCol w:w="1359"/>
        <w:gridCol w:w="1418"/>
        <w:gridCol w:w="1135"/>
        <w:gridCol w:w="1275"/>
        <w:gridCol w:w="1290"/>
        <w:gridCol w:w="222"/>
      </w:tblGrid>
      <w:tr w14:paraId="063B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trHeight w:val="40" w:hRule="atLeast"/>
          <w:jc w:val="center"/>
        </w:trPr>
        <w:tc>
          <w:tcPr>
            <w:tcW w:w="2859" w:type="dxa"/>
            <w:gridSpan w:val="2"/>
            <w:tcBorders>
              <w:top w:val="single" w:color="auto" w:sz="8" w:space="0"/>
              <w:left w:val="single" w:color="auto" w:sz="8" w:space="0"/>
              <w:tl2br w:val="single" w:color="auto" w:sz="4" w:space="0"/>
            </w:tcBorders>
            <w:shd w:val="clear" w:color="auto" w:fill="auto"/>
            <w:noWrap w:val="0"/>
            <w:vAlign w:val="top"/>
          </w:tcPr>
          <w:p w14:paraId="6A303639">
            <w:pPr>
              <w:ind w:firstLine="105" w:firstLineChars="50"/>
              <w:jc w:val="righ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地 点</w:t>
            </w:r>
          </w:p>
          <w:p w14:paraId="7F437DE1">
            <w:pP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日期/时段</w:t>
            </w:r>
          </w:p>
        </w:tc>
        <w:tc>
          <w:tcPr>
            <w:tcW w:w="1359" w:type="dxa"/>
            <w:tcBorders>
              <w:top w:val="single" w:color="auto" w:sz="8" w:space="0"/>
            </w:tcBorders>
            <w:shd w:val="clear" w:color="auto" w:fill="auto"/>
            <w:noWrap w:val="0"/>
            <w:vAlign w:val="center"/>
          </w:tcPr>
          <w:p w14:paraId="5D86B3EA">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弄转村</w:t>
            </w:r>
          </w:p>
        </w:tc>
        <w:tc>
          <w:tcPr>
            <w:tcW w:w="1418" w:type="dxa"/>
            <w:tcBorders>
              <w:top w:val="single" w:color="auto" w:sz="8" w:space="0"/>
              <w:right w:val="single" w:color="auto" w:sz="4" w:space="0"/>
            </w:tcBorders>
            <w:shd w:val="clear" w:color="auto" w:fill="auto"/>
            <w:noWrap w:val="0"/>
            <w:vAlign w:val="center"/>
          </w:tcPr>
          <w:p w14:paraId="6A159358">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帕底村</w:t>
            </w:r>
          </w:p>
        </w:tc>
        <w:tc>
          <w:tcPr>
            <w:tcW w:w="1135" w:type="dxa"/>
            <w:tcBorders>
              <w:top w:val="single" w:color="auto" w:sz="8" w:space="0"/>
              <w:left w:val="single" w:color="auto" w:sz="4" w:space="0"/>
              <w:right w:val="single" w:color="auto" w:sz="6" w:space="0"/>
            </w:tcBorders>
            <w:shd w:val="clear" w:color="auto" w:fill="auto"/>
            <w:noWrap w:val="0"/>
            <w:vAlign w:val="center"/>
          </w:tcPr>
          <w:p w14:paraId="6A6C2020">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帕底分场</w:t>
            </w:r>
          </w:p>
          <w:p w14:paraId="2CB796EA">
            <w:pPr>
              <w:spacing w:line="400" w:lineRule="exac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八队</w:t>
            </w:r>
          </w:p>
        </w:tc>
        <w:tc>
          <w:tcPr>
            <w:tcW w:w="1275" w:type="dxa"/>
            <w:tcBorders>
              <w:top w:val="single" w:color="auto" w:sz="8" w:space="0"/>
              <w:left w:val="single" w:color="auto" w:sz="6" w:space="0"/>
              <w:right w:val="single" w:color="auto" w:sz="8" w:space="0"/>
            </w:tcBorders>
            <w:noWrap w:val="0"/>
            <w:vAlign w:val="top"/>
          </w:tcPr>
          <w:p w14:paraId="4FBC8BC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290" w:type="dxa"/>
            <w:tcBorders>
              <w:top w:val="single" w:color="auto" w:sz="8" w:space="0"/>
              <w:left w:val="single" w:color="auto" w:sz="6" w:space="0"/>
              <w:right w:val="single" w:color="auto" w:sz="8" w:space="0"/>
            </w:tcBorders>
            <w:noWrap w:val="0"/>
            <w:vAlign w:val="top"/>
          </w:tcPr>
          <w:p w14:paraId="1735694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465F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restart"/>
            <w:tcBorders>
              <w:top w:val="single" w:color="auto" w:sz="4" w:space="0"/>
              <w:left w:val="single" w:color="auto" w:sz="8" w:space="0"/>
              <w:right w:val="single" w:color="auto" w:sz="4" w:space="0"/>
            </w:tcBorders>
            <w:shd w:val="clear" w:color="auto" w:fill="auto"/>
            <w:noWrap w:val="0"/>
            <w:vAlign w:val="center"/>
          </w:tcPr>
          <w:p w14:paraId="5392568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2016.06.21</w:t>
            </w:r>
          </w:p>
        </w:tc>
        <w:tc>
          <w:tcPr>
            <w:tcW w:w="1592" w:type="dxa"/>
            <w:tcBorders>
              <w:top w:val="single" w:color="auto" w:sz="4" w:space="0"/>
              <w:left w:val="single" w:color="auto" w:sz="4" w:space="0"/>
            </w:tcBorders>
            <w:shd w:val="clear" w:color="auto" w:fill="auto"/>
            <w:noWrap w:val="0"/>
            <w:vAlign w:val="top"/>
          </w:tcPr>
          <w:p w14:paraId="4E9180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359" w:type="dxa"/>
            <w:tcBorders>
              <w:top w:val="single" w:color="auto" w:sz="4" w:space="0"/>
            </w:tcBorders>
            <w:shd w:val="clear" w:color="auto" w:fill="auto"/>
            <w:noWrap w:val="0"/>
            <w:vAlign w:val="top"/>
          </w:tcPr>
          <w:p w14:paraId="5EDFC7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8" w:type="dxa"/>
            <w:tcBorders>
              <w:top w:val="single" w:color="auto" w:sz="4" w:space="0"/>
            </w:tcBorders>
            <w:shd w:val="clear" w:color="auto" w:fill="auto"/>
            <w:noWrap w:val="0"/>
            <w:vAlign w:val="top"/>
          </w:tcPr>
          <w:p w14:paraId="373AED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tcBorders>
              <w:top w:val="single" w:color="auto" w:sz="4" w:space="0"/>
            </w:tcBorders>
            <w:shd w:val="clear" w:color="auto" w:fill="auto"/>
            <w:noWrap w:val="0"/>
            <w:vAlign w:val="top"/>
          </w:tcPr>
          <w:p w14:paraId="698E54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275" w:type="dxa"/>
            <w:tcBorders>
              <w:top w:val="single" w:color="auto" w:sz="4" w:space="0"/>
              <w:left w:val="single" w:color="auto" w:sz="6" w:space="0"/>
              <w:right w:val="single" w:color="auto" w:sz="8" w:space="0"/>
            </w:tcBorders>
            <w:noWrap w:val="0"/>
            <w:vAlign w:val="top"/>
          </w:tcPr>
          <w:p w14:paraId="3EB9D5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top w:val="single" w:color="auto" w:sz="4" w:space="0"/>
              <w:left w:val="single" w:color="auto" w:sz="6" w:space="0"/>
              <w:right w:val="single" w:color="auto" w:sz="8" w:space="0"/>
            </w:tcBorders>
            <w:noWrap w:val="0"/>
            <w:vAlign w:val="top"/>
          </w:tcPr>
          <w:p w14:paraId="393AD0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C16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6353BEAF">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09AFD7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359" w:type="dxa"/>
            <w:shd w:val="clear" w:color="auto" w:fill="auto"/>
            <w:noWrap w:val="0"/>
            <w:vAlign w:val="top"/>
          </w:tcPr>
          <w:p w14:paraId="02B0AD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5AFA59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785E1B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556527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6BA3D3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54C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44353DD1">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051F7A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359" w:type="dxa"/>
            <w:shd w:val="clear" w:color="auto" w:fill="auto"/>
            <w:noWrap w:val="0"/>
            <w:vAlign w:val="top"/>
          </w:tcPr>
          <w:p w14:paraId="786D64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8" w:type="dxa"/>
            <w:shd w:val="clear" w:color="auto" w:fill="auto"/>
            <w:noWrap w:val="0"/>
            <w:vAlign w:val="top"/>
          </w:tcPr>
          <w:p w14:paraId="4B8C26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shd w:val="clear" w:color="auto" w:fill="auto"/>
            <w:noWrap w:val="0"/>
            <w:vAlign w:val="top"/>
          </w:tcPr>
          <w:p w14:paraId="1A4A33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01C5BD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2F74A0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1CC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5528EECB">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43AE60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359" w:type="dxa"/>
            <w:shd w:val="clear" w:color="auto" w:fill="auto"/>
            <w:noWrap w:val="0"/>
            <w:vAlign w:val="top"/>
          </w:tcPr>
          <w:p w14:paraId="735671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1C9A02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2A3796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60A00B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5C7DFC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7EA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5A639BFB">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47AFC1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359" w:type="dxa"/>
            <w:shd w:val="clear" w:color="auto" w:fill="auto"/>
            <w:noWrap w:val="0"/>
            <w:vAlign w:val="center"/>
          </w:tcPr>
          <w:p w14:paraId="44AF1B5A">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418" w:type="dxa"/>
            <w:shd w:val="clear" w:color="auto" w:fill="auto"/>
            <w:noWrap w:val="0"/>
            <w:vAlign w:val="top"/>
          </w:tcPr>
          <w:p w14:paraId="7D9BE2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135" w:type="dxa"/>
            <w:shd w:val="clear" w:color="auto" w:fill="auto"/>
            <w:noWrap w:val="0"/>
            <w:vAlign w:val="top"/>
          </w:tcPr>
          <w:p w14:paraId="5289E1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275" w:type="dxa"/>
            <w:tcBorders>
              <w:right w:val="single" w:color="auto" w:sz="8" w:space="0"/>
            </w:tcBorders>
            <w:noWrap w:val="0"/>
            <w:vAlign w:val="top"/>
          </w:tcPr>
          <w:p w14:paraId="328ADE6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90" w:type="dxa"/>
            <w:tcBorders>
              <w:right w:val="single" w:color="auto" w:sz="8" w:space="0"/>
            </w:tcBorders>
            <w:noWrap w:val="0"/>
            <w:vAlign w:val="top"/>
          </w:tcPr>
          <w:p w14:paraId="3C3E67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EBB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restart"/>
            <w:tcBorders>
              <w:left w:val="single" w:color="auto" w:sz="8" w:space="0"/>
              <w:right w:val="single" w:color="auto" w:sz="4" w:space="0"/>
            </w:tcBorders>
            <w:shd w:val="clear" w:color="auto" w:fill="auto"/>
            <w:noWrap w:val="0"/>
            <w:vAlign w:val="center"/>
          </w:tcPr>
          <w:p w14:paraId="19107A6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2016.06.22</w:t>
            </w:r>
          </w:p>
        </w:tc>
        <w:tc>
          <w:tcPr>
            <w:tcW w:w="1592" w:type="dxa"/>
            <w:tcBorders>
              <w:left w:val="single" w:color="auto" w:sz="4" w:space="0"/>
            </w:tcBorders>
            <w:shd w:val="clear" w:color="auto" w:fill="auto"/>
            <w:noWrap w:val="0"/>
            <w:vAlign w:val="top"/>
          </w:tcPr>
          <w:p w14:paraId="083D73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359" w:type="dxa"/>
            <w:shd w:val="clear" w:color="auto" w:fill="auto"/>
            <w:noWrap w:val="0"/>
            <w:vAlign w:val="top"/>
          </w:tcPr>
          <w:p w14:paraId="170610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8" w:type="dxa"/>
            <w:shd w:val="clear" w:color="auto" w:fill="auto"/>
            <w:noWrap w:val="0"/>
            <w:vAlign w:val="top"/>
          </w:tcPr>
          <w:p w14:paraId="40CED3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34A912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275" w:type="dxa"/>
            <w:tcBorders>
              <w:right w:val="single" w:color="auto" w:sz="8" w:space="0"/>
            </w:tcBorders>
            <w:noWrap w:val="0"/>
            <w:vAlign w:val="top"/>
          </w:tcPr>
          <w:p w14:paraId="0B6CAE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3FFA6A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D21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0C3F1EE9">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5798D5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359" w:type="dxa"/>
            <w:shd w:val="clear" w:color="auto" w:fill="auto"/>
            <w:noWrap w:val="0"/>
            <w:vAlign w:val="top"/>
          </w:tcPr>
          <w:p w14:paraId="7D284A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418" w:type="dxa"/>
            <w:shd w:val="clear" w:color="auto" w:fill="auto"/>
            <w:noWrap w:val="0"/>
            <w:vAlign w:val="top"/>
          </w:tcPr>
          <w:p w14:paraId="31E767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shd w:val="clear" w:color="auto" w:fill="auto"/>
            <w:noWrap w:val="0"/>
            <w:vAlign w:val="top"/>
          </w:tcPr>
          <w:p w14:paraId="42B83D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4B267A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5E9F9F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5FF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4614C391">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5954ED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359" w:type="dxa"/>
            <w:shd w:val="clear" w:color="auto" w:fill="auto"/>
            <w:noWrap w:val="0"/>
            <w:vAlign w:val="top"/>
          </w:tcPr>
          <w:p w14:paraId="53CB73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18D131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shd w:val="clear" w:color="auto" w:fill="auto"/>
            <w:noWrap w:val="0"/>
            <w:vAlign w:val="top"/>
          </w:tcPr>
          <w:p w14:paraId="7C79D8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147F34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336C9F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365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51C48350">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44F151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359" w:type="dxa"/>
            <w:shd w:val="clear" w:color="auto" w:fill="auto"/>
            <w:noWrap w:val="0"/>
            <w:vAlign w:val="top"/>
          </w:tcPr>
          <w:p w14:paraId="4A3905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418" w:type="dxa"/>
            <w:shd w:val="clear" w:color="auto" w:fill="auto"/>
            <w:noWrap w:val="0"/>
            <w:vAlign w:val="top"/>
          </w:tcPr>
          <w:p w14:paraId="6CB356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135" w:type="dxa"/>
            <w:shd w:val="clear" w:color="auto" w:fill="auto"/>
            <w:noWrap w:val="0"/>
            <w:vAlign w:val="top"/>
          </w:tcPr>
          <w:p w14:paraId="73E436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79E826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5D6C36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CAA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68CA1AD3">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7B942E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359" w:type="dxa"/>
            <w:shd w:val="clear" w:color="auto" w:fill="auto"/>
            <w:noWrap w:val="0"/>
            <w:vAlign w:val="top"/>
          </w:tcPr>
          <w:p w14:paraId="22149E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8" w:type="dxa"/>
            <w:shd w:val="clear" w:color="auto" w:fill="auto"/>
            <w:noWrap w:val="0"/>
            <w:vAlign w:val="top"/>
          </w:tcPr>
          <w:p w14:paraId="4C0F66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135" w:type="dxa"/>
            <w:shd w:val="clear" w:color="auto" w:fill="auto"/>
            <w:noWrap w:val="0"/>
            <w:vAlign w:val="top"/>
          </w:tcPr>
          <w:p w14:paraId="62F382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275" w:type="dxa"/>
            <w:tcBorders>
              <w:right w:val="single" w:color="auto" w:sz="8" w:space="0"/>
            </w:tcBorders>
            <w:noWrap w:val="0"/>
            <w:vAlign w:val="top"/>
          </w:tcPr>
          <w:p w14:paraId="05C0BD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90" w:type="dxa"/>
            <w:tcBorders>
              <w:right w:val="single" w:color="auto" w:sz="8" w:space="0"/>
            </w:tcBorders>
            <w:noWrap w:val="0"/>
            <w:vAlign w:val="top"/>
          </w:tcPr>
          <w:p w14:paraId="7951AF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35C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restart"/>
            <w:tcBorders>
              <w:top w:val="single" w:color="auto" w:sz="4" w:space="0"/>
              <w:left w:val="single" w:color="auto" w:sz="8" w:space="0"/>
              <w:right w:val="single" w:color="auto" w:sz="4" w:space="0"/>
            </w:tcBorders>
            <w:shd w:val="clear" w:color="auto" w:fill="auto"/>
            <w:noWrap w:val="0"/>
            <w:vAlign w:val="center"/>
          </w:tcPr>
          <w:p w14:paraId="3931345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2016.06.23</w:t>
            </w:r>
          </w:p>
        </w:tc>
        <w:tc>
          <w:tcPr>
            <w:tcW w:w="1592" w:type="dxa"/>
            <w:tcBorders>
              <w:top w:val="single" w:color="auto" w:sz="4" w:space="0"/>
              <w:left w:val="single" w:color="auto" w:sz="4" w:space="0"/>
            </w:tcBorders>
            <w:shd w:val="clear" w:color="auto" w:fill="auto"/>
            <w:noWrap w:val="0"/>
            <w:vAlign w:val="top"/>
          </w:tcPr>
          <w:p w14:paraId="195693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359" w:type="dxa"/>
            <w:shd w:val="clear" w:color="auto" w:fill="auto"/>
            <w:noWrap w:val="0"/>
            <w:vAlign w:val="top"/>
          </w:tcPr>
          <w:p w14:paraId="227AE7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8" w:type="dxa"/>
            <w:shd w:val="clear" w:color="auto" w:fill="auto"/>
            <w:noWrap w:val="0"/>
            <w:vAlign w:val="top"/>
          </w:tcPr>
          <w:p w14:paraId="2311FC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shd w:val="clear" w:color="auto" w:fill="auto"/>
            <w:noWrap w:val="0"/>
            <w:vAlign w:val="top"/>
          </w:tcPr>
          <w:p w14:paraId="091744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275" w:type="dxa"/>
            <w:tcBorders>
              <w:right w:val="single" w:color="auto" w:sz="8" w:space="0"/>
            </w:tcBorders>
            <w:noWrap w:val="0"/>
            <w:vAlign w:val="top"/>
          </w:tcPr>
          <w:p w14:paraId="6A309E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0CF4DB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BF3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1E94ADD1">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346712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359" w:type="dxa"/>
            <w:shd w:val="clear" w:color="auto" w:fill="auto"/>
            <w:noWrap w:val="0"/>
            <w:vAlign w:val="top"/>
          </w:tcPr>
          <w:p w14:paraId="41182E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418" w:type="dxa"/>
            <w:shd w:val="clear" w:color="auto" w:fill="auto"/>
            <w:noWrap w:val="0"/>
            <w:vAlign w:val="top"/>
          </w:tcPr>
          <w:p w14:paraId="5AAD0F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39010B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06C571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19B6FD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469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1892D454">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3DD3E8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359" w:type="dxa"/>
            <w:shd w:val="clear" w:color="auto" w:fill="auto"/>
            <w:noWrap w:val="0"/>
            <w:vAlign w:val="top"/>
          </w:tcPr>
          <w:p w14:paraId="5A6062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418" w:type="dxa"/>
            <w:shd w:val="clear" w:color="auto" w:fill="auto"/>
            <w:noWrap w:val="0"/>
            <w:vAlign w:val="top"/>
          </w:tcPr>
          <w:p w14:paraId="4A008A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40724E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2FE9E1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2675A9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0B8D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001321E2">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442C61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359" w:type="dxa"/>
            <w:shd w:val="clear" w:color="auto" w:fill="auto"/>
            <w:noWrap w:val="0"/>
            <w:vAlign w:val="top"/>
          </w:tcPr>
          <w:p w14:paraId="2EE17B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418" w:type="dxa"/>
            <w:shd w:val="clear" w:color="auto" w:fill="auto"/>
            <w:noWrap w:val="0"/>
            <w:vAlign w:val="top"/>
          </w:tcPr>
          <w:p w14:paraId="49AD14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3407E8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6190B9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35B75D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A09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Merge w:val="continue"/>
            <w:tcBorders>
              <w:left w:val="single" w:color="auto" w:sz="8" w:space="0"/>
              <w:right w:val="single" w:color="auto" w:sz="4" w:space="0"/>
            </w:tcBorders>
            <w:shd w:val="clear" w:color="auto" w:fill="auto"/>
            <w:noWrap w:val="0"/>
            <w:vAlign w:val="top"/>
          </w:tcPr>
          <w:p w14:paraId="54FABE0E">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09DDE1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359" w:type="dxa"/>
            <w:shd w:val="clear" w:color="auto" w:fill="auto"/>
            <w:noWrap w:val="0"/>
            <w:vAlign w:val="top"/>
          </w:tcPr>
          <w:p w14:paraId="61B09E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418" w:type="dxa"/>
            <w:shd w:val="clear" w:color="auto" w:fill="auto"/>
            <w:noWrap w:val="0"/>
            <w:vAlign w:val="top"/>
          </w:tcPr>
          <w:p w14:paraId="521264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135" w:type="dxa"/>
            <w:shd w:val="clear" w:color="auto" w:fill="auto"/>
            <w:noWrap w:val="0"/>
            <w:vAlign w:val="top"/>
          </w:tcPr>
          <w:p w14:paraId="4929D3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275" w:type="dxa"/>
            <w:shd w:val="clear" w:color="auto" w:fill="auto"/>
            <w:noWrap w:val="0"/>
            <w:vAlign w:val="top"/>
          </w:tcPr>
          <w:p w14:paraId="79306E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90" w:type="dxa"/>
            <w:shd w:val="clear" w:color="auto" w:fill="auto"/>
            <w:noWrap w:val="0"/>
            <w:vAlign w:val="top"/>
          </w:tcPr>
          <w:p w14:paraId="146825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22" w:type="dxa"/>
            <w:tcBorders>
              <w:top w:val="nil"/>
              <w:bottom w:val="nil"/>
            </w:tcBorders>
            <w:shd w:val="clear" w:color="auto" w:fill="auto"/>
            <w:noWrap w:val="0"/>
            <w:vAlign w:val="top"/>
          </w:tcPr>
          <w:p w14:paraId="2C3F0D65">
            <w:pPr>
              <w:rPr>
                <w:rFonts w:hint="default" w:ascii="Times New Roman" w:hAnsi="Times New Roman" w:eastAsia="宋体" w:cs="Times New Roman"/>
                <w:color w:val="auto"/>
                <w:sz w:val="21"/>
                <w:szCs w:val="21"/>
              </w:rPr>
            </w:pPr>
          </w:p>
        </w:tc>
      </w:tr>
      <w:tr w14:paraId="46CF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restart"/>
            <w:tcBorders>
              <w:left w:val="single" w:color="auto" w:sz="8" w:space="0"/>
              <w:right w:val="single" w:color="auto" w:sz="4" w:space="0"/>
            </w:tcBorders>
            <w:shd w:val="clear" w:color="auto" w:fill="auto"/>
            <w:noWrap w:val="0"/>
            <w:vAlign w:val="center"/>
          </w:tcPr>
          <w:p w14:paraId="4809672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2016.06.24</w:t>
            </w:r>
          </w:p>
        </w:tc>
        <w:tc>
          <w:tcPr>
            <w:tcW w:w="1592" w:type="dxa"/>
            <w:tcBorders>
              <w:left w:val="single" w:color="auto" w:sz="4" w:space="0"/>
            </w:tcBorders>
            <w:shd w:val="clear" w:color="auto" w:fill="auto"/>
            <w:noWrap w:val="0"/>
            <w:vAlign w:val="top"/>
          </w:tcPr>
          <w:p w14:paraId="77A2CF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359" w:type="dxa"/>
            <w:shd w:val="clear" w:color="auto" w:fill="auto"/>
            <w:noWrap w:val="0"/>
            <w:vAlign w:val="top"/>
          </w:tcPr>
          <w:p w14:paraId="42B47A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8" w:type="dxa"/>
            <w:shd w:val="clear" w:color="auto" w:fill="auto"/>
            <w:noWrap w:val="0"/>
            <w:vAlign w:val="top"/>
          </w:tcPr>
          <w:p w14:paraId="452490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shd w:val="clear" w:color="auto" w:fill="auto"/>
            <w:noWrap w:val="0"/>
            <w:vAlign w:val="top"/>
          </w:tcPr>
          <w:p w14:paraId="5CCEC2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275" w:type="dxa"/>
            <w:tcBorders>
              <w:right w:val="single" w:color="auto" w:sz="8" w:space="0"/>
            </w:tcBorders>
            <w:noWrap w:val="0"/>
            <w:vAlign w:val="top"/>
          </w:tcPr>
          <w:p w14:paraId="0B014A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7C6176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54A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1E7B55A2">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1C220D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359" w:type="dxa"/>
            <w:shd w:val="clear" w:color="auto" w:fill="auto"/>
            <w:noWrap w:val="0"/>
            <w:vAlign w:val="top"/>
          </w:tcPr>
          <w:p w14:paraId="3FBE88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199657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2D1664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6A28FB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1D1BE9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049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604FDD74">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4D3FCD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359" w:type="dxa"/>
            <w:shd w:val="clear" w:color="auto" w:fill="auto"/>
            <w:noWrap w:val="0"/>
            <w:vAlign w:val="top"/>
          </w:tcPr>
          <w:p w14:paraId="3F148B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8" w:type="dxa"/>
            <w:shd w:val="clear" w:color="auto" w:fill="auto"/>
            <w:noWrap w:val="0"/>
            <w:vAlign w:val="top"/>
          </w:tcPr>
          <w:p w14:paraId="417D07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17FEA1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1407FD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23C114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BB1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0644C861">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005392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359" w:type="dxa"/>
            <w:shd w:val="clear" w:color="auto" w:fill="auto"/>
            <w:noWrap w:val="0"/>
            <w:vAlign w:val="top"/>
          </w:tcPr>
          <w:p w14:paraId="670D6E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418" w:type="dxa"/>
            <w:shd w:val="clear" w:color="auto" w:fill="auto"/>
            <w:noWrap w:val="0"/>
            <w:vAlign w:val="top"/>
          </w:tcPr>
          <w:p w14:paraId="28FD59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3B1BB9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5A986D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55CB35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04A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65265050">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5452011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359" w:type="dxa"/>
            <w:shd w:val="clear" w:color="auto" w:fill="auto"/>
            <w:noWrap w:val="0"/>
            <w:vAlign w:val="center"/>
          </w:tcPr>
          <w:p w14:paraId="48DFB3AC">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418" w:type="dxa"/>
            <w:shd w:val="clear" w:color="auto" w:fill="auto"/>
            <w:noWrap w:val="0"/>
            <w:vAlign w:val="top"/>
          </w:tcPr>
          <w:p w14:paraId="4EAADE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135" w:type="dxa"/>
            <w:shd w:val="clear" w:color="auto" w:fill="auto"/>
            <w:noWrap w:val="0"/>
            <w:vAlign w:val="top"/>
          </w:tcPr>
          <w:p w14:paraId="1075AA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275" w:type="dxa"/>
            <w:tcBorders>
              <w:right w:val="single" w:color="auto" w:sz="8" w:space="0"/>
            </w:tcBorders>
            <w:noWrap w:val="0"/>
            <w:vAlign w:val="top"/>
          </w:tcPr>
          <w:p w14:paraId="4AB788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90" w:type="dxa"/>
            <w:tcBorders>
              <w:right w:val="single" w:color="auto" w:sz="8" w:space="0"/>
            </w:tcBorders>
            <w:noWrap w:val="0"/>
            <w:vAlign w:val="top"/>
          </w:tcPr>
          <w:p w14:paraId="0F8D6B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083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restart"/>
            <w:tcBorders>
              <w:top w:val="single" w:color="auto" w:sz="4" w:space="0"/>
              <w:left w:val="single" w:color="auto" w:sz="8" w:space="0"/>
              <w:right w:val="single" w:color="auto" w:sz="4" w:space="0"/>
            </w:tcBorders>
            <w:shd w:val="clear" w:color="auto" w:fill="auto"/>
            <w:noWrap w:val="0"/>
            <w:vAlign w:val="center"/>
          </w:tcPr>
          <w:p w14:paraId="643C25E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2016.06.25</w:t>
            </w:r>
          </w:p>
        </w:tc>
        <w:tc>
          <w:tcPr>
            <w:tcW w:w="1592" w:type="dxa"/>
            <w:tcBorders>
              <w:top w:val="single" w:color="auto" w:sz="4" w:space="0"/>
              <w:left w:val="single" w:color="auto" w:sz="4" w:space="0"/>
            </w:tcBorders>
            <w:shd w:val="clear" w:color="auto" w:fill="auto"/>
            <w:noWrap w:val="0"/>
            <w:vAlign w:val="top"/>
          </w:tcPr>
          <w:p w14:paraId="534662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359" w:type="dxa"/>
            <w:shd w:val="clear" w:color="auto" w:fill="auto"/>
            <w:noWrap w:val="0"/>
            <w:vAlign w:val="top"/>
          </w:tcPr>
          <w:p w14:paraId="327BAB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8" w:type="dxa"/>
            <w:shd w:val="clear" w:color="auto" w:fill="auto"/>
            <w:noWrap w:val="0"/>
            <w:vAlign w:val="top"/>
          </w:tcPr>
          <w:p w14:paraId="74D2CE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shd w:val="clear" w:color="auto" w:fill="auto"/>
            <w:noWrap w:val="0"/>
            <w:vAlign w:val="top"/>
          </w:tcPr>
          <w:p w14:paraId="7F9421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275" w:type="dxa"/>
            <w:tcBorders>
              <w:right w:val="single" w:color="auto" w:sz="8" w:space="0"/>
            </w:tcBorders>
            <w:noWrap w:val="0"/>
            <w:vAlign w:val="top"/>
          </w:tcPr>
          <w:p w14:paraId="5130ED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5A6BE0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AC71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76B71686">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211C48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359" w:type="dxa"/>
            <w:shd w:val="clear" w:color="auto" w:fill="auto"/>
            <w:noWrap w:val="0"/>
            <w:vAlign w:val="top"/>
          </w:tcPr>
          <w:p w14:paraId="05E7E2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6EFBD2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047115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7BB398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5CFEB6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258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2445C2A9">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75A334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359" w:type="dxa"/>
            <w:shd w:val="clear" w:color="auto" w:fill="auto"/>
            <w:noWrap w:val="0"/>
            <w:vAlign w:val="top"/>
          </w:tcPr>
          <w:p w14:paraId="24FB78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8" w:type="dxa"/>
            <w:shd w:val="clear" w:color="auto" w:fill="auto"/>
            <w:noWrap w:val="0"/>
            <w:vAlign w:val="top"/>
          </w:tcPr>
          <w:p w14:paraId="279EEB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0BF23C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4CFE6D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44CF58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105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308CE4E2">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2A8A79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359" w:type="dxa"/>
            <w:shd w:val="clear" w:color="auto" w:fill="auto"/>
            <w:noWrap w:val="0"/>
            <w:vAlign w:val="top"/>
          </w:tcPr>
          <w:p w14:paraId="373A3B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322DE3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6F999B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7DF280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4F9739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815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00262C5C">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0159D5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359" w:type="dxa"/>
            <w:shd w:val="clear" w:color="auto" w:fill="auto"/>
            <w:noWrap w:val="0"/>
            <w:vAlign w:val="top"/>
          </w:tcPr>
          <w:p w14:paraId="29BB1B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418" w:type="dxa"/>
            <w:shd w:val="clear" w:color="auto" w:fill="auto"/>
            <w:noWrap w:val="0"/>
            <w:vAlign w:val="top"/>
          </w:tcPr>
          <w:p w14:paraId="004FD1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135" w:type="dxa"/>
            <w:shd w:val="clear" w:color="auto" w:fill="auto"/>
            <w:noWrap w:val="0"/>
            <w:vAlign w:val="top"/>
          </w:tcPr>
          <w:p w14:paraId="499CF9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275" w:type="dxa"/>
            <w:tcBorders>
              <w:right w:val="single" w:color="auto" w:sz="8" w:space="0"/>
            </w:tcBorders>
            <w:noWrap w:val="0"/>
            <w:vAlign w:val="top"/>
          </w:tcPr>
          <w:p w14:paraId="595B38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90" w:type="dxa"/>
            <w:tcBorders>
              <w:right w:val="single" w:color="auto" w:sz="8" w:space="0"/>
            </w:tcBorders>
            <w:noWrap w:val="0"/>
            <w:vAlign w:val="top"/>
          </w:tcPr>
          <w:p w14:paraId="27A8BE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2BC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restart"/>
            <w:tcBorders>
              <w:left w:val="single" w:color="auto" w:sz="8" w:space="0"/>
              <w:right w:val="single" w:color="auto" w:sz="4" w:space="0"/>
            </w:tcBorders>
            <w:shd w:val="clear" w:color="auto" w:fill="auto"/>
            <w:noWrap w:val="0"/>
            <w:vAlign w:val="center"/>
          </w:tcPr>
          <w:p w14:paraId="728BBBD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2016.06.26</w:t>
            </w:r>
          </w:p>
        </w:tc>
        <w:tc>
          <w:tcPr>
            <w:tcW w:w="1592" w:type="dxa"/>
            <w:tcBorders>
              <w:left w:val="single" w:color="auto" w:sz="4" w:space="0"/>
            </w:tcBorders>
            <w:shd w:val="clear" w:color="auto" w:fill="auto"/>
            <w:noWrap w:val="0"/>
            <w:vAlign w:val="top"/>
          </w:tcPr>
          <w:p w14:paraId="0B9FA5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359" w:type="dxa"/>
            <w:shd w:val="clear" w:color="auto" w:fill="auto"/>
            <w:noWrap w:val="0"/>
            <w:vAlign w:val="top"/>
          </w:tcPr>
          <w:p w14:paraId="5CCBC4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8" w:type="dxa"/>
            <w:shd w:val="clear" w:color="auto" w:fill="auto"/>
            <w:noWrap w:val="0"/>
            <w:vAlign w:val="top"/>
          </w:tcPr>
          <w:p w14:paraId="1D3CC5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shd w:val="clear" w:color="auto" w:fill="auto"/>
            <w:noWrap w:val="0"/>
            <w:vAlign w:val="top"/>
          </w:tcPr>
          <w:p w14:paraId="16CD43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275" w:type="dxa"/>
            <w:tcBorders>
              <w:right w:val="single" w:color="auto" w:sz="8" w:space="0"/>
            </w:tcBorders>
            <w:noWrap w:val="0"/>
            <w:vAlign w:val="top"/>
          </w:tcPr>
          <w:p w14:paraId="562452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32516B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D77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18A742A5">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2ED3DA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359" w:type="dxa"/>
            <w:shd w:val="clear" w:color="auto" w:fill="auto"/>
            <w:noWrap w:val="0"/>
            <w:vAlign w:val="top"/>
          </w:tcPr>
          <w:p w14:paraId="180D77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05C3F7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5D97A5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45678E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52AD3A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297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7509FB0B">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650207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359" w:type="dxa"/>
            <w:shd w:val="clear" w:color="auto" w:fill="auto"/>
            <w:noWrap w:val="0"/>
            <w:vAlign w:val="top"/>
          </w:tcPr>
          <w:p w14:paraId="6C1FC1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8" w:type="dxa"/>
            <w:shd w:val="clear" w:color="auto" w:fill="auto"/>
            <w:noWrap w:val="0"/>
            <w:vAlign w:val="top"/>
          </w:tcPr>
          <w:p w14:paraId="6F7534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041800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60A38E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61BE25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C2C0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34E7CCB1">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29DCFA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359" w:type="dxa"/>
            <w:shd w:val="clear" w:color="auto" w:fill="auto"/>
            <w:noWrap w:val="0"/>
            <w:vAlign w:val="top"/>
          </w:tcPr>
          <w:p w14:paraId="76C032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29907F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5EA77E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6DE013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7FEDE1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AF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4ECCDA16">
            <w:pPr>
              <w:jc w:val="center"/>
              <w:rPr>
                <w:rFonts w:hint="default" w:ascii="Times New Roman" w:hAnsi="Times New Roman" w:eastAsia="宋体" w:cs="Times New Roman"/>
                <w:b/>
                <w:bCs/>
                <w:color w:val="auto"/>
                <w:sz w:val="21"/>
                <w:szCs w:val="21"/>
              </w:rPr>
            </w:pPr>
          </w:p>
        </w:tc>
        <w:tc>
          <w:tcPr>
            <w:tcW w:w="1592" w:type="dxa"/>
            <w:tcBorders>
              <w:left w:val="single" w:color="auto" w:sz="4" w:space="0"/>
            </w:tcBorders>
            <w:shd w:val="clear" w:color="auto" w:fill="auto"/>
            <w:noWrap w:val="0"/>
            <w:vAlign w:val="top"/>
          </w:tcPr>
          <w:p w14:paraId="74D950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359" w:type="dxa"/>
            <w:shd w:val="clear" w:color="auto" w:fill="auto"/>
            <w:noWrap w:val="0"/>
            <w:vAlign w:val="top"/>
          </w:tcPr>
          <w:p w14:paraId="4E2F42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8" w:type="dxa"/>
            <w:shd w:val="clear" w:color="auto" w:fill="auto"/>
            <w:noWrap w:val="0"/>
            <w:vAlign w:val="top"/>
          </w:tcPr>
          <w:p w14:paraId="6FB0AE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135" w:type="dxa"/>
            <w:shd w:val="clear" w:color="auto" w:fill="auto"/>
            <w:noWrap w:val="0"/>
            <w:vAlign w:val="top"/>
          </w:tcPr>
          <w:p w14:paraId="1EC0AD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275" w:type="dxa"/>
            <w:tcBorders>
              <w:right w:val="single" w:color="auto" w:sz="8" w:space="0"/>
            </w:tcBorders>
            <w:noWrap w:val="0"/>
            <w:vAlign w:val="top"/>
          </w:tcPr>
          <w:p w14:paraId="07CE33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90" w:type="dxa"/>
            <w:tcBorders>
              <w:right w:val="single" w:color="auto" w:sz="8" w:space="0"/>
            </w:tcBorders>
            <w:noWrap w:val="0"/>
            <w:vAlign w:val="top"/>
          </w:tcPr>
          <w:p w14:paraId="2A6773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5E7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restart"/>
            <w:tcBorders>
              <w:top w:val="single" w:color="auto" w:sz="4" w:space="0"/>
              <w:left w:val="single" w:color="auto" w:sz="8" w:space="0"/>
              <w:right w:val="single" w:color="auto" w:sz="4" w:space="0"/>
            </w:tcBorders>
            <w:shd w:val="clear" w:color="auto" w:fill="auto"/>
            <w:noWrap w:val="0"/>
            <w:vAlign w:val="center"/>
          </w:tcPr>
          <w:p w14:paraId="26CF0EF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2016.06.27</w:t>
            </w:r>
          </w:p>
        </w:tc>
        <w:tc>
          <w:tcPr>
            <w:tcW w:w="1592" w:type="dxa"/>
            <w:tcBorders>
              <w:top w:val="single" w:color="auto" w:sz="4" w:space="0"/>
              <w:left w:val="single" w:color="auto" w:sz="4" w:space="0"/>
            </w:tcBorders>
            <w:shd w:val="clear" w:color="auto" w:fill="auto"/>
            <w:noWrap w:val="0"/>
            <w:vAlign w:val="top"/>
          </w:tcPr>
          <w:p w14:paraId="28FF52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02:00～03:00</w:t>
            </w:r>
          </w:p>
        </w:tc>
        <w:tc>
          <w:tcPr>
            <w:tcW w:w="1359" w:type="dxa"/>
            <w:shd w:val="clear" w:color="auto" w:fill="auto"/>
            <w:noWrap w:val="0"/>
            <w:vAlign w:val="top"/>
          </w:tcPr>
          <w:p w14:paraId="5DE3B3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8" w:type="dxa"/>
            <w:shd w:val="clear" w:color="auto" w:fill="auto"/>
            <w:noWrap w:val="0"/>
            <w:vAlign w:val="top"/>
          </w:tcPr>
          <w:p w14:paraId="0263E4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135" w:type="dxa"/>
            <w:shd w:val="clear" w:color="auto" w:fill="auto"/>
            <w:noWrap w:val="0"/>
            <w:vAlign w:val="top"/>
          </w:tcPr>
          <w:p w14:paraId="2B1C79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275" w:type="dxa"/>
            <w:tcBorders>
              <w:right w:val="single" w:color="auto" w:sz="8" w:space="0"/>
            </w:tcBorders>
            <w:noWrap w:val="0"/>
            <w:vAlign w:val="top"/>
          </w:tcPr>
          <w:p w14:paraId="7717C2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712D4C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5C2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402A17F9">
            <w:pPr>
              <w:jc w:val="center"/>
              <w:rPr>
                <w:rFonts w:hint="default" w:ascii="Times New Roman" w:hAnsi="Times New Roman" w:eastAsia="宋体" w:cs="Times New Roman"/>
                <w:color w:val="auto"/>
                <w:sz w:val="21"/>
                <w:szCs w:val="21"/>
              </w:rPr>
            </w:pPr>
          </w:p>
        </w:tc>
        <w:tc>
          <w:tcPr>
            <w:tcW w:w="1592" w:type="dxa"/>
            <w:tcBorders>
              <w:left w:val="single" w:color="auto" w:sz="4" w:space="0"/>
            </w:tcBorders>
            <w:shd w:val="clear" w:color="auto" w:fill="auto"/>
            <w:noWrap w:val="0"/>
            <w:vAlign w:val="top"/>
          </w:tcPr>
          <w:p w14:paraId="789586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359" w:type="dxa"/>
            <w:shd w:val="clear" w:color="auto" w:fill="auto"/>
            <w:noWrap w:val="0"/>
            <w:vAlign w:val="top"/>
          </w:tcPr>
          <w:p w14:paraId="1556CB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7C24A5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2CCFBB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1C24E3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4EB90B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796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0F157FBC">
            <w:pPr>
              <w:jc w:val="center"/>
              <w:rPr>
                <w:rFonts w:hint="default" w:ascii="Times New Roman" w:hAnsi="Times New Roman" w:eastAsia="宋体" w:cs="Times New Roman"/>
                <w:color w:val="auto"/>
                <w:sz w:val="21"/>
                <w:szCs w:val="21"/>
              </w:rPr>
            </w:pPr>
          </w:p>
        </w:tc>
        <w:tc>
          <w:tcPr>
            <w:tcW w:w="1592" w:type="dxa"/>
            <w:tcBorders>
              <w:left w:val="single" w:color="auto" w:sz="4" w:space="0"/>
            </w:tcBorders>
            <w:shd w:val="clear" w:color="auto" w:fill="auto"/>
            <w:noWrap w:val="0"/>
            <w:vAlign w:val="top"/>
          </w:tcPr>
          <w:p w14:paraId="30DB29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359" w:type="dxa"/>
            <w:shd w:val="clear" w:color="auto" w:fill="auto"/>
            <w:noWrap w:val="0"/>
            <w:vAlign w:val="top"/>
          </w:tcPr>
          <w:p w14:paraId="21E94D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8" w:type="dxa"/>
            <w:shd w:val="clear" w:color="auto" w:fill="auto"/>
            <w:noWrap w:val="0"/>
            <w:vAlign w:val="top"/>
          </w:tcPr>
          <w:p w14:paraId="3F8FD8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135" w:type="dxa"/>
            <w:shd w:val="clear" w:color="auto" w:fill="auto"/>
            <w:noWrap w:val="0"/>
            <w:vAlign w:val="top"/>
          </w:tcPr>
          <w:p w14:paraId="0348F7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275" w:type="dxa"/>
            <w:tcBorders>
              <w:right w:val="single" w:color="auto" w:sz="8" w:space="0"/>
            </w:tcBorders>
            <w:noWrap w:val="0"/>
            <w:vAlign w:val="top"/>
          </w:tcPr>
          <w:p w14:paraId="2BBB6F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1AFE91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3DB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right w:val="single" w:color="auto" w:sz="4" w:space="0"/>
            </w:tcBorders>
            <w:shd w:val="clear" w:color="auto" w:fill="auto"/>
            <w:noWrap w:val="0"/>
            <w:vAlign w:val="top"/>
          </w:tcPr>
          <w:p w14:paraId="71449257">
            <w:pPr>
              <w:jc w:val="center"/>
              <w:rPr>
                <w:rFonts w:hint="default" w:ascii="Times New Roman" w:hAnsi="Times New Roman" w:eastAsia="宋体" w:cs="Times New Roman"/>
                <w:color w:val="auto"/>
                <w:sz w:val="21"/>
                <w:szCs w:val="21"/>
              </w:rPr>
            </w:pPr>
          </w:p>
        </w:tc>
        <w:tc>
          <w:tcPr>
            <w:tcW w:w="1592" w:type="dxa"/>
            <w:tcBorders>
              <w:left w:val="single" w:color="auto" w:sz="4" w:space="0"/>
            </w:tcBorders>
            <w:shd w:val="clear" w:color="auto" w:fill="auto"/>
            <w:noWrap w:val="0"/>
            <w:vAlign w:val="top"/>
          </w:tcPr>
          <w:p w14:paraId="3F8B59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359" w:type="dxa"/>
            <w:shd w:val="clear" w:color="auto" w:fill="auto"/>
            <w:noWrap w:val="0"/>
            <w:vAlign w:val="top"/>
          </w:tcPr>
          <w:p w14:paraId="232A32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8" w:type="dxa"/>
            <w:shd w:val="clear" w:color="auto" w:fill="auto"/>
            <w:noWrap w:val="0"/>
            <w:vAlign w:val="top"/>
          </w:tcPr>
          <w:p w14:paraId="7844AA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135" w:type="dxa"/>
            <w:shd w:val="clear" w:color="auto" w:fill="auto"/>
            <w:noWrap w:val="0"/>
            <w:vAlign w:val="top"/>
          </w:tcPr>
          <w:p w14:paraId="52F60A1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275" w:type="dxa"/>
            <w:tcBorders>
              <w:right w:val="single" w:color="auto" w:sz="8" w:space="0"/>
            </w:tcBorders>
            <w:noWrap w:val="0"/>
            <w:vAlign w:val="top"/>
          </w:tcPr>
          <w:p w14:paraId="19C2A3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90" w:type="dxa"/>
            <w:tcBorders>
              <w:right w:val="single" w:color="auto" w:sz="8" w:space="0"/>
            </w:tcBorders>
            <w:noWrap w:val="0"/>
            <w:vAlign w:val="top"/>
          </w:tcPr>
          <w:p w14:paraId="6B5C64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756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2" w:type="dxa"/>
          <w:jc w:val="center"/>
        </w:trPr>
        <w:tc>
          <w:tcPr>
            <w:tcW w:w="1267" w:type="dxa"/>
            <w:vMerge w:val="continue"/>
            <w:tcBorders>
              <w:left w:val="single" w:color="auto" w:sz="8" w:space="0"/>
              <w:bottom w:val="single" w:color="auto" w:sz="8" w:space="0"/>
              <w:right w:val="single" w:color="auto" w:sz="4" w:space="0"/>
            </w:tcBorders>
            <w:shd w:val="clear" w:color="auto" w:fill="auto"/>
            <w:noWrap w:val="0"/>
            <w:vAlign w:val="top"/>
          </w:tcPr>
          <w:p w14:paraId="4F6C75CF">
            <w:pPr>
              <w:jc w:val="center"/>
              <w:rPr>
                <w:rFonts w:hint="default" w:ascii="Times New Roman" w:hAnsi="Times New Roman" w:eastAsia="宋体" w:cs="Times New Roman"/>
                <w:color w:val="auto"/>
                <w:sz w:val="21"/>
                <w:szCs w:val="21"/>
              </w:rPr>
            </w:pPr>
          </w:p>
        </w:tc>
        <w:tc>
          <w:tcPr>
            <w:tcW w:w="1592" w:type="dxa"/>
            <w:tcBorders>
              <w:left w:val="single" w:color="auto" w:sz="4" w:space="0"/>
              <w:bottom w:val="single" w:color="auto" w:sz="8" w:space="0"/>
            </w:tcBorders>
            <w:shd w:val="clear" w:color="auto" w:fill="auto"/>
            <w:noWrap w:val="0"/>
            <w:vAlign w:val="top"/>
          </w:tcPr>
          <w:p w14:paraId="02D9D7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359" w:type="dxa"/>
            <w:tcBorders>
              <w:bottom w:val="single" w:color="auto" w:sz="8" w:space="0"/>
            </w:tcBorders>
            <w:shd w:val="clear" w:color="auto" w:fill="auto"/>
            <w:noWrap w:val="0"/>
            <w:vAlign w:val="top"/>
          </w:tcPr>
          <w:p w14:paraId="6F57E7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418" w:type="dxa"/>
            <w:tcBorders>
              <w:bottom w:val="single" w:color="auto" w:sz="8" w:space="0"/>
            </w:tcBorders>
            <w:shd w:val="clear" w:color="auto" w:fill="auto"/>
            <w:noWrap w:val="0"/>
            <w:vAlign w:val="top"/>
          </w:tcPr>
          <w:p w14:paraId="4AE8BD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135" w:type="dxa"/>
            <w:tcBorders>
              <w:bottom w:val="single" w:color="auto" w:sz="8" w:space="0"/>
            </w:tcBorders>
            <w:shd w:val="clear" w:color="auto" w:fill="auto"/>
            <w:noWrap w:val="0"/>
            <w:vAlign w:val="top"/>
          </w:tcPr>
          <w:p w14:paraId="45DC52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275" w:type="dxa"/>
            <w:tcBorders>
              <w:bottom w:val="single" w:color="auto" w:sz="8" w:space="0"/>
              <w:right w:val="single" w:color="auto" w:sz="8" w:space="0"/>
            </w:tcBorders>
            <w:noWrap w:val="0"/>
            <w:vAlign w:val="top"/>
          </w:tcPr>
          <w:p w14:paraId="448777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90" w:type="dxa"/>
            <w:tcBorders>
              <w:bottom w:val="single" w:color="auto" w:sz="8" w:space="0"/>
              <w:right w:val="single" w:color="auto" w:sz="8" w:space="0"/>
            </w:tcBorders>
            <w:noWrap w:val="0"/>
            <w:vAlign w:val="top"/>
          </w:tcPr>
          <w:p w14:paraId="322929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2A2FBF5D">
      <w:pPr>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1"/>
          <w:szCs w:val="21"/>
        </w:rPr>
        <w:t>根据监测结果， NO</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小时、日均浓度满足《环境空气质量标准》(GB3095-2012)一级标准</w:t>
      </w:r>
      <w:r>
        <w:rPr>
          <w:rFonts w:hint="default" w:ascii="Times New Roman" w:hAnsi="Times New Roman" w:eastAsia="宋体" w:cs="Times New Roman"/>
          <w:b/>
          <w:bCs/>
          <w:iCs/>
          <w:color w:val="auto"/>
          <w:sz w:val="21"/>
          <w:szCs w:val="21"/>
        </w:rPr>
        <w:t>。</w:t>
      </w:r>
    </w:p>
    <w:p w14:paraId="0275F2F7">
      <w:pPr>
        <w:spacing w:line="34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sz w:val="24"/>
        </w:rPr>
        <w:t xml:space="preserve">续表4.3-7  二氧化氮小时、日均浓度检测结果 </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Cs w:val="21"/>
        </w:rPr>
        <w:t xml:space="preserve"> 单位：mg/m</w:t>
      </w:r>
      <w:r>
        <w:rPr>
          <w:rFonts w:hint="default" w:ascii="Times New Roman" w:hAnsi="Times New Roman" w:eastAsia="宋体" w:cs="Times New Roman"/>
          <w:color w:val="auto"/>
          <w:szCs w:val="21"/>
          <w:vertAlign w:val="superscript"/>
        </w:rPr>
        <w:t>3</w:t>
      </w:r>
    </w:p>
    <w:tbl>
      <w:tblPr>
        <w:tblStyle w:val="66"/>
        <w:tblpPr w:leftFromText="180" w:rightFromText="180" w:vertAnchor="text" w:horzAnchor="margin" w:tblpXSpec="center" w:tblpY="52"/>
        <w:tblW w:w="9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767"/>
        <w:gridCol w:w="1328"/>
        <w:gridCol w:w="1300"/>
        <w:gridCol w:w="968"/>
        <w:gridCol w:w="1417"/>
        <w:gridCol w:w="1276"/>
        <w:gridCol w:w="236"/>
      </w:tblGrid>
      <w:tr w14:paraId="4186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40" w:hRule="atLeast"/>
          <w:jc w:val="center"/>
        </w:trPr>
        <w:tc>
          <w:tcPr>
            <w:tcW w:w="3033" w:type="dxa"/>
            <w:gridSpan w:val="2"/>
            <w:tcBorders>
              <w:top w:val="single" w:color="auto" w:sz="8" w:space="0"/>
              <w:left w:val="single" w:color="auto" w:sz="8" w:space="0"/>
              <w:tl2br w:val="single" w:color="auto" w:sz="4" w:space="0"/>
            </w:tcBorders>
            <w:shd w:val="clear" w:color="auto" w:fill="auto"/>
            <w:noWrap w:val="0"/>
            <w:vAlign w:val="top"/>
          </w:tcPr>
          <w:p w14:paraId="096F2E88">
            <w:pPr>
              <w:ind w:firstLine="105" w:firstLineChars="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地 点</w:t>
            </w:r>
          </w:p>
          <w:p w14:paraId="57885801">
            <w:pP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日期/时段</w:t>
            </w:r>
          </w:p>
        </w:tc>
        <w:tc>
          <w:tcPr>
            <w:tcW w:w="1328" w:type="dxa"/>
            <w:tcBorders>
              <w:top w:val="single" w:color="auto" w:sz="8" w:space="0"/>
              <w:right w:val="single" w:color="auto" w:sz="6" w:space="0"/>
            </w:tcBorders>
            <w:shd w:val="clear" w:color="auto" w:fill="auto"/>
            <w:noWrap w:val="0"/>
            <w:vAlign w:val="center"/>
          </w:tcPr>
          <w:p w14:paraId="5536459F">
            <w:pPr>
              <w:spacing w:line="4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公租房</w:t>
            </w:r>
          </w:p>
        </w:tc>
        <w:tc>
          <w:tcPr>
            <w:tcW w:w="1300" w:type="dxa"/>
            <w:tcBorders>
              <w:top w:val="single" w:color="auto" w:sz="8" w:space="0"/>
              <w:left w:val="single" w:color="auto" w:sz="6" w:space="0"/>
              <w:right w:val="single" w:color="auto" w:sz="4" w:space="0"/>
            </w:tcBorders>
            <w:shd w:val="clear" w:color="auto" w:fill="auto"/>
            <w:noWrap w:val="0"/>
            <w:vAlign w:val="center"/>
          </w:tcPr>
          <w:p w14:paraId="320402C2">
            <w:pPr>
              <w:spacing w:line="4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界桃村</w:t>
            </w:r>
          </w:p>
        </w:tc>
        <w:tc>
          <w:tcPr>
            <w:tcW w:w="968" w:type="dxa"/>
            <w:tcBorders>
              <w:top w:val="single" w:color="auto" w:sz="8" w:space="0"/>
              <w:left w:val="single" w:color="auto" w:sz="4" w:space="0"/>
              <w:right w:val="single" w:color="auto" w:sz="8" w:space="0"/>
            </w:tcBorders>
            <w:shd w:val="clear" w:color="auto" w:fill="auto"/>
            <w:noWrap w:val="0"/>
            <w:vAlign w:val="center"/>
          </w:tcPr>
          <w:p w14:paraId="73BC38C1">
            <w:pPr>
              <w:spacing w:line="4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芒市糖厂</w:t>
            </w:r>
          </w:p>
        </w:tc>
        <w:tc>
          <w:tcPr>
            <w:tcW w:w="1417" w:type="dxa"/>
            <w:tcBorders>
              <w:top w:val="single" w:color="auto" w:sz="8" w:space="0"/>
              <w:left w:val="single" w:color="auto" w:sz="6" w:space="0"/>
              <w:right w:val="single" w:color="auto" w:sz="8" w:space="0"/>
            </w:tcBorders>
            <w:noWrap w:val="0"/>
            <w:vAlign w:val="top"/>
          </w:tcPr>
          <w:p w14:paraId="0896E5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276" w:type="dxa"/>
            <w:tcBorders>
              <w:top w:val="single" w:color="auto" w:sz="8" w:space="0"/>
              <w:left w:val="single" w:color="auto" w:sz="6" w:space="0"/>
              <w:right w:val="single" w:color="auto" w:sz="8" w:space="0"/>
            </w:tcBorders>
            <w:noWrap w:val="0"/>
            <w:vAlign w:val="top"/>
          </w:tcPr>
          <w:p w14:paraId="006F77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14:paraId="30D8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restart"/>
            <w:tcBorders>
              <w:top w:val="single" w:color="auto" w:sz="4" w:space="0"/>
              <w:left w:val="single" w:color="auto" w:sz="8" w:space="0"/>
              <w:right w:val="single" w:color="auto" w:sz="4" w:space="0"/>
            </w:tcBorders>
            <w:shd w:val="clear" w:color="auto" w:fill="auto"/>
            <w:noWrap w:val="0"/>
            <w:vAlign w:val="center"/>
          </w:tcPr>
          <w:p w14:paraId="2D1A56E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2016.06.21</w:t>
            </w:r>
          </w:p>
        </w:tc>
        <w:tc>
          <w:tcPr>
            <w:tcW w:w="1767" w:type="dxa"/>
            <w:tcBorders>
              <w:top w:val="single" w:color="auto" w:sz="4" w:space="0"/>
              <w:left w:val="single" w:color="auto" w:sz="4" w:space="0"/>
            </w:tcBorders>
            <w:shd w:val="clear" w:color="auto" w:fill="auto"/>
            <w:noWrap w:val="0"/>
            <w:vAlign w:val="top"/>
          </w:tcPr>
          <w:p w14:paraId="1F90240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02:00～03:00</w:t>
            </w:r>
          </w:p>
        </w:tc>
        <w:tc>
          <w:tcPr>
            <w:tcW w:w="1328" w:type="dxa"/>
            <w:tcBorders>
              <w:top w:val="single" w:color="auto" w:sz="4" w:space="0"/>
              <w:right w:val="single" w:color="auto" w:sz="6" w:space="0"/>
            </w:tcBorders>
            <w:shd w:val="clear" w:color="auto" w:fill="auto"/>
            <w:noWrap w:val="0"/>
            <w:vAlign w:val="top"/>
          </w:tcPr>
          <w:p w14:paraId="14BDEC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300" w:type="dxa"/>
            <w:tcBorders>
              <w:top w:val="single" w:color="auto" w:sz="4" w:space="0"/>
              <w:left w:val="single" w:color="auto" w:sz="6" w:space="0"/>
              <w:right w:val="single" w:color="auto" w:sz="4" w:space="0"/>
            </w:tcBorders>
            <w:shd w:val="clear" w:color="auto" w:fill="auto"/>
            <w:noWrap w:val="0"/>
            <w:vAlign w:val="top"/>
          </w:tcPr>
          <w:p w14:paraId="060A13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968" w:type="dxa"/>
            <w:tcBorders>
              <w:top w:val="single" w:color="auto" w:sz="4" w:space="0"/>
              <w:left w:val="single" w:color="auto" w:sz="4" w:space="0"/>
              <w:right w:val="single" w:color="auto" w:sz="8" w:space="0"/>
            </w:tcBorders>
            <w:shd w:val="clear" w:color="auto" w:fill="auto"/>
            <w:noWrap w:val="0"/>
            <w:vAlign w:val="top"/>
          </w:tcPr>
          <w:p w14:paraId="69643E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7" w:type="dxa"/>
            <w:tcBorders>
              <w:top w:val="single" w:color="auto" w:sz="4" w:space="0"/>
              <w:left w:val="single" w:color="auto" w:sz="6" w:space="0"/>
              <w:right w:val="single" w:color="auto" w:sz="8" w:space="0"/>
            </w:tcBorders>
            <w:noWrap w:val="0"/>
            <w:vAlign w:val="top"/>
          </w:tcPr>
          <w:p w14:paraId="5A99E56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top w:val="single" w:color="auto" w:sz="4" w:space="0"/>
              <w:left w:val="single" w:color="auto" w:sz="6" w:space="0"/>
              <w:right w:val="single" w:color="auto" w:sz="8" w:space="0"/>
            </w:tcBorders>
            <w:noWrap w:val="0"/>
            <w:vAlign w:val="top"/>
          </w:tcPr>
          <w:p w14:paraId="53D0E7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EC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09A3ABA1">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6042D1E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08:00～09:00</w:t>
            </w:r>
          </w:p>
        </w:tc>
        <w:tc>
          <w:tcPr>
            <w:tcW w:w="1328" w:type="dxa"/>
            <w:shd w:val="clear" w:color="auto" w:fill="auto"/>
            <w:noWrap w:val="0"/>
            <w:vAlign w:val="top"/>
          </w:tcPr>
          <w:p w14:paraId="022676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300" w:type="dxa"/>
            <w:tcBorders>
              <w:right w:val="single" w:color="auto" w:sz="4" w:space="0"/>
            </w:tcBorders>
            <w:shd w:val="clear" w:color="auto" w:fill="auto"/>
            <w:noWrap w:val="0"/>
            <w:vAlign w:val="top"/>
          </w:tcPr>
          <w:p w14:paraId="1CC736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968" w:type="dxa"/>
            <w:tcBorders>
              <w:left w:val="single" w:color="auto" w:sz="4" w:space="0"/>
              <w:right w:val="single" w:color="auto" w:sz="8" w:space="0"/>
            </w:tcBorders>
            <w:shd w:val="clear" w:color="auto" w:fill="auto"/>
            <w:noWrap w:val="0"/>
            <w:vAlign w:val="top"/>
          </w:tcPr>
          <w:p w14:paraId="626251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417" w:type="dxa"/>
            <w:tcBorders>
              <w:right w:val="single" w:color="auto" w:sz="8" w:space="0"/>
            </w:tcBorders>
            <w:noWrap w:val="0"/>
            <w:vAlign w:val="top"/>
          </w:tcPr>
          <w:p w14:paraId="46BF55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5CD17E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ACF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6E8FDA92">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507E45D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14:00～15:00</w:t>
            </w:r>
          </w:p>
        </w:tc>
        <w:tc>
          <w:tcPr>
            <w:tcW w:w="1328" w:type="dxa"/>
            <w:shd w:val="clear" w:color="auto" w:fill="auto"/>
            <w:noWrap w:val="0"/>
            <w:vAlign w:val="top"/>
          </w:tcPr>
          <w:p w14:paraId="4AD5BD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300" w:type="dxa"/>
            <w:tcBorders>
              <w:right w:val="single" w:color="auto" w:sz="4" w:space="0"/>
            </w:tcBorders>
            <w:shd w:val="clear" w:color="auto" w:fill="auto"/>
            <w:noWrap w:val="0"/>
            <w:vAlign w:val="top"/>
          </w:tcPr>
          <w:p w14:paraId="153FA5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68" w:type="dxa"/>
            <w:tcBorders>
              <w:left w:val="single" w:color="auto" w:sz="4" w:space="0"/>
              <w:right w:val="single" w:color="auto" w:sz="8" w:space="0"/>
            </w:tcBorders>
            <w:shd w:val="clear" w:color="auto" w:fill="auto"/>
            <w:noWrap w:val="0"/>
            <w:vAlign w:val="top"/>
          </w:tcPr>
          <w:p w14:paraId="046ED1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7" w:type="dxa"/>
            <w:tcBorders>
              <w:right w:val="single" w:color="auto" w:sz="8" w:space="0"/>
            </w:tcBorders>
            <w:noWrap w:val="0"/>
            <w:vAlign w:val="top"/>
          </w:tcPr>
          <w:p w14:paraId="6ADACC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2C39933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2DC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61CA96E3">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7CA856D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20:00～21:00</w:t>
            </w:r>
          </w:p>
        </w:tc>
        <w:tc>
          <w:tcPr>
            <w:tcW w:w="1328" w:type="dxa"/>
            <w:shd w:val="clear" w:color="auto" w:fill="auto"/>
            <w:noWrap w:val="0"/>
            <w:vAlign w:val="top"/>
          </w:tcPr>
          <w:p w14:paraId="1EC951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300" w:type="dxa"/>
            <w:tcBorders>
              <w:right w:val="single" w:color="auto" w:sz="4" w:space="0"/>
            </w:tcBorders>
            <w:shd w:val="clear" w:color="auto" w:fill="auto"/>
            <w:noWrap w:val="0"/>
            <w:vAlign w:val="top"/>
          </w:tcPr>
          <w:p w14:paraId="6BDE94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68" w:type="dxa"/>
            <w:tcBorders>
              <w:left w:val="single" w:color="auto" w:sz="4" w:space="0"/>
              <w:right w:val="single" w:color="auto" w:sz="8" w:space="0"/>
            </w:tcBorders>
            <w:shd w:val="clear" w:color="auto" w:fill="auto"/>
            <w:noWrap w:val="0"/>
            <w:vAlign w:val="top"/>
          </w:tcPr>
          <w:p w14:paraId="1BA7E3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417" w:type="dxa"/>
            <w:tcBorders>
              <w:right w:val="single" w:color="auto" w:sz="8" w:space="0"/>
            </w:tcBorders>
            <w:noWrap w:val="0"/>
            <w:vAlign w:val="top"/>
          </w:tcPr>
          <w:p w14:paraId="0BF787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0EC4BB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BEF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77625224">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094CE92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日均</w:t>
            </w:r>
          </w:p>
        </w:tc>
        <w:tc>
          <w:tcPr>
            <w:tcW w:w="1328" w:type="dxa"/>
            <w:shd w:val="clear" w:color="auto" w:fill="auto"/>
            <w:noWrap w:val="0"/>
            <w:vAlign w:val="center"/>
          </w:tcPr>
          <w:p w14:paraId="073D64DD">
            <w:pPr>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300" w:type="dxa"/>
            <w:tcBorders>
              <w:right w:val="single" w:color="auto" w:sz="4" w:space="0"/>
            </w:tcBorders>
            <w:shd w:val="clear" w:color="auto" w:fill="auto"/>
            <w:noWrap w:val="0"/>
            <w:vAlign w:val="top"/>
          </w:tcPr>
          <w:p w14:paraId="40E3FB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968" w:type="dxa"/>
            <w:tcBorders>
              <w:left w:val="single" w:color="auto" w:sz="4" w:space="0"/>
              <w:right w:val="single" w:color="auto" w:sz="8" w:space="0"/>
            </w:tcBorders>
            <w:shd w:val="clear" w:color="auto" w:fill="auto"/>
            <w:noWrap w:val="0"/>
            <w:vAlign w:val="top"/>
          </w:tcPr>
          <w:p w14:paraId="75C271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417" w:type="dxa"/>
            <w:tcBorders>
              <w:right w:val="single" w:color="auto" w:sz="8" w:space="0"/>
            </w:tcBorders>
            <w:noWrap w:val="0"/>
            <w:vAlign w:val="top"/>
          </w:tcPr>
          <w:p w14:paraId="74393D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76" w:type="dxa"/>
            <w:tcBorders>
              <w:right w:val="single" w:color="auto" w:sz="8" w:space="0"/>
            </w:tcBorders>
            <w:noWrap w:val="0"/>
            <w:vAlign w:val="top"/>
          </w:tcPr>
          <w:p w14:paraId="44BC0F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8B1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restart"/>
            <w:tcBorders>
              <w:left w:val="single" w:color="auto" w:sz="8" w:space="0"/>
              <w:right w:val="single" w:color="auto" w:sz="4" w:space="0"/>
            </w:tcBorders>
            <w:shd w:val="clear" w:color="auto" w:fill="auto"/>
            <w:noWrap w:val="0"/>
            <w:vAlign w:val="center"/>
          </w:tcPr>
          <w:p w14:paraId="1D0108C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2016.06.22</w:t>
            </w:r>
          </w:p>
        </w:tc>
        <w:tc>
          <w:tcPr>
            <w:tcW w:w="1767" w:type="dxa"/>
            <w:tcBorders>
              <w:left w:val="single" w:color="auto" w:sz="4" w:space="0"/>
            </w:tcBorders>
            <w:shd w:val="clear" w:color="auto" w:fill="auto"/>
            <w:noWrap w:val="0"/>
            <w:vAlign w:val="top"/>
          </w:tcPr>
          <w:p w14:paraId="244AF19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02:00～03:00</w:t>
            </w:r>
          </w:p>
        </w:tc>
        <w:tc>
          <w:tcPr>
            <w:tcW w:w="1328" w:type="dxa"/>
            <w:shd w:val="clear" w:color="auto" w:fill="auto"/>
            <w:noWrap w:val="0"/>
            <w:vAlign w:val="top"/>
          </w:tcPr>
          <w:p w14:paraId="4CF9C6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300" w:type="dxa"/>
            <w:tcBorders>
              <w:right w:val="single" w:color="auto" w:sz="4" w:space="0"/>
            </w:tcBorders>
            <w:shd w:val="clear" w:color="auto" w:fill="auto"/>
            <w:noWrap w:val="0"/>
            <w:vAlign w:val="top"/>
          </w:tcPr>
          <w:p w14:paraId="74541D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968" w:type="dxa"/>
            <w:tcBorders>
              <w:left w:val="single" w:color="auto" w:sz="4" w:space="0"/>
              <w:right w:val="single" w:color="auto" w:sz="8" w:space="0"/>
            </w:tcBorders>
            <w:shd w:val="clear" w:color="auto" w:fill="auto"/>
            <w:noWrap w:val="0"/>
            <w:vAlign w:val="top"/>
          </w:tcPr>
          <w:p w14:paraId="1E1733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7" w:type="dxa"/>
            <w:tcBorders>
              <w:right w:val="single" w:color="auto" w:sz="8" w:space="0"/>
            </w:tcBorders>
            <w:noWrap w:val="0"/>
            <w:vAlign w:val="top"/>
          </w:tcPr>
          <w:p w14:paraId="328758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65ACC4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4CD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04395E12">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61D1089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08:00～09:00</w:t>
            </w:r>
          </w:p>
        </w:tc>
        <w:tc>
          <w:tcPr>
            <w:tcW w:w="1328" w:type="dxa"/>
            <w:shd w:val="clear" w:color="auto" w:fill="auto"/>
            <w:noWrap w:val="0"/>
            <w:vAlign w:val="top"/>
          </w:tcPr>
          <w:p w14:paraId="4BB769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300" w:type="dxa"/>
            <w:tcBorders>
              <w:right w:val="single" w:color="auto" w:sz="4" w:space="0"/>
            </w:tcBorders>
            <w:shd w:val="clear" w:color="auto" w:fill="auto"/>
            <w:noWrap w:val="0"/>
            <w:vAlign w:val="top"/>
          </w:tcPr>
          <w:p w14:paraId="21A666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68" w:type="dxa"/>
            <w:tcBorders>
              <w:left w:val="single" w:color="auto" w:sz="4" w:space="0"/>
              <w:right w:val="single" w:color="auto" w:sz="8" w:space="0"/>
            </w:tcBorders>
            <w:shd w:val="clear" w:color="auto" w:fill="auto"/>
            <w:noWrap w:val="0"/>
            <w:vAlign w:val="top"/>
          </w:tcPr>
          <w:p w14:paraId="4A227A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417" w:type="dxa"/>
            <w:tcBorders>
              <w:right w:val="single" w:color="auto" w:sz="8" w:space="0"/>
            </w:tcBorders>
            <w:noWrap w:val="0"/>
            <w:vAlign w:val="top"/>
          </w:tcPr>
          <w:p w14:paraId="121678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58358B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F6E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36E73D3B">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2030B3E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14:00～15:00</w:t>
            </w:r>
          </w:p>
        </w:tc>
        <w:tc>
          <w:tcPr>
            <w:tcW w:w="1328" w:type="dxa"/>
            <w:shd w:val="clear" w:color="auto" w:fill="auto"/>
            <w:noWrap w:val="0"/>
            <w:vAlign w:val="top"/>
          </w:tcPr>
          <w:p w14:paraId="7175EC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300" w:type="dxa"/>
            <w:tcBorders>
              <w:right w:val="single" w:color="auto" w:sz="4" w:space="0"/>
            </w:tcBorders>
            <w:shd w:val="clear" w:color="auto" w:fill="auto"/>
            <w:noWrap w:val="0"/>
            <w:vAlign w:val="top"/>
          </w:tcPr>
          <w:p w14:paraId="27000E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68" w:type="dxa"/>
            <w:tcBorders>
              <w:left w:val="single" w:color="auto" w:sz="4" w:space="0"/>
              <w:right w:val="single" w:color="auto" w:sz="8" w:space="0"/>
            </w:tcBorders>
            <w:shd w:val="clear" w:color="auto" w:fill="auto"/>
            <w:noWrap w:val="0"/>
            <w:vAlign w:val="top"/>
          </w:tcPr>
          <w:p w14:paraId="12F1C8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7" w:type="dxa"/>
            <w:tcBorders>
              <w:right w:val="single" w:color="auto" w:sz="8" w:space="0"/>
            </w:tcBorders>
            <w:noWrap w:val="0"/>
            <w:vAlign w:val="top"/>
          </w:tcPr>
          <w:p w14:paraId="45BD53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47E48D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214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76916D7F">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1CD71BC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20:00～21:00</w:t>
            </w:r>
          </w:p>
        </w:tc>
        <w:tc>
          <w:tcPr>
            <w:tcW w:w="1328" w:type="dxa"/>
            <w:shd w:val="clear" w:color="auto" w:fill="auto"/>
            <w:noWrap w:val="0"/>
            <w:vAlign w:val="top"/>
          </w:tcPr>
          <w:p w14:paraId="1AC7CC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300" w:type="dxa"/>
            <w:tcBorders>
              <w:right w:val="single" w:color="auto" w:sz="4" w:space="0"/>
            </w:tcBorders>
            <w:shd w:val="clear" w:color="auto" w:fill="auto"/>
            <w:noWrap w:val="0"/>
            <w:vAlign w:val="top"/>
          </w:tcPr>
          <w:p w14:paraId="5D3C88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968" w:type="dxa"/>
            <w:tcBorders>
              <w:left w:val="single" w:color="auto" w:sz="4" w:space="0"/>
              <w:right w:val="single" w:color="auto" w:sz="8" w:space="0"/>
            </w:tcBorders>
            <w:shd w:val="clear" w:color="auto" w:fill="auto"/>
            <w:noWrap w:val="0"/>
            <w:vAlign w:val="top"/>
          </w:tcPr>
          <w:p w14:paraId="29C099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417" w:type="dxa"/>
            <w:tcBorders>
              <w:right w:val="single" w:color="auto" w:sz="8" w:space="0"/>
            </w:tcBorders>
            <w:noWrap w:val="0"/>
            <w:vAlign w:val="top"/>
          </w:tcPr>
          <w:p w14:paraId="1E1DA0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5BEA77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54B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69F58FFC">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65FE38A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日均</w:t>
            </w:r>
          </w:p>
        </w:tc>
        <w:tc>
          <w:tcPr>
            <w:tcW w:w="1328" w:type="dxa"/>
            <w:shd w:val="clear" w:color="auto" w:fill="auto"/>
            <w:noWrap w:val="0"/>
            <w:vAlign w:val="top"/>
          </w:tcPr>
          <w:p w14:paraId="380FD8B5">
            <w:pPr>
              <w:ind w:firstLine="43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300" w:type="dxa"/>
            <w:tcBorders>
              <w:right w:val="single" w:color="auto" w:sz="4" w:space="0"/>
            </w:tcBorders>
            <w:shd w:val="clear" w:color="auto" w:fill="auto"/>
            <w:noWrap w:val="0"/>
            <w:vAlign w:val="top"/>
          </w:tcPr>
          <w:p w14:paraId="2118BA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968" w:type="dxa"/>
            <w:tcBorders>
              <w:left w:val="single" w:color="auto" w:sz="4" w:space="0"/>
              <w:right w:val="single" w:color="auto" w:sz="8" w:space="0"/>
            </w:tcBorders>
            <w:shd w:val="clear" w:color="auto" w:fill="auto"/>
            <w:noWrap w:val="0"/>
            <w:vAlign w:val="top"/>
          </w:tcPr>
          <w:p w14:paraId="1255F1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417" w:type="dxa"/>
            <w:tcBorders>
              <w:right w:val="single" w:color="auto" w:sz="8" w:space="0"/>
            </w:tcBorders>
            <w:noWrap w:val="0"/>
            <w:vAlign w:val="top"/>
          </w:tcPr>
          <w:p w14:paraId="2D021D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76" w:type="dxa"/>
            <w:tcBorders>
              <w:right w:val="single" w:color="auto" w:sz="8" w:space="0"/>
            </w:tcBorders>
            <w:noWrap w:val="0"/>
            <w:vAlign w:val="top"/>
          </w:tcPr>
          <w:p w14:paraId="3B4F48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68E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restart"/>
            <w:tcBorders>
              <w:top w:val="single" w:color="auto" w:sz="4" w:space="0"/>
              <w:left w:val="single" w:color="auto" w:sz="8" w:space="0"/>
              <w:right w:val="single" w:color="auto" w:sz="4" w:space="0"/>
            </w:tcBorders>
            <w:shd w:val="clear" w:color="auto" w:fill="auto"/>
            <w:noWrap w:val="0"/>
            <w:vAlign w:val="center"/>
          </w:tcPr>
          <w:p w14:paraId="7C446CC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2016.06.23</w:t>
            </w:r>
          </w:p>
        </w:tc>
        <w:tc>
          <w:tcPr>
            <w:tcW w:w="1767" w:type="dxa"/>
            <w:tcBorders>
              <w:top w:val="single" w:color="auto" w:sz="4" w:space="0"/>
              <w:left w:val="single" w:color="auto" w:sz="4" w:space="0"/>
            </w:tcBorders>
            <w:shd w:val="clear" w:color="auto" w:fill="auto"/>
            <w:noWrap w:val="0"/>
            <w:vAlign w:val="top"/>
          </w:tcPr>
          <w:p w14:paraId="0FEDD6B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02:00～03:00</w:t>
            </w:r>
          </w:p>
        </w:tc>
        <w:tc>
          <w:tcPr>
            <w:tcW w:w="1328" w:type="dxa"/>
            <w:shd w:val="clear" w:color="auto" w:fill="auto"/>
            <w:noWrap w:val="0"/>
            <w:vAlign w:val="top"/>
          </w:tcPr>
          <w:p w14:paraId="1C8B29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300" w:type="dxa"/>
            <w:tcBorders>
              <w:right w:val="single" w:color="auto" w:sz="4" w:space="0"/>
            </w:tcBorders>
            <w:shd w:val="clear" w:color="auto" w:fill="auto"/>
            <w:noWrap w:val="0"/>
            <w:vAlign w:val="top"/>
          </w:tcPr>
          <w:p w14:paraId="51FF08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968" w:type="dxa"/>
            <w:tcBorders>
              <w:left w:val="single" w:color="auto" w:sz="4" w:space="0"/>
              <w:right w:val="single" w:color="auto" w:sz="8" w:space="0"/>
            </w:tcBorders>
            <w:shd w:val="clear" w:color="auto" w:fill="auto"/>
            <w:noWrap w:val="0"/>
            <w:vAlign w:val="top"/>
          </w:tcPr>
          <w:p w14:paraId="2C9B0F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7" w:type="dxa"/>
            <w:tcBorders>
              <w:right w:val="single" w:color="auto" w:sz="8" w:space="0"/>
            </w:tcBorders>
            <w:noWrap w:val="0"/>
            <w:vAlign w:val="top"/>
          </w:tcPr>
          <w:p w14:paraId="7C6007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61C5AE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B3F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5CFF19C4">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68B41B2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08:00～09:00</w:t>
            </w:r>
          </w:p>
        </w:tc>
        <w:tc>
          <w:tcPr>
            <w:tcW w:w="1328" w:type="dxa"/>
            <w:shd w:val="clear" w:color="auto" w:fill="auto"/>
            <w:noWrap w:val="0"/>
            <w:vAlign w:val="top"/>
          </w:tcPr>
          <w:p w14:paraId="6299DD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300" w:type="dxa"/>
            <w:tcBorders>
              <w:right w:val="single" w:color="auto" w:sz="4" w:space="0"/>
            </w:tcBorders>
            <w:shd w:val="clear" w:color="auto" w:fill="auto"/>
            <w:noWrap w:val="0"/>
            <w:vAlign w:val="top"/>
          </w:tcPr>
          <w:p w14:paraId="4BB490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68" w:type="dxa"/>
            <w:tcBorders>
              <w:left w:val="single" w:color="auto" w:sz="4" w:space="0"/>
              <w:right w:val="single" w:color="auto" w:sz="8" w:space="0"/>
            </w:tcBorders>
            <w:shd w:val="clear" w:color="auto" w:fill="auto"/>
            <w:noWrap w:val="0"/>
            <w:vAlign w:val="top"/>
          </w:tcPr>
          <w:p w14:paraId="12D877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417" w:type="dxa"/>
            <w:tcBorders>
              <w:right w:val="single" w:color="auto" w:sz="8" w:space="0"/>
            </w:tcBorders>
            <w:noWrap w:val="0"/>
            <w:vAlign w:val="top"/>
          </w:tcPr>
          <w:p w14:paraId="4287C5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1565A6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033A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32979BFA">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6CBD101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14:00～15:00</w:t>
            </w:r>
          </w:p>
        </w:tc>
        <w:tc>
          <w:tcPr>
            <w:tcW w:w="1328" w:type="dxa"/>
            <w:shd w:val="clear" w:color="auto" w:fill="auto"/>
            <w:noWrap w:val="0"/>
            <w:vAlign w:val="top"/>
          </w:tcPr>
          <w:p w14:paraId="6B7890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300" w:type="dxa"/>
            <w:tcBorders>
              <w:right w:val="single" w:color="auto" w:sz="4" w:space="0"/>
            </w:tcBorders>
            <w:shd w:val="clear" w:color="auto" w:fill="auto"/>
            <w:noWrap w:val="0"/>
            <w:vAlign w:val="top"/>
          </w:tcPr>
          <w:p w14:paraId="4AF6A0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968" w:type="dxa"/>
            <w:tcBorders>
              <w:left w:val="single" w:color="auto" w:sz="4" w:space="0"/>
              <w:right w:val="single" w:color="auto" w:sz="8" w:space="0"/>
            </w:tcBorders>
            <w:shd w:val="clear" w:color="auto" w:fill="auto"/>
            <w:noWrap w:val="0"/>
            <w:vAlign w:val="top"/>
          </w:tcPr>
          <w:p w14:paraId="4A35AB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7" w:type="dxa"/>
            <w:tcBorders>
              <w:right w:val="single" w:color="auto" w:sz="8" w:space="0"/>
            </w:tcBorders>
            <w:noWrap w:val="0"/>
            <w:vAlign w:val="top"/>
          </w:tcPr>
          <w:p w14:paraId="0D56EC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57ED60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88BA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5EB7629D">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06638D5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20:00～21:00</w:t>
            </w:r>
          </w:p>
        </w:tc>
        <w:tc>
          <w:tcPr>
            <w:tcW w:w="1328" w:type="dxa"/>
            <w:shd w:val="clear" w:color="auto" w:fill="auto"/>
            <w:noWrap w:val="0"/>
            <w:vAlign w:val="top"/>
          </w:tcPr>
          <w:p w14:paraId="55D642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300" w:type="dxa"/>
            <w:tcBorders>
              <w:right w:val="single" w:color="auto" w:sz="4" w:space="0"/>
            </w:tcBorders>
            <w:shd w:val="clear" w:color="auto" w:fill="auto"/>
            <w:noWrap w:val="0"/>
            <w:vAlign w:val="top"/>
          </w:tcPr>
          <w:p w14:paraId="023AC6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68" w:type="dxa"/>
            <w:tcBorders>
              <w:left w:val="single" w:color="auto" w:sz="4" w:space="0"/>
              <w:right w:val="single" w:color="auto" w:sz="8" w:space="0"/>
            </w:tcBorders>
            <w:shd w:val="clear" w:color="auto" w:fill="auto"/>
            <w:noWrap w:val="0"/>
            <w:vAlign w:val="top"/>
          </w:tcPr>
          <w:p w14:paraId="4621B2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7" w:type="dxa"/>
            <w:tcBorders>
              <w:right w:val="single" w:color="auto" w:sz="8" w:space="0"/>
            </w:tcBorders>
            <w:noWrap w:val="0"/>
            <w:vAlign w:val="top"/>
          </w:tcPr>
          <w:p w14:paraId="6875D8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1F3064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27E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6" w:type="dxa"/>
            <w:vMerge w:val="continue"/>
            <w:tcBorders>
              <w:left w:val="single" w:color="auto" w:sz="8" w:space="0"/>
              <w:right w:val="single" w:color="auto" w:sz="4" w:space="0"/>
            </w:tcBorders>
            <w:shd w:val="clear" w:color="auto" w:fill="auto"/>
            <w:noWrap w:val="0"/>
            <w:vAlign w:val="top"/>
          </w:tcPr>
          <w:p w14:paraId="7B433EF1">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4CCB9BA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日均</w:t>
            </w:r>
          </w:p>
        </w:tc>
        <w:tc>
          <w:tcPr>
            <w:tcW w:w="1328" w:type="dxa"/>
            <w:shd w:val="clear" w:color="auto" w:fill="auto"/>
            <w:noWrap w:val="0"/>
            <w:vAlign w:val="top"/>
          </w:tcPr>
          <w:p w14:paraId="3BBAD1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300" w:type="dxa"/>
            <w:tcBorders>
              <w:right w:val="single" w:color="auto" w:sz="4" w:space="0"/>
            </w:tcBorders>
            <w:shd w:val="clear" w:color="auto" w:fill="auto"/>
            <w:noWrap w:val="0"/>
            <w:vAlign w:val="top"/>
          </w:tcPr>
          <w:p w14:paraId="509841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968" w:type="dxa"/>
            <w:tcBorders>
              <w:left w:val="single" w:color="auto" w:sz="4" w:space="0"/>
              <w:right w:val="single" w:color="auto" w:sz="8" w:space="0"/>
            </w:tcBorders>
            <w:shd w:val="clear" w:color="auto" w:fill="auto"/>
            <w:noWrap w:val="0"/>
            <w:vAlign w:val="top"/>
          </w:tcPr>
          <w:p w14:paraId="361CDD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&lt;0.003</w:t>
            </w:r>
          </w:p>
        </w:tc>
        <w:tc>
          <w:tcPr>
            <w:tcW w:w="1417" w:type="dxa"/>
            <w:shd w:val="clear" w:color="auto" w:fill="auto"/>
            <w:noWrap w:val="0"/>
            <w:vAlign w:val="top"/>
          </w:tcPr>
          <w:p w14:paraId="67EAFB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76" w:type="dxa"/>
            <w:shd w:val="clear" w:color="auto" w:fill="auto"/>
            <w:noWrap w:val="0"/>
            <w:vAlign w:val="top"/>
          </w:tcPr>
          <w:p w14:paraId="5EE549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c>
          <w:tcPr>
            <w:tcW w:w="236" w:type="dxa"/>
            <w:tcBorders>
              <w:top w:val="nil"/>
              <w:bottom w:val="nil"/>
            </w:tcBorders>
            <w:shd w:val="clear" w:color="auto" w:fill="auto"/>
            <w:noWrap w:val="0"/>
            <w:vAlign w:val="top"/>
          </w:tcPr>
          <w:p w14:paraId="3290CF03">
            <w:pPr>
              <w:rPr>
                <w:rFonts w:hint="default" w:ascii="Times New Roman" w:hAnsi="Times New Roman" w:eastAsia="宋体" w:cs="Times New Roman"/>
                <w:color w:val="auto"/>
                <w:sz w:val="21"/>
                <w:szCs w:val="21"/>
              </w:rPr>
            </w:pPr>
          </w:p>
        </w:tc>
      </w:tr>
      <w:tr w14:paraId="7724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restart"/>
            <w:tcBorders>
              <w:left w:val="single" w:color="auto" w:sz="8" w:space="0"/>
              <w:right w:val="single" w:color="auto" w:sz="4" w:space="0"/>
            </w:tcBorders>
            <w:shd w:val="clear" w:color="auto" w:fill="auto"/>
            <w:noWrap w:val="0"/>
            <w:vAlign w:val="center"/>
          </w:tcPr>
          <w:p w14:paraId="053EA11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2016.06.24</w:t>
            </w:r>
          </w:p>
        </w:tc>
        <w:tc>
          <w:tcPr>
            <w:tcW w:w="1767" w:type="dxa"/>
            <w:tcBorders>
              <w:left w:val="single" w:color="auto" w:sz="4" w:space="0"/>
            </w:tcBorders>
            <w:shd w:val="clear" w:color="auto" w:fill="auto"/>
            <w:noWrap w:val="0"/>
            <w:vAlign w:val="top"/>
          </w:tcPr>
          <w:p w14:paraId="7328666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02:00～03:00</w:t>
            </w:r>
          </w:p>
        </w:tc>
        <w:tc>
          <w:tcPr>
            <w:tcW w:w="1328" w:type="dxa"/>
            <w:shd w:val="clear" w:color="auto" w:fill="auto"/>
            <w:noWrap w:val="0"/>
            <w:vAlign w:val="top"/>
          </w:tcPr>
          <w:p w14:paraId="0061C7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300" w:type="dxa"/>
            <w:tcBorders>
              <w:right w:val="single" w:color="auto" w:sz="4" w:space="0"/>
            </w:tcBorders>
            <w:shd w:val="clear" w:color="auto" w:fill="auto"/>
            <w:noWrap w:val="0"/>
            <w:vAlign w:val="top"/>
          </w:tcPr>
          <w:p w14:paraId="03B13D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968" w:type="dxa"/>
            <w:tcBorders>
              <w:left w:val="single" w:color="auto" w:sz="4" w:space="0"/>
              <w:right w:val="single" w:color="auto" w:sz="8" w:space="0"/>
            </w:tcBorders>
            <w:shd w:val="clear" w:color="auto" w:fill="auto"/>
            <w:noWrap w:val="0"/>
            <w:vAlign w:val="top"/>
          </w:tcPr>
          <w:p w14:paraId="20D8DA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7" w:type="dxa"/>
            <w:tcBorders>
              <w:right w:val="single" w:color="auto" w:sz="8" w:space="0"/>
            </w:tcBorders>
            <w:noWrap w:val="0"/>
            <w:vAlign w:val="top"/>
          </w:tcPr>
          <w:p w14:paraId="00CEBA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01D11A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88C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0B846B7F">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628DBA5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08:00～09:00</w:t>
            </w:r>
          </w:p>
        </w:tc>
        <w:tc>
          <w:tcPr>
            <w:tcW w:w="1328" w:type="dxa"/>
            <w:shd w:val="clear" w:color="auto" w:fill="auto"/>
            <w:noWrap w:val="0"/>
            <w:vAlign w:val="top"/>
          </w:tcPr>
          <w:p w14:paraId="5AA132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300" w:type="dxa"/>
            <w:tcBorders>
              <w:right w:val="single" w:color="auto" w:sz="4" w:space="0"/>
            </w:tcBorders>
            <w:shd w:val="clear" w:color="auto" w:fill="auto"/>
            <w:noWrap w:val="0"/>
            <w:vAlign w:val="top"/>
          </w:tcPr>
          <w:p w14:paraId="51DE49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68" w:type="dxa"/>
            <w:tcBorders>
              <w:left w:val="single" w:color="auto" w:sz="4" w:space="0"/>
              <w:right w:val="single" w:color="auto" w:sz="8" w:space="0"/>
            </w:tcBorders>
            <w:shd w:val="clear" w:color="auto" w:fill="auto"/>
            <w:noWrap w:val="0"/>
            <w:vAlign w:val="top"/>
          </w:tcPr>
          <w:p w14:paraId="54C3756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7" w:type="dxa"/>
            <w:tcBorders>
              <w:right w:val="single" w:color="auto" w:sz="8" w:space="0"/>
            </w:tcBorders>
            <w:noWrap w:val="0"/>
            <w:vAlign w:val="top"/>
          </w:tcPr>
          <w:p w14:paraId="17B345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7294D0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3F2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74DEEBF9">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462FAA9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14:00～15:00</w:t>
            </w:r>
          </w:p>
        </w:tc>
        <w:tc>
          <w:tcPr>
            <w:tcW w:w="1328" w:type="dxa"/>
            <w:shd w:val="clear" w:color="auto" w:fill="auto"/>
            <w:noWrap w:val="0"/>
            <w:vAlign w:val="top"/>
          </w:tcPr>
          <w:p w14:paraId="5A7D69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300" w:type="dxa"/>
            <w:tcBorders>
              <w:right w:val="single" w:color="auto" w:sz="4" w:space="0"/>
            </w:tcBorders>
            <w:shd w:val="clear" w:color="auto" w:fill="auto"/>
            <w:noWrap w:val="0"/>
            <w:vAlign w:val="top"/>
          </w:tcPr>
          <w:p w14:paraId="1A64CA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68" w:type="dxa"/>
            <w:tcBorders>
              <w:left w:val="single" w:color="auto" w:sz="4" w:space="0"/>
              <w:right w:val="single" w:color="auto" w:sz="8" w:space="0"/>
            </w:tcBorders>
            <w:shd w:val="clear" w:color="auto" w:fill="auto"/>
            <w:noWrap w:val="0"/>
            <w:vAlign w:val="top"/>
          </w:tcPr>
          <w:p w14:paraId="5988E1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7" w:type="dxa"/>
            <w:tcBorders>
              <w:right w:val="single" w:color="auto" w:sz="8" w:space="0"/>
            </w:tcBorders>
            <w:noWrap w:val="0"/>
            <w:vAlign w:val="top"/>
          </w:tcPr>
          <w:p w14:paraId="15A10A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73E0E5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6BE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7A55FC04">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4324374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20:00～21:00</w:t>
            </w:r>
          </w:p>
        </w:tc>
        <w:tc>
          <w:tcPr>
            <w:tcW w:w="1328" w:type="dxa"/>
            <w:shd w:val="clear" w:color="auto" w:fill="auto"/>
            <w:noWrap w:val="0"/>
            <w:vAlign w:val="top"/>
          </w:tcPr>
          <w:p w14:paraId="698059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300" w:type="dxa"/>
            <w:tcBorders>
              <w:right w:val="single" w:color="auto" w:sz="4" w:space="0"/>
            </w:tcBorders>
            <w:shd w:val="clear" w:color="auto" w:fill="auto"/>
            <w:noWrap w:val="0"/>
            <w:vAlign w:val="top"/>
          </w:tcPr>
          <w:p w14:paraId="0865FB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968" w:type="dxa"/>
            <w:tcBorders>
              <w:left w:val="single" w:color="auto" w:sz="4" w:space="0"/>
              <w:right w:val="single" w:color="auto" w:sz="8" w:space="0"/>
            </w:tcBorders>
            <w:shd w:val="clear" w:color="auto" w:fill="auto"/>
            <w:noWrap w:val="0"/>
            <w:vAlign w:val="top"/>
          </w:tcPr>
          <w:p w14:paraId="48A86F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417" w:type="dxa"/>
            <w:tcBorders>
              <w:right w:val="single" w:color="auto" w:sz="8" w:space="0"/>
            </w:tcBorders>
            <w:noWrap w:val="0"/>
            <w:vAlign w:val="top"/>
          </w:tcPr>
          <w:p w14:paraId="613EB4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4A9A19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F6D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05DA553E">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5958A85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日均</w:t>
            </w:r>
          </w:p>
        </w:tc>
        <w:tc>
          <w:tcPr>
            <w:tcW w:w="1328" w:type="dxa"/>
            <w:shd w:val="clear" w:color="auto" w:fill="auto"/>
            <w:noWrap w:val="0"/>
            <w:vAlign w:val="center"/>
          </w:tcPr>
          <w:p w14:paraId="15873994">
            <w:pPr>
              <w:spacing w:line="340" w:lineRule="exac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0.004</w:t>
            </w:r>
          </w:p>
        </w:tc>
        <w:tc>
          <w:tcPr>
            <w:tcW w:w="1300" w:type="dxa"/>
            <w:tcBorders>
              <w:right w:val="single" w:color="auto" w:sz="4" w:space="0"/>
            </w:tcBorders>
            <w:shd w:val="clear" w:color="auto" w:fill="auto"/>
            <w:noWrap w:val="0"/>
            <w:vAlign w:val="top"/>
          </w:tcPr>
          <w:p w14:paraId="4E122B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968" w:type="dxa"/>
            <w:tcBorders>
              <w:left w:val="single" w:color="auto" w:sz="4" w:space="0"/>
              <w:right w:val="single" w:color="auto" w:sz="8" w:space="0"/>
            </w:tcBorders>
            <w:shd w:val="clear" w:color="auto" w:fill="auto"/>
            <w:noWrap w:val="0"/>
            <w:vAlign w:val="top"/>
          </w:tcPr>
          <w:p w14:paraId="65FFCA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417" w:type="dxa"/>
            <w:tcBorders>
              <w:right w:val="single" w:color="auto" w:sz="8" w:space="0"/>
            </w:tcBorders>
            <w:noWrap w:val="0"/>
            <w:vAlign w:val="top"/>
          </w:tcPr>
          <w:p w14:paraId="74F87E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76" w:type="dxa"/>
            <w:tcBorders>
              <w:right w:val="single" w:color="auto" w:sz="8" w:space="0"/>
            </w:tcBorders>
            <w:noWrap w:val="0"/>
            <w:vAlign w:val="top"/>
          </w:tcPr>
          <w:p w14:paraId="049654A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A6A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restart"/>
            <w:tcBorders>
              <w:top w:val="single" w:color="auto" w:sz="4" w:space="0"/>
              <w:left w:val="single" w:color="auto" w:sz="8" w:space="0"/>
              <w:right w:val="single" w:color="auto" w:sz="4" w:space="0"/>
            </w:tcBorders>
            <w:shd w:val="clear" w:color="auto" w:fill="auto"/>
            <w:noWrap w:val="0"/>
            <w:vAlign w:val="center"/>
          </w:tcPr>
          <w:p w14:paraId="51D1CB4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2016.06.25</w:t>
            </w:r>
          </w:p>
        </w:tc>
        <w:tc>
          <w:tcPr>
            <w:tcW w:w="1767" w:type="dxa"/>
            <w:tcBorders>
              <w:top w:val="single" w:color="auto" w:sz="4" w:space="0"/>
              <w:left w:val="single" w:color="auto" w:sz="4" w:space="0"/>
            </w:tcBorders>
            <w:shd w:val="clear" w:color="auto" w:fill="auto"/>
            <w:noWrap w:val="0"/>
            <w:vAlign w:val="top"/>
          </w:tcPr>
          <w:p w14:paraId="1063D14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02:00～03:00</w:t>
            </w:r>
          </w:p>
        </w:tc>
        <w:tc>
          <w:tcPr>
            <w:tcW w:w="1328" w:type="dxa"/>
            <w:shd w:val="clear" w:color="auto" w:fill="auto"/>
            <w:noWrap w:val="0"/>
            <w:vAlign w:val="top"/>
          </w:tcPr>
          <w:p w14:paraId="0FF98C1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300" w:type="dxa"/>
            <w:tcBorders>
              <w:right w:val="single" w:color="auto" w:sz="4" w:space="0"/>
            </w:tcBorders>
            <w:shd w:val="clear" w:color="auto" w:fill="auto"/>
            <w:noWrap w:val="0"/>
            <w:vAlign w:val="top"/>
          </w:tcPr>
          <w:p w14:paraId="1D8C15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968" w:type="dxa"/>
            <w:tcBorders>
              <w:left w:val="single" w:color="auto" w:sz="4" w:space="0"/>
              <w:right w:val="single" w:color="auto" w:sz="8" w:space="0"/>
            </w:tcBorders>
            <w:shd w:val="clear" w:color="auto" w:fill="auto"/>
            <w:noWrap w:val="0"/>
            <w:vAlign w:val="top"/>
          </w:tcPr>
          <w:p w14:paraId="05E53A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7" w:type="dxa"/>
            <w:tcBorders>
              <w:right w:val="single" w:color="auto" w:sz="8" w:space="0"/>
            </w:tcBorders>
            <w:noWrap w:val="0"/>
            <w:vAlign w:val="top"/>
          </w:tcPr>
          <w:p w14:paraId="298046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5ABFC9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9A2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7421D938">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4A14E87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08:00～09:00</w:t>
            </w:r>
          </w:p>
        </w:tc>
        <w:tc>
          <w:tcPr>
            <w:tcW w:w="1328" w:type="dxa"/>
            <w:shd w:val="clear" w:color="auto" w:fill="auto"/>
            <w:noWrap w:val="0"/>
            <w:vAlign w:val="top"/>
          </w:tcPr>
          <w:p w14:paraId="4F26E8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300" w:type="dxa"/>
            <w:tcBorders>
              <w:right w:val="single" w:color="auto" w:sz="4" w:space="0"/>
            </w:tcBorders>
            <w:shd w:val="clear" w:color="auto" w:fill="auto"/>
            <w:noWrap w:val="0"/>
            <w:vAlign w:val="top"/>
          </w:tcPr>
          <w:p w14:paraId="0F3040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68" w:type="dxa"/>
            <w:tcBorders>
              <w:left w:val="single" w:color="auto" w:sz="4" w:space="0"/>
              <w:right w:val="single" w:color="auto" w:sz="8" w:space="0"/>
            </w:tcBorders>
            <w:shd w:val="clear" w:color="auto" w:fill="auto"/>
            <w:noWrap w:val="0"/>
            <w:vAlign w:val="top"/>
          </w:tcPr>
          <w:p w14:paraId="1F0AA3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417" w:type="dxa"/>
            <w:tcBorders>
              <w:right w:val="single" w:color="auto" w:sz="8" w:space="0"/>
            </w:tcBorders>
            <w:noWrap w:val="0"/>
            <w:vAlign w:val="top"/>
          </w:tcPr>
          <w:p w14:paraId="704CAB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38D676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49B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17A07839">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14875B1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14:00～15:00</w:t>
            </w:r>
          </w:p>
        </w:tc>
        <w:tc>
          <w:tcPr>
            <w:tcW w:w="1328" w:type="dxa"/>
            <w:shd w:val="clear" w:color="auto" w:fill="auto"/>
            <w:noWrap w:val="0"/>
            <w:vAlign w:val="top"/>
          </w:tcPr>
          <w:p w14:paraId="32B459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300" w:type="dxa"/>
            <w:tcBorders>
              <w:right w:val="single" w:color="auto" w:sz="4" w:space="0"/>
            </w:tcBorders>
            <w:shd w:val="clear" w:color="auto" w:fill="auto"/>
            <w:noWrap w:val="0"/>
            <w:vAlign w:val="top"/>
          </w:tcPr>
          <w:p w14:paraId="409071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968" w:type="dxa"/>
            <w:tcBorders>
              <w:left w:val="single" w:color="auto" w:sz="4" w:space="0"/>
              <w:right w:val="single" w:color="auto" w:sz="8" w:space="0"/>
            </w:tcBorders>
            <w:shd w:val="clear" w:color="auto" w:fill="auto"/>
            <w:noWrap w:val="0"/>
            <w:vAlign w:val="top"/>
          </w:tcPr>
          <w:p w14:paraId="5EBCC9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417" w:type="dxa"/>
            <w:tcBorders>
              <w:right w:val="single" w:color="auto" w:sz="8" w:space="0"/>
            </w:tcBorders>
            <w:noWrap w:val="0"/>
            <w:vAlign w:val="top"/>
          </w:tcPr>
          <w:p w14:paraId="22F6FD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1FCA76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FC2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2E1AAFCD">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7025998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20:00～21:00</w:t>
            </w:r>
          </w:p>
        </w:tc>
        <w:tc>
          <w:tcPr>
            <w:tcW w:w="1328" w:type="dxa"/>
            <w:shd w:val="clear" w:color="auto" w:fill="auto"/>
            <w:noWrap w:val="0"/>
            <w:vAlign w:val="top"/>
          </w:tcPr>
          <w:p w14:paraId="29B200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300" w:type="dxa"/>
            <w:tcBorders>
              <w:right w:val="single" w:color="auto" w:sz="4" w:space="0"/>
            </w:tcBorders>
            <w:shd w:val="clear" w:color="auto" w:fill="auto"/>
            <w:noWrap w:val="0"/>
            <w:vAlign w:val="top"/>
          </w:tcPr>
          <w:p w14:paraId="7C5B77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68" w:type="dxa"/>
            <w:tcBorders>
              <w:left w:val="single" w:color="auto" w:sz="4" w:space="0"/>
              <w:right w:val="single" w:color="auto" w:sz="8" w:space="0"/>
            </w:tcBorders>
            <w:shd w:val="clear" w:color="auto" w:fill="auto"/>
            <w:noWrap w:val="0"/>
            <w:vAlign w:val="top"/>
          </w:tcPr>
          <w:p w14:paraId="0D64F2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c>
          <w:tcPr>
            <w:tcW w:w="1417" w:type="dxa"/>
            <w:tcBorders>
              <w:right w:val="single" w:color="auto" w:sz="8" w:space="0"/>
            </w:tcBorders>
            <w:noWrap w:val="0"/>
            <w:vAlign w:val="top"/>
          </w:tcPr>
          <w:p w14:paraId="382629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4AE275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597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6436B14F">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72A699E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日均</w:t>
            </w:r>
          </w:p>
        </w:tc>
        <w:tc>
          <w:tcPr>
            <w:tcW w:w="1328" w:type="dxa"/>
            <w:shd w:val="clear" w:color="auto" w:fill="auto"/>
            <w:noWrap w:val="0"/>
            <w:vAlign w:val="top"/>
          </w:tcPr>
          <w:p w14:paraId="465BCE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300" w:type="dxa"/>
            <w:tcBorders>
              <w:right w:val="single" w:color="auto" w:sz="4" w:space="0"/>
            </w:tcBorders>
            <w:shd w:val="clear" w:color="auto" w:fill="auto"/>
            <w:noWrap w:val="0"/>
            <w:vAlign w:val="top"/>
          </w:tcPr>
          <w:p w14:paraId="7B5B20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968" w:type="dxa"/>
            <w:tcBorders>
              <w:left w:val="single" w:color="auto" w:sz="4" w:space="0"/>
              <w:right w:val="single" w:color="auto" w:sz="8" w:space="0"/>
            </w:tcBorders>
            <w:shd w:val="clear" w:color="auto" w:fill="auto"/>
            <w:noWrap w:val="0"/>
            <w:vAlign w:val="top"/>
          </w:tcPr>
          <w:p w14:paraId="47569C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7" w:type="dxa"/>
            <w:tcBorders>
              <w:right w:val="single" w:color="auto" w:sz="8" w:space="0"/>
            </w:tcBorders>
            <w:noWrap w:val="0"/>
            <w:vAlign w:val="top"/>
          </w:tcPr>
          <w:p w14:paraId="57621F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76" w:type="dxa"/>
            <w:tcBorders>
              <w:right w:val="single" w:color="auto" w:sz="8" w:space="0"/>
            </w:tcBorders>
            <w:noWrap w:val="0"/>
            <w:vAlign w:val="top"/>
          </w:tcPr>
          <w:p w14:paraId="57A665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BB3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restart"/>
            <w:tcBorders>
              <w:left w:val="single" w:color="auto" w:sz="8" w:space="0"/>
              <w:right w:val="single" w:color="auto" w:sz="4" w:space="0"/>
            </w:tcBorders>
            <w:shd w:val="clear" w:color="auto" w:fill="auto"/>
            <w:noWrap w:val="0"/>
            <w:vAlign w:val="center"/>
          </w:tcPr>
          <w:p w14:paraId="0BBACAE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2016.06.26</w:t>
            </w:r>
          </w:p>
        </w:tc>
        <w:tc>
          <w:tcPr>
            <w:tcW w:w="1767" w:type="dxa"/>
            <w:tcBorders>
              <w:left w:val="single" w:color="auto" w:sz="4" w:space="0"/>
            </w:tcBorders>
            <w:shd w:val="clear" w:color="auto" w:fill="auto"/>
            <w:noWrap w:val="0"/>
            <w:vAlign w:val="top"/>
          </w:tcPr>
          <w:p w14:paraId="51B666A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02:00～03:00</w:t>
            </w:r>
          </w:p>
        </w:tc>
        <w:tc>
          <w:tcPr>
            <w:tcW w:w="1328" w:type="dxa"/>
            <w:shd w:val="clear" w:color="auto" w:fill="auto"/>
            <w:noWrap w:val="0"/>
            <w:vAlign w:val="top"/>
          </w:tcPr>
          <w:p w14:paraId="3CF758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300" w:type="dxa"/>
            <w:tcBorders>
              <w:right w:val="single" w:color="auto" w:sz="4" w:space="0"/>
            </w:tcBorders>
            <w:shd w:val="clear" w:color="auto" w:fill="auto"/>
            <w:noWrap w:val="0"/>
            <w:vAlign w:val="top"/>
          </w:tcPr>
          <w:p w14:paraId="5E4667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968" w:type="dxa"/>
            <w:tcBorders>
              <w:left w:val="single" w:color="auto" w:sz="4" w:space="0"/>
              <w:right w:val="single" w:color="auto" w:sz="8" w:space="0"/>
            </w:tcBorders>
            <w:shd w:val="clear" w:color="auto" w:fill="auto"/>
            <w:noWrap w:val="0"/>
            <w:vAlign w:val="top"/>
          </w:tcPr>
          <w:p w14:paraId="2099EE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7" w:type="dxa"/>
            <w:tcBorders>
              <w:right w:val="single" w:color="auto" w:sz="8" w:space="0"/>
            </w:tcBorders>
            <w:noWrap w:val="0"/>
            <w:vAlign w:val="top"/>
          </w:tcPr>
          <w:p w14:paraId="3FF65CC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08D4BE3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2E8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549B4813">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41F27F0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08:00～09:00</w:t>
            </w:r>
          </w:p>
        </w:tc>
        <w:tc>
          <w:tcPr>
            <w:tcW w:w="1328" w:type="dxa"/>
            <w:shd w:val="clear" w:color="auto" w:fill="auto"/>
            <w:noWrap w:val="0"/>
            <w:vAlign w:val="top"/>
          </w:tcPr>
          <w:p w14:paraId="7C63DC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300" w:type="dxa"/>
            <w:tcBorders>
              <w:right w:val="single" w:color="auto" w:sz="4" w:space="0"/>
            </w:tcBorders>
            <w:shd w:val="clear" w:color="auto" w:fill="auto"/>
            <w:noWrap w:val="0"/>
            <w:vAlign w:val="top"/>
          </w:tcPr>
          <w:p w14:paraId="2FB0F8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68" w:type="dxa"/>
            <w:tcBorders>
              <w:left w:val="single" w:color="auto" w:sz="4" w:space="0"/>
              <w:right w:val="single" w:color="auto" w:sz="8" w:space="0"/>
            </w:tcBorders>
            <w:shd w:val="clear" w:color="auto" w:fill="auto"/>
            <w:noWrap w:val="0"/>
            <w:vAlign w:val="top"/>
          </w:tcPr>
          <w:p w14:paraId="01A2CD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417" w:type="dxa"/>
            <w:tcBorders>
              <w:right w:val="single" w:color="auto" w:sz="8" w:space="0"/>
            </w:tcBorders>
            <w:noWrap w:val="0"/>
            <w:vAlign w:val="top"/>
          </w:tcPr>
          <w:p w14:paraId="13C6BD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50CE75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E43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120F4C25">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4AC6847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14:00～15:00</w:t>
            </w:r>
          </w:p>
        </w:tc>
        <w:tc>
          <w:tcPr>
            <w:tcW w:w="1328" w:type="dxa"/>
            <w:shd w:val="clear" w:color="auto" w:fill="auto"/>
            <w:noWrap w:val="0"/>
            <w:vAlign w:val="top"/>
          </w:tcPr>
          <w:p w14:paraId="2255D7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c>
          <w:tcPr>
            <w:tcW w:w="1300" w:type="dxa"/>
            <w:tcBorders>
              <w:right w:val="single" w:color="auto" w:sz="4" w:space="0"/>
            </w:tcBorders>
            <w:shd w:val="clear" w:color="auto" w:fill="auto"/>
            <w:noWrap w:val="0"/>
            <w:vAlign w:val="top"/>
          </w:tcPr>
          <w:p w14:paraId="41EC93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968" w:type="dxa"/>
            <w:tcBorders>
              <w:left w:val="single" w:color="auto" w:sz="4" w:space="0"/>
              <w:right w:val="single" w:color="auto" w:sz="8" w:space="0"/>
            </w:tcBorders>
            <w:shd w:val="clear" w:color="auto" w:fill="auto"/>
            <w:noWrap w:val="0"/>
            <w:vAlign w:val="top"/>
          </w:tcPr>
          <w:p w14:paraId="27CA2D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417" w:type="dxa"/>
            <w:tcBorders>
              <w:right w:val="single" w:color="auto" w:sz="8" w:space="0"/>
            </w:tcBorders>
            <w:noWrap w:val="0"/>
            <w:vAlign w:val="top"/>
          </w:tcPr>
          <w:p w14:paraId="4D3CD7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1AF2A3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610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4235785C">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2CEA27D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20:00～21:00</w:t>
            </w:r>
          </w:p>
        </w:tc>
        <w:tc>
          <w:tcPr>
            <w:tcW w:w="1328" w:type="dxa"/>
            <w:shd w:val="clear" w:color="auto" w:fill="auto"/>
            <w:noWrap w:val="0"/>
            <w:vAlign w:val="top"/>
          </w:tcPr>
          <w:p w14:paraId="261A73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300" w:type="dxa"/>
            <w:tcBorders>
              <w:right w:val="single" w:color="auto" w:sz="4" w:space="0"/>
            </w:tcBorders>
            <w:shd w:val="clear" w:color="auto" w:fill="auto"/>
            <w:noWrap w:val="0"/>
            <w:vAlign w:val="top"/>
          </w:tcPr>
          <w:p w14:paraId="2D3812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68" w:type="dxa"/>
            <w:tcBorders>
              <w:left w:val="single" w:color="auto" w:sz="4" w:space="0"/>
              <w:right w:val="single" w:color="auto" w:sz="8" w:space="0"/>
            </w:tcBorders>
            <w:shd w:val="clear" w:color="auto" w:fill="auto"/>
            <w:noWrap w:val="0"/>
            <w:vAlign w:val="top"/>
          </w:tcPr>
          <w:p w14:paraId="565D1B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417" w:type="dxa"/>
            <w:tcBorders>
              <w:right w:val="single" w:color="auto" w:sz="8" w:space="0"/>
            </w:tcBorders>
            <w:noWrap w:val="0"/>
            <w:vAlign w:val="top"/>
          </w:tcPr>
          <w:p w14:paraId="2C9D21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1A5A5C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8FA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7AD38EE5">
            <w:pPr>
              <w:jc w:val="center"/>
              <w:rPr>
                <w:rFonts w:hint="default" w:ascii="Times New Roman" w:hAnsi="Times New Roman" w:eastAsia="宋体" w:cs="Times New Roman"/>
                <w:b/>
                <w:bCs/>
                <w:color w:val="auto"/>
                <w:sz w:val="21"/>
                <w:szCs w:val="21"/>
              </w:rPr>
            </w:pPr>
          </w:p>
        </w:tc>
        <w:tc>
          <w:tcPr>
            <w:tcW w:w="1767" w:type="dxa"/>
            <w:tcBorders>
              <w:left w:val="single" w:color="auto" w:sz="4" w:space="0"/>
            </w:tcBorders>
            <w:shd w:val="clear" w:color="auto" w:fill="auto"/>
            <w:noWrap w:val="0"/>
            <w:vAlign w:val="top"/>
          </w:tcPr>
          <w:p w14:paraId="735FE76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日均</w:t>
            </w:r>
          </w:p>
        </w:tc>
        <w:tc>
          <w:tcPr>
            <w:tcW w:w="1328" w:type="dxa"/>
            <w:shd w:val="clear" w:color="auto" w:fill="auto"/>
            <w:noWrap w:val="0"/>
            <w:vAlign w:val="top"/>
          </w:tcPr>
          <w:p w14:paraId="602AA4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c>
          <w:tcPr>
            <w:tcW w:w="1300" w:type="dxa"/>
            <w:tcBorders>
              <w:right w:val="single" w:color="auto" w:sz="4" w:space="0"/>
            </w:tcBorders>
            <w:shd w:val="clear" w:color="auto" w:fill="auto"/>
            <w:noWrap w:val="0"/>
            <w:vAlign w:val="top"/>
          </w:tcPr>
          <w:p w14:paraId="1275FD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968" w:type="dxa"/>
            <w:tcBorders>
              <w:left w:val="single" w:color="auto" w:sz="4" w:space="0"/>
              <w:right w:val="single" w:color="auto" w:sz="8" w:space="0"/>
            </w:tcBorders>
            <w:shd w:val="clear" w:color="auto" w:fill="auto"/>
            <w:noWrap w:val="0"/>
            <w:vAlign w:val="top"/>
          </w:tcPr>
          <w:p w14:paraId="33A1CC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7" w:type="dxa"/>
            <w:tcBorders>
              <w:right w:val="single" w:color="auto" w:sz="8" w:space="0"/>
            </w:tcBorders>
            <w:noWrap w:val="0"/>
            <w:vAlign w:val="top"/>
          </w:tcPr>
          <w:p w14:paraId="1B7C18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76" w:type="dxa"/>
            <w:tcBorders>
              <w:right w:val="single" w:color="auto" w:sz="8" w:space="0"/>
            </w:tcBorders>
            <w:noWrap w:val="0"/>
            <w:vAlign w:val="top"/>
          </w:tcPr>
          <w:p w14:paraId="2B3B1B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6E9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restart"/>
            <w:tcBorders>
              <w:top w:val="single" w:color="auto" w:sz="4" w:space="0"/>
              <w:left w:val="single" w:color="auto" w:sz="8" w:space="0"/>
              <w:right w:val="single" w:color="auto" w:sz="4" w:space="0"/>
            </w:tcBorders>
            <w:shd w:val="clear" w:color="auto" w:fill="auto"/>
            <w:noWrap w:val="0"/>
            <w:vAlign w:val="center"/>
          </w:tcPr>
          <w:p w14:paraId="40B6E8D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2016.06.27</w:t>
            </w:r>
          </w:p>
        </w:tc>
        <w:tc>
          <w:tcPr>
            <w:tcW w:w="1767" w:type="dxa"/>
            <w:tcBorders>
              <w:top w:val="single" w:color="auto" w:sz="4" w:space="0"/>
              <w:left w:val="single" w:color="auto" w:sz="4" w:space="0"/>
            </w:tcBorders>
            <w:shd w:val="clear" w:color="auto" w:fill="auto"/>
            <w:noWrap w:val="0"/>
            <w:vAlign w:val="top"/>
          </w:tcPr>
          <w:p w14:paraId="127ECD8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02:00～03:00</w:t>
            </w:r>
          </w:p>
        </w:tc>
        <w:tc>
          <w:tcPr>
            <w:tcW w:w="1328" w:type="dxa"/>
            <w:shd w:val="clear" w:color="auto" w:fill="auto"/>
            <w:noWrap w:val="0"/>
            <w:vAlign w:val="top"/>
          </w:tcPr>
          <w:p w14:paraId="2D34E1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300" w:type="dxa"/>
            <w:tcBorders>
              <w:right w:val="single" w:color="auto" w:sz="4" w:space="0"/>
            </w:tcBorders>
            <w:shd w:val="clear" w:color="auto" w:fill="auto"/>
            <w:noWrap w:val="0"/>
            <w:vAlign w:val="top"/>
          </w:tcPr>
          <w:p w14:paraId="018F0A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968" w:type="dxa"/>
            <w:tcBorders>
              <w:left w:val="single" w:color="auto" w:sz="4" w:space="0"/>
              <w:right w:val="single" w:color="auto" w:sz="8" w:space="0"/>
            </w:tcBorders>
            <w:shd w:val="clear" w:color="auto" w:fill="auto"/>
            <w:noWrap w:val="0"/>
            <w:vAlign w:val="top"/>
          </w:tcPr>
          <w:p w14:paraId="3F18C7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&lt;0.005</w:t>
            </w:r>
          </w:p>
        </w:tc>
        <w:tc>
          <w:tcPr>
            <w:tcW w:w="1417" w:type="dxa"/>
            <w:tcBorders>
              <w:right w:val="single" w:color="auto" w:sz="8" w:space="0"/>
            </w:tcBorders>
            <w:noWrap w:val="0"/>
            <w:vAlign w:val="top"/>
          </w:tcPr>
          <w:p w14:paraId="0B77BA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6AC49B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13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320E611E">
            <w:pPr>
              <w:jc w:val="center"/>
              <w:rPr>
                <w:rFonts w:hint="default" w:ascii="Times New Roman" w:hAnsi="Times New Roman" w:eastAsia="宋体" w:cs="Times New Roman"/>
                <w:color w:val="auto"/>
                <w:sz w:val="21"/>
                <w:szCs w:val="21"/>
              </w:rPr>
            </w:pPr>
          </w:p>
        </w:tc>
        <w:tc>
          <w:tcPr>
            <w:tcW w:w="1767" w:type="dxa"/>
            <w:tcBorders>
              <w:left w:val="single" w:color="auto" w:sz="4" w:space="0"/>
            </w:tcBorders>
            <w:shd w:val="clear" w:color="auto" w:fill="auto"/>
            <w:noWrap w:val="0"/>
            <w:vAlign w:val="top"/>
          </w:tcPr>
          <w:p w14:paraId="07E83D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08:00～09:00</w:t>
            </w:r>
          </w:p>
        </w:tc>
        <w:tc>
          <w:tcPr>
            <w:tcW w:w="1328" w:type="dxa"/>
            <w:shd w:val="clear" w:color="auto" w:fill="auto"/>
            <w:noWrap w:val="0"/>
            <w:vAlign w:val="top"/>
          </w:tcPr>
          <w:p w14:paraId="7F02C8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300" w:type="dxa"/>
            <w:tcBorders>
              <w:right w:val="single" w:color="auto" w:sz="4" w:space="0"/>
            </w:tcBorders>
            <w:shd w:val="clear" w:color="auto" w:fill="auto"/>
            <w:noWrap w:val="0"/>
            <w:vAlign w:val="top"/>
          </w:tcPr>
          <w:p w14:paraId="71EA51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968" w:type="dxa"/>
            <w:tcBorders>
              <w:left w:val="single" w:color="auto" w:sz="4" w:space="0"/>
              <w:right w:val="single" w:color="auto" w:sz="8" w:space="0"/>
            </w:tcBorders>
            <w:shd w:val="clear" w:color="auto" w:fill="auto"/>
            <w:noWrap w:val="0"/>
            <w:vAlign w:val="top"/>
          </w:tcPr>
          <w:p w14:paraId="2189D4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w:t>
            </w:r>
          </w:p>
        </w:tc>
        <w:tc>
          <w:tcPr>
            <w:tcW w:w="1417" w:type="dxa"/>
            <w:tcBorders>
              <w:right w:val="single" w:color="auto" w:sz="8" w:space="0"/>
            </w:tcBorders>
            <w:noWrap w:val="0"/>
            <w:vAlign w:val="top"/>
          </w:tcPr>
          <w:p w14:paraId="3591C4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329486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4DB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45C1F317">
            <w:pPr>
              <w:jc w:val="center"/>
              <w:rPr>
                <w:rFonts w:hint="default" w:ascii="Times New Roman" w:hAnsi="Times New Roman" w:eastAsia="宋体" w:cs="Times New Roman"/>
                <w:color w:val="auto"/>
                <w:sz w:val="21"/>
                <w:szCs w:val="21"/>
              </w:rPr>
            </w:pPr>
          </w:p>
        </w:tc>
        <w:tc>
          <w:tcPr>
            <w:tcW w:w="1767" w:type="dxa"/>
            <w:tcBorders>
              <w:left w:val="single" w:color="auto" w:sz="4" w:space="0"/>
            </w:tcBorders>
            <w:shd w:val="clear" w:color="auto" w:fill="auto"/>
            <w:noWrap w:val="0"/>
            <w:vAlign w:val="top"/>
          </w:tcPr>
          <w:p w14:paraId="0C0404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14:00～15:00</w:t>
            </w:r>
          </w:p>
        </w:tc>
        <w:tc>
          <w:tcPr>
            <w:tcW w:w="1328" w:type="dxa"/>
            <w:shd w:val="clear" w:color="auto" w:fill="auto"/>
            <w:noWrap w:val="0"/>
            <w:vAlign w:val="top"/>
          </w:tcPr>
          <w:p w14:paraId="11576A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1300" w:type="dxa"/>
            <w:tcBorders>
              <w:right w:val="single" w:color="auto" w:sz="4" w:space="0"/>
            </w:tcBorders>
            <w:shd w:val="clear" w:color="auto" w:fill="auto"/>
            <w:noWrap w:val="0"/>
            <w:vAlign w:val="top"/>
          </w:tcPr>
          <w:p w14:paraId="57525B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c>
          <w:tcPr>
            <w:tcW w:w="968" w:type="dxa"/>
            <w:tcBorders>
              <w:left w:val="single" w:color="auto" w:sz="4" w:space="0"/>
              <w:right w:val="single" w:color="auto" w:sz="8" w:space="0"/>
            </w:tcBorders>
            <w:shd w:val="clear" w:color="auto" w:fill="auto"/>
            <w:noWrap w:val="0"/>
            <w:vAlign w:val="top"/>
          </w:tcPr>
          <w:p w14:paraId="4854EE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1417" w:type="dxa"/>
            <w:tcBorders>
              <w:right w:val="single" w:color="auto" w:sz="8" w:space="0"/>
            </w:tcBorders>
            <w:noWrap w:val="0"/>
            <w:vAlign w:val="top"/>
          </w:tcPr>
          <w:p w14:paraId="1E9F9D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12A4E8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D4A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right w:val="single" w:color="auto" w:sz="4" w:space="0"/>
            </w:tcBorders>
            <w:shd w:val="clear" w:color="auto" w:fill="auto"/>
            <w:noWrap w:val="0"/>
            <w:vAlign w:val="top"/>
          </w:tcPr>
          <w:p w14:paraId="22976ACD">
            <w:pPr>
              <w:jc w:val="center"/>
              <w:rPr>
                <w:rFonts w:hint="default" w:ascii="Times New Roman" w:hAnsi="Times New Roman" w:eastAsia="宋体" w:cs="Times New Roman"/>
                <w:color w:val="auto"/>
                <w:sz w:val="21"/>
                <w:szCs w:val="21"/>
              </w:rPr>
            </w:pPr>
          </w:p>
        </w:tc>
        <w:tc>
          <w:tcPr>
            <w:tcW w:w="1767" w:type="dxa"/>
            <w:tcBorders>
              <w:left w:val="single" w:color="auto" w:sz="4" w:space="0"/>
            </w:tcBorders>
            <w:shd w:val="clear" w:color="auto" w:fill="auto"/>
            <w:noWrap w:val="0"/>
            <w:vAlign w:val="top"/>
          </w:tcPr>
          <w:p w14:paraId="277F5E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20:00～21:00</w:t>
            </w:r>
          </w:p>
        </w:tc>
        <w:tc>
          <w:tcPr>
            <w:tcW w:w="1328" w:type="dxa"/>
            <w:shd w:val="clear" w:color="auto" w:fill="auto"/>
            <w:noWrap w:val="0"/>
            <w:vAlign w:val="top"/>
          </w:tcPr>
          <w:p w14:paraId="143067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w:t>
            </w:r>
          </w:p>
        </w:tc>
        <w:tc>
          <w:tcPr>
            <w:tcW w:w="1300" w:type="dxa"/>
            <w:tcBorders>
              <w:right w:val="single" w:color="auto" w:sz="4" w:space="0"/>
            </w:tcBorders>
            <w:shd w:val="clear" w:color="auto" w:fill="auto"/>
            <w:noWrap w:val="0"/>
            <w:vAlign w:val="top"/>
          </w:tcPr>
          <w:p w14:paraId="59C4D3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c>
          <w:tcPr>
            <w:tcW w:w="968" w:type="dxa"/>
            <w:tcBorders>
              <w:left w:val="single" w:color="auto" w:sz="4" w:space="0"/>
              <w:right w:val="single" w:color="auto" w:sz="8" w:space="0"/>
            </w:tcBorders>
            <w:shd w:val="clear" w:color="auto" w:fill="auto"/>
            <w:noWrap w:val="0"/>
            <w:vAlign w:val="top"/>
          </w:tcPr>
          <w:p w14:paraId="1AE670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0.0011</w:t>
            </w:r>
          </w:p>
        </w:tc>
        <w:tc>
          <w:tcPr>
            <w:tcW w:w="1417" w:type="dxa"/>
            <w:tcBorders>
              <w:right w:val="single" w:color="auto" w:sz="8" w:space="0"/>
            </w:tcBorders>
            <w:noWrap w:val="0"/>
            <w:vAlign w:val="top"/>
          </w:tcPr>
          <w:p w14:paraId="523025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w:t>
            </w:r>
          </w:p>
        </w:tc>
        <w:tc>
          <w:tcPr>
            <w:tcW w:w="1276" w:type="dxa"/>
            <w:tcBorders>
              <w:right w:val="single" w:color="auto" w:sz="8" w:space="0"/>
            </w:tcBorders>
            <w:noWrap w:val="0"/>
            <w:vAlign w:val="top"/>
          </w:tcPr>
          <w:p w14:paraId="6FE8176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A9B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jc w:val="center"/>
        </w:trPr>
        <w:tc>
          <w:tcPr>
            <w:tcW w:w="1266" w:type="dxa"/>
            <w:vMerge w:val="continue"/>
            <w:tcBorders>
              <w:left w:val="single" w:color="auto" w:sz="8" w:space="0"/>
              <w:bottom w:val="single" w:color="auto" w:sz="8" w:space="0"/>
              <w:right w:val="single" w:color="auto" w:sz="4" w:space="0"/>
            </w:tcBorders>
            <w:shd w:val="clear" w:color="auto" w:fill="auto"/>
            <w:noWrap w:val="0"/>
            <w:vAlign w:val="top"/>
          </w:tcPr>
          <w:p w14:paraId="2EBB1D2D">
            <w:pPr>
              <w:jc w:val="center"/>
              <w:rPr>
                <w:rFonts w:hint="default" w:ascii="Times New Roman" w:hAnsi="Times New Roman" w:eastAsia="宋体" w:cs="Times New Roman"/>
                <w:color w:val="auto"/>
                <w:sz w:val="21"/>
                <w:szCs w:val="21"/>
              </w:rPr>
            </w:pPr>
          </w:p>
        </w:tc>
        <w:tc>
          <w:tcPr>
            <w:tcW w:w="1767" w:type="dxa"/>
            <w:tcBorders>
              <w:left w:val="single" w:color="auto" w:sz="4" w:space="0"/>
              <w:bottom w:val="single" w:color="auto" w:sz="8" w:space="0"/>
            </w:tcBorders>
            <w:shd w:val="clear" w:color="auto" w:fill="auto"/>
            <w:noWrap w:val="0"/>
            <w:vAlign w:val="top"/>
          </w:tcPr>
          <w:p w14:paraId="1CF927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日均</w:t>
            </w:r>
          </w:p>
        </w:tc>
        <w:tc>
          <w:tcPr>
            <w:tcW w:w="1328" w:type="dxa"/>
            <w:tcBorders>
              <w:bottom w:val="single" w:color="auto" w:sz="8" w:space="0"/>
            </w:tcBorders>
            <w:shd w:val="clear" w:color="auto" w:fill="auto"/>
            <w:noWrap w:val="0"/>
            <w:vAlign w:val="top"/>
          </w:tcPr>
          <w:p w14:paraId="7CFA33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1300" w:type="dxa"/>
            <w:tcBorders>
              <w:bottom w:val="single" w:color="auto" w:sz="8" w:space="0"/>
              <w:right w:val="single" w:color="auto" w:sz="4" w:space="0"/>
            </w:tcBorders>
            <w:shd w:val="clear" w:color="auto" w:fill="auto"/>
            <w:noWrap w:val="0"/>
            <w:vAlign w:val="top"/>
          </w:tcPr>
          <w:p w14:paraId="592E26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c>
          <w:tcPr>
            <w:tcW w:w="968" w:type="dxa"/>
            <w:tcBorders>
              <w:left w:val="single" w:color="auto" w:sz="4" w:space="0"/>
              <w:bottom w:val="single" w:color="auto" w:sz="8" w:space="0"/>
              <w:right w:val="single" w:color="auto" w:sz="8" w:space="0"/>
            </w:tcBorders>
            <w:shd w:val="clear" w:color="auto" w:fill="auto"/>
            <w:noWrap w:val="0"/>
            <w:vAlign w:val="top"/>
          </w:tcPr>
          <w:p w14:paraId="51E2D1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c>
          <w:tcPr>
            <w:tcW w:w="1417" w:type="dxa"/>
            <w:tcBorders>
              <w:bottom w:val="single" w:color="auto" w:sz="8" w:space="0"/>
              <w:right w:val="single" w:color="auto" w:sz="8" w:space="0"/>
            </w:tcBorders>
            <w:noWrap w:val="0"/>
            <w:vAlign w:val="top"/>
          </w:tcPr>
          <w:p w14:paraId="588233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w:t>
            </w:r>
          </w:p>
        </w:tc>
        <w:tc>
          <w:tcPr>
            <w:tcW w:w="1276" w:type="dxa"/>
            <w:tcBorders>
              <w:bottom w:val="single" w:color="auto" w:sz="8" w:space="0"/>
              <w:right w:val="single" w:color="auto" w:sz="8" w:space="0"/>
            </w:tcBorders>
            <w:noWrap w:val="0"/>
            <w:vAlign w:val="top"/>
          </w:tcPr>
          <w:p w14:paraId="2A0F90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660F850C">
      <w:pP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根据监测结果， NO</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小时、日均浓度满足《环境空气质量标准》(GB3095-2012)二级标准</w:t>
      </w:r>
      <w:r>
        <w:rPr>
          <w:rFonts w:hint="default" w:ascii="Times New Roman" w:hAnsi="Times New Roman" w:eastAsia="宋体" w:cs="Times New Roman"/>
          <w:b/>
          <w:bCs/>
          <w:iCs/>
          <w:color w:val="auto"/>
          <w:sz w:val="21"/>
          <w:szCs w:val="21"/>
        </w:rPr>
        <w:t>。</w:t>
      </w:r>
    </w:p>
    <w:p w14:paraId="3CA0917B">
      <w:pPr>
        <w:keepNext/>
        <w:keepLines/>
        <w:adjustRightInd w:val="0"/>
        <w:snapToGrid w:val="0"/>
        <w:spacing w:beforeLines="5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4.3.</w:t>
      </w:r>
      <w:r>
        <w:rPr>
          <w:rFonts w:hint="default" w:ascii="Times New Roman" w:hAnsi="Times New Roman" w:eastAsia="宋体" w:cs="Times New Roman"/>
          <w:b/>
          <w:bCs/>
          <w:color w:val="auto"/>
          <w:sz w:val="28"/>
          <w:szCs w:val="28"/>
          <w:lang w:val="en-US" w:eastAsia="zh-CN"/>
        </w:rPr>
        <w:t xml:space="preserve">2 </w:t>
      </w:r>
      <w:r>
        <w:rPr>
          <w:rFonts w:hint="default" w:ascii="Times New Roman" w:hAnsi="Times New Roman" w:eastAsia="宋体" w:cs="Times New Roman"/>
          <w:b/>
          <w:bCs/>
          <w:color w:val="auto"/>
          <w:sz w:val="28"/>
          <w:szCs w:val="28"/>
          <w:lang w:eastAsia="zh-CN"/>
        </w:rPr>
        <w:t>声</w:t>
      </w:r>
      <w:r>
        <w:rPr>
          <w:rFonts w:hint="default" w:ascii="Times New Roman" w:hAnsi="Times New Roman" w:eastAsia="宋体" w:cs="Times New Roman"/>
          <w:b/>
          <w:bCs/>
          <w:color w:val="auto"/>
          <w:sz w:val="28"/>
          <w:szCs w:val="28"/>
        </w:rPr>
        <w:t>环境质量现状</w:t>
      </w:r>
    </w:p>
    <w:p w14:paraId="2D281D95">
      <w:pPr>
        <w:spacing w:line="360" w:lineRule="auto"/>
        <w:ind w:firstLine="482"/>
        <w:rPr>
          <w:rFonts w:hint="default" w:ascii="Times New Roman" w:hAnsi="Times New Roman" w:eastAsia="宋体" w:cs="Times New Roman"/>
          <w:color w:val="auto"/>
          <w:sz w:val="24"/>
          <w:szCs w:val="30"/>
        </w:rPr>
      </w:pPr>
      <w:r>
        <w:rPr>
          <w:rFonts w:hint="default" w:ascii="Times New Roman" w:hAnsi="Times New Roman" w:eastAsia="宋体" w:cs="Times New Roman"/>
          <w:color w:val="auto"/>
          <w:sz w:val="24"/>
        </w:rPr>
        <w:t>为了解项目拟建址的声环境质量，</w:t>
      </w:r>
      <w:r>
        <w:rPr>
          <w:rFonts w:hint="default" w:ascii="Times New Roman" w:hAnsi="Times New Roman" w:eastAsia="宋体" w:cs="Times New Roman"/>
          <w:color w:val="auto"/>
          <w:sz w:val="24"/>
          <w:lang w:eastAsia="zh-CN"/>
        </w:rPr>
        <w:t>本项目引用</w:t>
      </w:r>
      <w:r>
        <w:rPr>
          <w:rFonts w:hint="default" w:ascii="Times New Roman" w:hAnsi="Times New Roman" w:eastAsia="宋体" w:cs="Times New Roman"/>
          <w:color w:val="auto"/>
          <w:sz w:val="24"/>
        </w:rPr>
        <w:t>云南省环境科学研究院分析测试中心于2016年06月25日~06月26日</w:t>
      </w:r>
      <w:r>
        <w:rPr>
          <w:rFonts w:hint="default" w:ascii="Times New Roman" w:hAnsi="Times New Roman" w:eastAsia="宋体" w:cs="Times New Roman"/>
          <w:color w:val="auto"/>
          <w:sz w:val="24"/>
          <w:szCs w:val="30"/>
        </w:rPr>
        <w:t>对项目区域主要声环境敏感点噪声</w:t>
      </w:r>
      <w:r>
        <w:rPr>
          <w:rFonts w:hint="default" w:ascii="Times New Roman" w:hAnsi="Times New Roman" w:eastAsia="宋体" w:cs="Times New Roman"/>
          <w:color w:val="auto"/>
          <w:sz w:val="24"/>
          <w:szCs w:val="30"/>
          <w:lang w:eastAsia="zh-CN"/>
        </w:rPr>
        <w:t>的</w:t>
      </w:r>
      <w:r>
        <w:rPr>
          <w:rFonts w:hint="default" w:ascii="Times New Roman" w:hAnsi="Times New Roman" w:eastAsia="宋体" w:cs="Times New Roman"/>
          <w:color w:val="auto"/>
          <w:sz w:val="24"/>
          <w:szCs w:val="30"/>
        </w:rPr>
        <w:t>现状监测</w:t>
      </w:r>
      <w:r>
        <w:rPr>
          <w:rFonts w:hint="default" w:ascii="Times New Roman" w:hAnsi="Times New Roman" w:eastAsia="宋体" w:cs="Times New Roman"/>
          <w:color w:val="auto"/>
          <w:sz w:val="24"/>
          <w:szCs w:val="30"/>
          <w:lang w:eastAsia="zh-CN"/>
        </w:rPr>
        <w:t>数据</w:t>
      </w:r>
      <w:r>
        <w:rPr>
          <w:rFonts w:hint="default" w:ascii="Times New Roman" w:hAnsi="Times New Roman" w:eastAsia="宋体" w:cs="Times New Roman"/>
          <w:color w:val="auto"/>
          <w:sz w:val="24"/>
          <w:szCs w:val="30"/>
        </w:rPr>
        <w:t>，监测因子为昼夜等效 A 声级。</w:t>
      </w:r>
    </w:p>
    <w:p w14:paraId="6FDACA4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1、监测布点</w:t>
      </w:r>
    </w:p>
    <w:p w14:paraId="753560D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总共布设5 个监测点，测点分别位于项目区厂界四周，项目区西面的公租房。</w:t>
      </w:r>
    </w:p>
    <w:p w14:paraId="4F495749">
      <w:pPr>
        <w:spacing w:line="360" w:lineRule="auto"/>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2、监测周期及频率</w:t>
      </w:r>
    </w:p>
    <w:p w14:paraId="46225344">
      <w:pPr>
        <w:spacing w:line="360" w:lineRule="auto"/>
        <w:ind w:firstLine="360" w:firstLineChars="1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连续监测2天，昼夜各一次。</w:t>
      </w:r>
      <w:r>
        <w:rPr>
          <w:rFonts w:hint="default" w:ascii="Times New Roman" w:hAnsi="Times New Roman" w:eastAsia="宋体" w:cs="Times New Roman"/>
          <w:color w:val="auto"/>
          <w:kern w:val="0"/>
          <w:sz w:val="24"/>
        </w:rPr>
        <w:t>根据本项目所属的声环境功能区，执行《声环境质量标准》（GB3096-2008）3类标准，即等效声级昼间 65dB（A），夜间 55dB（A）。</w:t>
      </w:r>
    </w:p>
    <w:p w14:paraId="51134AD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3、监测结果</w:t>
      </w:r>
    </w:p>
    <w:p w14:paraId="03B9E8AA">
      <w:pPr>
        <w:jc w:val="center"/>
        <w:rPr>
          <w:rFonts w:hint="default" w:ascii="Times New Roman" w:hAnsi="Times New Roman" w:eastAsia="宋体" w:cs="Times New Roman"/>
          <w:color w:val="auto"/>
          <w:szCs w:val="20"/>
        </w:rPr>
      </w:pPr>
      <w:r>
        <w:rPr>
          <w:rFonts w:hint="default" w:ascii="Times New Roman" w:hAnsi="Times New Roman" w:eastAsia="宋体" w:cs="Times New Roman"/>
          <w:b/>
          <w:color w:val="auto"/>
          <w:sz w:val="24"/>
          <w:szCs w:val="20"/>
        </w:rPr>
        <w:t>表4.3-8    声环境监测结果表</w:t>
      </w:r>
      <w:r>
        <w:rPr>
          <w:rFonts w:hint="default" w:ascii="Times New Roman" w:hAnsi="Times New Roman" w:eastAsia="宋体" w:cs="Times New Roman"/>
          <w:color w:val="auto"/>
          <w:sz w:val="24"/>
          <w:szCs w:val="20"/>
        </w:rPr>
        <w:t xml:space="preserve">    单位：</w:t>
      </w:r>
      <w:r>
        <w:rPr>
          <w:rFonts w:hint="default" w:ascii="Times New Roman" w:hAnsi="Times New Roman" w:eastAsia="宋体" w:cs="Times New Roman"/>
          <w:color w:val="auto"/>
          <w:szCs w:val="20"/>
        </w:rPr>
        <w:t>Leq[dB（A）]</w:t>
      </w:r>
    </w:p>
    <w:tbl>
      <w:tblPr>
        <w:tblStyle w:val="66"/>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1629"/>
        <w:gridCol w:w="1086"/>
        <w:gridCol w:w="2353"/>
        <w:gridCol w:w="1715"/>
        <w:gridCol w:w="1491"/>
      </w:tblGrid>
      <w:tr w14:paraId="512F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9" w:hRule="atLeast"/>
          <w:tblHeader/>
          <w:jc w:val="center"/>
        </w:trPr>
        <w:tc>
          <w:tcPr>
            <w:tcW w:w="3909" w:type="dxa"/>
            <w:gridSpan w:val="3"/>
            <w:tcBorders>
              <w:top w:val="single" w:color="auto" w:sz="8" w:space="0"/>
              <w:left w:val="single" w:color="auto" w:sz="8" w:space="0"/>
              <w:bottom w:val="single" w:color="auto" w:sz="4" w:space="0"/>
              <w:right w:val="single" w:color="auto" w:sz="4" w:space="0"/>
              <w:tl2br w:val="single" w:color="auto" w:sz="4" w:space="0"/>
            </w:tcBorders>
            <w:shd w:val="clear" w:color="auto" w:fill="auto"/>
            <w:noWrap w:val="0"/>
            <w:vAlign w:val="top"/>
          </w:tcPr>
          <w:p w14:paraId="2054FCAA">
            <w:pPr>
              <w:ind w:left="1995" w:hanging="2003" w:hangingChars="9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项 目</w:t>
            </w:r>
          </w:p>
          <w:p w14:paraId="0762C48C">
            <w:pPr>
              <w:ind w:left="2105" w:leftChars="350" w:hanging="1265" w:hangingChars="6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地点/时间 </w:t>
            </w:r>
            <w:r>
              <w:rPr>
                <w:rFonts w:hint="default" w:ascii="Times New Roman" w:hAnsi="Times New Roman" w:eastAsia="宋体" w:cs="Times New Roman"/>
                <w:b/>
                <w:bCs/>
                <w:color w:val="auto"/>
                <w:sz w:val="21"/>
                <w:szCs w:val="21"/>
              </w:rPr>
              <w:tab/>
            </w:r>
          </w:p>
        </w:tc>
        <w:tc>
          <w:tcPr>
            <w:tcW w:w="2353" w:type="dxa"/>
            <w:tcBorders>
              <w:top w:val="single" w:color="auto" w:sz="8" w:space="0"/>
              <w:left w:val="single" w:color="auto" w:sz="4" w:space="0"/>
              <w:bottom w:val="single" w:color="auto" w:sz="4" w:space="0"/>
            </w:tcBorders>
            <w:shd w:val="clear" w:color="auto" w:fill="auto"/>
            <w:noWrap w:val="0"/>
            <w:vAlign w:val="center"/>
          </w:tcPr>
          <w:p w14:paraId="0EE8E11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L</w:t>
            </w:r>
            <w:r>
              <w:rPr>
                <w:rFonts w:hint="default" w:ascii="Times New Roman" w:hAnsi="Times New Roman" w:eastAsia="宋体" w:cs="Times New Roman"/>
                <w:b/>
                <w:bCs/>
                <w:color w:val="auto"/>
                <w:sz w:val="21"/>
                <w:szCs w:val="21"/>
                <w:vertAlign w:val="subscript"/>
              </w:rPr>
              <w:t>eq</w:t>
            </w:r>
          </w:p>
        </w:tc>
        <w:tc>
          <w:tcPr>
            <w:tcW w:w="1715" w:type="dxa"/>
            <w:tcBorders>
              <w:top w:val="single" w:color="auto" w:sz="8" w:space="0"/>
              <w:left w:val="single" w:color="auto" w:sz="4" w:space="0"/>
              <w:bottom w:val="single" w:color="auto" w:sz="4" w:space="0"/>
              <w:right w:val="single" w:color="auto" w:sz="4" w:space="0"/>
            </w:tcBorders>
            <w:shd w:val="clear" w:color="auto" w:fill="auto"/>
            <w:noWrap w:val="0"/>
            <w:vAlign w:val="top"/>
          </w:tcPr>
          <w:p w14:paraId="0CC2FCA7">
            <w:pPr>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491" w:type="dxa"/>
            <w:tcBorders>
              <w:top w:val="single" w:color="auto" w:sz="8" w:space="0"/>
              <w:left w:val="single" w:color="auto" w:sz="4" w:space="0"/>
              <w:bottom w:val="single" w:color="auto" w:sz="4" w:space="0"/>
              <w:right w:val="single" w:color="auto" w:sz="8" w:space="0"/>
            </w:tcBorders>
            <w:shd w:val="clear" w:color="auto" w:fill="auto"/>
            <w:noWrap w:val="0"/>
            <w:vAlign w:val="top"/>
          </w:tcPr>
          <w:p w14:paraId="38F1AFD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6EBC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restart"/>
            <w:tcBorders>
              <w:top w:val="single" w:color="auto" w:sz="4" w:space="0"/>
              <w:left w:val="single" w:color="auto" w:sz="8" w:space="0"/>
            </w:tcBorders>
            <w:shd w:val="clear" w:color="auto" w:fill="auto"/>
            <w:noWrap w:val="0"/>
            <w:vAlign w:val="center"/>
          </w:tcPr>
          <w:p w14:paraId="67BA36CB">
            <w:pPr>
              <w:ind w:firstLine="105" w:firstLineChars="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厂界东</w:t>
            </w:r>
          </w:p>
        </w:tc>
        <w:tc>
          <w:tcPr>
            <w:tcW w:w="1629" w:type="dxa"/>
            <w:vMerge w:val="restart"/>
            <w:tcBorders>
              <w:top w:val="single" w:color="auto" w:sz="4" w:space="0"/>
            </w:tcBorders>
            <w:shd w:val="clear" w:color="auto" w:fill="auto"/>
            <w:noWrap w:val="0"/>
            <w:vAlign w:val="center"/>
          </w:tcPr>
          <w:p w14:paraId="178880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2016.06.25</w:t>
            </w:r>
          </w:p>
        </w:tc>
        <w:tc>
          <w:tcPr>
            <w:tcW w:w="1086" w:type="dxa"/>
            <w:tcBorders>
              <w:top w:val="single" w:color="auto" w:sz="4" w:space="0"/>
              <w:right w:val="single" w:color="auto" w:sz="4" w:space="0"/>
            </w:tcBorders>
            <w:shd w:val="clear" w:color="auto" w:fill="auto"/>
            <w:noWrap w:val="0"/>
            <w:vAlign w:val="center"/>
          </w:tcPr>
          <w:p w14:paraId="78F9DD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top w:val="single" w:color="auto" w:sz="4" w:space="0"/>
              <w:left w:val="single" w:color="auto" w:sz="4" w:space="0"/>
            </w:tcBorders>
            <w:shd w:val="clear" w:color="auto" w:fill="auto"/>
            <w:noWrap w:val="0"/>
            <w:vAlign w:val="center"/>
          </w:tcPr>
          <w:p w14:paraId="77202C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57.4</w:t>
            </w:r>
          </w:p>
        </w:tc>
        <w:tc>
          <w:tcPr>
            <w:tcW w:w="1715" w:type="dxa"/>
            <w:tcBorders>
              <w:top w:val="single" w:color="auto" w:sz="4" w:space="0"/>
              <w:left w:val="single" w:color="auto" w:sz="4" w:space="0"/>
              <w:right w:val="single" w:color="auto" w:sz="4" w:space="0"/>
            </w:tcBorders>
            <w:shd w:val="clear" w:color="auto" w:fill="auto"/>
            <w:noWrap w:val="0"/>
            <w:vAlign w:val="center"/>
          </w:tcPr>
          <w:p w14:paraId="359AD3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top w:val="single" w:color="auto" w:sz="4" w:space="0"/>
              <w:left w:val="single" w:color="auto" w:sz="4" w:space="0"/>
              <w:right w:val="single" w:color="auto" w:sz="8" w:space="0"/>
            </w:tcBorders>
            <w:shd w:val="clear" w:color="auto" w:fill="auto"/>
            <w:noWrap w:val="0"/>
            <w:vAlign w:val="center"/>
          </w:tcPr>
          <w:p w14:paraId="78FB4C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3D0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51D1D478">
            <w:pPr>
              <w:rPr>
                <w:rFonts w:hint="default" w:ascii="Times New Roman" w:hAnsi="Times New Roman" w:eastAsia="宋体" w:cs="Times New Roman"/>
                <w:b/>
                <w:bCs/>
                <w:color w:val="auto"/>
                <w:sz w:val="21"/>
                <w:szCs w:val="21"/>
              </w:rPr>
            </w:pPr>
          </w:p>
        </w:tc>
        <w:tc>
          <w:tcPr>
            <w:tcW w:w="1629" w:type="dxa"/>
            <w:vMerge w:val="continue"/>
            <w:shd w:val="clear" w:color="auto" w:fill="auto"/>
            <w:noWrap w:val="0"/>
            <w:vAlign w:val="center"/>
          </w:tcPr>
          <w:p w14:paraId="6580A4D8">
            <w:pPr>
              <w:jc w:val="center"/>
              <w:rPr>
                <w:rFonts w:hint="default" w:ascii="Times New Roman" w:hAnsi="Times New Roman" w:eastAsia="宋体" w:cs="Times New Roman"/>
                <w:color w:val="auto"/>
                <w:sz w:val="21"/>
                <w:szCs w:val="21"/>
              </w:rPr>
            </w:pPr>
          </w:p>
        </w:tc>
        <w:tc>
          <w:tcPr>
            <w:tcW w:w="1086" w:type="dxa"/>
            <w:tcBorders>
              <w:right w:val="single" w:color="auto" w:sz="4" w:space="0"/>
            </w:tcBorders>
            <w:shd w:val="clear" w:color="auto" w:fill="auto"/>
            <w:noWrap w:val="0"/>
            <w:vAlign w:val="center"/>
          </w:tcPr>
          <w:p w14:paraId="4DA0EB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tcBorders>
            <w:shd w:val="clear" w:color="auto" w:fill="auto"/>
            <w:noWrap w:val="0"/>
            <w:vAlign w:val="center"/>
          </w:tcPr>
          <w:p w14:paraId="7B17B5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44.3</w:t>
            </w:r>
          </w:p>
        </w:tc>
        <w:tc>
          <w:tcPr>
            <w:tcW w:w="1715" w:type="dxa"/>
            <w:tcBorders>
              <w:left w:val="single" w:color="auto" w:sz="4" w:space="0"/>
              <w:right w:val="single" w:color="auto" w:sz="4" w:space="0"/>
            </w:tcBorders>
            <w:shd w:val="clear" w:color="auto" w:fill="auto"/>
            <w:noWrap w:val="0"/>
            <w:vAlign w:val="center"/>
          </w:tcPr>
          <w:p w14:paraId="08775E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right w:val="single" w:color="auto" w:sz="8" w:space="0"/>
            </w:tcBorders>
            <w:shd w:val="clear" w:color="auto" w:fill="auto"/>
            <w:noWrap w:val="0"/>
            <w:vAlign w:val="center"/>
          </w:tcPr>
          <w:p w14:paraId="0E3565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065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0C1458AA">
            <w:pPr>
              <w:rPr>
                <w:rFonts w:hint="default" w:ascii="Times New Roman" w:hAnsi="Times New Roman" w:eastAsia="宋体" w:cs="Times New Roman"/>
                <w:b/>
                <w:bCs/>
                <w:color w:val="auto"/>
                <w:sz w:val="21"/>
                <w:szCs w:val="21"/>
              </w:rPr>
            </w:pPr>
          </w:p>
        </w:tc>
        <w:tc>
          <w:tcPr>
            <w:tcW w:w="1629" w:type="dxa"/>
            <w:vMerge w:val="restart"/>
            <w:shd w:val="clear" w:color="auto" w:fill="auto"/>
            <w:noWrap w:val="0"/>
            <w:vAlign w:val="center"/>
          </w:tcPr>
          <w:p w14:paraId="5ECF6923">
            <w:pPr>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2016.06.26</w:t>
            </w:r>
          </w:p>
        </w:tc>
        <w:tc>
          <w:tcPr>
            <w:tcW w:w="1086" w:type="dxa"/>
            <w:tcBorders>
              <w:right w:val="single" w:color="auto" w:sz="4" w:space="0"/>
            </w:tcBorders>
            <w:shd w:val="clear" w:color="auto" w:fill="auto"/>
            <w:noWrap w:val="0"/>
            <w:vAlign w:val="center"/>
          </w:tcPr>
          <w:p w14:paraId="45698B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36D882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56.1</w:t>
            </w:r>
          </w:p>
        </w:tc>
        <w:tc>
          <w:tcPr>
            <w:tcW w:w="1715" w:type="dxa"/>
            <w:tcBorders>
              <w:left w:val="single" w:color="auto" w:sz="4" w:space="0"/>
              <w:right w:val="single" w:color="auto" w:sz="4" w:space="0"/>
            </w:tcBorders>
            <w:shd w:val="clear" w:color="auto" w:fill="auto"/>
            <w:noWrap w:val="0"/>
            <w:vAlign w:val="center"/>
          </w:tcPr>
          <w:p w14:paraId="7C9248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6A135C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255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5A3DDAE0">
            <w:pPr>
              <w:rPr>
                <w:rFonts w:hint="default" w:ascii="Times New Roman" w:hAnsi="Times New Roman" w:eastAsia="宋体" w:cs="Times New Roman"/>
                <w:b/>
                <w:bCs/>
                <w:color w:val="auto"/>
                <w:sz w:val="21"/>
                <w:szCs w:val="21"/>
              </w:rPr>
            </w:pPr>
          </w:p>
        </w:tc>
        <w:tc>
          <w:tcPr>
            <w:tcW w:w="1629" w:type="dxa"/>
            <w:vMerge w:val="continue"/>
            <w:shd w:val="clear" w:color="auto" w:fill="auto"/>
            <w:noWrap w:val="0"/>
            <w:vAlign w:val="center"/>
          </w:tcPr>
          <w:p w14:paraId="2824A9F4">
            <w:pPr>
              <w:jc w:val="center"/>
              <w:rPr>
                <w:rFonts w:hint="default" w:ascii="Times New Roman" w:hAnsi="Times New Roman" w:eastAsia="宋体" w:cs="Times New Roman"/>
                <w:color w:val="auto"/>
                <w:sz w:val="21"/>
                <w:szCs w:val="21"/>
              </w:rPr>
            </w:pPr>
          </w:p>
        </w:tc>
        <w:tc>
          <w:tcPr>
            <w:tcW w:w="1086" w:type="dxa"/>
            <w:tcBorders>
              <w:right w:val="single" w:color="auto" w:sz="4" w:space="0"/>
            </w:tcBorders>
            <w:shd w:val="clear" w:color="auto" w:fill="auto"/>
            <w:noWrap w:val="0"/>
            <w:vAlign w:val="center"/>
          </w:tcPr>
          <w:p w14:paraId="78C949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tcBorders>
            <w:shd w:val="clear" w:color="auto" w:fill="auto"/>
            <w:noWrap w:val="0"/>
            <w:vAlign w:val="center"/>
          </w:tcPr>
          <w:p w14:paraId="7A8EE6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43.9</w:t>
            </w:r>
          </w:p>
        </w:tc>
        <w:tc>
          <w:tcPr>
            <w:tcW w:w="1715" w:type="dxa"/>
            <w:tcBorders>
              <w:left w:val="single" w:color="auto" w:sz="4" w:space="0"/>
              <w:right w:val="single" w:color="auto" w:sz="4" w:space="0"/>
            </w:tcBorders>
            <w:shd w:val="clear" w:color="auto" w:fill="auto"/>
            <w:noWrap w:val="0"/>
            <w:vAlign w:val="center"/>
          </w:tcPr>
          <w:p w14:paraId="2FD5EB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right w:val="single" w:color="auto" w:sz="8" w:space="0"/>
            </w:tcBorders>
            <w:shd w:val="clear" w:color="auto" w:fill="auto"/>
            <w:noWrap w:val="0"/>
            <w:vAlign w:val="center"/>
          </w:tcPr>
          <w:p w14:paraId="2447E9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C30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restart"/>
            <w:tcBorders>
              <w:left w:val="single" w:color="auto" w:sz="8" w:space="0"/>
            </w:tcBorders>
            <w:shd w:val="clear" w:color="auto" w:fill="auto"/>
            <w:noWrap w:val="0"/>
            <w:vAlign w:val="center"/>
          </w:tcPr>
          <w:p w14:paraId="0EA189E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厂界西</w:t>
            </w:r>
          </w:p>
          <w:p w14:paraId="2F7CF6D2">
            <w:pPr>
              <w:jc w:val="center"/>
              <w:rPr>
                <w:rFonts w:hint="default" w:ascii="Times New Roman" w:hAnsi="Times New Roman" w:eastAsia="宋体" w:cs="Times New Roman"/>
                <w:b/>
                <w:bCs/>
                <w:color w:val="auto"/>
                <w:sz w:val="21"/>
                <w:szCs w:val="21"/>
              </w:rPr>
            </w:pPr>
          </w:p>
        </w:tc>
        <w:tc>
          <w:tcPr>
            <w:tcW w:w="1629" w:type="dxa"/>
            <w:vMerge w:val="restart"/>
            <w:shd w:val="clear" w:color="auto" w:fill="auto"/>
            <w:noWrap w:val="0"/>
            <w:vAlign w:val="center"/>
          </w:tcPr>
          <w:p w14:paraId="6EB13D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2016.06.25</w:t>
            </w:r>
          </w:p>
        </w:tc>
        <w:tc>
          <w:tcPr>
            <w:tcW w:w="1086" w:type="dxa"/>
            <w:tcBorders>
              <w:right w:val="single" w:color="auto" w:sz="4" w:space="0"/>
            </w:tcBorders>
            <w:shd w:val="clear" w:color="auto" w:fill="auto"/>
            <w:noWrap w:val="0"/>
            <w:vAlign w:val="center"/>
          </w:tcPr>
          <w:p w14:paraId="1420BA0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4F8859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57.8</w:t>
            </w:r>
          </w:p>
        </w:tc>
        <w:tc>
          <w:tcPr>
            <w:tcW w:w="1715" w:type="dxa"/>
            <w:tcBorders>
              <w:left w:val="single" w:color="auto" w:sz="4" w:space="0"/>
              <w:right w:val="single" w:color="auto" w:sz="4" w:space="0"/>
            </w:tcBorders>
            <w:shd w:val="clear" w:color="auto" w:fill="auto"/>
            <w:noWrap w:val="0"/>
            <w:vAlign w:val="center"/>
          </w:tcPr>
          <w:p w14:paraId="794AB0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55A333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EC5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37D16495">
            <w:pPr>
              <w:rPr>
                <w:rFonts w:hint="default" w:ascii="Times New Roman" w:hAnsi="Times New Roman" w:eastAsia="宋体" w:cs="Times New Roman"/>
                <w:b/>
                <w:bCs/>
                <w:color w:val="auto"/>
                <w:sz w:val="21"/>
                <w:szCs w:val="21"/>
              </w:rPr>
            </w:pPr>
          </w:p>
        </w:tc>
        <w:tc>
          <w:tcPr>
            <w:tcW w:w="1629" w:type="dxa"/>
            <w:vMerge w:val="continue"/>
            <w:shd w:val="clear" w:color="auto" w:fill="auto"/>
            <w:noWrap w:val="0"/>
            <w:vAlign w:val="center"/>
          </w:tcPr>
          <w:p w14:paraId="6FFA8F27">
            <w:pPr>
              <w:jc w:val="center"/>
              <w:rPr>
                <w:rFonts w:hint="default" w:ascii="Times New Roman" w:hAnsi="Times New Roman" w:eastAsia="宋体" w:cs="Times New Roman"/>
                <w:color w:val="auto"/>
                <w:sz w:val="21"/>
                <w:szCs w:val="21"/>
              </w:rPr>
            </w:pPr>
          </w:p>
        </w:tc>
        <w:tc>
          <w:tcPr>
            <w:tcW w:w="1086" w:type="dxa"/>
            <w:tcBorders>
              <w:right w:val="single" w:color="auto" w:sz="4" w:space="0"/>
            </w:tcBorders>
            <w:shd w:val="clear" w:color="auto" w:fill="auto"/>
            <w:noWrap w:val="0"/>
            <w:vAlign w:val="center"/>
          </w:tcPr>
          <w:p w14:paraId="047D8B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tcBorders>
            <w:shd w:val="clear" w:color="auto" w:fill="auto"/>
            <w:noWrap w:val="0"/>
            <w:vAlign w:val="center"/>
          </w:tcPr>
          <w:p w14:paraId="244A64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45.7</w:t>
            </w:r>
          </w:p>
        </w:tc>
        <w:tc>
          <w:tcPr>
            <w:tcW w:w="1715" w:type="dxa"/>
            <w:tcBorders>
              <w:left w:val="single" w:color="auto" w:sz="4" w:space="0"/>
              <w:right w:val="single" w:color="auto" w:sz="4" w:space="0"/>
            </w:tcBorders>
            <w:shd w:val="clear" w:color="auto" w:fill="auto"/>
            <w:noWrap w:val="0"/>
            <w:vAlign w:val="center"/>
          </w:tcPr>
          <w:p w14:paraId="6B9203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right w:val="single" w:color="auto" w:sz="8" w:space="0"/>
            </w:tcBorders>
            <w:shd w:val="clear" w:color="auto" w:fill="auto"/>
            <w:noWrap w:val="0"/>
            <w:vAlign w:val="center"/>
          </w:tcPr>
          <w:p w14:paraId="512EB6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286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53F2E9C8">
            <w:pPr>
              <w:rPr>
                <w:rFonts w:hint="default" w:ascii="Times New Roman" w:hAnsi="Times New Roman" w:eastAsia="宋体" w:cs="Times New Roman"/>
                <w:b/>
                <w:bCs/>
                <w:color w:val="auto"/>
                <w:sz w:val="21"/>
                <w:szCs w:val="21"/>
              </w:rPr>
            </w:pPr>
          </w:p>
        </w:tc>
        <w:tc>
          <w:tcPr>
            <w:tcW w:w="1629" w:type="dxa"/>
            <w:vMerge w:val="restart"/>
            <w:shd w:val="clear" w:color="auto" w:fill="auto"/>
            <w:noWrap w:val="0"/>
            <w:vAlign w:val="center"/>
          </w:tcPr>
          <w:p w14:paraId="24E56E53">
            <w:pPr>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2016.06.26</w:t>
            </w:r>
          </w:p>
        </w:tc>
        <w:tc>
          <w:tcPr>
            <w:tcW w:w="1086" w:type="dxa"/>
            <w:tcBorders>
              <w:right w:val="single" w:color="auto" w:sz="4" w:space="0"/>
            </w:tcBorders>
            <w:shd w:val="clear" w:color="auto" w:fill="auto"/>
            <w:noWrap w:val="0"/>
            <w:vAlign w:val="center"/>
          </w:tcPr>
          <w:p w14:paraId="0B1477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7F1C1B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56.7</w:t>
            </w:r>
          </w:p>
        </w:tc>
        <w:tc>
          <w:tcPr>
            <w:tcW w:w="1715" w:type="dxa"/>
            <w:tcBorders>
              <w:left w:val="single" w:color="auto" w:sz="4" w:space="0"/>
              <w:right w:val="single" w:color="auto" w:sz="4" w:space="0"/>
            </w:tcBorders>
            <w:shd w:val="clear" w:color="auto" w:fill="auto"/>
            <w:noWrap w:val="0"/>
            <w:vAlign w:val="center"/>
          </w:tcPr>
          <w:p w14:paraId="6EA424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63A572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135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13CAC19C">
            <w:pPr>
              <w:rPr>
                <w:rFonts w:hint="default" w:ascii="Times New Roman" w:hAnsi="Times New Roman" w:eastAsia="宋体" w:cs="Times New Roman"/>
                <w:b/>
                <w:bCs/>
                <w:color w:val="auto"/>
                <w:sz w:val="21"/>
                <w:szCs w:val="21"/>
              </w:rPr>
            </w:pPr>
          </w:p>
        </w:tc>
        <w:tc>
          <w:tcPr>
            <w:tcW w:w="1629" w:type="dxa"/>
            <w:vMerge w:val="continue"/>
            <w:shd w:val="clear" w:color="auto" w:fill="auto"/>
            <w:noWrap w:val="0"/>
            <w:vAlign w:val="center"/>
          </w:tcPr>
          <w:p w14:paraId="7ABC2BC7">
            <w:pPr>
              <w:jc w:val="center"/>
              <w:rPr>
                <w:rFonts w:hint="default" w:ascii="Times New Roman" w:hAnsi="Times New Roman" w:eastAsia="宋体" w:cs="Times New Roman"/>
                <w:color w:val="auto"/>
                <w:sz w:val="21"/>
                <w:szCs w:val="21"/>
              </w:rPr>
            </w:pPr>
          </w:p>
        </w:tc>
        <w:tc>
          <w:tcPr>
            <w:tcW w:w="1086" w:type="dxa"/>
            <w:tcBorders>
              <w:right w:val="single" w:color="auto" w:sz="4" w:space="0"/>
            </w:tcBorders>
            <w:shd w:val="clear" w:color="auto" w:fill="auto"/>
            <w:noWrap w:val="0"/>
            <w:vAlign w:val="center"/>
          </w:tcPr>
          <w:p w14:paraId="546B57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tcBorders>
            <w:shd w:val="clear" w:color="auto" w:fill="auto"/>
            <w:noWrap w:val="0"/>
            <w:vAlign w:val="center"/>
          </w:tcPr>
          <w:p w14:paraId="6B6C80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43.6</w:t>
            </w:r>
          </w:p>
        </w:tc>
        <w:tc>
          <w:tcPr>
            <w:tcW w:w="1715" w:type="dxa"/>
            <w:tcBorders>
              <w:left w:val="single" w:color="auto" w:sz="4" w:space="0"/>
              <w:right w:val="single" w:color="auto" w:sz="4" w:space="0"/>
            </w:tcBorders>
            <w:shd w:val="clear" w:color="auto" w:fill="auto"/>
            <w:noWrap w:val="0"/>
            <w:vAlign w:val="center"/>
          </w:tcPr>
          <w:p w14:paraId="1F9B7D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right w:val="single" w:color="auto" w:sz="8" w:space="0"/>
            </w:tcBorders>
            <w:shd w:val="clear" w:color="auto" w:fill="auto"/>
            <w:noWrap w:val="0"/>
            <w:vAlign w:val="center"/>
          </w:tcPr>
          <w:p w14:paraId="685B0F3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221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restart"/>
            <w:tcBorders>
              <w:left w:val="single" w:color="auto" w:sz="8" w:space="0"/>
            </w:tcBorders>
            <w:shd w:val="clear" w:color="auto" w:fill="auto"/>
            <w:noWrap w:val="0"/>
            <w:vAlign w:val="center"/>
          </w:tcPr>
          <w:p w14:paraId="15EC05E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厂界南</w:t>
            </w:r>
          </w:p>
          <w:p w14:paraId="2AF89525">
            <w:pPr>
              <w:jc w:val="center"/>
              <w:rPr>
                <w:rFonts w:hint="default" w:ascii="Times New Roman" w:hAnsi="Times New Roman" w:eastAsia="宋体" w:cs="Times New Roman"/>
                <w:b/>
                <w:bCs/>
                <w:color w:val="auto"/>
                <w:sz w:val="21"/>
                <w:szCs w:val="21"/>
              </w:rPr>
            </w:pPr>
          </w:p>
        </w:tc>
        <w:tc>
          <w:tcPr>
            <w:tcW w:w="1629" w:type="dxa"/>
            <w:vMerge w:val="restart"/>
            <w:shd w:val="clear" w:color="auto" w:fill="auto"/>
            <w:noWrap w:val="0"/>
            <w:vAlign w:val="center"/>
          </w:tcPr>
          <w:p w14:paraId="4D8F3A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2016.06.25</w:t>
            </w:r>
          </w:p>
        </w:tc>
        <w:tc>
          <w:tcPr>
            <w:tcW w:w="1086" w:type="dxa"/>
            <w:tcBorders>
              <w:right w:val="single" w:color="auto" w:sz="4" w:space="0"/>
            </w:tcBorders>
            <w:shd w:val="clear" w:color="auto" w:fill="auto"/>
            <w:noWrap w:val="0"/>
            <w:vAlign w:val="center"/>
          </w:tcPr>
          <w:p w14:paraId="2854C6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21F4FA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54.7</w:t>
            </w:r>
          </w:p>
        </w:tc>
        <w:tc>
          <w:tcPr>
            <w:tcW w:w="1715" w:type="dxa"/>
            <w:tcBorders>
              <w:left w:val="single" w:color="auto" w:sz="4" w:space="0"/>
              <w:right w:val="single" w:color="auto" w:sz="4" w:space="0"/>
            </w:tcBorders>
            <w:shd w:val="clear" w:color="auto" w:fill="auto"/>
            <w:noWrap w:val="0"/>
            <w:vAlign w:val="center"/>
          </w:tcPr>
          <w:p w14:paraId="386917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3C7A1E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661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651A6E72">
            <w:pPr>
              <w:rPr>
                <w:rFonts w:hint="default" w:ascii="Times New Roman" w:hAnsi="Times New Roman" w:eastAsia="宋体" w:cs="Times New Roman"/>
                <w:b/>
                <w:bCs/>
                <w:color w:val="auto"/>
                <w:sz w:val="21"/>
                <w:szCs w:val="21"/>
              </w:rPr>
            </w:pPr>
          </w:p>
        </w:tc>
        <w:tc>
          <w:tcPr>
            <w:tcW w:w="1629" w:type="dxa"/>
            <w:vMerge w:val="continue"/>
            <w:shd w:val="clear" w:color="auto" w:fill="auto"/>
            <w:noWrap w:val="0"/>
            <w:vAlign w:val="center"/>
          </w:tcPr>
          <w:p w14:paraId="2E2EE843">
            <w:pPr>
              <w:jc w:val="center"/>
              <w:rPr>
                <w:rFonts w:hint="default" w:ascii="Times New Roman" w:hAnsi="Times New Roman" w:eastAsia="宋体" w:cs="Times New Roman"/>
                <w:color w:val="auto"/>
                <w:sz w:val="21"/>
                <w:szCs w:val="21"/>
              </w:rPr>
            </w:pPr>
          </w:p>
        </w:tc>
        <w:tc>
          <w:tcPr>
            <w:tcW w:w="1086" w:type="dxa"/>
            <w:tcBorders>
              <w:right w:val="single" w:color="auto" w:sz="4" w:space="0"/>
            </w:tcBorders>
            <w:shd w:val="clear" w:color="auto" w:fill="auto"/>
            <w:noWrap w:val="0"/>
            <w:vAlign w:val="center"/>
          </w:tcPr>
          <w:p w14:paraId="0EE5C9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tcBorders>
            <w:shd w:val="clear" w:color="auto" w:fill="auto"/>
            <w:noWrap w:val="0"/>
            <w:vAlign w:val="center"/>
          </w:tcPr>
          <w:p w14:paraId="78BADB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42.1</w:t>
            </w:r>
          </w:p>
        </w:tc>
        <w:tc>
          <w:tcPr>
            <w:tcW w:w="1715" w:type="dxa"/>
            <w:tcBorders>
              <w:left w:val="single" w:color="auto" w:sz="4" w:space="0"/>
              <w:right w:val="single" w:color="auto" w:sz="4" w:space="0"/>
            </w:tcBorders>
            <w:shd w:val="clear" w:color="auto" w:fill="auto"/>
            <w:noWrap w:val="0"/>
            <w:vAlign w:val="center"/>
          </w:tcPr>
          <w:p w14:paraId="053948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right w:val="single" w:color="auto" w:sz="8" w:space="0"/>
            </w:tcBorders>
            <w:shd w:val="clear" w:color="auto" w:fill="auto"/>
            <w:noWrap w:val="0"/>
            <w:vAlign w:val="center"/>
          </w:tcPr>
          <w:p w14:paraId="2B66E6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79A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7F4D7C8A">
            <w:pPr>
              <w:rPr>
                <w:rFonts w:hint="default" w:ascii="Times New Roman" w:hAnsi="Times New Roman" w:eastAsia="宋体" w:cs="Times New Roman"/>
                <w:b/>
                <w:bCs/>
                <w:color w:val="auto"/>
                <w:sz w:val="21"/>
                <w:szCs w:val="21"/>
              </w:rPr>
            </w:pPr>
          </w:p>
        </w:tc>
        <w:tc>
          <w:tcPr>
            <w:tcW w:w="1629" w:type="dxa"/>
            <w:vMerge w:val="restart"/>
            <w:shd w:val="clear" w:color="auto" w:fill="auto"/>
            <w:noWrap w:val="0"/>
            <w:vAlign w:val="center"/>
          </w:tcPr>
          <w:p w14:paraId="18C414B7">
            <w:pPr>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2016.06.26</w:t>
            </w:r>
          </w:p>
        </w:tc>
        <w:tc>
          <w:tcPr>
            <w:tcW w:w="1086" w:type="dxa"/>
            <w:tcBorders>
              <w:right w:val="single" w:color="auto" w:sz="4" w:space="0"/>
            </w:tcBorders>
            <w:shd w:val="clear" w:color="auto" w:fill="auto"/>
            <w:noWrap w:val="0"/>
            <w:vAlign w:val="center"/>
          </w:tcPr>
          <w:p w14:paraId="5C4E78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02C021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53.2</w:t>
            </w:r>
          </w:p>
        </w:tc>
        <w:tc>
          <w:tcPr>
            <w:tcW w:w="1715" w:type="dxa"/>
            <w:tcBorders>
              <w:left w:val="single" w:color="auto" w:sz="4" w:space="0"/>
              <w:right w:val="single" w:color="auto" w:sz="4" w:space="0"/>
            </w:tcBorders>
            <w:shd w:val="clear" w:color="auto" w:fill="auto"/>
            <w:noWrap w:val="0"/>
            <w:vAlign w:val="center"/>
          </w:tcPr>
          <w:p w14:paraId="3FDE74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38302B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3F7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bottom w:val="single" w:color="auto" w:sz="8" w:space="0"/>
            </w:tcBorders>
            <w:shd w:val="clear" w:color="auto" w:fill="auto"/>
            <w:noWrap w:val="0"/>
            <w:vAlign w:val="center"/>
          </w:tcPr>
          <w:p w14:paraId="64E60A8E">
            <w:pPr>
              <w:rPr>
                <w:rFonts w:hint="default" w:ascii="Times New Roman" w:hAnsi="Times New Roman" w:eastAsia="宋体" w:cs="Times New Roman"/>
                <w:b/>
                <w:bCs/>
                <w:color w:val="auto"/>
                <w:sz w:val="21"/>
                <w:szCs w:val="21"/>
              </w:rPr>
            </w:pPr>
          </w:p>
        </w:tc>
        <w:tc>
          <w:tcPr>
            <w:tcW w:w="1629" w:type="dxa"/>
            <w:vMerge w:val="continue"/>
            <w:tcBorders>
              <w:bottom w:val="single" w:color="auto" w:sz="8" w:space="0"/>
            </w:tcBorders>
            <w:shd w:val="clear" w:color="auto" w:fill="auto"/>
            <w:noWrap w:val="0"/>
            <w:vAlign w:val="center"/>
          </w:tcPr>
          <w:p w14:paraId="1740FE8C">
            <w:pPr>
              <w:jc w:val="center"/>
              <w:rPr>
                <w:rFonts w:hint="default" w:ascii="Times New Roman" w:hAnsi="Times New Roman" w:eastAsia="宋体" w:cs="Times New Roman"/>
                <w:color w:val="auto"/>
                <w:sz w:val="21"/>
                <w:szCs w:val="21"/>
              </w:rPr>
            </w:pPr>
          </w:p>
        </w:tc>
        <w:tc>
          <w:tcPr>
            <w:tcW w:w="1086" w:type="dxa"/>
            <w:tcBorders>
              <w:bottom w:val="single" w:color="auto" w:sz="8" w:space="0"/>
              <w:right w:val="single" w:color="auto" w:sz="4" w:space="0"/>
            </w:tcBorders>
            <w:shd w:val="clear" w:color="auto" w:fill="auto"/>
            <w:noWrap w:val="0"/>
            <w:vAlign w:val="center"/>
          </w:tcPr>
          <w:p w14:paraId="56892DE9">
            <w:pPr>
              <w:ind w:firstLine="315" w:firstLineChars="1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bottom w:val="single" w:color="auto" w:sz="8" w:space="0"/>
            </w:tcBorders>
            <w:shd w:val="clear" w:color="auto" w:fill="auto"/>
            <w:noWrap w:val="0"/>
            <w:vAlign w:val="center"/>
          </w:tcPr>
          <w:p w14:paraId="366D13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41.9</w:t>
            </w:r>
          </w:p>
        </w:tc>
        <w:tc>
          <w:tcPr>
            <w:tcW w:w="1715" w:type="dxa"/>
            <w:tcBorders>
              <w:left w:val="single" w:color="auto" w:sz="4" w:space="0"/>
              <w:bottom w:val="single" w:color="auto" w:sz="8" w:space="0"/>
              <w:right w:val="single" w:color="auto" w:sz="4" w:space="0"/>
            </w:tcBorders>
            <w:shd w:val="clear" w:color="auto" w:fill="auto"/>
            <w:noWrap w:val="0"/>
            <w:vAlign w:val="center"/>
          </w:tcPr>
          <w:p w14:paraId="0A0663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bottom w:val="single" w:color="auto" w:sz="8" w:space="0"/>
              <w:right w:val="single" w:color="auto" w:sz="8" w:space="0"/>
            </w:tcBorders>
            <w:shd w:val="clear" w:color="auto" w:fill="auto"/>
            <w:noWrap w:val="0"/>
            <w:vAlign w:val="center"/>
          </w:tcPr>
          <w:p w14:paraId="5C5254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248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restart"/>
            <w:tcBorders>
              <w:left w:val="single" w:color="auto" w:sz="8" w:space="0"/>
            </w:tcBorders>
            <w:shd w:val="clear" w:color="auto" w:fill="auto"/>
            <w:noWrap w:val="0"/>
            <w:vAlign w:val="center"/>
          </w:tcPr>
          <w:p w14:paraId="6017C1F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厂界北</w:t>
            </w:r>
          </w:p>
          <w:p w14:paraId="60BB4D89">
            <w:pPr>
              <w:jc w:val="center"/>
              <w:rPr>
                <w:rFonts w:hint="default" w:ascii="Times New Roman" w:hAnsi="Times New Roman" w:eastAsia="宋体" w:cs="Times New Roman"/>
                <w:b/>
                <w:bCs/>
                <w:color w:val="auto"/>
                <w:sz w:val="21"/>
                <w:szCs w:val="21"/>
              </w:rPr>
            </w:pPr>
          </w:p>
        </w:tc>
        <w:tc>
          <w:tcPr>
            <w:tcW w:w="1629" w:type="dxa"/>
            <w:vMerge w:val="restart"/>
            <w:shd w:val="clear" w:color="auto" w:fill="auto"/>
            <w:noWrap w:val="0"/>
            <w:vAlign w:val="center"/>
          </w:tcPr>
          <w:p w14:paraId="2AAE35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2016.06.25</w:t>
            </w:r>
          </w:p>
        </w:tc>
        <w:tc>
          <w:tcPr>
            <w:tcW w:w="1086" w:type="dxa"/>
            <w:tcBorders>
              <w:right w:val="single" w:color="auto" w:sz="4" w:space="0"/>
            </w:tcBorders>
            <w:shd w:val="clear" w:color="auto" w:fill="auto"/>
            <w:noWrap w:val="0"/>
            <w:vAlign w:val="center"/>
          </w:tcPr>
          <w:p w14:paraId="4DD092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514B8F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58.9</w:t>
            </w:r>
          </w:p>
        </w:tc>
        <w:tc>
          <w:tcPr>
            <w:tcW w:w="1715" w:type="dxa"/>
            <w:tcBorders>
              <w:left w:val="single" w:color="auto" w:sz="4" w:space="0"/>
              <w:right w:val="single" w:color="auto" w:sz="4" w:space="0"/>
            </w:tcBorders>
            <w:shd w:val="clear" w:color="auto" w:fill="auto"/>
            <w:noWrap w:val="0"/>
            <w:vAlign w:val="center"/>
          </w:tcPr>
          <w:p w14:paraId="58B32A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0390E0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99E9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743A0DAC">
            <w:pPr>
              <w:rPr>
                <w:rFonts w:hint="default" w:ascii="Times New Roman" w:hAnsi="Times New Roman" w:eastAsia="宋体" w:cs="Times New Roman"/>
                <w:b/>
                <w:bCs/>
                <w:color w:val="auto"/>
                <w:sz w:val="21"/>
                <w:szCs w:val="21"/>
              </w:rPr>
            </w:pPr>
          </w:p>
        </w:tc>
        <w:tc>
          <w:tcPr>
            <w:tcW w:w="1629" w:type="dxa"/>
            <w:vMerge w:val="continue"/>
            <w:shd w:val="clear" w:color="auto" w:fill="auto"/>
            <w:noWrap w:val="0"/>
            <w:vAlign w:val="center"/>
          </w:tcPr>
          <w:p w14:paraId="4F1A830E">
            <w:pPr>
              <w:jc w:val="center"/>
              <w:rPr>
                <w:rFonts w:hint="default" w:ascii="Times New Roman" w:hAnsi="Times New Roman" w:eastAsia="宋体" w:cs="Times New Roman"/>
                <w:color w:val="auto"/>
                <w:sz w:val="21"/>
                <w:szCs w:val="21"/>
              </w:rPr>
            </w:pPr>
          </w:p>
        </w:tc>
        <w:tc>
          <w:tcPr>
            <w:tcW w:w="1086" w:type="dxa"/>
            <w:tcBorders>
              <w:right w:val="single" w:color="auto" w:sz="4" w:space="0"/>
            </w:tcBorders>
            <w:shd w:val="clear" w:color="auto" w:fill="auto"/>
            <w:noWrap w:val="0"/>
            <w:vAlign w:val="center"/>
          </w:tcPr>
          <w:p w14:paraId="3D4597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tcBorders>
            <w:shd w:val="clear" w:color="auto" w:fill="auto"/>
            <w:noWrap w:val="0"/>
            <w:vAlign w:val="center"/>
          </w:tcPr>
          <w:p w14:paraId="7D2311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46.7</w:t>
            </w:r>
          </w:p>
        </w:tc>
        <w:tc>
          <w:tcPr>
            <w:tcW w:w="1715" w:type="dxa"/>
            <w:tcBorders>
              <w:left w:val="single" w:color="auto" w:sz="4" w:space="0"/>
              <w:right w:val="single" w:color="auto" w:sz="4" w:space="0"/>
            </w:tcBorders>
            <w:shd w:val="clear" w:color="auto" w:fill="auto"/>
            <w:noWrap w:val="0"/>
            <w:vAlign w:val="center"/>
          </w:tcPr>
          <w:p w14:paraId="5BDED4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right w:val="single" w:color="auto" w:sz="8" w:space="0"/>
            </w:tcBorders>
            <w:shd w:val="clear" w:color="auto" w:fill="auto"/>
            <w:noWrap w:val="0"/>
            <w:vAlign w:val="center"/>
          </w:tcPr>
          <w:p w14:paraId="08ED4E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680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129E310F">
            <w:pPr>
              <w:rPr>
                <w:rFonts w:hint="default" w:ascii="Times New Roman" w:hAnsi="Times New Roman" w:eastAsia="宋体" w:cs="Times New Roman"/>
                <w:b/>
                <w:bCs/>
                <w:color w:val="auto"/>
                <w:sz w:val="21"/>
                <w:szCs w:val="21"/>
              </w:rPr>
            </w:pPr>
          </w:p>
        </w:tc>
        <w:tc>
          <w:tcPr>
            <w:tcW w:w="1629" w:type="dxa"/>
            <w:vMerge w:val="restart"/>
            <w:shd w:val="clear" w:color="auto" w:fill="auto"/>
            <w:noWrap w:val="0"/>
            <w:vAlign w:val="center"/>
          </w:tcPr>
          <w:p w14:paraId="03FEE4F5">
            <w:pPr>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2016.06.26</w:t>
            </w:r>
          </w:p>
        </w:tc>
        <w:tc>
          <w:tcPr>
            <w:tcW w:w="1086" w:type="dxa"/>
            <w:tcBorders>
              <w:right w:val="single" w:color="auto" w:sz="4" w:space="0"/>
            </w:tcBorders>
            <w:shd w:val="clear" w:color="auto" w:fill="auto"/>
            <w:noWrap w:val="0"/>
            <w:vAlign w:val="center"/>
          </w:tcPr>
          <w:p w14:paraId="73167D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5DAD6B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57.7</w:t>
            </w:r>
          </w:p>
        </w:tc>
        <w:tc>
          <w:tcPr>
            <w:tcW w:w="1715" w:type="dxa"/>
            <w:tcBorders>
              <w:left w:val="single" w:color="auto" w:sz="4" w:space="0"/>
              <w:right w:val="single" w:color="auto" w:sz="4" w:space="0"/>
            </w:tcBorders>
            <w:shd w:val="clear" w:color="auto" w:fill="auto"/>
            <w:noWrap w:val="0"/>
            <w:vAlign w:val="center"/>
          </w:tcPr>
          <w:p w14:paraId="0CD478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0A100C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3255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73FC0D9F">
            <w:pPr>
              <w:rPr>
                <w:rFonts w:hint="default" w:ascii="Times New Roman" w:hAnsi="Times New Roman" w:eastAsia="宋体" w:cs="Times New Roman"/>
                <w:b/>
                <w:bCs/>
                <w:color w:val="auto"/>
                <w:sz w:val="21"/>
                <w:szCs w:val="21"/>
              </w:rPr>
            </w:pPr>
          </w:p>
        </w:tc>
        <w:tc>
          <w:tcPr>
            <w:tcW w:w="1629" w:type="dxa"/>
            <w:vMerge w:val="continue"/>
            <w:shd w:val="clear" w:color="auto" w:fill="auto"/>
            <w:noWrap w:val="0"/>
            <w:vAlign w:val="center"/>
          </w:tcPr>
          <w:p w14:paraId="61D3936F">
            <w:pPr>
              <w:jc w:val="center"/>
              <w:rPr>
                <w:rFonts w:hint="default" w:ascii="Times New Roman" w:hAnsi="Times New Roman" w:eastAsia="宋体" w:cs="Times New Roman"/>
                <w:color w:val="auto"/>
                <w:sz w:val="21"/>
                <w:szCs w:val="21"/>
              </w:rPr>
            </w:pPr>
          </w:p>
        </w:tc>
        <w:tc>
          <w:tcPr>
            <w:tcW w:w="1086" w:type="dxa"/>
            <w:tcBorders>
              <w:right w:val="single" w:color="auto" w:sz="4" w:space="0"/>
            </w:tcBorders>
            <w:shd w:val="clear" w:color="auto" w:fill="auto"/>
            <w:noWrap w:val="0"/>
            <w:vAlign w:val="center"/>
          </w:tcPr>
          <w:p w14:paraId="2F070A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tcBorders>
            <w:shd w:val="clear" w:color="auto" w:fill="auto"/>
            <w:noWrap w:val="0"/>
            <w:vAlign w:val="center"/>
          </w:tcPr>
          <w:p w14:paraId="7BC92F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45.6</w:t>
            </w:r>
          </w:p>
        </w:tc>
        <w:tc>
          <w:tcPr>
            <w:tcW w:w="1715" w:type="dxa"/>
            <w:tcBorders>
              <w:left w:val="single" w:color="auto" w:sz="4" w:space="0"/>
              <w:right w:val="single" w:color="auto" w:sz="4" w:space="0"/>
            </w:tcBorders>
            <w:shd w:val="clear" w:color="auto" w:fill="auto"/>
            <w:noWrap w:val="0"/>
            <w:vAlign w:val="center"/>
          </w:tcPr>
          <w:p w14:paraId="7E2511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right w:val="single" w:color="auto" w:sz="8" w:space="0"/>
            </w:tcBorders>
            <w:shd w:val="clear" w:color="auto" w:fill="auto"/>
            <w:noWrap w:val="0"/>
            <w:vAlign w:val="center"/>
          </w:tcPr>
          <w:p w14:paraId="68C478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42E1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restart"/>
            <w:tcBorders>
              <w:left w:val="single" w:color="auto" w:sz="8" w:space="0"/>
            </w:tcBorders>
            <w:shd w:val="clear" w:color="auto" w:fill="auto"/>
            <w:noWrap w:val="0"/>
            <w:vAlign w:val="center"/>
          </w:tcPr>
          <w:p w14:paraId="35B810D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公租房</w:t>
            </w:r>
          </w:p>
        </w:tc>
        <w:tc>
          <w:tcPr>
            <w:tcW w:w="1629" w:type="dxa"/>
            <w:vMerge w:val="restart"/>
            <w:shd w:val="clear" w:color="auto" w:fill="auto"/>
            <w:noWrap w:val="0"/>
            <w:vAlign w:val="center"/>
          </w:tcPr>
          <w:p w14:paraId="4ED96D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2016.06.25</w:t>
            </w:r>
          </w:p>
        </w:tc>
        <w:tc>
          <w:tcPr>
            <w:tcW w:w="1086" w:type="dxa"/>
            <w:tcBorders>
              <w:right w:val="single" w:color="auto" w:sz="4" w:space="0"/>
            </w:tcBorders>
            <w:shd w:val="clear" w:color="auto" w:fill="auto"/>
            <w:noWrap w:val="0"/>
            <w:vAlign w:val="center"/>
          </w:tcPr>
          <w:p w14:paraId="29905D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6BA2B5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55.3</w:t>
            </w:r>
          </w:p>
        </w:tc>
        <w:tc>
          <w:tcPr>
            <w:tcW w:w="1715" w:type="dxa"/>
            <w:tcBorders>
              <w:left w:val="single" w:color="auto" w:sz="4" w:space="0"/>
              <w:right w:val="single" w:color="auto" w:sz="4" w:space="0"/>
            </w:tcBorders>
            <w:shd w:val="clear" w:color="auto" w:fill="auto"/>
            <w:noWrap w:val="0"/>
            <w:vAlign w:val="center"/>
          </w:tcPr>
          <w:p w14:paraId="26149F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2A8C02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888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137F9164">
            <w:pPr>
              <w:rPr>
                <w:rFonts w:hint="default" w:ascii="Times New Roman" w:hAnsi="Times New Roman" w:eastAsia="宋体" w:cs="Times New Roman"/>
                <w:color w:val="auto"/>
                <w:sz w:val="21"/>
                <w:szCs w:val="21"/>
              </w:rPr>
            </w:pPr>
          </w:p>
        </w:tc>
        <w:tc>
          <w:tcPr>
            <w:tcW w:w="1629" w:type="dxa"/>
            <w:vMerge w:val="continue"/>
            <w:shd w:val="clear" w:color="auto" w:fill="auto"/>
            <w:noWrap w:val="0"/>
            <w:vAlign w:val="center"/>
          </w:tcPr>
          <w:p w14:paraId="4D7C1E1E">
            <w:pPr>
              <w:jc w:val="center"/>
              <w:rPr>
                <w:rFonts w:hint="default" w:ascii="Times New Roman" w:hAnsi="Times New Roman" w:eastAsia="宋体" w:cs="Times New Roman"/>
                <w:color w:val="auto"/>
                <w:sz w:val="21"/>
                <w:szCs w:val="21"/>
              </w:rPr>
            </w:pPr>
          </w:p>
        </w:tc>
        <w:tc>
          <w:tcPr>
            <w:tcW w:w="1086" w:type="dxa"/>
            <w:tcBorders>
              <w:right w:val="single" w:color="auto" w:sz="4" w:space="0"/>
            </w:tcBorders>
            <w:shd w:val="clear" w:color="auto" w:fill="auto"/>
            <w:noWrap w:val="0"/>
            <w:vAlign w:val="center"/>
          </w:tcPr>
          <w:p w14:paraId="550CA0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tcBorders>
            <w:shd w:val="clear" w:color="auto" w:fill="auto"/>
            <w:noWrap w:val="0"/>
            <w:vAlign w:val="center"/>
          </w:tcPr>
          <w:p w14:paraId="43E306B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45.1</w:t>
            </w:r>
          </w:p>
        </w:tc>
        <w:tc>
          <w:tcPr>
            <w:tcW w:w="1715" w:type="dxa"/>
            <w:tcBorders>
              <w:left w:val="single" w:color="auto" w:sz="4" w:space="0"/>
              <w:right w:val="single" w:color="auto" w:sz="4" w:space="0"/>
            </w:tcBorders>
            <w:shd w:val="clear" w:color="auto" w:fill="auto"/>
            <w:noWrap w:val="0"/>
            <w:vAlign w:val="center"/>
          </w:tcPr>
          <w:p w14:paraId="15FED3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right w:val="single" w:color="auto" w:sz="8" w:space="0"/>
            </w:tcBorders>
            <w:shd w:val="clear" w:color="auto" w:fill="auto"/>
            <w:noWrap w:val="0"/>
            <w:vAlign w:val="center"/>
          </w:tcPr>
          <w:p w14:paraId="33217E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AC9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tcBorders>
            <w:shd w:val="clear" w:color="auto" w:fill="auto"/>
            <w:noWrap w:val="0"/>
            <w:vAlign w:val="center"/>
          </w:tcPr>
          <w:p w14:paraId="24EFA991">
            <w:pPr>
              <w:rPr>
                <w:rFonts w:hint="default" w:ascii="Times New Roman" w:hAnsi="Times New Roman" w:eastAsia="宋体" w:cs="Times New Roman"/>
                <w:color w:val="auto"/>
                <w:sz w:val="21"/>
                <w:szCs w:val="21"/>
              </w:rPr>
            </w:pPr>
          </w:p>
        </w:tc>
        <w:tc>
          <w:tcPr>
            <w:tcW w:w="1629" w:type="dxa"/>
            <w:vMerge w:val="restart"/>
            <w:shd w:val="clear" w:color="auto" w:fill="auto"/>
            <w:noWrap w:val="0"/>
            <w:vAlign w:val="center"/>
          </w:tcPr>
          <w:p w14:paraId="5B00CC03">
            <w:pPr>
              <w:ind w:firstLine="210" w:firstLineChars="1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2016.06.26</w:t>
            </w:r>
          </w:p>
        </w:tc>
        <w:tc>
          <w:tcPr>
            <w:tcW w:w="1086" w:type="dxa"/>
            <w:tcBorders>
              <w:right w:val="single" w:color="auto" w:sz="4" w:space="0"/>
            </w:tcBorders>
            <w:shd w:val="clear" w:color="auto" w:fill="auto"/>
            <w:noWrap w:val="0"/>
            <w:vAlign w:val="center"/>
          </w:tcPr>
          <w:p w14:paraId="2F7333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Ld</w:t>
            </w:r>
          </w:p>
        </w:tc>
        <w:tc>
          <w:tcPr>
            <w:tcW w:w="2353" w:type="dxa"/>
            <w:tcBorders>
              <w:left w:val="single" w:color="auto" w:sz="4" w:space="0"/>
            </w:tcBorders>
            <w:shd w:val="clear" w:color="auto" w:fill="auto"/>
            <w:noWrap w:val="0"/>
            <w:vAlign w:val="center"/>
          </w:tcPr>
          <w:p w14:paraId="04CB73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55.2</w:t>
            </w:r>
          </w:p>
        </w:tc>
        <w:tc>
          <w:tcPr>
            <w:tcW w:w="1715" w:type="dxa"/>
            <w:tcBorders>
              <w:left w:val="single" w:color="auto" w:sz="4" w:space="0"/>
              <w:right w:val="single" w:color="auto" w:sz="4" w:space="0"/>
            </w:tcBorders>
            <w:shd w:val="clear" w:color="auto" w:fill="auto"/>
            <w:noWrap w:val="0"/>
            <w:vAlign w:val="center"/>
          </w:tcPr>
          <w:p w14:paraId="7926896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491" w:type="dxa"/>
            <w:tcBorders>
              <w:left w:val="single" w:color="auto" w:sz="4" w:space="0"/>
              <w:right w:val="single" w:color="auto" w:sz="8" w:space="0"/>
            </w:tcBorders>
            <w:shd w:val="clear" w:color="auto" w:fill="auto"/>
            <w:noWrap w:val="0"/>
            <w:vAlign w:val="center"/>
          </w:tcPr>
          <w:p w14:paraId="6BDA80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76A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194" w:type="dxa"/>
            <w:vMerge w:val="continue"/>
            <w:tcBorders>
              <w:left w:val="single" w:color="auto" w:sz="8" w:space="0"/>
              <w:bottom w:val="single" w:color="auto" w:sz="8" w:space="0"/>
            </w:tcBorders>
            <w:shd w:val="clear" w:color="auto" w:fill="auto"/>
            <w:noWrap w:val="0"/>
            <w:vAlign w:val="center"/>
          </w:tcPr>
          <w:p w14:paraId="14DC63A4">
            <w:pPr>
              <w:rPr>
                <w:rFonts w:hint="default" w:ascii="Times New Roman" w:hAnsi="Times New Roman" w:eastAsia="宋体" w:cs="Times New Roman"/>
                <w:color w:val="auto"/>
                <w:sz w:val="21"/>
                <w:szCs w:val="21"/>
              </w:rPr>
            </w:pPr>
          </w:p>
        </w:tc>
        <w:tc>
          <w:tcPr>
            <w:tcW w:w="1629" w:type="dxa"/>
            <w:vMerge w:val="continue"/>
            <w:tcBorders>
              <w:bottom w:val="single" w:color="auto" w:sz="8" w:space="0"/>
            </w:tcBorders>
            <w:shd w:val="clear" w:color="auto" w:fill="auto"/>
            <w:noWrap w:val="0"/>
            <w:vAlign w:val="center"/>
          </w:tcPr>
          <w:p w14:paraId="65E5F001">
            <w:pPr>
              <w:rPr>
                <w:rFonts w:hint="default" w:ascii="Times New Roman" w:hAnsi="Times New Roman" w:eastAsia="宋体" w:cs="Times New Roman"/>
                <w:color w:val="auto"/>
                <w:sz w:val="21"/>
                <w:szCs w:val="21"/>
              </w:rPr>
            </w:pPr>
          </w:p>
        </w:tc>
        <w:tc>
          <w:tcPr>
            <w:tcW w:w="1086" w:type="dxa"/>
            <w:tcBorders>
              <w:bottom w:val="single" w:color="auto" w:sz="8" w:space="0"/>
              <w:right w:val="single" w:color="auto" w:sz="4" w:space="0"/>
            </w:tcBorders>
            <w:shd w:val="clear" w:color="auto" w:fill="auto"/>
            <w:noWrap w:val="0"/>
            <w:vAlign w:val="center"/>
          </w:tcPr>
          <w:p w14:paraId="41A53365">
            <w:pPr>
              <w:ind w:firstLine="315" w:firstLineChars="15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Ln</w:t>
            </w:r>
          </w:p>
        </w:tc>
        <w:tc>
          <w:tcPr>
            <w:tcW w:w="2353" w:type="dxa"/>
            <w:tcBorders>
              <w:left w:val="single" w:color="auto" w:sz="4" w:space="0"/>
              <w:bottom w:val="single" w:color="auto" w:sz="8" w:space="0"/>
            </w:tcBorders>
            <w:shd w:val="clear" w:color="auto" w:fill="auto"/>
            <w:noWrap w:val="0"/>
            <w:vAlign w:val="center"/>
          </w:tcPr>
          <w:p w14:paraId="0F5A32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46.9</w:t>
            </w:r>
          </w:p>
        </w:tc>
        <w:tc>
          <w:tcPr>
            <w:tcW w:w="1715" w:type="dxa"/>
            <w:tcBorders>
              <w:left w:val="single" w:color="auto" w:sz="4" w:space="0"/>
              <w:bottom w:val="single" w:color="auto" w:sz="8" w:space="0"/>
              <w:right w:val="single" w:color="auto" w:sz="4" w:space="0"/>
            </w:tcBorders>
            <w:shd w:val="clear" w:color="auto" w:fill="auto"/>
            <w:noWrap w:val="0"/>
            <w:vAlign w:val="center"/>
          </w:tcPr>
          <w:p w14:paraId="6FB6F6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491" w:type="dxa"/>
            <w:tcBorders>
              <w:left w:val="single" w:color="auto" w:sz="4" w:space="0"/>
              <w:bottom w:val="single" w:color="auto" w:sz="8" w:space="0"/>
              <w:right w:val="single" w:color="auto" w:sz="8" w:space="0"/>
            </w:tcBorders>
            <w:shd w:val="clear" w:color="auto" w:fill="auto"/>
            <w:noWrap w:val="0"/>
            <w:vAlign w:val="center"/>
          </w:tcPr>
          <w:p w14:paraId="0838EF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41441508">
      <w:pPr>
        <w:spacing w:line="360" w:lineRule="auto"/>
        <w:ind w:firstLine="422" w:firstLineChars="200"/>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7658100</wp:posOffset>
                </wp:positionH>
                <wp:positionV relativeFrom="paragraph">
                  <wp:posOffset>942340</wp:posOffset>
                </wp:positionV>
                <wp:extent cx="1797050" cy="403225"/>
                <wp:effectExtent l="1270" t="4445" r="11430" b="11430"/>
                <wp:wrapNone/>
                <wp:docPr id="10" name="直接连接符 10"/>
                <wp:cNvGraphicFramePr/>
                <a:graphic xmlns:a="http://schemas.openxmlformats.org/drawingml/2006/main">
                  <a:graphicData uri="http://schemas.microsoft.com/office/word/2010/wordprocessingShape">
                    <wps:wsp>
                      <wps:cNvCnPr/>
                      <wps:spPr>
                        <a:xfrm>
                          <a:off x="0" y="0"/>
                          <a:ext cx="1797050" cy="40322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03pt;margin-top:74.2pt;height:31.75pt;width:141.5pt;z-index:251661312;mso-width-relative:page;mso-height-relative:page;" filled="f" stroked="t" coordsize="21600,21600" o:gfxdata="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4W7SJ2QAAAA0BAAAPAAAAAAAAAAEAIAAAACIAAABkcnMvZG93bnJldi54&#10;bWxQSwECFAAUAAAACACHTuJAfU0YuvkBAADrAwAADgAAAAAAAAABACAAAAAoAQAAZHJzL2Uyb0Rv&#10;Yy54bWxQSwUGAAAAAAYABgBZAQAAkwUAAAAA&#10;">
                <v:fill on="f" focussize="0,0"/>
                <v:stroke weight="0.5pt" color="#000000" joinstyle="round"/>
                <v:imagedata o:title=""/>
                <o:lock v:ext="edit" aspectratio="f"/>
              </v:line>
            </w:pict>
          </mc:Fallback>
        </mc:AlternateContent>
      </w:r>
      <w:r>
        <w:rPr>
          <w:rFonts w:hint="default" w:ascii="Times New Roman" w:hAnsi="Times New Roman" w:eastAsia="宋体" w:cs="Times New Roman"/>
          <w:b/>
          <w:bCs/>
          <w:color w:val="auto"/>
          <w:sz w:val="21"/>
          <w:szCs w:val="21"/>
        </w:rPr>
        <w:t>从监测结果可以看出，声环境质量满足GB3096—2008《声环境质量标准》3类标准要求。</w:t>
      </w:r>
    </w:p>
    <w:p w14:paraId="5FC95C84">
      <w:pPr>
        <w:keepNext/>
        <w:keepLines/>
        <w:adjustRightInd w:val="0"/>
        <w:snapToGrid w:val="0"/>
        <w:spacing w:beforeLines="5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4.3.3地表水环境质量现状</w:t>
      </w:r>
    </w:p>
    <w:p w14:paraId="40F4B922">
      <w:pPr>
        <w:pStyle w:val="33"/>
        <w:spacing w:before="45" w:line="341" w:lineRule="auto"/>
        <w:ind w:right="211" w:firstLine="480" w:firstLineChars="200"/>
        <w:jc w:val="both"/>
        <w:rPr>
          <w:rFonts w:hint="eastAsia" w:ascii="Times New Roman" w:hAnsi="Times New Roman" w:cs="Times New Roman"/>
          <w:color w:val="auto"/>
          <w:kern w:val="0"/>
          <w:sz w:val="24"/>
          <w:lang w:eastAsia="zh-CN"/>
        </w:rPr>
      </w:pPr>
      <w:r>
        <w:rPr>
          <w:rFonts w:hint="default" w:ascii="Times New Roman" w:hAnsi="Times New Roman" w:eastAsia="宋体" w:cs="Times New Roman"/>
          <w:color w:val="auto"/>
          <w:kern w:val="0"/>
          <w:sz w:val="24"/>
        </w:rPr>
        <w:t>项目所在地附近水体为</w:t>
      </w:r>
      <w:r>
        <w:rPr>
          <w:rFonts w:hint="default" w:ascii="Times New Roman" w:hAnsi="Times New Roman" w:eastAsia="宋体" w:cs="Times New Roman"/>
          <w:color w:val="auto"/>
          <w:sz w:val="24"/>
        </w:rPr>
        <w:t>戈（果）郎</w:t>
      </w:r>
      <w:r>
        <w:rPr>
          <w:rFonts w:hint="default" w:ascii="Times New Roman" w:hAnsi="Times New Roman" w:eastAsia="宋体" w:cs="Times New Roman"/>
          <w:color w:val="auto"/>
          <w:kern w:val="0"/>
          <w:sz w:val="24"/>
        </w:rPr>
        <w:t>河及芒市大河，</w:t>
      </w:r>
      <w:r>
        <w:rPr>
          <w:rFonts w:hint="eastAsia" w:ascii="Times New Roman" w:hAnsi="Times New Roman" w:cs="Times New Roman"/>
          <w:color w:val="auto"/>
          <w:kern w:val="0"/>
          <w:sz w:val="24"/>
          <w:lang w:eastAsia="zh-CN"/>
        </w:rPr>
        <w:t>芒市河位于本项目北面，距离本项目</w:t>
      </w:r>
      <w:r>
        <w:rPr>
          <w:rFonts w:hint="eastAsia" w:ascii="Times New Roman" w:hAnsi="Times New Roman" w:cs="Times New Roman"/>
          <w:color w:val="auto"/>
          <w:kern w:val="0"/>
          <w:sz w:val="24"/>
          <w:lang w:val="en-US" w:eastAsia="zh-CN"/>
        </w:rPr>
        <w:t>2913</w:t>
      </w:r>
      <w:r>
        <w:rPr>
          <w:rFonts w:hint="eastAsia" w:ascii="Times New Roman" w:hAnsi="Times New Roman" w:cs="Times New Roman"/>
          <w:color w:val="auto"/>
          <w:kern w:val="0"/>
          <w:sz w:val="24"/>
          <w:lang w:eastAsia="zh-CN"/>
        </w:rPr>
        <w:t>m，位于木康断面——入瑞丽江口段径流区，根据《云南省地表水水环境功能区划（2010~2020 年）》，木康断面—入瑞丽江口为工业用水、农业用水，执行《地表水环境质量标准》（GB3838-2002）中的Ⅲ类功能。此外项目东北面约</w:t>
      </w:r>
      <w:r>
        <w:rPr>
          <w:rFonts w:hint="eastAsia" w:ascii="Times New Roman" w:hAnsi="Times New Roman" w:cs="Times New Roman"/>
          <w:color w:val="auto"/>
          <w:kern w:val="0"/>
          <w:sz w:val="24"/>
          <w:lang w:val="en-US" w:eastAsia="zh-CN"/>
        </w:rPr>
        <w:t>2805</w:t>
      </w:r>
      <w:r>
        <w:rPr>
          <w:rFonts w:hint="eastAsia" w:ascii="Times New Roman" w:hAnsi="Times New Roman" w:cs="Times New Roman"/>
          <w:color w:val="auto"/>
          <w:kern w:val="0"/>
          <w:sz w:val="24"/>
          <w:lang w:eastAsia="zh-CN"/>
        </w:rPr>
        <w:t>m为戈朗河，戈朗河汇入芒市河，执行标准《地表水环境质量标准》（GB3838-2002）中的Ⅲ类标准，地表水执行《地表水环境质量标准》（GB3838-2002）Ⅲ类水域标准。本项目引用云南环绿环境检测技术有限公司2017年12月13日至15日对芒市河及戈朗河进行了现状监测。</w:t>
      </w:r>
    </w:p>
    <w:p w14:paraId="3598943A">
      <w:pPr>
        <w:pStyle w:val="33"/>
        <w:numPr>
          <w:ilvl w:val="0"/>
          <w:numId w:val="5"/>
        </w:numPr>
        <w:spacing w:before="45" w:line="341" w:lineRule="auto"/>
        <w:ind w:right="211" w:firstLine="480" w:firstLineChars="200"/>
        <w:jc w:val="both"/>
        <w:rPr>
          <w:rFonts w:hint="eastAsia" w:ascii="Times New Roman" w:hAnsi="Times New Roman" w:cs="Times New Roman"/>
          <w:color w:val="auto"/>
          <w:kern w:val="0"/>
          <w:sz w:val="24"/>
          <w:lang w:eastAsia="zh-CN"/>
        </w:rPr>
      </w:pPr>
      <w:r>
        <w:rPr>
          <w:rFonts w:hint="eastAsia" w:ascii="Times New Roman" w:hAnsi="Times New Roman" w:cs="Times New Roman"/>
          <w:color w:val="auto"/>
          <w:kern w:val="0"/>
          <w:sz w:val="24"/>
          <w:lang w:eastAsia="zh-CN"/>
        </w:rPr>
        <w:t>监测点设置</w:t>
      </w:r>
    </w:p>
    <w:p w14:paraId="3F40B1BC">
      <w:pPr>
        <w:pStyle w:val="33"/>
        <w:numPr>
          <w:ilvl w:val="0"/>
          <w:numId w:val="0"/>
        </w:numPr>
        <w:spacing w:before="45" w:line="341" w:lineRule="auto"/>
        <w:ind w:right="211" w:rightChars="0"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kern w:val="0"/>
          <w:sz w:val="24"/>
          <w:lang w:eastAsia="zh-CN"/>
        </w:rPr>
        <w:t>根据项目排水情况和纳污水体特点，本次监测共布设了三个监测点，监测点位置布设见表 4</w:t>
      </w:r>
      <w:r>
        <w:rPr>
          <w:rFonts w:hint="eastAsia" w:ascii="Times New Roman" w:hAnsi="Times New Roman" w:cs="Times New Roman"/>
          <w:color w:val="auto"/>
          <w:kern w:val="0"/>
          <w:sz w:val="24"/>
          <w:lang w:val="en-US" w:eastAsia="zh-CN"/>
        </w:rPr>
        <w:t>.3-9</w:t>
      </w:r>
      <w:r>
        <w:rPr>
          <w:rFonts w:hint="eastAsia" w:ascii="Times New Roman" w:hAnsi="Times New Roman" w:cs="Times New Roman"/>
          <w:color w:val="auto"/>
          <w:kern w:val="0"/>
          <w:sz w:val="24"/>
          <w:lang w:eastAsia="zh-CN"/>
        </w:rPr>
        <w:t>。</w:t>
      </w:r>
    </w:p>
    <w:p w14:paraId="151AF2C4">
      <w:pPr>
        <w:autoSpaceDE w:val="0"/>
        <w:autoSpaceDN w:val="0"/>
        <w:ind w:firstLine="482"/>
        <w:jc w:val="center"/>
        <w:rPr>
          <w:rFonts w:ascii="Times New Roman" w:hAnsi="Times New Roman" w:cs="Times New Roman"/>
          <w:b/>
          <w:bCs/>
          <w:color w:val="auto"/>
          <w:kern w:val="0"/>
          <w:sz w:val="24"/>
        </w:rPr>
      </w:pPr>
      <w:r>
        <w:rPr>
          <w:rFonts w:ascii="Times New Roman" w:hAnsi="Times New Roman" w:cs="Times New Roman"/>
          <w:b/>
          <w:bCs/>
          <w:color w:val="auto"/>
          <w:kern w:val="0"/>
          <w:sz w:val="24"/>
        </w:rPr>
        <w:t>表4.</w:t>
      </w:r>
      <w:r>
        <w:rPr>
          <w:rFonts w:hint="eastAsia" w:ascii="Times New Roman" w:hAnsi="Times New Roman" w:cs="Times New Roman"/>
          <w:b/>
          <w:bCs/>
          <w:color w:val="auto"/>
          <w:kern w:val="0"/>
          <w:sz w:val="24"/>
          <w:lang w:val="en-US" w:eastAsia="zh-CN"/>
        </w:rPr>
        <w:t>3</w:t>
      </w:r>
      <w:r>
        <w:rPr>
          <w:rFonts w:ascii="Times New Roman" w:hAnsi="Times New Roman" w:cs="Times New Roman"/>
          <w:b/>
          <w:bCs/>
          <w:color w:val="auto"/>
          <w:kern w:val="0"/>
          <w:sz w:val="24"/>
        </w:rPr>
        <w:t>-</w:t>
      </w:r>
      <w:r>
        <w:rPr>
          <w:rFonts w:hint="eastAsia" w:ascii="Times New Roman" w:hAnsi="Times New Roman" w:cs="Times New Roman"/>
          <w:b/>
          <w:bCs/>
          <w:color w:val="auto"/>
          <w:kern w:val="0"/>
          <w:sz w:val="24"/>
          <w:lang w:val="en-US" w:eastAsia="zh-CN"/>
        </w:rPr>
        <w:t>9</w:t>
      </w:r>
      <w:r>
        <w:rPr>
          <w:rFonts w:ascii="Times New Roman" w:hAnsi="Times New Roman" w:cs="Times New Roman"/>
          <w:b/>
          <w:bCs/>
          <w:color w:val="auto"/>
          <w:kern w:val="0"/>
          <w:sz w:val="24"/>
        </w:rPr>
        <w:t xml:space="preserve">  地表水环境现状监测点布置</w:t>
      </w:r>
    </w:p>
    <w:tbl>
      <w:tblPr>
        <w:tblStyle w:val="6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0"/>
        <w:gridCol w:w="3195"/>
        <w:gridCol w:w="2935"/>
      </w:tblGrid>
      <w:tr w14:paraId="1BC8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90" w:type="dxa"/>
            <w:tcBorders>
              <w:top w:val="single" w:color="auto" w:sz="4" w:space="0"/>
              <w:left w:val="single" w:color="auto" w:sz="4" w:space="0"/>
              <w:bottom w:val="single" w:color="auto" w:sz="4" w:space="0"/>
              <w:right w:val="single" w:color="auto" w:sz="4" w:space="0"/>
            </w:tcBorders>
            <w:noWrap w:val="0"/>
            <w:vAlign w:val="center"/>
          </w:tcPr>
          <w:p w14:paraId="56299099">
            <w:pPr>
              <w:widowControl/>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编号</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4EBD6A08">
            <w:pPr>
              <w:widowControl/>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地表水名称</w:t>
            </w:r>
          </w:p>
        </w:tc>
        <w:tc>
          <w:tcPr>
            <w:tcW w:w="2935" w:type="dxa"/>
            <w:tcBorders>
              <w:top w:val="single" w:color="auto" w:sz="4" w:space="0"/>
              <w:left w:val="single" w:color="auto" w:sz="4" w:space="0"/>
              <w:bottom w:val="single" w:color="auto" w:sz="4" w:space="0"/>
              <w:right w:val="single" w:color="auto" w:sz="4" w:space="0"/>
            </w:tcBorders>
            <w:noWrap w:val="0"/>
            <w:vAlign w:val="center"/>
          </w:tcPr>
          <w:p w14:paraId="41F4D9CA">
            <w:pPr>
              <w:widowControl/>
              <w:adjustRightInd w:val="0"/>
              <w:snapToGrid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监测点位</w:t>
            </w:r>
          </w:p>
        </w:tc>
      </w:tr>
      <w:tr w14:paraId="00AA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90" w:type="dxa"/>
            <w:tcBorders>
              <w:top w:val="single" w:color="auto" w:sz="4" w:space="0"/>
              <w:left w:val="single" w:color="auto" w:sz="4" w:space="0"/>
              <w:bottom w:val="single" w:color="auto" w:sz="4" w:space="0"/>
              <w:right w:val="single" w:color="auto" w:sz="4" w:space="0"/>
            </w:tcBorders>
            <w:noWrap w:val="0"/>
            <w:vAlign w:val="center"/>
          </w:tcPr>
          <w:p w14:paraId="47DCA83C">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W1</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122146D2">
            <w:pPr>
              <w:widowControl/>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戈郎河</w:t>
            </w:r>
          </w:p>
        </w:tc>
        <w:tc>
          <w:tcPr>
            <w:tcW w:w="2935" w:type="dxa"/>
            <w:tcBorders>
              <w:top w:val="single" w:color="auto" w:sz="4" w:space="0"/>
              <w:left w:val="single" w:color="auto" w:sz="4" w:space="0"/>
              <w:bottom w:val="single" w:color="auto" w:sz="4" w:space="0"/>
              <w:right w:val="single" w:color="auto" w:sz="4" w:space="0"/>
            </w:tcBorders>
            <w:noWrap w:val="0"/>
            <w:vAlign w:val="center"/>
          </w:tcPr>
          <w:p w14:paraId="3F5B6750">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项目区上游</w:t>
            </w:r>
            <w:r>
              <w:rPr>
                <w:rFonts w:hint="default" w:ascii="Times New Roman" w:hAnsi="Times New Roman" w:eastAsia="宋体" w:cs="Times New Roman"/>
                <w:color w:val="auto"/>
                <w:kern w:val="0"/>
                <w:sz w:val="21"/>
                <w:szCs w:val="21"/>
                <w:lang w:val="en-US" w:eastAsia="zh-CN"/>
              </w:rPr>
              <w:t>500m</w:t>
            </w:r>
          </w:p>
        </w:tc>
      </w:tr>
      <w:tr w14:paraId="10AF4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90" w:type="dxa"/>
            <w:tcBorders>
              <w:top w:val="single" w:color="auto" w:sz="4" w:space="0"/>
              <w:left w:val="single" w:color="auto" w:sz="4" w:space="0"/>
              <w:bottom w:val="single" w:color="auto" w:sz="4" w:space="0"/>
              <w:right w:val="single" w:color="auto" w:sz="4" w:space="0"/>
            </w:tcBorders>
            <w:noWrap w:val="0"/>
            <w:vAlign w:val="center"/>
          </w:tcPr>
          <w:p w14:paraId="78523B2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W2</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3BCA19B4">
            <w:pPr>
              <w:widowControl/>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芒市河</w:t>
            </w:r>
          </w:p>
        </w:tc>
        <w:tc>
          <w:tcPr>
            <w:tcW w:w="2935" w:type="dxa"/>
            <w:tcBorders>
              <w:top w:val="single" w:color="auto" w:sz="4" w:space="0"/>
              <w:left w:val="single" w:color="auto" w:sz="4" w:space="0"/>
              <w:bottom w:val="single" w:color="auto" w:sz="4" w:space="0"/>
              <w:right w:val="single" w:color="auto" w:sz="4" w:space="0"/>
            </w:tcBorders>
            <w:noWrap w:val="0"/>
            <w:vAlign w:val="center"/>
          </w:tcPr>
          <w:p w14:paraId="12F12F81">
            <w:pPr>
              <w:widowControl/>
              <w:tabs>
                <w:tab w:val="center" w:pos="1312"/>
              </w:tabs>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项目区上游</w:t>
            </w:r>
            <w:r>
              <w:rPr>
                <w:rFonts w:hint="default" w:ascii="Times New Roman" w:hAnsi="Times New Roman" w:eastAsia="宋体" w:cs="Times New Roman"/>
                <w:color w:val="auto"/>
                <w:kern w:val="0"/>
                <w:sz w:val="21"/>
                <w:szCs w:val="21"/>
                <w:lang w:val="en-US" w:eastAsia="zh-CN"/>
              </w:rPr>
              <w:t>500m</w:t>
            </w:r>
          </w:p>
        </w:tc>
      </w:tr>
      <w:tr w14:paraId="736D0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390" w:type="dxa"/>
            <w:tcBorders>
              <w:top w:val="single" w:color="auto" w:sz="4" w:space="0"/>
              <w:left w:val="single" w:color="auto" w:sz="4" w:space="0"/>
              <w:bottom w:val="single" w:color="auto" w:sz="4" w:space="0"/>
              <w:right w:val="single" w:color="auto" w:sz="4" w:space="0"/>
            </w:tcBorders>
            <w:noWrap w:val="0"/>
            <w:vAlign w:val="center"/>
          </w:tcPr>
          <w:p w14:paraId="48F53A58">
            <w:pPr>
              <w:widowControl/>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W3</w:t>
            </w:r>
          </w:p>
        </w:tc>
        <w:tc>
          <w:tcPr>
            <w:tcW w:w="3195" w:type="dxa"/>
            <w:tcBorders>
              <w:top w:val="single" w:color="auto" w:sz="4" w:space="0"/>
              <w:left w:val="single" w:color="auto" w:sz="4" w:space="0"/>
              <w:bottom w:val="single" w:color="auto" w:sz="4" w:space="0"/>
              <w:right w:val="single" w:color="auto" w:sz="4" w:space="0"/>
            </w:tcBorders>
            <w:noWrap w:val="0"/>
            <w:vAlign w:val="center"/>
          </w:tcPr>
          <w:p w14:paraId="080FAE73">
            <w:pPr>
              <w:widowControl/>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芒市河</w:t>
            </w:r>
          </w:p>
        </w:tc>
        <w:tc>
          <w:tcPr>
            <w:tcW w:w="2935" w:type="dxa"/>
            <w:tcBorders>
              <w:top w:val="single" w:color="auto" w:sz="4" w:space="0"/>
              <w:left w:val="single" w:color="auto" w:sz="4" w:space="0"/>
              <w:bottom w:val="single" w:color="auto" w:sz="4" w:space="0"/>
              <w:right w:val="single" w:color="auto" w:sz="4" w:space="0"/>
            </w:tcBorders>
            <w:noWrap w:val="0"/>
            <w:vAlign w:val="center"/>
          </w:tcPr>
          <w:p w14:paraId="1DFA7F61">
            <w:pPr>
              <w:widowControl/>
              <w:tabs>
                <w:tab w:val="center" w:pos="1312"/>
              </w:tabs>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项目区下游</w:t>
            </w:r>
            <w:r>
              <w:rPr>
                <w:rFonts w:hint="default" w:ascii="Times New Roman" w:hAnsi="Times New Roman" w:eastAsia="宋体" w:cs="Times New Roman"/>
                <w:color w:val="auto"/>
                <w:kern w:val="0"/>
                <w:sz w:val="21"/>
                <w:szCs w:val="21"/>
                <w:lang w:val="en-US" w:eastAsia="zh-CN"/>
              </w:rPr>
              <w:t>1000m</w:t>
            </w:r>
          </w:p>
        </w:tc>
      </w:tr>
    </w:tbl>
    <w:p w14:paraId="17672121">
      <w:pPr>
        <w:numPr>
          <w:ilvl w:val="0"/>
          <w:numId w:val="0"/>
        </w:numPr>
        <w:autoSpaceDE w:val="0"/>
        <w:autoSpaceDN w:val="0"/>
        <w:adjustRightInd w:val="0"/>
        <w:snapToGrid w:val="0"/>
        <w:spacing w:line="360" w:lineRule="auto"/>
        <w:ind w:left="0" w:leftChars="0" w:firstLine="480" w:firstLineChars="200"/>
        <w:jc w:val="left"/>
        <w:rPr>
          <w:rFonts w:ascii="Times New Roman" w:hAnsi="Times New Roman" w:cs="Times New Roman"/>
          <w:color w:val="auto"/>
          <w:kern w:val="0"/>
          <w:sz w:val="24"/>
        </w:rPr>
      </w:pPr>
      <w:r>
        <w:rPr>
          <w:rFonts w:hint="eastAsia" w:ascii="Times New Roman" w:hAnsi="Times New Roman" w:eastAsia="宋体" w:cs="Times New Roman"/>
          <w:color w:val="auto"/>
          <w:kern w:val="0"/>
          <w:sz w:val="24"/>
          <w:lang w:val="en-US" w:eastAsia="zh-CN"/>
        </w:rPr>
        <w:t>2、</w:t>
      </w:r>
      <w:r>
        <w:rPr>
          <w:rFonts w:ascii="Times New Roman" w:hAnsi="Times New Roman" w:cs="Times New Roman"/>
          <w:color w:val="auto"/>
          <w:kern w:val="0"/>
          <w:sz w:val="24"/>
        </w:rPr>
        <w:t>监测</w:t>
      </w:r>
      <w:r>
        <w:rPr>
          <w:rFonts w:hint="eastAsia" w:ascii="Times New Roman" w:hAnsi="Times New Roman" w:eastAsia="宋体" w:cs="Times New Roman"/>
          <w:color w:val="auto"/>
          <w:kern w:val="0"/>
          <w:sz w:val="24"/>
          <w:lang w:eastAsia="zh-CN"/>
        </w:rPr>
        <w:t>因子</w:t>
      </w:r>
      <w:r>
        <w:rPr>
          <w:rFonts w:ascii="Times New Roman" w:hAnsi="Times New Roman" w:cs="Times New Roman"/>
          <w:color w:val="auto"/>
          <w:kern w:val="0"/>
          <w:sz w:val="24"/>
        </w:rPr>
        <w:t>：</w:t>
      </w:r>
      <w:r>
        <w:rPr>
          <w:rFonts w:ascii="Times New Roman" w:hAnsi="Times New Roman" w:cs="Times New Roman"/>
          <w:color w:val="auto"/>
          <w:sz w:val="24"/>
        </w:rPr>
        <w:t>pH、</w:t>
      </w:r>
      <w:r>
        <w:rPr>
          <w:rFonts w:hint="eastAsia" w:ascii="Times New Roman" w:hAnsi="Times New Roman" w:eastAsia="宋体" w:cs="Times New Roman"/>
          <w:color w:val="auto"/>
          <w:sz w:val="24"/>
          <w:lang w:val="en-US" w:eastAsia="zh-CN"/>
        </w:rPr>
        <w:t>DO、</w:t>
      </w:r>
      <w:r>
        <w:rPr>
          <w:rFonts w:ascii="Times New Roman" w:hAnsi="Times New Roman" w:cs="Times New Roman"/>
          <w:color w:val="auto"/>
          <w:sz w:val="24"/>
        </w:rPr>
        <w:t>COD、</w:t>
      </w:r>
      <w:r>
        <w:rPr>
          <w:rFonts w:hint="eastAsia" w:ascii="Times New Roman" w:hAnsi="Times New Roman" w:eastAsia="宋体" w:cs="Times New Roman"/>
          <w:color w:val="auto"/>
          <w:sz w:val="24"/>
          <w:lang w:val="en-US" w:eastAsia="zh-CN"/>
        </w:rPr>
        <w:t>BOD</w:t>
      </w:r>
      <w:r>
        <w:rPr>
          <w:rFonts w:hint="eastAsia" w:ascii="Times New Roman" w:hAnsi="Times New Roman" w:eastAsia="宋体" w:cs="Times New Roman"/>
          <w:color w:val="auto"/>
          <w:sz w:val="24"/>
          <w:vertAlign w:val="subscript"/>
          <w:lang w:val="en-US" w:eastAsia="zh-CN"/>
        </w:rPr>
        <w:t>5</w:t>
      </w:r>
      <w:r>
        <w:rPr>
          <w:rFonts w:hint="eastAsia" w:ascii="Times New Roman" w:hAnsi="Times New Roman" w:eastAsia="宋体" w:cs="Times New Roman"/>
          <w:color w:val="auto"/>
          <w:sz w:val="24"/>
          <w:lang w:val="en-US" w:eastAsia="zh-CN"/>
        </w:rPr>
        <w:t>、</w:t>
      </w:r>
      <w:r>
        <w:rPr>
          <w:rFonts w:hint="eastAsia" w:ascii="Times New Roman" w:hAnsi="Times New Roman" w:cs="Times New Roman"/>
          <w:color w:val="auto"/>
          <w:sz w:val="24"/>
        </w:rPr>
        <w:t>氨氮、总磷、石油类、粪大肠菌群、氟化物、氰化物、汞、铅、铜、砷、六价铬</w:t>
      </w:r>
      <w:r>
        <w:rPr>
          <w:rFonts w:ascii="Times New Roman" w:hAnsi="Times New Roman" w:cs="Times New Roman"/>
          <w:color w:val="auto"/>
          <w:kern w:val="0"/>
          <w:sz w:val="24"/>
        </w:rPr>
        <w:t>。</w:t>
      </w:r>
    </w:p>
    <w:p w14:paraId="0C213EFB">
      <w:pPr>
        <w:numPr>
          <w:ilvl w:val="0"/>
          <w:numId w:val="0"/>
        </w:numPr>
        <w:autoSpaceDE w:val="0"/>
        <w:autoSpaceDN w:val="0"/>
        <w:adjustRightInd w:val="0"/>
        <w:snapToGrid w:val="0"/>
        <w:spacing w:line="360" w:lineRule="auto"/>
        <w:ind w:firstLine="480" w:firstLineChars="200"/>
        <w:jc w:val="left"/>
        <w:rPr>
          <w:rFonts w:ascii="Times New Roman" w:hAnsi="Times New Roman" w:cs="Times New Roman"/>
          <w:color w:val="auto"/>
          <w:kern w:val="0"/>
          <w:sz w:val="24"/>
        </w:rPr>
      </w:pPr>
      <w:r>
        <w:rPr>
          <w:rFonts w:hint="eastAsia" w:ascii="Times New Roman" w:hAnsi="Times New Roman" w:eastAsia="宋体" w:cs="Times New Roman"/>
          <w:color w:val="auto"/>
          <w:kern w:val="0"/>
          <w:sz w:val="24"/>
          <w:lang w:val="en-US" w:eastAsia="zh-CN"/>
        </w:rPr>
        <w:t>3、</w:t>
      </w:r>
      <w:r>
        <w:rPr>
          <w:rFonts w:ascii="Times New Roman" w:hAnsi="Times New Roman" w:cs="Times New Roman"/>
          <w:color w:val="auto"/>
          <w:kern w:val="0"/>
          <w:sz w:val="24"/>
        </w:rPr>
        <w:t>监测频率：连续取样三天，每天采一次样</w:t>
      </w:r>
    </w:p>
    <w:p w14:paraId="1B942FE3">
      <w:pPr>
        <w:numPr>
          <w:ilvl w:val="0"/>
          <w:numId w:val="0"/>
        </w:numPr>
        <w:autoSpaceDE w:val="0"/>
        <w:autoSpaceDN w:val="0"/>
        <w:adjustRightInd w:val="0"/>
        <w:snapToGrid w:val="0"/>
        <w:spacing w:line="360" w:lineRule="auto"/>
        <w:ind w:firstLine="480" w:firstLineChars="200"/>
        <w:jc w:val="left"/>
        <w:rPr>
          <w:rFonts w:ascii="Times New Roman" w:hAnsi="Times New Roman" w:cs="Times New Roman"/>
          <w:color w:val="auto"/>
          <w:kern w:val="0"/>
          <w:sz w:val="24"/>
        </w:rPr>
      </w:pPr>
      <w:r>
        <w:rPr>
          <w:rFonts w:hint="eastAsia" w:ascii="Times New Roman" w:hAnsi="Times New Roman" w:eastAsia="宋体" w:cs="Times New Roman"/>
          <w:color w:val="auto"/>
          <w:kern w:val="0"/>
          <w:sz w:val="24"/>
          <w:lang w:val="en-US" w:eastAsia="zh-CN"/>
        </w:rPr>
        <w:t>4、</w:t>
      </w:r>
      <w:r>
        <w:rPr>
          <w:rFonts w:ascii="Times New Roman" w:hAnsi="Times New Roman" w:cs="Times New Roman"/>
          <w:color w:val="auto"/>
          <w:kern w:val="0"/>
          <w:sz w:val="24"/>
        </w:rPr>
        <w:t>监测时间：2017年</w:t>
      </w:r>
      <w:r>
        <w:rPr>
          <w:rFonts w:hint="eastAsia" w:ascii="Times New Roman" w:hAnsi="Times New Roman" w:eastAsia="宋体" w:cs="Times New Roman"/>
          <w:color w:val="auto"/>
          <w:kern w:val="0"/>
          <w:sz w:val="24"/>
          <w:lang w:val="en-US" w:eastAsia="zh-CN"/>
        </w:rPr>
        <w:t>12</w:t>
      </w:r>
      <w:r>
        <w:rPr>
          <w:rFonts w:ascii="Times New Roman" w:hAnsi="Times New Roman" w:cs="Times New Roman"/>
          <w:color w:val="auto"/>
          <w:kern w:val="0"/>
          <w:sz w:val="24"/>
        </w:rPr>
        <w:t>月1</w:t>
      </w:r>
      <w:r>
        <w:rPr>
          <w:rFonts w:hint="eastAsia" w:ascii="Times New Roman" w:hAnsi="Times New Roman" w:eastAsia="宋体" w:cs="Times New Roman"/>
          <w:color w:val="auto"/>
          <w:kern w:val="0"/>
          <w:sz w:val="24"/>
          <w:lang w:val="en-US" w:eastAsia="zh-CN"/>
        </w:rPr>
        <w:t>3</w:t>
      </w:r>
      <w:r>
        <w:rPr>
          <w:rFonts w:ascii="Times New Roman" w:hAnsi="Times New Roman" w:cs="Times New Roman"/>
          <w:color w:val="auto"/>
          <w:kern w:val="0"/>
          <w:sz w:val="24"/>
        </w:rPr>
        <w:t>日</w:t>
      </w:r>
      <w:r>
        <w:rPr>
          <w:rFonts w:hint="eastAsia" w:ascii="Times New Roman" w:hAnsi="Times New Roman" w:cs="Times New Roman"/>
          <w:color w:val="auto"/>
          <w:kern w:val="0"/>
          <w:sz w:val="24"/>
        </w:rPr>
        <w:t>-</w:t>
      </w:r>
      <w:r>
        <w:rPr>
          <w:rFonts w:hint="eastAsia" w:ascii="Times New Roman" w:hAnsi="Times New Roman" w:eastAsia="宋体" w:cs="Times New Roman"/>
          <w:color w:val="auto"/>
          <w:kern w:val="0"/>
          <w:sz w:val="24"/>
          <w:lang w:val="en-US" w:eastAsia="zh-CN"/>
        </w:rPr>
        <w:t>15</w:t>
      </w:r>
      <w:r>
        <w:rPr>
          <w:rFonts w:ascii="Times New Roman" w:hAnsi="Times New Roman" w:cs="Times New Roman"/>
          <w:color w:val="auto"/>
          <w:kern w:val="0"/>
          <w:sz w:val="24"/>
        </w:rPr>
        <w:t>日</w:t>
      </w:r>
    </w:p>
    <w:p w14:paraId="4ABFF686">
      <w:pPr>
        <w:numPr>
          <w:ilvl w:val="0"/>
          <w:numId w:val="0"/>
        </w:numPr>
        <w:autoSpaceDE w:val="0"/>
        <w:autoSpaceDN w:val="0"/>
        <w:adjustRightInd w:val="0"/>
        <w:snapToGrid w:val="0"/>
        <w:spacing w:line="360" w:lineRule="auto"/>
        <w:ind w:firstLine="480" w:firstLineChars="200"/>
        <w:jc w:val="left"/>
        <w:rPr>
          <w:rFonts w:ascii="Times New Roman" w:hAnsi="Times New Roman" w:cs="Times New Roman"/>
          <w:color w:val="auto"/>
          <w:kern w:val="0"/>
          <w:sz w:val="24"/>
        </w:rPr>
      </w:pPr>
      <w:r>
        <w:rPr>
          <w:rFonts w:hint="eastAsia" w:ascii="Times New Roman" w:hAnsi="Times New Roman" w:eastAsia="宋体" w:cs="Times New Roman"/>
          <w:color w:val="auto"/>
          <w:kern w:val="0"/>
          <w:sz w:val="24"/>
          <w:lang w:val="en-US" w:eastAsia="zh-CN"/>
        </w:rPr>
        <w:t>5、</w:t>
      </w:r>
      <w:r>
        <w:rPr>
          <w:rFonts w:ascii="Times New Roman" w:hAnsi="Times New Roman" w:cs="Times New Roman"/>
          <w:color w:val="auto"/>
          <w:kern w:val="0"/>
          <w:sz w:val="24"/>
        </w:rPr>
        <w:t>监测方法：</w:t>
      </w:r>
      <w:r>
        <w:rPr>
          <w:rFonts w:hint="eastAsia" w:ascii="Times New Roman" w:hAnsi="Times New Roman" w:cs="Times New Roman"/>
          <w:color w:val="auto"/>
          <w:kern w:val="0"/>
          <w:sz w:val="24"/>
        </w:rPr>
        <w:t>地表水监测分析按照国家标准和《水和废水监测分析方法》要求进行，采取全过程质控措施</w:t>
      </w:r>
      <w:r>
        <w:rPr>
          <w:rFonts w:ascii="Times New Roman" w:hAnsi="Times New Roman" w:cs="Times New Roman"/>
          <w:color w:val="auto"/>
          <w:kern w:val="0"/>
          <w:sz w:val="24"/>
        </w:rPr>
        <w:t>。</w:t>
      </w:r>
    </w:p>
    <w:p w14:paraId="624DBF3E">
      <w:pPr>
        <w:numPr>
          <w:ilvl w:val="0"/>
          <w:numId w:val="0"/>
        </w:numPr>
        <w:autoSpaceDE w:val="0"/>
        <w:autoSpaceDN w:val="0"/>
        <w:adjustRightInd w:val="0"/>
        <w:snapToGrid w:val="0"/>
        <w:spacing w:line="360" w:lineRule="auto"/>
        <w:ind w:firstLine="480" w:firstLineChars="200"/>
        <w:jc w:val="left"/>
        <w:rPr>
          <w:rFonts w:ascii="Times New Roman" w:hAnsi="Times New Roman" w:cs="Times New Roman"/>
          <w:color w:val="auto"/>
          <w:kern w:val="0"/>
          <w:sz w:val="24"/>
        </w:rPr>
      </w:pPr>
      <w:r>
        <w:rPr>
          <w:rFonts w:hint="eastAsia" w:ascii="Times New Roman" w:hAnsi="Times New Roman" w:eastAsia="宋体" w:cs="Times New Roman"/>
          <w:color w:val="auto"/>
          <w:kern w:val="0"/>
          <w:sz w:val="24"/>
          <w:lang w:val="en-US" w:eastAsia="zh-CN"/>
        </w:rPr>
        <w:t>6、</w:t>
      </w:r>
      <w:r>
        <w:rPr>
          <w:rFonts w:ascii="Times New Roman" w:hAnsi="Times New Roman" w:cs="Times New Roman"/>
          <w:color w:val="auto"/>
          <w:kern w:val="0"/>
          <w:sz w:val="24"/>
        </w:rPr>
        <w:t>水质现状监测及结果见表</w:t>
      </w:r>
      <w:r>
        <w:rPr>
          <w:rFonts w:hint="eastAsia" w:ascii="Times New Roman" w:hAnsi="Times New Roman" w:eastAsia="宋体" w:cs="Times New Roman"/>
          <w:color w:val="auto"/>
          <w:kern w:val="0"/>
          <w:sz w:val="24"/>
          <w:lang w:val="en-US" w:eastAsia="zh-CN"/>
        </w:rPr>
        <w:t>4.3-10</w:t>
      </w:r>
      <w:r>
        <w:rPr>
          <w:rFonts w:ascii="Times New Roman" w:hAnsi="Times New Roman" w:cs="Times New Roman"/>
          <w:color w:val="auto"/>
          <w:kern w:val="0"/>
          <w:sz w:val="24"/>
        </w:rPr>
        <w:t>，监测报告见附件。</w:t>
      </w:r>
    </w:p>
    <w:p w14:paraId="5FC1A2BD">
      <w:pPr>
        <w:autoSpaceDE w:val="0"/>
        <w:autoSpaceDN w:val="0"/>
        <w:ind w:firstLine="482"/>
        <w:jc w:val="center"/>
        <w:rPr>
          <w:rFonts w:ascii="Times New Roman" w:hAnsi="Times New Roman" w:cs="Times New Roman"/>
          <w:b/>
          <w:bCs/>
          <w:color w:val="auto"/>
          <w:kern w:val="0"/>
          <w:sz w:val="24"/>
        </w:rPr>
      </w:pPr>
      <w:r>
        <w:rPr>
          <w:rFonts w:ascii="Times New Roman" w:hAnsi="Times New Roman" w:cs="Times New Roman"/>
          <w:b/>
          <w:bCs/>
          <w:color w:val="auto"/>
          <w:kern w:val="0"/>
          <w:sz w:val="24"/>
        </w:rPr>
        <w:t>表4.</w:t>
      </w:r>
      <w:r>
        <w:rPr>
          <w:rFonts w:hint="eastAsia" w:ascii="Times New Roman" w:hAnsi="Times New Roman" w:eastAsia="宋体" w:cs="Times New Roman"/>
          <w:b/>
          <w:bCs/>
          <w:color w:val="auto"/>
          <w:kern w:val="0"/>
          <w:sz w:val="24"/>
          <w:lang w:val="en-US" w:eastAsia="zh-CN"/>
        </w:rPr>
        <w:t>3-10</w:t>
      </w:r>
      <w:r>
        <w:rPr>
          <w:rFonts w:ascii="Times New Roman" w:hAnsi="Times New Roman" w:cs="Times New Roman"/>
          <w:b/>
          <w:bCs/>
          <w:color w:val="auto"/>
          <w:kern w:val="0"/>
          <w:sz w:val="24"/>
        </w:rPr>
        <w:t xml:space="preserve">  地表水环境质量监测结果统计表    单位mg/L</w:t>
      </w:r>
    </w:p>
    <w:tbl>
      <w:tblPr>
        <w:tblStyle w:val="66"/>
        <w:tblW w:w="0" w:type="auto"/>
        <w:jc w:val="center"/>
        <w:tblLayout w:type="fixed"/>
        <w:tblCellMar>
          <w:top w:w="0" w:type="dxa"/>
          <w:left w:w="0" w:type="dxa"/>
          <w:bottom w:w="0" w:type="dxa"/>
          <w:right w:w="0" w:type="dxa"/>
        </w:tblCellMar>
      </w:tblPr>
      <w:tblGrid>
        <w:gridCol w:w="521"/>
        <w:gridCol w:w="522"/>
        <w:gridCol w:w="655"/>
        <w:gridCol w:w="603"/>
        <w:gridCol w:w="642"/>
        <w:gridCol w:w="618"/>
        <w:gridCol w:w="524"/>
        <w:gridCol w:w="583"/>
        <w:gridCol w:w="719"/>
        <w:gridCol w:w="524"/>
        <w:gridCol w:w="524"/>
        <w:gridCol w:w="525"/>
        <w:gridCol w:w="526"/>
        <w:gridCol w:w="525"/>
        <w:gridCol w:w="524"/>
        <w:gridCol w:w="525"/>
        <w:gridCol w:w="520"/>
      </w:tblGrid>
      <w:tr w14:paraId="0D13A1F1">
        <w:tblPrEx>
          <w:tblCellMar>
            <w:top w:w="0" w:type="dxa"/>
            <w:left w:w="0" w:type="dxa"/>
            <w:bottom w:w="0" w:type="dxa"/>
            <w:right w:w="0" w:type="dxa"/>
          </w:tblCellMar>
        </w:tblPrEx>
        <w:trPr>
          <w:trHeight w:val="1019" w:hRule="exact"/>
          <w:jc w:val="center"/>
        </w:trPr>
        <w:tc>
          <w:tcPr>
            <w:tcW w:w="521" w:type="dxa"/>
            <w:vMerge w:val="restart"/>
            <w:tcBorders>
              <w:top w:val="single" w:color="000000" w:sz="4" w:space="0"/>
              <w:left w:val="single" w:color="000000" w:sz="4" w:space="0"/>
              <w:right w:val="single" w:color="000000" w:sz="4" w:space="0"/>
            </w:tcBorders>
            <w:noWrap w:val="0"/>
            <w:vAlign w:val="center"/>
          </w:tcPr>
          <w:p w14:paraId="7D736D7D">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监测点位</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0D876FBC">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项目</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5475FD32">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pH 值</w:t>
            </w:r>
          </w:p>
          <w:p w14:paraId="2BFDF750">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（无量纲）</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477B5DD3">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COD</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47B75B73">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BOD</w:t>
            </w:r>
            <w:r>
              <w:rPr>
                <w:rFonts w:hint="eastAsia" w:ascii="Times New Roman" w:hAnsi="Times New Roman" w:eastAsia="宋体" w:cs="Times New Roman"/>
                <w:b/>
                <w:bCs/>
                <w:color w:val="auto"/>
                <w:sz w:val="21"/>
                <w:szCs w:val="21"/>
                <w:vertAlign w:val="subscript"/>
                <w:lang w:eastAsia="zh-CN"/>
              </w:rPr>
              <w:t>5</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4B7D4D3D">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NH</w:t>
            </w:r>
            <w:r>
              <w:rPr>
                <w:rFonts w:hint="eastAsia" w:ascii="Times New Roman" w:hAnsi="Times New Roman" w:eastAsia="宋体" w:cs="Times New Roman"/>
                <w:b/>
                <w:bCs/>
                <w:color w:val="auto"/>
                <w:sz w:val="21"/>
                <w:szCs w:val="21"/>
                <w:vertAlign w:val="subscript"/>
                <w:lang w:eastAsia="zh-CN"/>
              </w:rPr>
              <w:t>3</w:t>
            </w:r>
            <w:r>
              <w:rPr>
                <w:rFonts w:hint="eastAsia" w:ascii="Times New Roman" w:hAnsi="Times New Roman" w:eastAsia="宋体" w:cs="Times New Roman"/>
                <w:b/>
                <w:bCs/>
                <w:color w:val="auto"/>
                <w:sz w:val="21"/>
                <w:szCs w:val="21"/>
                <w:lang w:eastAsia="zh-CN"/>
              </w:rPr>
              <w:t>-N</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785BAFF">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总磷</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0EA8D18F">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DO</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189B91F5">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粪大肠 菌群</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7AF8968A">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石油类</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AC4B78D">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氟化物</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F82D8B4">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氰化物</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60B0D9C1">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汞</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6CB0180">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铅</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7D65EDCD">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铜</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423CBF54">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砷</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05118867">
            <w:pPr>
              <w:pStyle w:val="1259"/>
              <w:spacing w:line="240" w:lineRule="auto"/>
              <w:ind w:right="60"/>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六价铬</w:t>
            </w:r>
          </w:p>
        </w:tc>
      </w:tr>
      <w:tr w14:paraId="18FA6D8C">
        <w:tblPrEx>
          <w:tblCellMar>
            <w:top w:w="0" w:type="dxa"/>
            <w:left w:w="0" w:type="dxa"/>
            <w:bottom w:w="0" w:type="dxa"/>
            <w:right w:w="0" w:type="dxa"/>
          </w:tblCellMar>
        </w:tblPrEx>
        <w:trPr>
          <w:trHeight w:val="322" w:hRule="exact"/>
          <w:jc w:val="center"/>
        </w:trPr>
        <w:tc>
          <w:tcPr>
            <w:tcW w:w="521" w:type="dxa"/>
            <w:vMerge w:val="continue"/>
            <w:tcBorders>
              <w:left w:val="single" w:color="000000" w:sz="4" w:space="0"/>
              <w:bottom w:val="single" w:color="000000" w:sz="4" w:space="0"/>
              <w:right w:val="single" w:color="000000" w:sz="4" w:space="0"/>
            </w:tcBorders>
            <w:noWrap w:val="0"/>
            <w:vAlign w:val="center"/>
          </w:tcPr>
          <w:p w14:paraId="749C1D24">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72A666D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标准值</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1C4FDA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6～9</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8FA669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49BE11F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4</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78ED58D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C6187B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0.2</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65A1BAB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27C0BEE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20000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1B39BE9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0.005</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82E4AD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C6E5DF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0.2</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41436F5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0.001</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407D45D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0.05</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3BBAB97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4C555F9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0.05</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1B13D91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0.05</w:t>
            </w:r>
          </w:p>
        </w:tc>
      </w:tr>
      <w:tr w14:paraId="66B8936D">
        <w:tblPrEx>
          <w:tblCellMar>
            <w:top w:w="0" w:type="dxa"/>
            <w:left w:w="0" w:type="dxa"/>
            <w:bottom w:w="0" w:type="dxa"/>
            <w:right w:w="0" w:type="dxa"/>
          </w:tblCellMar>
        </w:tblPrEx>
        <w:trPr>
          <w:trHeight w:val="532" w:hRule="exact"/>
          <w:jc w:val="center"/>
        </w:trPr>
        <w:tc>
          <w:tcPr>
            <w:tcW w:w="521" w:type="dxa"/>
            <w:vMerge w:val="restart"/>
            <w:tcBorders>
              <w:top w:val="single" w:color="000000" w:sz="4" w:space="0"/>
              <w:left w:val="single" w:color="000000" w:sz="4" w:space="0"/>
              <w:right w:val="single" w:color="000000" w:sz="4" w:space="0"/>
            </w:tcBorders>
            <w:noWrap w:val="0"/>
            <w:vAlign w:val="center"/>
          </w:tcPr>
          <w:p w14:paraId="63833C2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W1</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09F7288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最大值</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2A1BA83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6.87</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1BE50A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7</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14F01A9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1.6</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4FD37B3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0.411</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E9C8B9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0.15</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1221180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6.1</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598BDB5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170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CC95FF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0.03</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7AA0CC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0.08</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17EFDB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0.004L</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7C3B422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0.00007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7D2303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0.01L</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77D05DA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DAB02C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0.0009</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519FAE6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0.009</w:t>
            </w:r>
          </w:p>
        </w:tc>
      </w:tr>
      <w:tr w14:paraId="7CC3FF36">
        <w:tblPrEx>
          <w:tblCellMar>
            <w:top w:w="0" w:type="dxa"/>
            <w:left w:w="0" w:type="dxa"/>
            <w:bottom w:w="0" w:type="dxa"/>
            <w:right w:w="0" w:type="dxa"/>
          </w:tblCellMar>
        </w:tblPrEx>
        <w:trPr>
          <w:trHeight w:val="627" w:hRule="exact"/>
          <w:jc w:val="center"/>
        </w:trPr>
        <w:tc>
          <w:tcPr>
            <w:tcW w:w="521" w:type="dxa"/>
            <w:vMerge w:val="continue"/>
            <w:tcBorders>
              <w:left w:val="single" w:color="000000" w:sz="4" w:space="0"/>
              <w:right w:val="single" w:color="000000" w:sz="4" w:space="0"/>
            </w:tcBorders>
            <w:noWrap w:val="0"/>
            <w:vAlign w:val="center"/>
          </w:tcPr>
          <w:p w14:paraId="1689FA38">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2C082DF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标准指数</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7D2C7F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0.13</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0173B43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0.35</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293B940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0.4</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4AFFC52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0.411</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383BF40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0.75</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0BF989C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0.75</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17EA730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0.017</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4C2623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0.6</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AE39F7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0.08</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882BD2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62BFCF9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0.7</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3AD9E1D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96F2A4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E0C298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0.018</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233F6B9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0.18</w:t>
            </w:r>
          </w:p>
        </w:tc>
      </w:tr>
      <w:tr w14:paraId="48E9DD6B">
        <w:tblPrEx>
          <w:tblCellMar>
            <w:top w:w="0" w:type="dxa"/>
            <w:left w:w="0" w:type="dxa"/>
            <w:bottom w:w="0" w:type="dxa"/>
            <w:right w:w="0" w:type="dxa"/>
          </w:tblCellMar>
        </w:tblPrEx>
        <w:trPr>
          <w:trHeight w:val="532" w:hRule="exact"/>
          <w:jc w:val="center"/>
        </w:trPr>
        <w:tc>
          <w:tcPr>
            <w:tcW w:w="521" w:type="dxa"/>
            <w:vMerge w:val="continue"/>
            <w:tcBorders>
              <w:left w:val="single" w:color="000000" w:sz="4" w:space="0"/>
              <w:right w:val="single" w:color="000000" w:sz="4" w:space="0"/>
            </w:tcBorders>
            <w:noWrap w:val="0"/>
            <w:vAlign w:val="center"/>
          </w:tcPr>
          <w:p w14:paraId="3CE4239E">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2884892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超标倍数</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D5730E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7FAF823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080F62A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097E324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3799450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2623028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329E82C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916807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FB939A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4739C72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30AE075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3DFD2D4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1CC2A7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5715F1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750F237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r>
      <w:tr w14:paraId="7C910C1E">
        <w:tblPrEx>
          <w:tblCellMar>
            <w:top w:w="0" w:type="dxa"/>
            <w:left w:w="0" w:type="dxa"/>
            <w:bottom w:w="0" w:type="dxa"/>
            <w:right w:w="0" w:type="dxa"/>
          </w:tblCellMar>
        </w:tblPrEx>
        <w:trPr>
          <w:trHeight w:val="532" w:hRule="exact"/>
          <w:jc w:val="center"/>
        </w:trPr>
        <w:tc>
          <w:tcPr>
            <w:tcW w:w="521" w:type="dxa"/>
            <w:vMerge w:val="continue"/>
            <w:tcBorders>
              <w:left w:val="single" w:color="000000" w:sz="4" w:space="0"/>
              <w:bottom w:val="single" w:color="000000" w:sz="4" w:space="0"/>
              <w:right w:val="single" w:color="000000" w:sz="4" w:space="0"/>
            </w:tcBorders>
            <w:noWrap w:val="0"/>
            <w:vAlign w:val="center"/>
          </w:tcPr>
          <w:p w14:paraId="41378D68">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3D53B8E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评价</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85509B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72B6BE7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0F9636B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144E051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05E77E4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6944E00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3C369FF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95F819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BF5C34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C21B41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4D761AA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9BB861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2494931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928243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4CD2E30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r w14:paraId="275661A0">
        <w:tblPrEx>
          <w:tblCellMar>
            <w:top w:w="0" w:type="dxa"/>
            <w:left w:w="0" w:type="dxa"/>
            <w:bottom w:w="0" w:type="dxa"/>
            <w:right w:w="0" w:type="dxa"/>
          </w:tblCellMar>
        </w:tblPrEx>
        <w:trPr>
          <w:trHeight w:val="532" w:hRule="exact"/>
          <w:jc w:val="center"/>
        </w:trPr>
        <w:tc>
          <w:tcPr>
            <w:tcW w:w="521" w:type="dxa"/>
            <w:vMerge w:val="restart"/>
            <w:tcBorders>
              <w:top w:val="single" w:color="000000" w:sz="4" w:space="0"/>
              <w:left w:val="single" w:color="000000" w:sz="4" w:space="0"/>
              <w:right w:val="single" w:color="000000" w:sz="4" w:space="0"/>
            </w:tcBorders>
            <w:noWrap w:val="0"/>
            <w:vAlign w:val="center"/>
          </w:tcPr>
          <w:p w14:paraId="59FECA5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W2</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7B115CD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最大值</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344E0FA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6.89</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104F3A4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8</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7F52036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1.3</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1AFDA5D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0.877</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3502C18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0.18</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4B31B0B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5.4</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31C3817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70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5B3775C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0.04</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9933B4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0.08</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E8B410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0.004L</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09F6F83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0.00008</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876877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0.01L</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7D1E9EC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71382D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0.0028</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0C74309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0.009</w:t>
            </w:r>
          </w:p>
        </w:tc>
      </w:tr>
      <w:tr w14:paraId="405958C5">
        <w:tblPrEx>
          <w:tblCellMar>
            <w:top w:w="0" w:type="dxa"/>
            <w:left w:w="0" w:type="dxa"/>
            <w:bottom w:w="0" w:type="dxa"/>
            <w:right w:w="0" w:type="dxa"/>
          </w:tblCellMar>
        </w:tblPrEx>
        <w:trPr>
          <w:trHeight w:val="532" w:hRule="exact"/>
          <w:jc w:val="center"/>
        </w:trPr>
        <w:tc>
          <w:tcPr>
            <w:tcW w:w="521" w:type="dxa"/>
            <w:vMerge w:val="continue"/>
            <w:tcBorders>
              <w:left w:val="single" w:color="000000" w:sz="4" w:space="0"/>
              <w:right w:val="single" w:color="000000" w:sz="4" w:space="0"/>
            </w:tcBorders>
            <w:noWrap w:val="0"/>
            <w:vAlign w:val="center"/>
          </w:tcPr>
          <w:p w14:paraId="5B3F3874">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7F72409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标准指数</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6D1CF58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0.13</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779FDEF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0.4</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42E2A2C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0.325</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609C493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0.877</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E1D21C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0.9</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4A8BB1D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0.91</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3096A6F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0.007</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00DB2AC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0.8</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01B7009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0.08</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1523EC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7AE72E5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0.8</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0B21A6B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7DA183B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C444C0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0.056</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56C7F55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0.18</w:t>
            </w:r>
          </w:p>
        </w:tc>
      </w:tr>
      <w:tr w14:paraId="08B6780A">
        <w:tblPrEx>
          <w:tblCellMar>
            <w:top w:w="0" w:type="dxa"/>
            <w:left w:w="0" w:type="dxa"/>
            <w:bottom w:w="0" w:type="dxa"/>
            <w:right w:w="0" w:type="dxa"/>
          </w:tblCellMar>
        </w:tblPrEx>
        <w:trPr>
          <w:trHeight w:val="532" w:hRule="exact"/>
          <w:jc w:val="center"/>
        </w:trPr>
        <w:tc>
          <w:tcPr>
            <w:tcW w:w="521" w:type="dxa"/>
            <w:vMerge w:val="continue"/>
            <w:tcBorders>
              <w:left w:val="single" w:color="000000" w:sz="4" w:space="0"/>
              <w:right w:val="single" w:color="000000" w:sz="4" w:space="0"/>
            </w:tcBorders>
            <w:noWrap w:val="0"/>
            <w:vAlign w:val="center"/>
          </w:tcPr>
          <w:p w14:paraId="3156A373">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3652F2D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超标倍数</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008FCFF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6B1817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7E74FC2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64A4C2B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187F9E4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39E465C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4A0CEB0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1EF892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C8E214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A02F29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2CE6130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93877D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1D6466F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81E1F0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6C87677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r>
      <w:tr w14:paraId="18251CF9">
        <w:tblPrEx>
          <w:tblCellMar>
            <w:top w:w="0" w:type="dxa"/>
            <w:left w:w="0" w:type="dxa"/>
            <w:bottom w:w="0" w:type="dxa"/>
            <w:right w:w="0" w:type="dxa"/>
          </w:tblCellMar>
        </w:tblPrEx>
        <w:trPr>
          <w:trHeight w:val="532" w:hRule="exact"/>
          <w:jc w:val="center"/>
        </w:trPr>
        <w:tc>
          <w:tcPr>
            <w:tcW w:w="521" w:type="dxa"/>
            <w:vMerge w:val="continue"/>
            <w:tcBorders>
              <w:left w:val="single" w:color="000000" w:sz="4" w:space="0"/>
              <w:bottom w:val="single" w:color="000000" w:sz="4" w:space="0"/>
              <w:right w:val="single" w:color="000000" w:sz="4" w:space="0"/>
            </w:tcBorders>
            <w:noWrap w:val="0"/>
            <w:vAlign w:val="center"/>
          </w:tcPr>
          <w:p w14:paraId="5C93E262">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2E556C4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评价</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40A18D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2B1BB55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09E6F65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772CD5E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55537C4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401A344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38F7AFD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77299F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1224D51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965440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534715D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295BD4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5E5C1E9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900ECF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7FD8561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r w14:paraId="0CDE5066">
        <w:tblPrEx>
          <w:tblCellMar>
            <w:top w:w="0" w:type="dxa"/>
            <w:left w:w="0" w:type="dxa"/>
            <w:bottom w:w="0" w:type="dxa"/>
            <w:right w:w="0" w:type="dxa"/>
          </w:tblCellMar>
        </w:tblPrEx>
        <w:trPr>
          <w:trHeight w:val="532" w:hRule="exact"/>
          <w:jc w:val="center"/>
        </w:trPr>
        <w:tc>
          <w:tcPr>
            <w:tcW w:w="521" w:type="dxa"/>
            <w:vMerge w:val="restart"/>
            <w:tcBorders>
              <w:top w:val="single" w:color="000000" w:sz="4" w:space="0"/>
              <w:left w:val="single" w:color="000000" w:sz="4" w:space="0"/>
              <w:right w:val="single" w:color="000000" w:sz="4" w:space="0"/>
            </w:tcBorders>
            <w:noWrap w:val="0"/>
            <w:vAlign w:val="center"/>
          </w:tcPr>
          <w:p w14:paraId="2D8E2D7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W3</w:t>
            </w: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62D395D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最大值</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1A2971A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7.33</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408F805B">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10</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1661E4D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1.7</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60F2C2E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0.978</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A2A085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0.18</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3A71657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5.9</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2FB8239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170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1CA2B74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0.04</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2C5A5B0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0.11</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7A55F5E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0.004L</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270F84F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0.00009</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A47334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0.01L</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3F7581A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DB9BE5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0.0016</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17A45AD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0.008</w:t>
            </w:r>
          </w:p>
        </w:tc>
      </w:tr>
      <w:tr w14:paraId="13194A63">
        <w:tblPrEx>
          <w:tblCellMar>
            <w:top w:w="0" w:type="dxa"/>
            <w:left w:w="0" w:type="dxa"/>
            <w:bottom w:w="0" w:type="dxa"/>
            <w:right w:w="0" w:type="dxa"/>
          </w:tblCellMar>
        </w:tblPrEx>
        <w:trPr>
          <w:trHeight w:val="532" w:hRule="exact"/>
          <w:jc w:val="center"/>
        </w:trPr>
        <w:tc>
          <w:tcPr>
            <w:tcW w:w="521" w:type="dxa"/>
            <w:vMerge w:val="continue"/>
            <w:tcBorders>
              <w:left w:val="single" w:color="000000" w:sz="4" w:space="0"/>
              <w:right w:val="single" w:color="000000" w:sz="4" w:space="0"/>
            </w:tcBorders>
            <w:noWrap w:val="0"/>
            <w:vAlign w:val="center"/>
          </w:tcPr>
          <w:p w14:paraId="07485E6B">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27FD0AF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标准指数</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04695F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0.165</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782ADCB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0.5</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6DC9BD8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0.425</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3803D55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0.978</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FEB782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0.9</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39F63AF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0.8</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79E0836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0.017</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500CBAD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0.8</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65A75FA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0.11</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4E9019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607EDCD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0.9</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117E35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2D3A29E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0.02</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59EA84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0.032</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14A335F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0.16</w:t>
            </w:r>
          </w:p>
        </w:tc>
      </w:tr>
      <w:tr w14:paraId="01DC8C6E">
        <w:tblPrEx>
          <w:tblCellMar>
            <w:top w:w="0" w:type="dxa"/>
            <w:left w:w="0" w:type="dxa"/>
            <w:bottom w:w="0" w:type="dxa"/>
            <w:right w:w="0" w:type="dxa"/>
          </w:tblCellMar>
        </w:tblPrEx>
        <w:trPr>
          <w:trHeight w:val="532" w:hRule="exact"/>
          <w:jc w:val="center"/>
        </w:trPr>
        <w:tc>
          <w:tcPr>
            <w:tcW w:w="521" w:type="dxa"/>
            <w:vMerge w:val="continue"/>
            <w:tcBorders>
              <w:left w:val="single" w:color="000000" w:sz="4" w:space="0"/>
              <w:right w:val="single" w:color="000000" w:sz="4" w:space="0"/>
            </w:tcBorders>
            <w:noWrap w:val="0"/>
            <w:vAlign w:val="center"/>
          </w:tcPr>
          <w:p w14:paraId="0B62B69B">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294FB65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超标倍数</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7F14E50E">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5CDA9FE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73FF6EC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07CFB04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759AB8D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4DE0F86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4D9CD5F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3AC3EB39">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11BCE19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8012291">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4BF99942">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64E9B7F">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186C4C5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5FBEFA5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7E80F10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0</w:t>
            </w:r>
          </w:p>
        </w:tc>
      </w:tr>
      <w:tr w14:paraId="73F3191E">
        <w:tblPrEx>
          <w:tblCellMar>
            <w:top w:w="0" w:type="dxa"/>
            <w:left w:w="0" w:type="dxa"/>
            <w:bottom w:w="0" w:type="dxa"/>
            <w:right w:w="0" w:type="dxa"/>
          </w:tblCellMar>
        </w:tblPrEx>
        <w:trPr>
          <w:trHeight w:val="563" w:hRule="exact"/>
          <w:jc w:val="center"/>
        </w:trPr>
        <w:tc>
          <w:tcPr>
            <w:tcW w:w="521" w:type="dxa"/>
            <w:vMerge w:val="continue"/>
            <w:tcBorders>
              <w:left w:val="single" w:color="000000" w:sz="4" w:space="0"/>
              <w:bottom w:val="single" w:color="000000" w:sz="4" w:space="0"/>
              <w:right w:val="single" w:color="000000" w:sz="4" w:space="0"/>
            </w:tcBorders>
            <w:noWrap w:val="0"/>
            <w:vAlign w:val="center"/>
          </w:tcPr>
          <w:p w14:paraId="599F9DD9">
            <w:pPr>
              <w:pStyle w:val="1259"/>
              <w:spacing w:line="240" w:lineRule="auto"/>
              <w:ind w:right="60"/>
              <w:jc w:val="center"/>
              <w:rPr>
                <w:rFonts w:hint="eastAsia" w:ascii="Times New Roman" w:hAnsi="Times New Roman" w:eastAsia="宋体" w:cs="Times New Roman"/>
                <w:color w:val="auto"/>
                <w:sz w:val="21"/>
                <w:szCs w:val="21"/>
                <w:lang w:eastAsia="zh-CN"/>
              </w:rPr>
            </w:pPr>
          </w:p>
        </w:tc>
        <w:tc>
          <w:tcPr>
            <w:tcW w:w="522" w:type="dxa"/>
            <w:tcBorders>
              <w:top w:val="single" w:color="000000" w:sz="4" w:space="0"/>
              <w:left w:val="single" w:color="000000" w:sz="4" w:space="0"/>
              <w:bottom w:val="single" w:color="000000" w:sz="4" w:space="0"/>
              <w:right w:val="single" w:color="000000" w:sz="4" w:space="0"/>
            </w:tcBorders>
            <w:noWrap w:val="0"/>
            <w:vAlign w:val="center"/>
          </w:tcPr>
          <w:p w14:paraId="45BA0B4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评价</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14:paraId="44A3C45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03" w:type="dxa"/>
            <w:tcBorders>
              <w:top w:val="single" w:color="000000" w:sz="4" w:space="0"/>
              <w:left w:val="single" w:color="000000" w:sz="4" w:space="0"/>
              <w:bottom w:val="single" w:color="000000" w:sz="4" w:space="0"/>
              <w:right w:val="single" w:color="000000" w:sz="4" w:space="0"/>
            </w:tcBorders>
            <w:noWrap w:val="0"/>
            <w:vAlign w:val="center"/>
          </w:tcPr>
          <w:p w14:paraId="6392378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42" w:type="dxa"/>
            <w:tcBorders>
              <w:top w:val="single" w:color="000000" w:sz="4" w:space="0"/>
              <w:left w:val="single" w:color="000000" w:sz="4" w:space="0"/>
              <w:bottom w:val="single" w:color="000000" w:sz="4" w:space="0"/>
              <w:right w:val="single" w:color="000000" w:sz="4" w:space="0"/>
            </w:tcBorders>
            <w:noWrap w:val="0"/>
            <w:vAlign w:val="center"/>
          </w:tcPr>
          <w:p w14:paraId="5730BD5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618" w:type="dxa"/>
            <w:tcBorders>
              <w:top w:val="single" w:color="000000" w:sz="4" w:space="0"/>
              <w:left w:val="single" w:color="000000" w:sz="4" w:space="0"/>
              <w:bottom w:val="single" w:color="000000" w:sz="4" w:space="0"/>
              <w:right w:val="single" w:color="000000" w:sz="4" w:space="0"/>
            </w:tcBorders>
            <w:noWrap w:val="0"/>
            <w:vAlign w:val="center"/>
          </w:tcPr>
          <w:p w14:paraId="52A3328A">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AD806ED">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83" w:type="dxa"/>
            <w:tcBorders>
              <w:top w:val="single" w:color="000000" w:sz="4" w:space="0"/>
              <w:left w:val="single" w:color="000000" w:sz="4" w:space="0"/>
              <w:bottom w:val="single" w:color="000000" w:sz="4" w:space="0"/>
              <w:right w:val="single" w:color="000000" w:sz="4" w:space="0"/>
            </w:tcBorders>
            <w:noWrap w:val="0"/>
            <w:vAlign w:val="center"/>
          </w:tcPr>
          <w:p w14:paraId="68AF3EE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14:paraId="66ACABE7">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4D98D558">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39CDFC60">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155568E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6" w:type="dxa"/>
            <w:tcBorders>
              <w:top w:val="single" w:color="000000" w:sz="4" w:space="0"/>
              <w:left w:val="single" w:color="000000" w:sz="4" w:space="0"/>
              <w:bottom w:val="single" w:color="000000" w:sz="4" w:space="0"/>
              <w:right w:val="single" w:color="000000" w:sz="4" w:space="0"/>
            </w:tcBorders>
            <w:noWrap w:val="0"/>
            <w:vAlign w:val="center"/>
          </w:tcPr>
          <w:p w14:paraId="14915C46">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650208A5">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4" w:type="dxa"/>
            <w:tcBorders>
              <w:top w:val="single" w:color="000000" w:sz="4" w:space="0"/>
              <w:left w:val="single" w:color="000000" w:sz="4" w:space="0"/>
              <w:bottom w:val="single" w:color="000000" w:sz="4" w:space="0"/>
              <w:right w:val="single" w:color="000000" w:sz="4" w:space="0"/>
            </w:tcBorders>
            <w:noWrap w:val="0"/>
            <w:vAlign w:val="center"/>
          </w:tcPr>
          <w:p w14:paraId="0A98568C">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5" w:type="dxa"/>
            <w:tcBorders>
              <w:top w:val="single" w:color="000000" w:sz="4" w:space="0"/>
              <w:left w:val="single" w:color="000000" w:sz="4" w:space="0"/>
              <w:bottom w:val="single" w:color="000000" w:sz="4" w:space="0"/>
              <w:right w:val="single" w:color="000000" w:sz="4" w:space="0"/>
            </w:tcBorders>
            <w:noWrap w:val="0"/>
            <w:vAlign w:val="center"/>
          </w:tcPr>
          <w:p w14:paraId="22E08643">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c>
          <w:tcPr>
            <w:tcW w:w="520" w:type="dxa"/>
            <w:tcBorders>
              <w:top w:val="single" w:color="000000" w:sz="4" w:space="0"/>
              <w:left w:val="single" w:color="000000" w:sz="4" w:space="0"/>
              <w:bottom w:val="single" w:color="000000" w:sz="4" w:space="0"/>
              <w:right w:val="single" w:color="000000" w:sz="4" w:space="0"/>
            </w:tcBorders>
            <w:noWrap w:val="0"/>
            <w:vAlign w:val="center"/>
          </w:tcPr>
          <w:p w14:paraId="141609B4">
            <w:pPr>
              <w:pStyle w:val="1259"/>
              <w:spacing w:line="240" w:lineRule="auto"/>
              <w:ind w:right="6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bl>
    <w:p w14:paraId="1910FFE8">
      <w:pPr>
        <w:autoSpaceDE w:val="0"/>
        <w:autoSpaceDN w:val="0"/>
        <w:ind w:firstLine="482"/>
        <w:jc w:val="center"/>
        <w:rPr>
          <w:rFonts w:ascii="Times New Roman" w:hAnsi="Times New Roman" w:cs="Times New Roman"/>
          <w:b/>
          <w:bCs/>
          <w:color w:val="auto"/>
          <w:kern w:val="0"/>
          <w:sz w:val="24"/>
        </w:rPr>
      </w:pPr>
    </w:p>
    <w:p w14:paraId="7D3D5690">
      <w:pPr>
        <w:spacing w:line="360" w:lineRule="auto"/>
        <w:ind w:firstLine="480" w:firstLineChars="200"/>
        <w:rPr>
          <w:rFonts w:hint="default" w:ascii="Times New Roman" w:hAnsi="Times New Roman" w:eastAsia="宋体" w:cs="Times New Roman"/>
          <w:b/>
          <w:bCs/>
          <w:color w:val="auto"/>
          <w:sz w:val="21"/>
          <w:szCs w:val="21"/>
        </w:rPr>
      </w:pPr>
      <w:r>
        <w:rPr>
          <w:rFonts w:hint="eastAsia" w:ascii="Times New Roman" w:hAnsi="Times New Roman" w:eastAsia="宋体" w:cs="Times New Roman"/>
          <w:color w:val="auto"/>
          <w:sz w:val="24"/>
        </w:rPr>
        <w:t>由表4</w:t>
      </w:r>
      <w:r>
        <w:rPr>
          <w:rFonts w:hint="eastAsia" w:ascii="Times New Roman" w:hAnsi="Times New Roman" w:eastAsia="宋体" w:cs="Times New Roman"/>
          <w:color w:val="auto"/>
          <w:sz w:val="24"/>
          <w:lang w:val="en-US" w:eastAsia="zh-CN"/>
        </w:rPr>
        <w:t>.3-10</w:t>
      </w:r>
      <w:r>
        <w:rPr>
          <w:rFonts w:hint="eastAsia" w:ascii="Times New Roman" w:hAnsi="Times New Roman" w:eastAsia="宋体" w:cs="Times New Roman"/>
          <w:color w:val="auto"/>
          <w:sz w:val="24"/>
          <w:lang w:eastAsia="zh-CN"/>
        </w:rPr>
        <w:t>的</w:t>
      </w:r>
      <w:r>
        <w:rPr>
          <w:rFonts w:hint="eastAsia" w:ascii="Times New Roman" w:hAnsi="Times New Roman" w:eastAsia="宋体" w:cs="Times New Roman"/>
          <w:color w:val="auto"/>
          <w:sz w:val="24"/>
        </w:rPr>
        <w:t>监测数据可知，监测期间对芒市河、戈朗河进行采样的W1、W2、W3 监测点各污染因子均能均达到《地表水环境质量标准》（GB3838-2002）III 类标准，项目区域地表水环境质量较好。</w:t>
      </w:r>
    </w:p>
    <w:p w14:paraId="75DC4922">
      <w:pPr>
        <w:keepNext/>
        <w:keepLines/>
        <w:adjustRightInd w:val="0"/>
        <w:snapToGrid w:val="0"/>
        <w:spacing w:beforeLines="5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4.3.4地下水环境</w:t>
      </w:r>
    </w:p>
    <w:p w14:paraId="15416A8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评级区域内无地下水生活用水供水水源地，居民生活用水取自自来水管网统一供给，地下水开发利用活动较少。为了解项目区地下水水质情况，</w:t>
      </w:r>
      <w:r>
        <w:rPr>
          <w:rFonts w:hint="default" w:ascii="Times New Roman" w:hAnsi="Times New Roman" w:eastAsia="宋体" w:cs="Times New Roman"/>
          <w:color w:val="auto"/>
          <w:sz w:val="24"/>
          <w:lang w:eastAsia="zh-CN"/>
        </w:rPr>
        <w:t>项目引用</w:t>
      </w:r>
      <w:r>
        <w:rPr>
          <w:rFonts w:hint="default" w:ascii="Times New Roman" w:hAnsi="Times New Roman" w:eastAsia="宋体" w:cs="Times New Roman"/>
          <w:color w:val="auto"/>
          <w:sz w:val="24"/>
        </w:rPr>
        <w:t>云南省环境科学研究院分析测试中心于2016年06月26日-06月27日对弄转村、帕底村水井水质</w:t>
      </w:r>
      <w:r>
        <w:rPr>
          <w:rFonts w:hint="default" w:ascii="Times New Roman" w:hAnsi="Times New Roman" w:eastAsia="宋体" w:cs="Times New Roman"/>
          <w:color w:val="auto"/>
          <w:sz w:val="24"/>
          <w:lang w:eastAsia="zh-CN"/>
        </w:rPr>
        <w:t>的</w:t>
      </w:r>
      <w:r>
        <w:rPr>
          <w:rFonts w:hint="default" w:ascii="Times New Roman" w:hAnsi="Times New Roman" w:eastAsia="宋体" w:cs="Times New Roman"/>
          <w:color w:val="auto"/>
          <w:sz w:val="24"/>
        </w:rPr>
        <w:t>现状监测</w:t>
      </w:r>
      <w:r>
        <w:rPr>
          <w:rFonts w:hint="default" w:ascii="Times New Roman" w:hAnsi="Times New Roman" w:eastAsia="宋体" w:cs="Times New Roman"/>
          <w:color w:val="auto"/>
          <w:sz w:val="24"/>
          <w:lang w:eastAsia="zh-CN"/>
        </w:rPr>
        <w:t>数据</w:t>
      </w:r>
      <w:r>
        <w:rPr>
          <w:rFonts w:hint="default" w:ascii="Times New Roman" w:hAnsi="Times New Roman" w:eastAsia="宋体" w:cs="Times New Roman"/>
          <w:color w:val="auto"/>
          <w:sz w:val="24"/>
        </w:rPr>
        <w:t>。</w:t>
      </w:r>
    </w:p>
    <w:p w14:paraId="6A6C32F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监测布点：弄转村、帕底村水井。</w:t>
      </w:r>
    </w:p>
    <w:p w14:paraId="11884234">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监测项目：</w:t>
      </w:r>
      <w:r>
        <w:rPr>
          <w:rFonts w:hint="default" w:ascii="Times New Roman" w:hAnsi="Times New Roman" w:eastAsia="宋体" w:cs="Times New Roman"/>
          <w:bCs/>
          <w:color w:val="auto"/>
          <w:sz w:val="24"/>
        </w:rPr>
        <w:t>pH值</w:t>
      </w:r>
      <w:r>
        <w:rPr>
          <w:rFonts w:hint="default" w:ascii="Times New Roman" w:hAnsi="Times New Roman" w:eastAsia="宋体" w:cs="Times New Roman"/>
          <w:color w:val="auto"/>
          <w:sz w:val="24"/>
        </w:rPr>
        <w:t>、高锰酸盐指数、</w:t>
      </w:r>
      <w:r>
        <w:rPr>
          <w:rFonts w:hint="default" w:ascii="Times New Roman" w:hAnsi="Times New Roman" w:eastAsia="宋体" w:cs="Times New Roman"/>
          <w:bCs/>
          <w:color w:val="auto"/>
          <w:sz w:val="24"/>
        </w:rPr>
        <w:t>氨氮、</w:t>
      </w:r>
      <w:r>
        <w:rPr>
          <w:rFonts w:hint="default" w:ascii="Times New Roman" w:hAnsi="Times New Roman" w:eastAsia="宋体" w:cs="Times New Roman"/>
          <w:color w:val="auto"/>
          <w:sz w:val="24"/>
        </w:rPr>
        <w:t>砷、铜、锌、铅、镉、镍、铁、锰、汞、六价铬、挥发性酚、氟化物、硫酸盐、总大肠菌群</w:t>
      </w:r>
      <w:r>
        <w:rPr>
          <w:rFonts w:hint="default" w:ascii="Times New Roman" w:hAnsi="Times New Roman" w:eastAsia="宋体" w:cs="Times New Roman"/>
          <w:color w:val="auto"/>
          <w:sz w:val="24"/>
          <w:szCs w:val="20"/>
        </w:rPr>
        <w:t>。</w:t>
      </w:r>
    </w:p>
    <w:p w14:paraId="256C3110">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监测频率：监测三天。监测结果见表4.3-10。</w:t>
      </w:r>
    </w:p>
    <w:p w14:paraId="6CDBFCEB">
      <w:pPr>
        <w:jc w:val="center"/>
        <w:rPr>
          <w:rFonts w:hint="default" w:ascii="Times New Roman" w:hAnsi="Times New Roman" w:eastAsia="宋体" w:cs="Times New Roman"/>
          <w:b/>
          <w:color w:val="auto"/>
          <w:sz w:val="24"/>
        </w:rPr>
      </w:pPr>
    </w:p>
    <w:p w14:paraId="29AF4386">
      <w:pPr>
        <w:jc w:val="center"/>
        <w:rPr>
          <w:rFonts w:hint="default" w:ascii="Times New Roman" w:hAnsi="Times New Roman" w:eastAsia="宋体" w:cs="Times New Roman"/>
          <w:b/>
          <w:color w:val="auto"/>
          <w:sz w:val="24"/>
        </w:rPr>
      </w:pPr>
    </w:p>
    <w:p w14:paraId="198C7073">
      <w:pPr>
        <w:jc w:val="center"/>
        <w:rPr>
          <w:rFonts w:hint="default" w:ascii="Times New Roman" w:hAnsi="Times New Roman" w:eastAsia="宋体" w:cs="Times New Roman"/>
          <w:b/>
          <w:color w:val="auto"/>
          <w:sz w:val="24"/>
        </w:rPr>
      </w:pPr>
    </w:p>
    <w:p w14:paraId="28694D6C">
      <w:pPr>
        <w:jc w:val="center"/>
        <w:rPr>
          <w:rFonts w:hint="default" w:ascii="Times New Roman" w:hAnsi="Times New Roman" w:eastAsia="宋体" w:cs="Times New Roman"/>
          <w:b/>
          <w:color w:val="auto"/>
          <w:sz w:val="24"/>
        </w:rPr>
      </w:pPr>
    </w:p>
    <w:p w14:paraId="7F60C883">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表4.3-10  水质现状监测结果表</w:t>
      </w:r>
    </w:p>
    <w:tbl>
      <w:tblPr>
        <w:tblStyle w:val="66"/>
        <w:tblW w:w="91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137"/>
        <w:gridCol w:w="1794"/>
        <w:gridCol w:w="1843"/>
        <w:gridCol w:w="1778"/>
      </w:tblGrid>
      <w:tr w14:paraId="0EB4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trPr>
        <w:tc>
          <w:tcPr>
            <w:tcW w:w="1564" w:type="dxa"/>
            <w:tcBorders>
              <w:top w:val="single" w:color="auto" w:sz="8" w:space="0"/>
              <w:left w:val="single" w:color="auto" w:sz="8" w:space="0"/>
              <w:bottom w:val="single" w:color="auto" w:sz="4" w:space="0"/>
            </w:tcBorders>
            <w:shd w:val="clear" w:color="auto" w:fill="auto"/>
            <w:noWrap w:val="0"/>
            <w:vAlign w:val="center"/>
          </w:tcPr>
          <w:p w14:paraId="4AAFFE75">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  目</w:t>
            </w:r>
          </w:p>
        </w:tc>
        <w:tc>
          <w:tcPr>
            <w:tcW w:w="2137" w:type="dxa"/>
            <w:tcBorders>
              <w:top w:val="single" w:color="auto" w:sz="8" w:space="0"/>
              <w:bottom w:val="single" w:color="auto" w:sz="4" w:space="0"/>
              <w:right w:val="single" w:color="auto" w:sz="4" w:space="0"/>
            </w:tcBorders>
            <w:shd w:val="clear" w:color="auto" w:fill="auto"/>
            <w:noWrap w:val="0"/>
            <w:vAlign w:val="center"/>
          </w:tcPr>
          <w:p w14:paraId="6023198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弄转村井水</w:t>
            </w:r>
          </w:p>
        </w:tc>
        <w:tc>
          <w:tcPr>
            <w:tcW w:w="1794" w:type="dxa"/>
            <w:tcBorders>
              <w:top w:val="single" w:color="auto" w:sz="8" w:space="0"/>
              <w:bottom w:val="single" w:color="auto" w:sz="4" w:space="0"/>
              <w:right w:val="single" w:color="auto" w:sz="4" w:space="0"/>
            </w:tcBorders>
            <w:shd w:val="clear" w:color="auto" w:fill="auto"/>
            <w:noWrap w:val="0"/>
            <w:vAlign w:val="center"/>
          </w:tcPr>
          <w:p w14:paraId="6C407240">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帕底村水井</w:t>
            </w:r>
          </w:p>
        </w:tc>
        <w:tc>
          <w:tcPr>
            <w:tcW w:w="1843" w:type="dxa"/>
            <w:tcBorders>
              <w:top w:val="single" w:color="auto" w:sz="8" w:space="0"/>
              <w:bottom w:val="single" w:color="auto" w:sz="4" w:space="0"/>
              <w:right w:val="single" w:color="auto" w:sz="4" w:space="0"/>
            </w:tcBorders>
            <w:noWrap w:val="0"/>
            <w:vAlign w:val="top"/>
          </w:tcPr>
          <w:p w14:paraId="7D1472C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778" w:type="dxa"/>
            <w:tcBorders>
              <w:top w:val="single" w:color="auto" w:sz="8" w:space="0"/>
              <w:bottom w:val="single" w:color="auto" w:sz="4" w:space="0"/>
              <w:right w:val="single" w:color="auto" w:sz="4" w:space="0"/>
            </w:tcBorders>
            <w:noWrap w:val="0"/>
            <w:vAlign w:val="top"/>
          </w:tcPr>
          <w:p w14:paraId="06BF54C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69EA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64" w:type="dxa"/>
            <w:vMerge w:val="restart"/>
            <w:tcBorders>
              <w:top w:val="single" w:color="auto" w:sz="4" w:space="0"/>
              <w:left w:val="single" w:color="auto" w:sz="8" w:space="0"/>
            </w:tcBorders>
            <w:shd w:val="clear" w:color="auto" w:fill="auto"/>
            <w:noWrap w:val="0"/>
            <w:vAlign w:val="center"/>
          </w:tcPr>
          <w:p w14:paraId="783F26B5">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p>
          <w:p w14:paraId="2183F840">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(无量纲)</w:t>
            </w:r>
          </w:p>
        </w:tc>
        <w:tc>
          <w:tcPr>
            <w:tcW w:w="2137" w:type="dxa"/>
            <w:tcBorders>
              <w:top w:val="single" w:color="auto" w:sz="4" w:space="0"/>
              <w:right w:val="single" w:color="auto" w:sz="4" w:space="0"/>
            </w:tcBorders>
            <w:shd w:val="clear" w:color="auto" w:fill="auto"/>
            <w:noWrap w:val="0"/>
            <w:vAlign w:val="center"/>
          </w:tcPr>
          <w:p w14:paraId="752418A2">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7.15</w:t>
            </w:r>
          </w:p>
        </w:tc>
        <w:tc>
          <w:tcPr>
            <w:tcW w:w="1794" w:type="dxa"/>
            <w:tcBorders>
              <w:top w:val="single" w:color="auto" w:sz="4" w:space="0"/>
              <w:right w:val="single" w:color="auto" w:sz="4" w:space="0"/>
            </w:tcBorders>
            <w:shd w:val="clear" w:color="auto" w:fill="auto"/>
            <w:noWrap w:val="0"/>
            <w:vAlign w:val="center"/>
          </w:tcPr>
          <w:p w14:paraId="49840EFA">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7.18</w:t>
            </w:r>
          </w:p>
        </w:tc>
        <w:tc>
          <w:tcPr>
            <w:tcW w:w="1843" w:type="dxa"/>
            <w:vMerge w:val="restart"/>
            <w:tcBorders>
              <w:top w:val="single" w:color="auto" w:sz="4" w:space="0"/>
              <w:right w:val="single" w:color="auto" w:sz="4" w:space="0"/>
            </w:tcBorders>
            <w:noWrap w:val="0"/>
            <w:vAlign w:val="top"/>
          </w:tcPr>
          <w:p w14:paraId="3E1F8418">
            <w:pPr>
              <w:tabs>
                <w:tab w:val="left" w:pos="567"/>
              </w:tabs>
              <w:contextualSpacing/>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b/>
            </w:r>
            <w:r>
              <w:rPr>
                <w:rFonts w:hint="default" w:ascii="Times New Roman" w:hAnsi="Times New Roman" w:eastAsia="宋体" w:cs="Times New Roman"/>
                <w:color w:val="auto"/>
                <w:sz w:val="21"/>
                <w:szCs w:val="21"/>
              </w:rPr>
              <w:t>6.5-8.5</w:t>
            </w:r>
          </w:p>
        </w:tc>
        <w:tc>
          <w:tcPr>
            <w:tcW w:w="1778" w:type="dxa"/>
            <w:tcBorders>
              <w:top w:val="single" w:color="auto" w:sz="4" w:space="0"/>
              <w:right w:val="single" w:color="auto" w:sz="4" w:space="0"/>
            </w:tcBorders>
            <w:noWrap w:val="0"/>
            <w:vAlign w:val="top"/>
          </w:tcPr>
          <w:p w14:paraId="2F55E3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232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564" w:type="dxa"/>
            <w:vMerge w:val="continue"/>
            <w:tcBorders>
              <w:left w:val="single" w:color="auto" w:sz="8" w:space="0"/>
            </w:tcBorders>
            <w:shd w:val="clear" w:color="auto" w:fill="auto"/>
            <w:noWrap w:val="0"/>
            <w:vAlign w:val="center"/>
          </w:tcPr>
          <w:p w14:paraId="5C014E14">
            <w:pPr>
              <w:contextualSpacing/>
              <w:jc w:val="center"/>
              <w:rPr>
                <w:rFonts w:hint="default" w:ascii="Times New Roman" w:hAnsi="Times New Roman" w:eastAsia="宋体" w:cs="Times New Roman"/>
                <w:b/>
                <w:bCs/>
                <w:color w:val="auto"/>
                <w:sz w:val="21"/>
                <w:szCs w:val="21"/>
              </w:rPr>
            </w:pPr>
          </w:p>
        </w:tc>
        <w:tc>
          <w:tcPr>
            <w:tcW w:w="2137" w:type="dxa"/>
            <w:tcBorders>
              <w:right w:val="single" w:color="auto" w:sz="4" w:space="0"/>
            </w:tcBorders>
            <w:shd w:val="clear" w:color="auto" w:fill="auto"/>
            <w:noWrap w:val="0"/>
            <w:vAlign w:val="center"/>
          </w:tcPr>
          <w:p w14:paraId="36AE6626">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7.13</w:t>
            </w:r>
          </w:p>
        </w:tc>
        <w:tc>
          <w:tcPr>
            <w:tcW w:w="1794" w:type="dxa"/>
            <w:tcBorders>
              <w:right w:val="single" w:color="auto" w:sz="4" w:space="0"/>
            </w:tcBorders>
            <w:shd w:val="clear" w:color="auto" w:fill="auto"/>
            <w:noWrap w:val="0"/>
            <w:vAlign w:val="center"/>
          </w:tcPr>
          <w:p w14:paraId="1F849E91">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7.20</w:t>
            </w:r>
          </w:p>
        </w:tc>
        <w:tc>
          <w:tcPr>
            <w:tcW w:w="1843" w:type="dxa"/>
            <w:vMerge w:val="continue"/>
            <w:tcBorders>
              <w:right w:val="single" w:color="auto" w:sz="4" w:space="0"/>
            </w:tcBorders>
            <w:noWrap w:val="0"/>
            <w:vAlign w:val="top"/>
          </w:tcPr>
          <w:p w14:paraId="1B6091DF">
            <w:pPr>
              <w:contextualSpacing/>
              <w:jc w:val="center"/>
              <w:rPr>
                <w:rFonts w:hint="default" w:ascii="Times New Roman" w:hAnsi="Times New Roman" w:eastAsia="宋体" w:cs="Times New Roman"/>
                <w:color w:val="auto"/>
                <w:sz w:val="21"/>
                <w:szCs w:val="21"/>
              </w:rPr>
            </w:pPr>
          </w:p>
        </w:tc>
        <w:tc>
          <w:tcPr>
            <w:tcW w:w="1778" w:type="dxa"/>
            <w:tcBorders>
              <w:right w:val="single" w:color="auto" w:sz="4" w:space="0"/>
            </w:tcBorders>
            <w:noWrap w:val="0"/>
            <w:vAlign w:val="top"/>
          </w:tcPr>
          <w:p w14:paraId="3B8DCD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0CEC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0819F5AC">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高锰酸盐指数</w:t>
            </w:r>
          </w:p>
        </w:tc>
        <w:tc>
          <w:tcPr>
            <w:tcW w:w="2137" w:type="dxa"/>
            <w:tcBorders>
              <w:right w:val="single" w:color="auto" w:sz="4" w:space="0"/>
            </w:tcBorders>
            <w:shd w:val="clear" w:color="auto" w:fill="auto"/>
            <w:noWrap w:val="0"/>
            <w:vAlign w:val="center"/>
          </w:tcPr>
          <w:p w14:paraId="35226733">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794" w:type="dxa"/>
            <w:tcBorders>
              <w:right w:val="single" w:color="auto" w:sz="4" w:space="0"/>
            </w:tcBorders>
            <w:shd w:val="clear" w:color="auto" w:fill="auto"/>
            <w:noWrap w:val="0"/>
            <w:vAlign w:val="center"/>
          </w:tcPr>
          <w:p w14:paraId="4C730A72">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843" w:type="dxa"/>
            <w:vMerge w:val="restart"/>
            <w:tcBorders>
              <w:right w:val="single" w:color="auto" w:sz="4" w:space="0"/>
            </w:tcBorders>
            <w:noWrap w:val="0"/>
            <w:vAlign w:val="top"/>
          </w:tcPr>
          <w:p w14:paraId="191E0957">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778" w:type="dxa"/>
            <w:tcBorders>
              <w:right w:val="single" w:color="auto" w:sz="4" w:space="0"/>
            </w:tcBorders>
            <w:noWrap w:val="0"/>
            <w:vAlign w:val="top"/>
          </w:tcPr>
          <w:p w14:paraId="665C74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5F0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168D14D0">
            <w:pPr>
              <w:contextualSpacing/>
              <w:jc w:val="center"/>
              <w:rPr>
                <w:rFonts w:hint="default" w:ascii="Times New Roman" w:hAnsi="Times New Roman" w:eastAsia="宋体" w:cs="Times New Roman"/>
                <w:b/>
                <w:bCs/>
                <w:color w:val="auto"/>
                <w:sz w:val="21"/>
                <w:szCs w:val="21"/>
              </w:rPr>
            </w:pPr>
          </w:p>
        </w:tc>
        <w:tc>
          <w:tcPr>
            <w:tcW w:w="2137" w:type="dxa"/>
            <w:tcBorders>
              <w:right w:val="single" w:color="auto" w:sz="4" w:space="0"/>
            </w:tcBorders>
            <w:shd w:val="clear" w:color="auto" w:fill="auto"/>
            <w:noWrap w:val="0"/>
            <w:vAlign w:val="center"/>
          </w:tcPr>
          <w:p w14:paraId="23A9FF7C">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794" w:type="dxa"/>
            <w:tcBorders>
              <w:right w:val="single" w:color="auto" w:sz="4" w:space="0"/>
            </w:tcBorders>
            <w:shd w:val="clear" w:color="auto" w:fill="auto"/>
            <w:noWrap w:val="0"/>
            <w:vAlign w:val="center"/>
          </w:tcPr>
          <w:p w14:paraId="0C0247F7">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1843" w:type="dxa"/>
            <w:vMerge w:val="continue"/>
            <w:tcBorders>
              <w:right w:val="single" w:color="auto" w:sz="4" w:space="0"/>
            </w:tcBorders>
            <w:noWrap w:val="0"/>
            <w:vAlign w:val="top"/>
          </w:tcPr>
          <w:p w14:paraId="7B46E87E">
            <w:pPr>
              <w:contextualSpacing/>
              <w:jc w:val="center"/>
              <w:rPr>
                <w:rFonts w:hint="default" w:ascii="Times New Roman" w:hAnsi="Times New Roman" w:eastAsia="宋体" w:cs="Times New Roman"/>
                <w:color w:val="auto"/>
                <w:sz w:val="21"/>
                <w:szCs w:val="21"/>
              </w:rPr>
            </w:pPr>
          </w:p>
        </w:tc>
        <w:tc>
          <w:tcPr>
            <w:tcW w:w="1778" w:type="dxa"/>
            <w:tcBorders>
              <w:right w:val="single" w:color="auto" w:sz="4" w:space="0"/>
            </w:tcBorders>
            <w:noWrap w:val="0"/>
            <w:vAlign w:val="top"/>
          </w:tcPr>
          <w:p w14:paraId="67D2B1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263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1A42B274">
            <w:pPr>
              <w:ind w:left="-197" w:leftChars="-82" w:firstLine="209" w:firstLineChars="99"/>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氨氮</w:t>
            </w:r>
          </w:p>
        </w:tc>
        <w:tc>
          <w:tcPr>
            <w:tcW w:w="2137" w:type="dxa"/>
            <w:shd w:val="clear" w:color="auto" w:fill="auto"/>
            <w:noWrap w:val="0"/>
            <w:vAlign w:val="center"/>
          </w:tcPr>
          <w:p w14:paraId="6A8752CD">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&lt;0.025</w:t>
            </w:r>
          </w:p>
        </w:tc>
        <w:tc>
          <w:tcPr>
            <w:tcW w:w="1794" w:type="dxa"/>
            <w:shd w:val="clear" w:color="auto" w:fill="auto"/>
            <w:noWrap w:val="0"/>
            <w:vAlign w:val="center"/>
          </w:tcPr>
          <w:p w14:paraId="0CD915CA">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&lt;0.025</w:t>
            </w:r>
          </w:p>
        </w:tc>
        <w:tc>
          <w:tcPr>
            <w:tcW w:w="1843" w:type="dxa"/>
            <w:vMerge w:val="restart"/>
            <w:noWrap w:val="0"/>
            <w:vAlign w:val="top"/>
          </w:tcPr>
          <w:p w14:paraId="3C78D1FF">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1778" w:type="dxa"/>
            <w:noWrap w:val="0"/>
            <w:vAlign w:val="top"/>
          </w:tcPr>
          <w:p w14:paraId="7C07F73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07A4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0F5B1AE4">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center"/>
          </w:tcPr>
          <w:p w14:paraId="278CF997">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&lt;0.025</w:t>
            </w:r>
          </w:p>
        </w:tc>
        <w:tc>
          <w:tcPr>
            <w:tcW w:w="1794" w:type="dxa"/>
            <w:shd w:val="clear" w:color="auto" w:fill="auto"/>
            <w:noWrap w:val="0"/>
            <w:vAlign w:val="center"/>
          </w:tcPr>
          <w:p w14:paraId="408AD02F">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&lt;0.025</w:t>
            </w:r>
          </w:p>
        </w:tc>
        <w:tc>
          <w:tcPr>
            <w:tcW w:w="1843" w:type="dxa"/>
            <w:vMerge w:val="continue"/>
            <w:noWrap w:val="0"/>
            <w:vAlign w:val="top"/>
          </w:tcPr>
          <w:p w14:paraId="71E1F8EB">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638D3CE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290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4CAEBC20">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砷</w:t>
            </w:r>
          </w:p>
        </w:tc>
        <w:tc>
          <w:tcPr>
            <w:tcW w:w="2137" w:type="dxa"/>
            <w:shd w:val="clear" w:color="auto" w:fill="auto"/>
            <w:noWrap w:val="0"/>
            <w:vAlign w:val="center"/>
          </w:tcPr>
          <w:p w14:paraId="5849A16B">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794" w:type="dxa"/>
            <w:shd w:val="clear" w:color="auto" w:fill="auto"/>
            <w:noWrap w:val="0"/>
            <w:vAlign w:val="center"/>
          </w:tcPr>
          <w:p w14:paraId="16EA01CF">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843" w:type="dxa"/>
            <w:vMerge w:val="restart"/>
            <w:noWrap w:val="0"/>
            <w:vAlign w:val="top"/>
          </w:tcPr>
          <w:p w14:paraId="440A694B">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778" w:type="dxa"/>
            <w:noWrap w:val="0"/>
            <w:vAlign w:val="top"/>
          </w:tcPr>
          <w:p w14:paraId="309DA1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43C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6EB9105C">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center"/>
          </w:tcPr>
          <w:p w14:paraId="59926604">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794" w:type="dxa"/>
            <w:shd w:val="clear" w:color="auto" w:fill="auto"/>
            <w:noWrap w:val="0"/>
            <w:vAlign w:val="center"/>
          </w:tcPr>
          <w:p w14:paraId="76A182F3">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&lt;0.007</w:t>
            </w:r>
          </w:p>
        </w:tc>
        <w:tc>
          <w:tcPr>
            <w:tcW w:w="1843" w:type="dxa"/>
            <w:vMerge w:val="continue"/>
            <w:noWrap w:val="0"/>
            <w:vAlign w:val="top"/>
          </w:tcPr>
          <w:p w14:paraId="424210DB">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5537D7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8112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08561E05">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铜</w:t>
            </w:r>
          </w:p>
        </w:tc>
        <w:tc>
          <w:tcPr>
            <w:tcW w:w="2137" w:type="dxa"/>
            <w:shd w:val="clear" w:color="auto" w:fill="auto"/>
            <w:noWrap w:val="0"/>
            <w:vAlign w:val="center"/>
          </w:tcPr>
          <w:p w14:paraId="2F2994EA">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794" w:type="dxa"/>
            <w:shd w:val="clear" w:color="auto" w:fill="auto"/>
            <w:noWrap w:val="0"/>
            <w:vAlign w:val="center"/>
          </w:tcPr>
          <w:p w14:paraId="009D0203">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843" w:type="dxa"/>
            <w:vMerge w:val="restart"/>
            <w:noWrap w:val="0"/>
            <w:vAlign w:val="top"/>
          </w:tcPr>
          <w:p w14:paraId="72A690AB">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778" w:type="dxa"/>
            <w:noWrap w:val="0"/>
            <w:vAlign w:val="top"/>
          </w:tcPr>
          <w:p w14:paraId="0B48C1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FD5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1C90E7E3">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center"/>
          </w:tcPr>
          <w:p w14:paraId="2BBA44DB">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794" w:type="dxa"/>
            <w:shd w:val="clear" w:color="auto" w:fill="auto"/>
            <w:noWrap w:val="0"/>
            <w:vAlign w:val="center"/>
          </w:tcPr>
          <w:p w14:paraId="584988A0">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843" w:type="dxa"/>
            <w:vMerge w:val="continue"/>
            <w:noWrap w:val="0"/>
            <w:vAlign w:val="top"/>
          </w:tcPr>
          <w:p w14:paraId="2B4A5BC9">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1AF3390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407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60F9416E">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锌</w:t>
            </w:r>
          </w:p>
        </w:tc>
        <w:tc>
          <w:tcPr>
            <w:tcW w:w="2137" w:type="dxa"/>
            <w:shd w:val="clear" w:color="auto" w:fill="auto"/>
            <w:noWrap w:val="0"/>
            <w:vAlign w:val="center"/>
          </w:tcPr>
          <w:p w14:paraId="6527C8DF">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794" w:type="dxa"/>
            <w:shd w:val="clear" w:color="auto" w:fill="auto"/>
            <w:noWrap w:val="0"/>
            <w:vAlign w:val="center"/>
          </w:tcPr>
          <w:p w14:paraId="7AF94BD1">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843" w:type="dxa"/>
            <w:vMerge w:val="restart"/>
            <w:noWrap w:val="0"/>
            <w:vAlign w:val="top"/>
          </w:tcPr>
          <w:p w14:paraId="40F92564">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778" w:type="dxa"/>
            <w:noWrap w:val="0"/>
            <w:vAlign w:val="top"/>
          </w:tcPr>
          <w:p w14:paraId="2532E9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31EB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6B0835A8">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center"/>
          </w:tcPr>
          <w:p w14:paraId="240CE660">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794" w:type="dxa"/>
            <w:shd w:val="clear" w:color="auto" w:fill="auto"/>
            <w:noWrap w:val="0"/>
            <w:vAlign w:val="center"/>
          </w:tcPr>
          <w:p w14:paraId="26B7D6F0">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843" w:type="dxa"/>
            <w:vMerge w:val="continue"/>
            <w:noWrap w:val="0"/>
            <w:vAlign w:val="top"/>
          </w:tcPr>
          <w:p w14:paraId="3C212A0F">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3F7BAF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AEA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74CAAB6D">
            <w:pPr>
              <w:contextualSpacing/>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铅</w:t>
            </w:r>
          </w:p>
        </w:tc>
        <w:tc>
          <w:tcPr>
            <w:tcW w:w="2137" w:type="dxa"/>
            <w:shd w:val="clear" w:color="auto" w:fill="auto"/>
            <w:noWrap w:val="0"/>
            <w:vAlign w:val="top"/>
          </w:tcPr>
          <w:p w14:paraId="1BCBBC93">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&lt;0.01</w:t>
            </w:r>
          </w:p>
        </w:tc>
        <w:tc>
          <w:tcPr>
            <w:tcW w:w="1794" w:type="dxa"/>
            <w:shd w:val="clear" w:color="auto" w:fill="auto"/>
            <w:noWrap w:val="0"/>
            <w:vAlign w:val="top"/>
          </w:tcPr>
          <w:p w14:paraId="00106369">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&lt;0.01</w:t>
            </w:r>
          </w:p>
        </w:tc>
        <w:tc>
          <w:tcPr>
            <w:tcW w:w="1843" w:type="dxa"/>
            <w:vMerge w:val="restart"/>
            <w:noWrap w:val="0"/>
            <w:vAlign w:val="top"/>
          </w:tcPr>
          <w:p w14:paraId="32817471">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778" w:type="dxa"/>
            <w:noWrap w:val="0"/>
            <w:vAlign w:val="top"/>
          </w:tcPr>
          <w:p w14:paraId="41F192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9E3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6B39075F">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4E7E93F9">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&lt;0.01</w:t>
            </w:r>
          </w:p>
        </w:tc>
        <w:tc>
          <w:tcPr>
            <w:tcW w:w="1794" w:type="dxa"/>
            <w:shd w:val="clear" w:color="auto" w:fill="auto"/>
            <w:noWrap w:val="0"/>
            <w:vAlign w:val="top"/>
          </w:tcPr>
          <w:p w14:paraId="4EAC6E3F">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&lt;0.01</w:t>
            </w:r>
          </w:p>
        </w:tc>
        <w:tc>
          <w:tcPr>
            <w:tcW w:w="1843" w:type="dxa"/>
            <w:vMerge w:val="continue"/>
            <w:noWrap w:val="0"/>
            <w:vAlign w:val="top"/>
          </w:tcPr>
          <w:p w14:paraId="3E8350B7">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699D10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218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31BCEBD9">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镉</w:t>
            </w:r>
          </w:p>
        </w:tc>
        <w:tc>
          <w:tcPr>
            <w:tcW w:w="2137" w:type="dxa"/>
            <w:shd w:val="clear" w:color="auto" w:fill="auto"/>
            <w:noWrap w:val="0"/>
            <w:vAlign w:val="top"/>
          </w:tcPr>
          <w:p w14:paraId="31EC4D51">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794" w:type="dxa"/>
            <w:shd w:val="clear" w:color="auto" w:fill="auto"/>
            <w:noWrap w:val="0"/>
            <w:vAlign w:val="top"/>
          </w:tcPr>
          <w:p w14:paraId="0C87EDFA">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843" w:type="dxa"/>
            <w:vMerge w:val="restart"/>
            <w:noWrap w:val="0"/>
            <w:vAlign w:val="top"/>
          </w:tcPr>
          <w:p w14:paraId="66F54F18">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w:t>
            </w:r>
          </w:p>
        </w:tc>
        <w:tc>
          <w:tcPr>
            <w:tcW w:w="1778" w:type="dxa"/>
            <w:noWrap w:val="0"/>
            <w:vAlign w:val="top"/>
          </w:tcPr>
          <w:p w14:paraId="6C90E9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750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69E5B4E8">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40C24832">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794" w:type="dxa"/>
            <w:shd w:val="clear" w:color="auto" w:fill="auto"/>
            <w:noWrap w:val="0"/>
            <w:vAlign w:val="top"/>
          </w:tcPr>
          <w:p w14:paraId="30B8AA26">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843" w:type="dxa"/>
            <w:vMerge w:val="continue"/>
            <w:noWrap w:val="0"/>
            <w:vAlign w:val="top"/>
          </w:tcPr>
          <w:p w14:paraId="49EF1080">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16CEFB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ECA8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04D577BB">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镍</w:t>
            </w:r>
          </w:p>
        </w:tc>
        <w:tc>
          <w:tcPr>
            <w:tcW w:w="2137" w:type="dxa"/>
            <w:shd w:val="clear" w:color="auto" w:fill="auto"/>
            <w:noWrap w:val="0"/>
            <w:vAlign w:val="top"/>
          </w:tcPr>
          <w:p w14:paraId="714110C4">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794" w:type="dxa"/>
            <w:shd w:val="clear" w:color="auto" w:fill="auto"/>
            <w:noWrap w:val="0"/>
            <w:vAlign w:val="top"/>
          </w:tcPr>
          <w:p w14:paraId="50832756">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843" w:type="dxa"/>
            <w:vMerge w:val="restart"/>
            <w:noWrap w:val="0"/>
            <w:vAlign w:val="top"/>
          </w:tcPr>
          <w:p w14:paraId="464A4EA9">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778" w:type="dxa"/>
            <w:noWrap w:val="0"/>
            <w:vAlign w:val="top"/>
          </w:tcPr>
          <w:p w14:paraId="7B47C9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B60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0EA35AC5">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35D0DD3D">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794" w:type="dxa"/>
            <w:shd w:val="clear" w:color="auto" w:fill="auto"/>
            <w:noWrap w:val="0"/>
            <w:vAlign w:val="top"/>
          </w:tcPr>
          <w:p w14:paraId="05A4EA79">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&lt;0.05</w:t>
            </w:r>
          </w:p>
        </w:tc>
        <w:tc>
          <w:tcPr>
            <w:tcW w:w="1843" w:type="dxa"/>
            <w:vMerge w:val="continue"/>
            <w:noWrap w:val="0"/>
            <w:vAlign w:val="top"/>
          </w:tcPr>
          <w:p w14:paraId="6759D720">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0D7C56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293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716AD52A">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铁</w:t>
            </w:r>
          </w:p>
        </w:tc>
        <w:tc>
          <w:tcPr>
            <w:tcW w:w="2137" w:type="dxa"/>
            <w:shd w:val="clear" w:color="auto" w:fill="auto"/>
            <w:noWrap w:val="0"/>
            <w:vAlign w:val="top"/>
          </w:tcPr>
          <w:p w14:paraId="41CBAE0A">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&lt;0.03</w:t>
            </w:r>
          </w:p>
        </w:tc>
        <w:tc>
          <w:tcPr>
            <w:tcW w:w="1794" w:type="dxa"/>
            <w:shd w:val="clear" w:color="auto" w:fill="auto"/>
            <w:noWrap w:val="0"/>
            <w:vAlign w:val="top"/>
          </w:tcPr>
          <w:p w14:paraId="04218199">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&lt;0.03</w:t>
            </w:r>
          </w:p>
        </w:tc>
        <w:tc>
          <w:tcPr>
            <w:tcW w:w="1843" w:type="dxa"/>
            <w:vMerge w:val="restart"/>
            <w:noWrap w:val="0"/>
            <w:vAlign w:val="top"/>
          </w:tcPr>
          <w:p w14:paraId="4EDFB200">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1778" w:type="dxa"/>
            <w:noWrap w:val="0"/>
            <w:vAlign w:val="top"/>
          </w:tcPr>
          <w:p w14:paraId="75D976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F4F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10000DD9">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43376501">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&lt;0.03</w:t>
            </w:r>
          </w:p>
        </w:tc>
        <w:tc>
          <w:tcPr>
            <w:tcW w:w="1794" w:type="dxa"/>
            <w:shd w:val="clear" w:color="auto" w:fill="auto"/>
            <w:noWrap w:val="0"/>
            <w:vAlign w:val="top"/>
          </w:tcPr>
          <w:p w14:paraId="5790FC3E">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&lt;0.03</w:t>
            </w:r>
          </w:p>
        </w:tc>
        <w:tc>
          <w:tcPr>
            <w:tcW w:w="1843" w:type="dxa"/>
            <w:vMerge w:val="continue"/>
            <w:noWrap w:val="0"/>
            <w:vAlign w:val="top"/>
          </w:tcPr>
          <w:p w14:paraId="283D8AB0">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79EB12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9E1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5B43E7B9">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锰</w:t>
            </w:r>
          </w:p>
        </w:tc>
        <w:tc>
          <w:tcPr>
            <w:tcW w:w="2137" w:type="dxa"/>
            <w:shd w:val="clear" w:color="auto" w:fill="auto"/>
            <w:noWrap w:val="0"/>
            <w:vAlign w:val="top"/>
          </w:tcPr>
          <w:p w14:paraId="4B127CB7">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&lt;0.01</w:t>
            </w:r>
          </w:p>
        </w:tc>
        <w:tc>
          <w:tcPr>
            <w:tcW w:w="1794" w:type="dxa"/>
            <w:shd w:val="clear" w:color="auto" w:fill="auto"/>
            <w:noWrap w:val="0"/>
            <w:vAlign w:val="top"/>
          </w:tcPr>
          <w:p w14:paraId="01DF0B5F">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&lt;0.01</w:t>
            </w:r>
          </w:p>
        </w:tc>
        <w:tc>
          <w:tcPr>
            <w:tcW w:w="1843" w:type="dxa"/>
            <w:vMerge w:val="restart"/>
            <w:noWrap w:val="0"/>
            <w:vAlign w:val="top"/>
          </w:tcPr>
          <w:p w14:paraId="6AA2514F">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1778" w:type="dxa"/>
            <w:noWrap w:val="0"/>
            <w:vAlign w:val="top"/>
          </w:tcPr>
          <w:p w14:paraId="7B82A6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CE0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3F55BAC3">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7DA6AB0A">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&lt;0.01</w:t>
            </w:r>
          </w:p>
        </w:tc>
        <w:tc>
          <w:tcPr>
            <w:tcW w:w="1794" w:type="dxa"/>
            <w:shd w:val="clear" w:color="auto" w:fill="auto"/>
            <w:noWrap w:val="0"/>
            <w:vAlign w:val="top"/>
          </w:tcPr>
          <w:p w14:paraId="61FFCC35">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&lt;0.01</w:t>
            </w:r>
          </w:p>
        </w:tc>
        <w:tc>
          <w:tcPr>
            <w:tcW w:w="1843" w:type="dxa"/>
            <w:vMerge w:val="continue"/>
            <w:noWrap w:val="0"/>
            <w:vAlign w:val="top"/>
          </w:tcPr>
          <w:p w14:paraId="00DE4419">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6E4E64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EF6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134A23D0">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汞(μg/L)</w:t>
            </w:r>
          </w:p>
        </w:tc>
        <w:tc>
          <w:tcPr>
            <w:tcW w:w="2137" w:type="dxa"/>
            <w:shd w:val="clear" w:color="auto" w:fill="auto"/>
            <w:noWrap w:val="0"/>
            <w:vAlign w:val="top"/>
          </w:tcPr>
          <w:p w14:paraId="4E897A9D">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&lt;0.025</w:t>
            </w:r>
          </w:p>
        </w:tc>
        <w:tc>
          <w:tcPr>
            <w:tcW w:w="1794" w:type="dxa"/>
            <w:shd w:val="clear" w:color="auto" w:fill="auto"/>
            <w:noWrap w:val="0"/>
            <w:vAlign w:val="top"/>
          </w:tcPr>
          <w:p w14:paraId="0E54FEA0">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&lt;0.025</w:t>
            </w:r>
          </w:p>
        </w:tc>
        <w:tc>
          <w:tcPr>
            <w:tcW w:w="1843" w:type="dxa"/>
            <w:vMerge w:val="restart"/>
            <w:noWrap w:val="0"/>
            <w:vAlign w:val="top"/>
          </w:tcPr>
          <w:p w14:paraId="4BC8284C">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c>
          <w:tcPr>
            <w:tcW w:w="1778" w:type="dxa"/>
            <w:noWrap w:val="0"/>
            <w:vAlign w:val="top"/>
          </w:tcPr>
          <w:p w14:paraId="39C72F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98A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7F3AB4B9">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6F085DD4">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&lt;0.025</w:t>
            </w:r>
          </w:p>
        </w:tc>
        <w:tc>
          <w:tcPr>
            <w:tcW w:w="1794" w:type="dxa"/>
            <w:shd w:val="clear" w:color="auto" w:fill="auto"/>
            <w:noWrap w:val="0"/>
            <w:vAlign w:val="top"/>
          </w:tcPr>
          <w:p w14:paraId="0DF9BE74">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&lt;0.025</w:t>
            </w:r>
          </w:p>
        </w:tc>
        <w:tc>
          <w:tcPr>
            <w:tcW w:w="1843" w:type="dxa"/>
            <w:vMerge w:val="continue"/>
            <w:noWrap w:val="0"/>
            <w:vAlign w:val="top"/>
          </w:tcPr>
          <w:p w14:paraId="0198E35F">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4C2325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F74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15BF8CEA">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六价铬</w:t>
            </w:r>
          </w:p>
        </w:tc>
        <w:tc>
          <w:tcPr>
            <w:tcW w:w="2137" w:type="dxa"/>
            <w:shd w:val="clear" w:color="auto" w:fill="auto"/>
            <w:noWrap w:val="0"/>
            <w:vAlign w:val="top"/>
          </w:tcPr>
          <w:p w14:paraId="16693BC6">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&lt;0.004</w:t>
            </w:r>
          </w:p>
        </w:tc>
        <w:tc>
          <w:tcPr>
            <w:tcW w:w="1794" w:type="dxa"/>
            <w:shd w:val="clear" w:color="auto" w:fill="auto"/>
            <w:noWrap w:val="0"/>
            <w:vAlign w:val="top"/>
          </w:tcPr>
          <w:p w14:paraId="01404F02">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&lt;0.004</w:t>
            </w:r>
          </w:p>
        </w:tc>
        <w:tc>
          <w:tcPr>
            <w:tcW w:w="1843" w:type="dxa"/>
            <w:vMerge w:val="restart"/>
            <w:noWrap w:val="0"/>
            <w:vAlign w:val="top"/>
          </w:tcPr>
          <w:p w14:paraId="574EACD2">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w:t>
            </w:r>
          </w:p>
        </w:tc>
        <w:tc>
          <w:tcPr>
            <w:tcW w:w="1778" w:type="dxa"/>
            <w:noWrap w:val="0"/>
            <w:vAlign w:val="top"/>
          </w:tcPr>
          <w:p w14:paraId="5B57BE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619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77B2258F">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771AC1EC">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&lt;0.004</w:t>
            </w:r>
          </w:p>
        </w:tc>
        <w:tc>
          <w:tcPr>
            <w:tcW w:w="1794" w:type="dxa"/>
            <w:shd w:val="clear" w:color="auto" w:fill="auto"/>
            <w:noWrap w:val="0"/>
            <w:vAlign w:val="top"/>
          </w:tcPr>
          <w:p w14:paraId="2A757746">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&lt;0.004</w:t>
            </w:r>
          </w:p>
        </w:tc>
        <w:tc>
          <w:tcPr>
            <w:tcW w:w="1843" w:type="dxa"/>
            <w:vMerge w:val="continue"/>
            <w:noWrap w:val="0"/>
            <w:vAlign w:val="top"/>
          </w:tcPr>
          <w:p w14:paraId="69AD1C44">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495708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ED3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4A7509B7">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挥发性酚</w:t>
            </w:r>
          </w:p>
        </w:tc>
        <w:tc>
          <w:tcPr>
            <w:tcW w:w="2137" w:type="dxa"/>
            <w:shd w:val="clear" w:color="auto" w:fill="auto"/>
            <w:noWrap w:val="0"/>
            <w:vAlign w:val="top"/>
          </w:tcPr>
          <w:p w14:paraId="78990104">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&lt;0.0003</w:t>
            </w:r>
          </w:p>
        </w:tc>
        <w:tc>
          <w:tcPr>
            <w:tcW w:w="1794" w:type="dxa"/>
            <w:shd w:val="clear" w:color="auto" w:fill="auto"/>
            <w:noWrap w:val="0"/>
            <w:vAlign w:val="top"/>
          </w:tcPr>
          <w:p w14:paraId="313FD0DF">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&lt;0.0003</w:t>
            </w:r>
          </w:p>
        </w:tc>
        <w:tc>
          <w:tcPr>
            <w:tcW w:w="1843" w:type="dxa"/>
            <w:vMerge w:val="restart"/>
            <w:noWrap w:val="0"/>
            <w:vAlign w:val="top"/>
          </w:tcPr>
          <w:p w14:paraId="5A85CECE">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c>
          <w:tcPr>
            <w:tcW w:w="1778" w:type="dxa"/>
            <w:noWrap w:val="0"/>
            <w:vAlign w:val="top"/>
          </w:tcPr>
          <w:p w14:paraId="315E89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6F92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22A10F79">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7C5EC547">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&lt;0.0003</w:t>
            </w:r>
          </w:p>
        </w:tc>
        <w:tc>
          <w:tcPr>
            <w:tcW w:w="1794" w:type="dxa"/>
            <w:shd w:val="clear" w:color="auto" w:fill="auto"/>
            <w:noWrap w:val="0"/>
            <w:vAlign w:val="top"/>
          </w:tcPr>
          <w:p w14:paraId="77F6F746">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&lt;0.0003</w:t>
            </w:r>
          </w:p>
        </w:tc>
        <w:tc>
          <w:tcPr>
            <w:tcW w:w="1843" w:type="dxa"/>
            <w:vMerge w:val="continue"/>
            <w:noWrap w:val="0"/>
            <w:vAlign w:val="top"/>
          </w:tcPr>
          <w:p w14:paraId="6A314D15">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5C7D786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5F45D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45EF412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氟化物</w:t>
            </w:r>
          </w:p>
        </w:tc>
        <w:tc>
          <w:tcPr>
            <w:tcW w:w="2137" w:type="dxa"/>
            <w:shd w:val="clear" w:color="auto" w:fill="auto"/>
            <w:noWrap w:val="0"/>
            <w:vAlign w:val="top"/>
          </w:tcPr>
          <w:p w14:paraId="61AA4187">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0.132</w:t>
            </w:r>
          </w:p>
        </w:tc>
        <w:tc>
          <w:tcPr>
            <w:tcW w:w="1794" w:type="dxa"/>
            <w:shd w:val="clear" w:color="auto" w:fill="auto"/>
            <w:noWrap w:val="0"/>
            <w:vAlign w:val="top"/>
          </w:tcPr>
          <w:p w14:paraId="7C1B8F21">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0.108</w:t>
            </w:r>
          </w:p>
        </w:tc>
        <w:tc>
          <w:tcPr>
            <w:tcW w:w="1843" w:type="dxa"/>
            <w:vMerge w:val="restart"/>
            <w:noWrap w:val="0"/>
            <w:vAlign w:val="top"/>
          </w:tcPr>
          <w:p w14:paraId="463E3310">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778" w:type="dxa"/>
            <w:noWrap w:val="0"/>
            <w:vAlign w:val="top"/>
          </w:tcPr>
          <w:p w14:paraId="300AD9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1247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771059BA">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27E0188B">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0.125</w:t>
            </w:r>
          </w:p>
        </w:tc>
        <w:tc>
          <w:tcPr>
            <w:tcW w:w="1794" w:type="dxa"/>
            <w:shd w:val="clear" w:color="auto" w:fill="auto"/>
            <w:noWrap w:val="0"/>
            <w:vAlign w:val="top"/>
          </w:tcPr>
          <w:p w14:paraId="3F96AF1E">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0.112</w:t>
            </w:r>
          </w:p>
        </w:tc>
        <w:tc>
          <w:tcPr>
            <w:tcW w:w="1843" w:type="dxa"/>
            <w:vMerge w:val="continue"/>
            <w:noWrap w:val="0"/>
            <w:vAlign w:val="top"/>
          </w:tcPr>
          <w:p w14:paraId="27FCFDD4">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016967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7AA20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436E0BA8">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硫酸盐</w:t>
            </w:r>
          </w:p>
        </w:tc>
        <w:tc>
          <w:tcPr>
            <w:tcW w:w="2137" w:type="dxa"/>
            <w:shd w:val="clear" w:color="auto" w:fill="auto"/>
            <w:noWrap w:val="0"/>
            <w:vAlign w:val="top"/>
          </w:tcPr>
          <w:p w14:paraId="14302ED1">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1794" w:type="dxa"/>
            <w:shd w:val="clear" w:color="auto" w:fill="auto"/>
            <w:noWrap w:val="0"/>
            <w:vAlign w:val="top"/>
          </w:tcPr>
          <w:p w14:paraId="0E361D35">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w:t>
            </w:r>
          </w:p>
        </w:tc>
        <w:tc>
          <w:tcPr>
            <w:tcW w:w="1843" w:type="dxa"/>
            <w:vMerge w:val="restart"/>
            <w:noWrap w:val="0"/>
            <w:vAlign w:val="top"/>
          </w:tcPr>
          <w:p w14:paraId="66CAC2ED">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778" w:type="dxa"/>
            <w:noWrap w:val="0"/>
            <w:vAlign w:val="top"/>
          </w:tcPr>
          <w:p w14:paraId="685335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01498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3571CC7E">
            <w:pPr>
              <w:contextualSpacing/>
              <w:jc w:val="center"/>
              <w:rPr>
                <w:rFonts w:hint="default" w:ascii="Times New Roman" w:hAnsi="Times New Roman" w:eastAsia="宋体" w:cs="Times New Roman"/>
                <w:b/>
                <w:bCs/>
                <w:color w:val="auto"/>
                <w:sz w:val="21"/>
                <w:szCs w:val="21"/>
              </w:rPr>
            </w:pPr>
          </w:p>
        </w:tc>
        <w:tc>
          <w:tcPr>
            <w:tcW w:w="2137" w:type="dxa"/>
            <w:shd w:val="clear" w:color="auto" w:fill="auto"/>
            <w:noWrap w:val="0"/>
            <w:vAlign w:val="top"/>
          </w:tcPr>
          <w:p w14:paraId="52877E32">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w:t>
            </w:r>
          </w:p>
        </w:tc>
        <w:tc>
          <w:tcPr>
            <w:tcW w:w="1794" w:type="dxa"/>
            <w:shd w:val="clear" w:color="auto" w:fill="auto"/>
            <w:noWrap w:val="0"/>
            <w:vAlign w:val="top"/>
          </w:tcPr>
          <w:p w14:paraId="0FDBB295">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1843" w:type="dxa"/>
            <w:vMerge w:val="continue"/>
            <w:noWrap w:val="0"/>
            <w:vAlign w:val="top"/>
          </w:tcPr>
          <w:p w14:paraId="0A6AB255">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125278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4E4D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restart"/>
            <w:tcBorders>
              <w:left w:val="single" w:color="auto" w:sz="8" w:space="0"/>
            </w:tcBorders>
            <w:shd w:val="clear" w:color="auto" w:fill="auto"/>
            <w:noWrap w:val="0"/>
            <w:vAlign w:val="center"/>
          </w:tcPr>
          <w:p w14:paraId="0C5564D1">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总大肠菌群</w:t>
            </w:r>
          </w:p>
        </w:tc>
        <w:tc>
          <w:tcPr>
            <w:tcW w:w="2137" w:type="dxa"/>
            <w:shd w:val="clear" w:color="auto" w:fill="auto"/>
            <w:noWrap w:val="0"/>
            <w:vAlign w:val="top"/>
          </w:tcPr>
          <w:p w14:paraId="000D9F73">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&lt;3</w:t>
            </w:r>
          </w:p>
        </w:tc>
        <w:tc>
          <w:tcPr>
            <w:tcW w:w="1794" w:type="dxa"/>
            <w:shd w:val="clear" w:color="auto" w:fill="auto"/>
            <w:noWrap w:val="0"/>
            <w:vAlign w:val="top"/>
          </w:tcPr>
          <w:p w14:paraId="6022D904">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&lt;3</w:t>
            </w:r>
          </w:p>
        </w:tc>
        <w:tc>
          <w:tcPr>
            <w:tcW w:w="1843" w:type="dxa"/>
            <w:vMerge w:val="restart"/>
            <w:noWrap w:val="0"/>
            <w:vAlign w:val="top"/>
          </w:tcPr>
          <w:p w14:paraId="684C7AEC">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w:t>
            </w:r>
          </w:p>
        </w:tc>
        <w:tc>
          <w:tcPr>
            <w:tcW w:w="1778" w:type="dxa"/>
            <w:noWrap w:val="0"/>
            <w:vAlign w:val="top"/>
          </w:tcPr>
          <w:p w14:paraId="0B4C44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14:paraId="27EB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vMerge w:val="continue"/>
            <w:tcBorders>
              <w:left w:val="single" w:color="auto" w:sz="8" w:space="0"/>
            </w:tcBorders>
            <w:shd w:val="clear" w:color="auto" w:fill="auto"/>
            <w:noWrap w:val="0"/>
            <w:vAlign w:val="center"/>
          </w:tcPr>
          <w:p w14:paraId="7D402C24">
            <w:pPr>
              <w:contextualSpacing/>
              <w:jc w:val="center"/>
              <w:rPr>
                <w:rFonts w:hint="default" w:ascii="Times New Roman" w:hAnsi="Times New Roman" w:eastAsia="宋体" w:cs="Times New Roman"/>
                <w:color w:val="auto"/>
                <w:sz w:val="21"/>
                <w:szCs w:val="21"/>
              </w:rPr>
            </w:pPr>
          </w:p>
        </w:tc>
        <w:tc>
          <w:tcPr>
            <w:tcW w:w="2137" w:type="dxa"/>
            <w:shd w:val="clear" w:color="auto" w:fill="auto"/>
            <w:noWrap w:val="0"/>
            <w:vAlign w:val="top"/>
          </w:tcPr>
          <w:p w14:paraId="5720FCCA">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&lt;3</w:t>
            </w:r>
          </w:p>
        </w:tc>
        <w:tc>
          <w:tcPr>
            <w:tcW w:w="1794" w:type="dxa"/>
            <w:shd w:val="clear" w:color="auto" w:fill="auto"/>
            <w:noWrap w:val="0"/>
            <w:vAlign w:val="top"/>
          </w:tcPr>
          <w:p w14:paraId="40383F13">
            <w:pPr>
              <w:spacing w:line="33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&lt;3</w:t>
            </w:r>
          </w:p>
        </w:tc>
        <w:tc>
          <w:tcPr>
            <w:tcW w:w="1843" w:type="dxa"/>
            <w:vMerge w:val="continue"/>
            <w:noWrap w:val="0"/>
            <w:vAlign w:val="top"/>
          </w:tcPr>
          <w:p w14:paraId="358D9DF4">
            <w:pPr>
              <w:contextualSpacing/>
              <w:jc w:val="center"/>
              <w:rPr>
                <w:rFonts w:hint="default" w:ascii="Times New Roman" w:hAnsi="Times New Roman" w:eastAsia="宋体" w:cs="Times New Roman"/>
                <w:color w:val="auto"/>
                <w:sz w:val="21"/>
                <w:szCs w:val="21"/>
              </w:rPr>
            </w:pPr>
          </w:p>
        </w:tc>
        <w:tc>
          <w:tcPr>
            <w:tcW w:w="1778" w:type="dxa"/>
            <w:noWrap w:val="0"/>
            <w:vAlign w:val="top"/>
          </w:tcPr>
          <w:p w14:paraId="4552CF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4212227E">
      <w:pPr>
        <w:pStyle w:val="1241"/>
        <w:spacing w:before="120"/>
        <w:jc w:val="both"/>
        <w:rPr>
          <w:rFonts w:hint="default" w:ascii="Times New Roman" w:hAnsi="Times New Roman" w:eastAsia="宋体" w:cs="Times New Roman"/>
          <w:color w:val="auto"/>
        </w:rPr>
        <w:sectPr>
          <w:pgSz w:w="11906" w:h="16838"/>
          <w:pgMar w:top="1440" w:right="1797" w:bottom="1440" w:left="1797" w:header="851" w:footer="992" w:gutter="0"/>
          <w:pgNumType w:fmt="decimal"/>
          <w:cols w:space="425" w:num="1"/>
          <w:docGrid w:linePitch="312" w:charSpace="0"/>
        </w:sectPr>
      </w:pPr>
      <w:r>
        <w:rPr>
          <w:rFonts w:hint="default" w:ascii="Times New Roman" w:hAnsi="Times New Roman" w:eastAsia="宋体" w:cs="Times New Roman"/>
          <w:color w:val="auto"/>
          <w:sz w:val="21"/>
          <w:szCs w:val="21"/>
        </w:rPr>
        <w:t>监测结果表明，弄转村、帕底村水井水质满足（GB/T14848-93）《地下水质量标准》Ⅲ类标准要求</w:t>
      </w:r>
      <w:r>
        <w:rPr>
          <w:rFonts w:hint="default" w:ascii="Times New Roman" w:hAnsi="Times New Roman" w:eastAsia="宋体" w:cs="Times New Roman"/>
          <w:color w:val="auto"/>
          <w:sz w:val="21"/>
          <w:szCs w:val="21"/>
          <w:lang w:eastAsia="zh-CN"/>
        </w:rPr>
        <w:t>。</w:t>
      </w:r>
    </w:p>
    <w:p w14:paraId="452337CC">
      <w:pPr>
        <w:rPr>
          <w:rFonts w:hint="default" w:ascii="Times New Roman" w:hAnsi="Times New Roman" w:eastAsia="宋体" w:cs="Times New Roman"/>
          <w:color w:val="auto"/>
        </w:rPr>
      </w:pPr>
    </w:p>
    <w:p w14:paraId="4ACE22E3">
      <w:pPr>
        <w:adjustRightInd w:val="0"/>
        <w:snapToGrid w:val="0"/>
        <w:spacing w:beforeLines="50"/>
        <w:jc w:val="center"/>
        <w:outlineLvl w:val="0"/>
        <w:rPr>
          <w:rFonts w:hint="default" w:ascii="Times New Roman" w:hAnsi="Times New Roman" w:eastAsia="宋体" w:cs="Times New Roman"/>
          <w:b/>
          <w:color w:val="auto"/>
          <w:sz w:val="36"/>
          <w:szCs w:val="36"/>
        </w:rPr>
      </w:pPr>
      <w:bookmarkStart w:id="308" w:name="_Toc329956025"/>
      <w:bookmarkStart w:id="309" w:name="_Toc281999389"/>
      <w:bookmarkStart w:id="310" w:name="_Toc283889146"/>
      <w:bookmarkStart w:id="311" w:name="_Toc4808"/>
      <w:bookmarkStart w:id="312" w:name="_Toc26241"/>
      <w:r>
        <w:rPr>
          <w:rFonts w:hint="default" w:ascii="Times New Roman" w:hAnsi="Times New Roman" w:eastAsia="宋体" w:cs="Times New Roman"/>
          <w:b/>
          <w:color w:val="auto"/>
          <w:sz w:val="36"/>
          <w:szCs w:val="36"/>
        </w:rPr>
        <w:t>5.环境影响</w:t>
      </w:r>
      <w:bookmarkEnd w:id="308"/>
      <w:bookmarkEnd w:id="309"/>
      <w:bookmarkEnd w:id="310"/>
      <w:r>
        <w:rPr>
          <w:rFonts w:hint="default" w:ascii="Times New Roman" w:hAnsi="Times New Roman" w:eastAsia="宋体" w:cs="Times New Roman"/>
          <w:b/>
          <w:color w:val="auto"/>
          <w:sz w:val="36"/>
          <w:szCs w:val="36"/>
        </w:rPr>
        <w:t>预测与评价</w:t>
      </w:r>
      <w:bookmarkEnd w:id="311"/>
      <w:bookmarkEnd w:id="312"/>
    </w:p>
    <w:p w14:paraId="303F5476">
      <w:pPr>
        <w:pStyle w:val="10"/>
        <w:adjustRightInd w:val="0"/>
        <w:snapToGrid w:val="0"/>
        <w:spacing w:beforeLines="50" w:after="0" w:line="360" w:lineRule="auto"/>
        <w:rPr>
          <w:rFonts w:hint="default" w:ascii="Times New Roman" w:hAnsi="Times New Roman" w:eastAsia="宋体" w:cs="Times New Roman"/>
          <w:color w:val="auto"/>
          <w:sz w:val="30"/>
          <w:szCs w:val="30"/>
        </w:rPr>
      </w:pPr>
      <w:bookmarkStart w:id="313" w:name="_Toc20939"/>
      <w:bookmarkStart w:id="314" w:name="_Toc32447"/>
      <w:r>
        <w:rPr>
          <w:rFonts w:hint="default" w:ascii="Times New Roman" w:hAnsi="Times New Roman" w:eastAsia="宋体" w:cs="Times New Roman"/>
          <w:color w:val="auto"/>
          <w:sz w:val="30"/>
          <w:szCs w:val="30"/>
        </w:rPr>
        <w:t>5.1施工期环境影响分析</w:t>
      </w:r>
      <w:bookmarkEnd w:id="313"/>
      <w:bookmarkEnd w:id="314"/>
    </w:p>
    <w:p w14:paraId="1E4FC5B7">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315" w:name="_Toc377779318"/>
      <w:bookmarkStart w:id="316" w:name="_Toc23169"/>
      <w:r>
        <w:rPr>
          <w:rFonts w:hint="default" w:ascii="Times New Roman" w:hAnsi="Times New Roman" w:eastAsia="宋体" w:cs="Times New Roman"/>
          <w:color w:val="auto"/>
          <w:sz w:val="28"/>
          <w:szCs w:val="28"/>
        </w:rPr>
        <w:t>5.1.1大气环境影响分析</w:t>
      </w:r>
      <w:bookmarkEnd w:id="315"/>
      <w:bookmarkEnd w:id="316"/>
    </w:p>
    <w:p w14:paraId="743030F0">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（1）施工扬尘</w:t>
      </w:r>
    </w:p>
    <w:p w14:paraId="59FAA4AE">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施工期对环境空气影响的主要污染物为扬尘。在项目的建设施工中由于</w:t>
      </w:r>
      <w:r>
        <w:rPr>
          <w:rFonts w:hint="default" w:ascii="Times New Roman" w:hAnsi="Times New Roman" w:eastAsia="宋体" w:cs="Times New Roman"/>
          <w:color w:val="auto"/>
          <w:lang w:eastAsia="zh-CN"/>
        </w:rPr>
        <w:t>厂房装修</w:t>
      </w:r>
      <w:r>
        <w:rPr>
          <w:rFonts w:hint="default" w:ascii="Times New Roman" w:hAnsi="Times New Roman" w:eastAsia="宋体" w:cs="Times New Roman"/>
          <w:color w:val="auto"/>
        </w:rPr>
        <w:t>、设备安装调试</w:t>
      </w:r>
      <w:r>
        <w:rPr>
          <w:rFonts w:hint="default" w:ascii="Times New Roman" w:hAnsi="Times New Roman" w:eastAsia="宋体" w:cs="Times New Roman"/>
          <w:color w:val="auto"/>
          <w:lang w:eastAsia="zh-CN"/>
        </w:rPr>
        <w:t>、环保设施安装</w:t>
      </w:r>
      <w:r>
        <w:rPr>
          <w:rFonts w:hint="default" w:ascii="Times New Roman" w:hAnsi="Times New Roman" w:eastAsia="宋体" w:cs="Times New Roman"/>
          <w:color w:val="auto"/>
          <w:kern w:val="0"/>
        </w:rPr>
        <w:t>、运输等活动产生扬尘，施工机械和运输</w:t>
      </w:r>
      <w:r>
        <w:rPr>
          <w:rFonts w:hint="default" w:ascii="Times New Roman" w:hAnsi="Times New Roman" w:eastAsia="宋体" w:cs="Times New Roman"/>
          <w:color w:val="auto"/>
          <w:kern w:val="0"/>
          <w:lang w:eastAsia="zh-CN"/>
        </w:rPr>
        <w:t>车辆</w:t>
      </w:r>
      <w:r>
        <w:rPr>
          <w:rFonts w:hint="default" w:ascii="Times New Roman" w:hAnsi="Times New Roman" w:eastAsia="宋体" w:cs="Times New Roman"/>
          <w:color w:val="auto"/>
          <w:kern w:val="0"/>
        </w:rPr>
        <w:t>产生的废气</w:t>
      </w:r>
      <w:r>
        <w:rPr>
          <w:rFonts w:hint="default" w:ascii="Times New Roman" w:hAnsi="Times New Roman" w:eastAsia="宋体" w:cs="Times New Roman"/>
          <w:color w:val="auto"/>
        </w:rPr>
        <w:t>，污染因子主要为TSP、PM</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。扬尘的产生量与施工方式、土壤含水量、气象条件等有关。</w:t>
      </w:r>
    </w:p>
    <w:p w14:paraId="166172B4">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根据项目周围环境保护目标分布情况可知，项目周边最近</w:t>
      </w:r>
      <w:r>
        <w:rPr>
          <w:rFonts w:hint="default" w:ascii="Times New Roman" w:hAnsi="Times New Roman" w:eastAsia="宋体" w:cs="Times New Roman"/>
          <w:color w:val="auto"/>
          <w:lang w:eastAsia="zh-CN"/>
        </w:rPr>
        <w:t>敏感点为南面</w:t>
      </w:r>
      <w:r>
        <w:rPr>
          <w:rFonts w:hint="default" w:ascii="Times New Roman" w:hAnsi="Times New Roman" w:eastAsia="宋体" w:cs="Times New Roman"/>
          <w:color w:val="auto"/>
          <w:lang w:val="en-US" w:eastAsia="zh-CN"/>
        </w:rPr>
        <w:t>520</w:t>
      </w:r>
      <w:r>
        <w:rPr>
          <w:rFonts w:hint="default" w:ascii="Times New Roman" w:hAnsi="Times New Roman" w:eastAsia="宋体" w:cs="Times New Roman"/>
          <w:color w:val="auto"/>
        </w:rPr>
        <w:t>m</w:t>
      </w:r>
      <w:r>
        <w:rPr>
          <w:rFonts w:hint="default" w:ascii="Times New Roman" w:hAnsi="Times New Roman" w:eastAsia="宋体" w:cs="Times New Roman"/>
          <w:color w:val="auto"/>
          <w:lang w:eastAsia="zh-CN"/>
        </w:rPr>
        <w:t>处的界桃村</w:t>
      </w:r>
      <w:r>
        <w:rPr>
          <w:rFonts w:hint="default" w:ascii="Times New Roman" w:hAnsi="Times New Roman" w:eastAsia="宋体" w:cs="Times New Roman"/>
          <w:color w:val="auto"/>
        </w:rPr>
        <w:t>。建设单位在施工场地进行洒水降尘、运输车辆控制车速、物料封闭堆存等措施，可大大降低扬尘对周围空气环境的影响。在采取有效措施的前提下，项目施工扬尘对周边村民影响不大。但为</w:t>
      </w:r>
      <w:r>
        <w:rPr>
          <w:rFonts w:hint="default" w:ascii="Times New Roman" w:hAnsi="Times New Roman" w:eastAsia="宋体" w:cs="Times New Roman"/>
          <w:color w:val="auto"/>
          <w:lang w:eastAsia="zh-CN"/>
        </w:rPr>
        <w:t>进一步</w:t>
      </w:r>
      <w:r>
        <w:rPr>
          <w:rFonts w:hint="default" w:ascii="Times New Roman" w:hAnsi="Times New Roman" w:eastAsia="宋体" w:cs="Times New Roman"/>
          <w:color w:val="auto"/>
        </w:rPr>
        <w:t>减小施工扬尘对环境空气的影响，本环评要求建设方在施工时应做到以下几点：</w:t>
      </w:r>
    </w:p>
    <w:p w14:paraId="3AF733F1">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防尘污染重在加强管理，施工队伍从招投标到现场作业必须明确环保责任。在施工过程中，对施工场地洒水以减少扬尘的飞扬，洒水次数根据天气情况而定，当风速大于3级、夏季晴好的天气应每隔2个小时洒水一次；</w:t>
      </w:r>
    </w:p>
    <w:p w14:paraId="114B9CB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②粉性材料必须堆放在堆料棚内用帆布或编织布严密封盖，对无包装的料堆要定期洒水使之保持不易被风吹扬的状态；</w:t>
      </w:r>
    </w:p>
    <w:p w14:paraId="75708BC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③对于48小时内不能完成清运的建筑垃圾、工程土渣等，应当在施工工地内设置临时堆放场，临时堆放场应当采取围挡、遮盖、洒水、喷洒覆盖或其他防尘措施；</w:t>
      </w:r>
    </w:p>
    <w:p w14:paraId="2BFF80E3">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④加强环境管理，合理安排施工进度并尽量缩短工期。</w:t>
      </w:r>
    </w:p>
    <w:p w14:paraId="58A3246A">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⑤</w:t>
      </w:r>
      <w:r>
        <w:rPr>
          <w:rFonts w:hint="default" w:ascii="Times New Roman" w:hAnsi="Times New Roman" w:eastAsia="宋体" w:cs="Times New Roman"/>
          <w:color w:val="auto"/>
        </w:rPr>
        <w:t>施工期间加强环境管理，确保施工扬尘达到《大气污染物综合排放标准》（GB16297-1996）中的无组织排放监控浓度限值要求。</w:t>
      </w:r>
    </w:p>
    <w:p w14:paraId="3DDC59BB">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综上所述， 在采取有效措施的前提下，项目边界周围范围的浓度能满足GB3095-2012《环境空气质量标准》表1中总悬浮颗粒物二级标准日均值0.3mg/m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的要求，可防止和最大限度地减缓扬尘等大气污染物对环境空气质量和周围保护目标的影响</w:t>
      </w:r>
      <w:r>
        <w:rPr>
          <w:rFonts w:hint="default" w:ascii="Times New Roman" w:hAnsi="Times New Roman" w:eastAsia="宋体" w:cs="Times New Roman"/>
          <w:color w:val="auto"/>
          <w:lang w:eastAsia="zh-CN"/>
        </w:rPr>
        <w:t>。</w:t>
      </w:r>
    </w:p>
    <w:p w14:paraId="09C8DE4B">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（2）运输车辆大气环境影响分析</w:t>
      </w:r>
    </w:p>
    <w:p w14:paraId="7D1B8DAA">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车辆在运输材料过程中产生的道路粉尘较小。交通运输粉尘产生量与车辆速度、道路路面情况有关，一般情况下，在同样路面清洁程度条件下，车速越快，扬尘量越大；而在同样车速情况下，路面越脏，则扬尘量越大。</w:t>
      </w:r>
    </w:p>
    <w:p w14:paraId="7CBFE410">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根据以上分析，环评要求建设</w:t>
      </w:r>
      <w:r>
        <w:rPr>
          <w:rFonts w:hint="default" w:ascii="Times New Roman" w:hAnsi="Times New Roman" w:eastAsia="宋体" w:cs="Times New Roman"/>
          <w:color w:val="auto"/>
          <w:lang w:eastAsia="zh-CN"/>
        </w:rPr>
        <w:t>单位</w:t>
      </w:r>
      <w:r>
        <w:rPr>
          <w:rFonts w:hint="default" w:ascii="Times New Roman" w:hAnsi="Times New Roman" w:eastAsia="宋体" w:cs="Times New Roman"/>
          <w:color w:val="auto"/>
        </w:rPr>
        <w:t>在施工场地各进出口处设置车辆轮胎清洗池，对出场车辆轮胎进行清洗，避免物料运输车辆驶出施工场地时将泥土带至周边道路，影响周边卫生环境；施工时对运输车辆限速行驶，保持路面的清洁等措施来降低运输车辆运输过程中产生的扬尘对周围环境的影响。</w:t>
      </w:r>
    </w:p>
    <w:p w14:paraId="3CD121AA">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项目施工期产生的扬尘污染是短期的，随着施工活动的结束，场地的硬化、道路、建筑物的形成以及绿化的完成等，施工扬尘对环境空气的影响随之结束。</w:t>
      </w:r>
    </w:p>
    <w:p w14:paraId="7182B934">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317" w:name="_Toc377779319"/>
      <w:bookmarkStart w:id="318" w:name="_Toc24180"/>
      <w:r>
        <w:rPr>
          <w:rFonts w:hint="default" w:ascii="Times New Roman" w:hAnsi="Times New Roman" w:eastAsia="宋体" w:cs="Times New Roman"/>
          <w:color w:val="auto"/>
          <w:sz w:val="28"/>
          <w:szCs w:val="28"/>
        </w:rPr>
        <w:t>5.1.2地表水环境影响分析</w:t>
      </w:r>
      <w:bookmarkEnd w:id="317"/>
      <w:bookmarkEnd w:id="318"/>
    </w:p>
    <w:p w14:paraId="4412CF8B">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施工期的施工废水为施工期产生的养护水，这部分废水产生量都比较小，其特点是没有有害物质和有机质，主要是悬浮物。施工时可建一个</w:t>
      </w:r>
      <w:r>
        <w:rPr>
          <w:rFonts w:hint="default" w:ascii="Times New Roman" w:hAnsi="Times New Roman" w:eastAsia="宋体" w:cs="Times New Roman"/>
          <w:color w:val="auto"/>
          <w:lang w:eastAsia="zh-CN"/>
        </w:rPr>
        <w:t>约</w:t>
      </w:r>
      <w:r>
        <w:rPr>
          <w:rFonts w:hint="default" w:ascii="Times New Roman" w:hAnsi="Times New Roman" w:eastAsia="宋体" w:cs="Times New Roman"/>
          <w:color w:val="auto"/>
          <w:lang w:val="en-US" w:eastAsia="zh-CN"/>
        </w:rPr>
        <w:t>5m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的</w:t>
      </w:r>
      <w:r>
        <w:rPr>
          <w:rFonts w:hint="default" w:ascii="Times New Roman" w:hAnsi="Times New Roman" w:eastAsia="宋体" w:cs="Times New Roman"/>
          <w:color w:val="auto"/>
          <w:lang w:eastAsia="zh-CN"/>
        </w:rPr>
        <w:t>临时</w:t>
      </w:r>
      <w:r>
        <w:rPr>
          <w:rFonts w:hint="default" w:ascii="Times New Roman" w:hAnsi="Times New Roman" w:eastAsia="宋体" w:cs="Times New Roman"/>
          <w:color w:val="auto"/>
        </w:rPr>
        <w:t>沉砂池，</w:t>
      </w:r>
      <w:r>
        <w:rPr>
          <w:rFonts w:hint="default" w:ascii="Times New Roman" w:hAnsi="Times New Roman" w:eastAsia="宋体" w:cs="Times New Roman"/>
          <w:color w:val="auto"/>
          <w:lang w:eastAsia="zh-CN"/>
        </w:rPr>
        <w:t>将</w:t>
      </w:r>
      <w:r>
        <w:rPr>
          <w:rFonts w:hint="default" w:ascii="Times New Roman" w:hAnsi="Times New Roman" w:eastAsia="宋体" w:cs="Times New Roman"/>
          <w:color w:val="auto"/>
        </w:rPr>
        <w:t>施工废水导入该池沉淀后</w:t>
      </w:r>
      <w:r>
        <w:rPr>
          <w:rFonts w:hint="default" w:ascii="Times New Roman" w:hAnsi="Times New Roman" w:eastAsia="宋体" w:cs="Times New Roman"/>
          <w:color w:val="auto"/>
          <w:lang w:eastAsia="zh-CN"/>
        </w:rPr>
        <w:t>回用于施工场地洒水降尘、车辆清洗等</w:t>
      </w:r>
      <w:r>
        <w:rPr>
          <w:rFonts w:hint="default" w:ascii="Times New Roman" w:hAnsi="Times New Roman" w:eastAsia="宋体" w:cs="Times New Roman"/>
          <w:color w:val="auto"/>
        </w:rPr>
        <w:t>，这样既节约了用水，又减少了对地表水环境的污染。此外本项目的施工人员每天会少量生活废水，在项目施工期间，必须严格加强对施工人员的管理，生活废水集中收集</w:t>
      </w:r>
      <w:r>
        <w:rPr>
          <w:rFonts w:hint="default" w:ascii="Times New Roman" w:hAnsi="Times New Roman" w:eastAsia="宋体" w:cs="Times New Roman"/>
          <w:color w:val="auto"/>
          <w:lang w:eastAsia="zh-CN"/>
        </w:rPr>
        <w:t>后引入设置的临时沉砂池</w:t>
      </w:r>
      <w:r>
        <w:rPr>
          <w:rFonts w:hint="default" w:ascii="Times New Roman" w:hAnsi="Times New Roman" w:eastAsia="宋体" w:cs="Times New Roman"/>
          <w:color w:val="auto"/>
        </w:rPr>
        <w:t>沉淀后回用于施工</w:t>
      </w:r>
      <w:r>
        <w:rPr>
          <w:rFonts w:hint="default" w:ascii="Times New Roman" w:hAnsi="Times New Roman" w:eastAsia="宋体" w:cs="Times New Roman"/>
          <w:color w:val="auto"/>
          <w:lang w:eastAsia="zh-CN"/>
        </w:rPr>
        <w:t>场地洒水降尘等</w:t>
      </w:r>
      <w:r>
        <w:rPr>
          <w:rFonts w:hint="default" w:ascii="Times New Roman" w:hAnsi="Times New Roman" w:eastAsia="宋体" w:cs="Times New Roman"/>
          <w:color w:val="auto"/>
        </w:rPr>
        <w:t>，不外排。项目施工出入口设置</w:t>
      </w:r>
      <w:r>
        <w:rPr>
          <w:rFonts w:hint="default" w:ascii="Times New Roman" w:hAnsi="Times New Roman" w:eastAsia="宋体" w:cs="Times New Roman"/>
          <w:color w:val="auto"/>
          <w:lang w:val="en-US" w:eastAsia="zh-CN"/>
        </w:rPr>
        <w:t>1个</w:t>
      </w:r>
      <w:r>
        <w:rPr>
          <w:rFonts w:hint="default" w:ascii="Times New Roman" w:hAnsi="Times New Roman" w:eastAsia="宋体" w:cs="Times New Roman"/>
          <w:color w:val="auto"/>
        </w:rPr>
        <w:t>车辆清洗池</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，进出车辆清洗废水经沉淀后</w:t>
      </w:r>
      <w:r>
        <w:rPr>
          <w:rFonts w:hint="default" w:ascii="Times New Roman" w:hAnsi="Times New Roman" w:eastAsia="宋体" w:cs="Times New Roman"/>
          <w:color w:val="auto"/>
          <w:lang w:eastAsia="zh-CN"/>
        </w:rPr>
        <w:t>循环</w:t>
      </w:r>
      <w:r>
        <w:rPr>
          <w:rFonts w:hint="default" w:ascii="Times New Roman" w:hAnsi="Times New Roman" w:eastAsia="宋体" w:cs="Times New Roman"/>
          <w:color w:val="auto"/>
        </w:rPr>
        <w:t>使用，不外排。</w:t>
      </w:r>
    </w:p>
    <w:p w14:paraId="472675ED">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过程若遇雨天，裸露的地表泥土及粉状材料会很容易被冲刷而随雨水带走，对下游水体水质造成不利影响。工程建设应控制材料进出，减少现场物料储存量，应在场地周边布设相应的泥水收集沟，并对挖出的土方、水泥和砂石等建筑材料用篷布等覆盖，以防治暴雨冲刷，</w:t>
      </w:r>
      <w:r>
        <w:rPr>
          <w:rFonts w:hint="default" w:ascii="Times New Roman" w:hAnsi="Times New Roman" w:eastAsia="宋体" w:cs="Times New Roman"/>
          <w:color w:val="auto"/>
          <w:sz w:val="24"/>
          <w:szCs w:val="24"/>
          <w:highlight w:val="none"/>
          <w:lang w:eastAsia="zh-CN"/>
        </w:rPr>
        <w:t>产生的废水经</w:t>
      </w:r>
      <w:r>
        <w:rPr>
          <w:rFonts w:hint="default" w:ascii="Times New Roman" w:hAnsi="Times New Roman" w:eastAsia="宋体" w:cs="Times New Roman"/>
          <w:color w:val="auto"/>
          <w:sz w:val="24"/>
          <w:szCs w:val="24"/>
          <w:highlight w:val="none"/>
        </w:rPr>
        <w:t>拦截水沟</w:t>
      </w:r>
      <w:r>
        <w:rPr>
          <w:rFonts w:hint="default" w:ascii="Times New Roman" w:hAnsi="Times New Roman" w:eastAsia="宋体" w:cs="Times New Roman"/>
          <w:color w:val="auto"/>
          <w:sz w:val="24"/>
          <w:szCs w:val="24"/>
          <w:highlight w:val="none"/>
          <w:lang w:eastAsia="zh-CN"/>
        </w:rPr>
        <w:t>引入临时沉淀池</w:t>
      </w:r>
      <w:r>
        <w:rPr>
          <w:rFonts w:hint="default" w:ascii="Times New Roman" w:hAnsi="Times New Roman" w:eastAsia="宋体" w:cs="Times New Roman"/>
          <w:color w:val="auto"/>
          <w:sz w:val="24"/>
          <w:szCs w:val="24"/>
          <w:highlight w:val="none"/>
        </w:rPr>
        <w:t>，废水沉淀后及时回用于施工过程或施工现场洒水降尘</w:t>
      </w:r>
      <w:r>
        <w:rPr>
          <w:rFonts w:hint="eastAsia" w:ascii="Times New Roman" w:hAnsi="Times New Roman" w:eastAsia="宋体" w:cs="Times New Roman"/>
          <w:color w:val="auto"/>
          <w:sz w:val="24"/>
          <w:szCs w:val="24"/>
          <w:highlight w:val="none"/>
          <w:lang w:eastAsia="zh-CN"/>
        </w:rPr>
        <w:t>等</w:t>
      </w:r>
      <w:r>
        <w:rPr>
          <w:rFonts w:hint="default" w:ascii="Times New Roman" w:hAnsi="Times New Roman" w:eastAsia="宋体" w:cs="Times New Roman"/>
          <w:color w:val="auto"/>
          <w:sz w:val="24"/>
          <w:szCs w:val="24"/>
          <w:highlight w:val="none"/>
        </w:rPr>
        <w:t>，禁止未经处理的地表径流废水直接外排</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在雨天或用水少的时候废水可能会回用不完，若回用不完需外排时，外排废水需全部收集、沉淀处理后，外排至周边</w:t>
      </w:r>
      <w:r>
        <w:rPr>
          <w:rFonts w:hint="eastAsia" w:ascii="Times New Roman" w:hAnsi="Times New Roman" w:eastAsia="宋体" w:cs="Times New Roman"/>
          <w:color w:val="auto"/>
          <w:sz w:val="24"/>
          <w:szCs w:val="24"/>
          <w:highlight w:val="none"/>
          <w:lang w:eastAsia="zh-CN"/>
        </w:rPr>
        <w:t>雨水系统</w:t>
      </w:r>
      <w:r>
        <w:rPr>
          <w:rFonts w:hint="default" w:ascii="Times New Roman" w:hAnsi="Times New Roman" w:eastAsia="宋体" w:cs="Times New Roman"/>
          <w:color w:val="auto"/>
          <w:sz w:val="24"/>
          <w:szCs w:val="24"/>
          <w:highlight w:val="none"/>
        </w:rPr>
        <w:t>，故雨季径流不会对区域水环境产生</w:t>
      </w:r>
      <w:r>
        <w:rPr>
          <w:rFonts w:hint="eastAsia" w:ascii="Times New Roman" w:hAnsi="Times New Roman" w:eastAsia="宋体" w:cs="Times New Roman"/>
          <w:color w:val="auto"/>
          <w:sz w:val="24"/>
          <w:szCs w:val="24"/>
          <w:highlight w:val="none"/>
          <w:lang w:eastAsia="zh-CN"/>
        </w:rPr>
        <w:t>较</w:t>
      </w:r>
      <w:r>
        <w:rPr>
          <w:rFonts w:hint="default" w:ascii="Times New Roman" w:hAnsi="Times New Roman" w:eastAsia="宋体" w:cs="Times New Roman"/>
          <w:color w:val="auto"/>
          <w:sz w:val="24"/>
          <w:szCs w:val="24"/>
          <w:highlight w:val="none"/>
        </w:rPr>
        <w:t>大的影响。</w:t>
      </w:r>
    </w:p>
    <w:p w14:paraId="28F0C8F3">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综上所述，本项目施工期污水的</w:t>
      </w:r>
      <w:r>
        <w:rPr>
          <w:rFonts w:hint="default" w:ascii="Times New Roman" w:hAnsi="Times New Roman" w:eastAsia="宋体" w:cs="Times New Roman"/>
          <w:color w:val="auto"/>
          <w:lang w:eastAsia="zh-CN"/>
        </w:rPr>
        <w:t>均得到合理处置，不外排</w:t>
      </w:r>
      <w:r>
        <w:rPr>
          <w:rFonts w:hint="default" w:ascii="Times New Roman" w:hAnsi="Times New Roman" w:eastAsia="宋体" w:cs="Times New Roman"/>
          <w:color w:val="auto"/>
        </w:rPr>
        <w:t>，且施工只是暂时的，当建设方采取上述措施后，对</w:t>
      </w:r>
      <w:r>
        <w:rPr>
          <w:rFonts w:hint="default" w:ascii="Times New Roman" w:hAnsi="Times New Roman" w:eastAsia="宋体" w:cs="Times New Roman"/>
          <w:color w:val="auto"/>
          <w:lang w:eastAsia="zh-CN"/>
        </w:rPr>
        <w:t>周围</w:t>
      </w:r>
      <w:r>
        <w:rPr>
          <w:rFonts w:hint="default" w:ascii="Times New Roman" w:hAnsi="Times New Roman" w:eastAsia="宋体" w:cs="Times New Roman"/>
          <w:color w:val="auto"/>
        </w:rPr>
        <w:t>地表水环境的影响较小，不会改变当地的地表水环境质量的功能。</w:t>
      </w:r>
    </w:p>
    <w:p w14:paraId="6B93C53C">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319" w:name="_Toc27233"/>
      <w:r>
        <w:rPr>
          <w:rFonts w:hint="default" w:ascii="Times New Roman" w:hAnsi="Times New Roman" w:eastAsia="宋体" w:cs="Times New Roman"/>
          <w:color w:val="auto"/>
          <w:sz w:val="28"/>
          <w:szCs w:val="28"/>
        </w:rPr>
        <w:t>5.1.3声环境影响分析</w:t>
      </w:r>
      <w:bookmarkEnd w:id="319"/>
      <w:r>
        <w:rPr>
          <w:rFonts w:hint="default" w:ascii="Times New Roman" w:hAnsi="Times New Roman" w:eastAsia="宋体" w:cs="Times New Roman"/>
          <w:color w:val="auto"/>
          <w:sz w:val="28"/>
          <w:szCs w:val="28"/>
        </w:rPr>
        <w:t xml:space="preserve"> </w:t>
      </w:r>
    </w:p>
    <w:p w14:paraId="1A091823">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（1）噪声级源强</w:t>
      </w:r>
    </w:p>
    <w:p w14:paraId="3F9F3D0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噪声主要来源于项目建设中各种施工机械、汽车运输等施工活动。不同机械设备产生的声源强度不同，产生噪声较大的施工机械有施工阶段主要使用打桩机、挖掘机、运输车辆、电焊机、振捣器等。这些机械的噪声值在8</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～105dB（A）之间。具体噪声源强见表3.2-1。</w:t>
      </w:r>
    </w:p>
    <w:p w14:paraId="4096A234">
      <w:pPr>
        <w:adjustRightInd w:val="0"/>
        <w:snapToGrid w:val="0"/>
        <w:ind w:firstLine="482" w:firstLineChars="200"/>
        <w:rPr>
          <w:rFonts w:hint="default" w:ascii="Times New Roman" w:hAnsi="Times New Roman" w:eastAsia="宋体" w:cs="Times New Roman"/>
          <w:b/>
          <w:color w:val="auto"/>
        </w:rPr>
      </w:pPr>
      <w:bookmarkStart w:id="320" w:name="_Toc329956030"/>
      <w:bookmarkStart w:id="321" w:name="_Toc360639049"/>
      <w:r>
        <w:rPr>
          <w:rFonts w:hint="default" w:ascii="Times New Roman" w:hAnsi="Times New Roman" w:eastAsia="宋体" w:cs="Times New Roman"/>
          <w:b/>
          <w:color w:val="auto"/>
        </w:rPr>
        <w:t>（2）噪声衰减预测模式</w:t>
      </w:r>
      <w:bookmarkEnd w:id="320"/>
      <w:bookmarkEnd w:id="321"/>
    </w:p>
    <w:p w14:paraId="1958AD0F">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① 距离衰减公式：</w:t>
      </w:r>
    </w:p>
    <w:p w14:paraId="6255D606">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根据HJ2.4-2009《环境影响评价技术导则 声环境》，项目采用室外点声源在预测点产生的声级计算公式，公式如下：</w:t>
      </w:r>
    </w:p>
    <w:p w14:paraId="05DE3360">
      <w:pPr>
        <w:adjustRightInd w:val="0"/>
        <w:snapToGrid w:val="0"/>
        <w:jc w:val="center"/>
        <w:rPr>
          <w:rFonts w:hint="default" w:ascii="Times New Roman" w:hAnsi="Times New Roman" w:eastAsia="宋体" w:cs="Times New Roman"/>
          <w:color w:val="auto"/>
          <w:vertAlign w:val="subscript"/>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A</w:t>
      </w:r>
      <w:r>
        <w:rPr>
          <w:rFonts w:hint="default" w:ascii="Times New Roman" w:hAnsi="Times New Roman" w:eastAsia="宋体" w:cs="Times New Roman"/>
          <w:color w:val="auto"/>
        </w:rPr>
        <w:t>（r）=L</w:t>
      </w:r>
      <w:r>
        <w:rPr>
          <w:rFonts w:hint="default" w:ascii="Times New Roman" w:hAnsi="Times New Roman" w:eastAsia="宋体" w:cs="Times New Roman"/>
          <w:color w:val="auto"/>
          <w:vertAlign w:val="subscript"/>
        </w:rPr>
        <w:t>A</w:t>
      </w:r>
      <w:r>
        <w:rPr>
          <w:rFonts w:hint="default" w:ascii="Times New Roman" w:hAnsi="Times New Roman" w:eastAsia="宋体" w:cs="Times New Roman"/>
          <w:color w:val="auto"/>
        </w:rPr>
        <w:t>（r</w:t>
      </w:r>
      <w:r>
        <w:rPr>
          <w:rFonts w:hint="default" w:ascii="Times New Roman" w:hAnsi="Times New Roman" w:eastAsia="宋体" w:cs="Times New Roman"/>
          <w:color w:val="auto"/>
          <w:vertAlign w:val="subscript"/>
        </w:rPr>
        <w:t>0</w:t>
      </w:r>
      <w:r>
        <w:rPr>
          <w:rFonts w:hint="default" w:ascii="Times New Roman" w:hAnsi="Times New Roman" w:eastAsia="宋体" w:cs="Times New Roman"/>
          <w:color w:val="auto"/>
        </w:rPr>
        <w:t>）－A                  （公式一）</w:t>
      </w:r>
    </w:p>
    <w:p w14:paraId="0226CA25">
      <w:pPr>
        <w:adjustRightInd w:val="0"/>
        <w:snapToGrid w:val="0"/>
        <w:jc w:val="center"/>
        <w:rPr>
          <w:rFonts w:hint="default" w:ascii="Times New Roman" w:hAnsi="Times New Roman" w:eastAsia="宋体" w:cs="Times New Roman"/>
          <w:color w:val="auto"/>
          <w:vertAlign w:val="subscript"/>
          <w:lang w:val="es-MX"/>
        </w:rPr>
      </w:pPr>
      <w:r>
        <w:rPr>
          <w:rFonts w:hint="default" w:ascii="Times New Roman" w:hAnsi="Times New Roman" w:eastAsia="宋体" w:cs="Times New Roman"/>
          <w:color w:val="auto"/>
          <w:lang w:val="es-MX"/>
        </w:rPr>
        <w:t>A= A</w:t>
      </w:r>
      <w:r>
        <w:rPr>
          <w:rFonts w:hint="default" w:ascii="Times New Roman" w:hAnsi="Times New Roman" w:eastAsia="宋体" w:cs="Times New Roman"/>
          <w:color w:val="auto"/>
          <w:vertAlign w:val="subscript"/>
          <w:lang w:val="es-MX"/>
        </w:rPr>
        <w:t>div</w:t>
      </w:r>
      <w:r>
        <w:rPr>
          <w:rFonts w:hint="default" w:ascii="Times New Roman" w:hAnsi="Times New Roman" w:eastAsia="宋体" w:cs="Times New Roman"/>
          <w:color w:val="auto"/>
          <w:lang w:val="es-MX"/>
        </w:rPr>
        <w:t>+ A</w:t>
      </w:r>
      <w:r>
        <w:rPr>
          <w:rFonts w:hint="default" w:ascii="Times New Roman" w:hAnsi="Times New Roman" w:eastAsia="宋体" w:cs="Times New Roman"/>
          <w:color w:val="auto"/>
          <w:vertAlign w:val="subscript"/>
          <w:lang w:val="es-MX"/>
        </w:rPr>
        <w:t>bar</w:t>
      </w:r>
      <w:r>
        <w:rPr>
          <w:rFonts w:hint="default" w:ascii="Times New Roman" w:hAnsi="Times New Roman" w:eastAsia="宋体" w:cs="Times New Roman"/>
          <w:color w:val="auto"/>
          <w:lang w:val="es-MX"/>
        </w:rPr>
        <w:t>+A</w:t>
      </w:r>
      <w:r>
        <w:rPr>
          <w:rFonts w:hint="default" w:ascii="Times New Roman" w:hAnsi="Times New Roman" w:eastAsia="宋体" w:cs="Times New Roman"/>
          <w:color w:val="auto"/>
          <w:vertAlign w:val="subscript"/>
          <w:lang w:val="es-MX"/>
        </w:rPr>
        <w:t>atm</w:t>
      </w:r>
      <w:r>
        <w:rPr>
          <w:rFonts w:hint="default" w:ascii="Times New Roman" w:hAnsi="Times New Roman" w:eastAsia="宋体" w:cs="Times New Roman"/>
          <w:color w:val="auto"/>
          <w:lang w:val="es-MX"/>
        </w:rPr>
        <w:t>+A</w:t>
      </w:r>
      <w:r>
        <w:rPr>
          <w:rFonts w:hint="default" w:ascii="Times New Roman" w:hAnsi="Times New Roman" w:eastAsia="宋体" w:cs="Times New Roman"/>
          <w:color w:val="auto"/>
          <w:vertAlign w:val="subscript"/>
          <w:lang w:val="es-MX"/>
        </w:rPr>
        <w:t>gr</w:t>
      </w:r>
      <w:r>
        <w:rPr>
          <w:rFonts w:hint="default" w:ascii="Times New Roman" w:hAnsi="Times New Roman" w:eastAsia="宋体" w:cs="Times New Roman"/>
          <w:color w:val="auto"/>
          <w:lang w:val="es-MX"/>
        </w:rPr>
        <w:t>+ A</w:t>
      </w:r>
      <w:r>
        <w:rPr>
          <w:rFonts w:hint="default" w:ascii="Times New Roman" w:hAnsi="Times New Roman" w:eastAsia="宋体" w:cs="Times New Roman"/>
          <w:color w:val="auto"/>
          <w:vertAlign w:val="subscript"/>
          <w:lang w:val="es-MX"/>
        </w:rPr>
        <w:t xml:space="preserve">misc                </w:t>
      </w:r>
      <w:r>
        <w:rPr>
          <w:rFonts w:hint="default" w:ascii="Times New Roman" w:hAnsi="Times New Roman" w:eastAsia="宋体" w:cs="Times New Roman"/>
          <w:color w:val="auto"/>
          <w:vertAlign w:val="subscript"/>
          <w:lang w:val="en-US" w:eastAsia="zh-CN"/>
        </w:rPr>
        <w:t xml:space="preserve">   </w:t>
      </w:r>
      <w:r>
        <w:rPr>
          <w:rFonts w:hint="default" w:ascii="Times New Roman" w:hAnsi="Times New Roman" w:eastAsia="宋体" w:cs="Times New Roman"/>
          <w:color w:val="auto"/>
        </w:rPr>
        <w:t>（公式二）</w:t>
      </w:r>
    </w:p>
    <w:p w14:paraId="3AA04FB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A</w:t>
      </w:r>
      <w:r>
        <w:rPr>
          <w:rFonts w:hint="default" w:ascii="Times New Roman" w:hAnsi="Times New Roman" w:eastAsia="宋体" w:cs="Times New Roman"/>
          <w:color w:val="auto"/>
        </w:rPr>
        <w:t xml:space="preserve"> (r)－距声源r 处的A 声级，dB（A）；</w:t>
      </w:r>
    </w:p>
    <w:p w14:paraId="52DD0815">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A</w:t>
      </w:r>
      <w:r>
        <w:rPr>
          <w:rFonts w:hint="default" w:ascii="Times New Roman" w:hAnsi="Times New Roman" w:eastAsia="宋体" w:cs="Times New Roman"/>
          <w:color w:val="auto"/>
        </w:rPr>
        <w:t xml:space="preserve"> (r</w:t>
      </w:r>
      <w:r>
        <w:rPr>
          <w:rFonts w:hint="default" w:ascii="Times New Roman" w:hAnsi="Times New Roman" w:eastAsia="宋体" w:cs="Times New Roman"/>
          <w:color w:val="auto"/>
          <w:vertAlign w:val="subscript"/>
        </w:rPr>
        <w:t>0</w:t>
      </w:r>
      <w:r>
        <w:rPr>
          <w:rFonts w:hint="default" w:ascii="Times New Roman" w:hAnsi="Times New Roman" w:eastAsia="宋体" w:cs="Times New Roman"/>
          <w:color w:val="auto"/>
        </w:rPr>
        <w:t>)－参考位置r</w:t>
      </w:r>
      <w:r>
        <w:rPr>
          <w:rFonts w:hint="default" w:ascii="Times New Roman" w:hAnsi="Times New Roman" w:eastAsia="宋体" w:cs="Times New Roman"/>
          <w:color w:val="auto"/>
          <w:vertAlign w:val="subscript"/>
        </w:rPr>
        <w:t>0</w:t>
      </w:r>
      <w:r>
        <w:rPr>
          <w:rFonts w:hint="default" w:ascii="Times New Roman" w:hAnsi="Times New Roman" w:eastAsia="宋体" w:cs="Times New Roman"/>
          <w:color w:val="auto"/>
        </w:rPr>
        <w:t xml:space="preserve"> 处的A 声级，dB（A）；</w:t>
      </w:r>
    </w:p>
    <w:p w14:paraId="43B27E0B">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A—倍频带衰减，dB；</w:t>
      </w:r>
    </w:p>
    <w:p w14:paraId="40949C1D">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w:t>
      </w:r>
      <w:r>
        <w:rPr>
          <w:rFonts w:hint="default" w:ascii="Times New Roman" w:hAnsi="Times New Roman" w:eastAsia="宋体" w:cs="Times New Roman"/>
          <w:color w:val="auto"/>
          <w:vertAlign w:val="subscript"/>
        </w:rPr>
        <w:t>div</w:t>
      </w:r>
      <w:r>
        <w:rPr>
          <w:rFonts w:hint="default" w:ascii="Times New Roman" w:hAnsi="Times New Roman" w:eastAsia="宋体" w:cs="Times New Roman"/>
          <w:color w:val="auto"/>
        </w:rPr>
        <w:t>－几何发散所引起的倍频带衰减，即距离所引起的衰减，无指向性点声源几何发散衰减的基本公式为：A</w:t>
      </w:r>
      <w:r>
        <w:rPr>
          <w:rFonts w:hint="default" w:ascii="Times New Roman" w:hAnsi="Times New Roman" w:eastAsia="宋体" w:cs="Times New Roman"/>
          <w:color w:val="auto"/>
          <w:vertAlign w:val="subscript"/>
        </w:rPr>
        <w:t>div</w:t>
      </w:r>
      <w:r>
        <w:rPr>
          <w:rFonts w:hint="default" w:ascii="Times New Roman" w:hAnsi="Times New Roman" w:eastAsia="宋体" w:cs="Times New Roman"/>
          <w:color w:val="auto"/>
        </w:rPr>
        <w:t>＝20 lg(r /r</w:t>
      </w:r>
      <w:r>
        <w:rPr>
          <w:rFonts w:hint="default" w:ascii="Times New Roman" w:hAnsi="Times New Roman" w:eastAsia="宋体" w:cs="Times New Roman"/>
          <w:color w:val="auto"/>
          <w:vertAlign w:val="subscript"/>
        </w:rPr>
        <w:t>0</w:t>
      </w:r>
      <w:r>
        <w:rPr>
          <w:rFonts w:hint="default" w:ascii="Times New Roman" w:hAnsi="Times New Roman" w:eastAsia="宋体" w:cs="Times New Roman"/>
          <w:color w:val="auto"/>
        </w:rPr>
        <w:t>)；</w:t>
      </w:r>
    </w:p>
    <w:p w14:paraId="222A658B">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w:t>
      </w:r>
      <w:r>
        <w:rPr>
          <w:rFonts w:hint="default" w:ascii="Times New Roman" w:hAnsi="Times New Roman" w:eastAsia="宋体" w:cs="Times New Roman"/>
          <w:color w:val="auto"/>
          <w:vertAlign w:val="subscript"/>
        </w:rPr>
        <w:t>bar</w:t>
      </w:r>
      <w:r>
        <w:rPr>
          <w:rFonts w:hint="default" w:ascii="Times New Roman" w:hAnsi="Times New Roman" w:eastAsia="宋体" w:cs="Times New Roman"/>
          <w:color w:val="auto"/>
        </w:rPr>
        <w:t>－屏障物所引起</w:t>
      </w:r>
      <w:r>
        <w:rPr>
          <w:rFonts w:hint="eastAsia" w:ascii="Times New Roman" w:hAnsi="Times New Roman" w:cs="Times New Roman"/>
          <w:color w:val="auto"/>
          <w:lang w:eastAsia="zh-CN"/>
        </w:rPr>
        <w:t>的</w:t>
      </w:r>
      <w:r>
        <w:rPr>
          <w:rFonts w:hint="default" w:ascii="Times New Roman" w:hAnsi="Times New Roman" w:eastAsia="宋体" w:cs="Times New Roman"/>
          <w:color w:val="auto"/>
        </w:rPr>
        <w:t>倍频带衰减。</w:t>
      </w:r>
    </w:p>
    <w:p w14:paraId="3E6ECC2C">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w:t>
      </w:r>
      <w:r>
        <w:rPr>
          <w:rFonts w:hint="default" w:ascii="Times New Roman" w:hAnsi="Times New Roman" w:eastAsia="宋体" w:cs="Times New Roman"/>
          <w:color w:val="auto"/>
          <w:vertAlign w:val="subscript"/>
        </w:rPr>
        <w:t>atm</w:t>
      </w:r>
      <w:r>
        <w:rPr>
          <w:rFonts w:hint="default" w:ascii="Times New Roman" w:hAnsi="Times New Roman" w:eastAsia="宋体" w:cs="Times New Roman"/>
          <w:color w:val="auto"/>
        </w:rPr>
        <w:t>－空气吸收所引起的倍频带衰减，一般情况下可忽略不计。</w:t>
      </w:r>
    </w:p>
    <w:p w14:paraId="4AF38982">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w:t>
      </w:r>
      <w:r>
        <w:rPr>
          <w:rFonts w:hint="default" w:ascii="Times New Roman" w:hAnsi="Times New Roman" w:eastAsia="宋体" w:cs="Times New Roman"/>
          <w:color w:val="auto"/>
          <w:vertAlign w:val="subscript"/>
        </w:rPr>
        <w:t>gr</w:t>
      </w:r>
      <w:r>
        <w:rPr>
          <w:rFonts w:hint="default" w:ascii="Times New Roman" w:hAnsi="Times New Roman" w:eastAsia="宋体" w:cs="Times New Roman"/>
          <w:color w:val="auto"/>
        </w:rPr>
        <w:t>－地面效应所引起的倍频带衰减，本项目不考虑地面效应。</w:t>
      </w:r>
    </w:p>
    <w:p w14:paraId="64BB827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A</w:t>
      </w:r>
      <w:r>
        <w:rPr>
          <w:rFonts w:hint="default" w:ascii="Times New Roman" w:hAnsi="Times New Roman" w:eastAsia="宋体" w:cs="Times New Roman"/>
          <w:color w:val="auto"/>
          <w:vertAlign w:val="subscript"/>
        </w:rPr>
        <w:t>misc</w:t>
      </w:r>
      <w:r>
        <w:rPr>
          <w:rFonts w:hint="default" w:ascii="Times New Roman" w:hAnsi="Times New Roman" w:eastAsia="宋体" w:cs="Times New Roman"/>
          <w:color w:val="auto"/>
        </w:rPr>
        <w:t>－其他多方面倍频带衰减，一般情况下的环境影响评价中，不需考虑附加影响。</w:t>
      </w:r>
    </w:p>
    <w:p w14:paraId="15B7448D">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② 预测点的A声级叠加公式：</w:t>
      </w:r>
    </w:p>
    <w:p w14:paraId="2535A77B">
      <w:pPr>
        <w:tabs>
          <w:tab w:val="left" w:pos="4620"/>
        </w:tabs>
        <w:adjustRightInd w:val="0"/>
        <w:snapToGrid w:val="0"/>
        <w:ind w:firstLine="48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0"/>
        </w:rPr>
        <w:drawing>
          <wp:inline distT="0" distB="0" distL="0" distR="0">
            <wp:extent cx="1609725" cy="581025"/>
            <wp:effectExtent l="0" t="0" r="9525" b="8890"/>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noChangeArrowheads="1"/>
                    </pic:cNvPicPr>
                  </pic:nvPicPr>
                  <pic:blipFill>
                    <a:blip r:embed="rId29" cstate="print"/>
                    <a:srcRect/>
                    <a:stretch>
                      <a:fillRect/>
                    </a:stretch>
                  </pic:blipFill>
                  <pic:spPr>
                    <a:xfrm>
                      <a:off x="0" y="0"/>
                      <a:ext cx="1609725" cy="581025"/>
                    </a:xfrm>
                    <a:prstGeom prst="rect">
                      <a:avLst/>
                    </a:prstGeom>
                    <a:noFill/>
                    <a:ln w="9525">
                      <a:noFill/>
                      <a:miter lim="800000"/>
                      <a:headEnd/>
                      <a:tailEnd/>
                    </a:ln>
                  </pic:spPr>
                </pic:pic>
              </a:graphicData>
            </a:graphic>
          </wp:inline>
        </w:drawing>
      </w:r>
      <w:r>
        <w:rPr>
          <w:rFonts w:hint="default" w:ascii="Times New Roman" w:hAnsi="Times New Roman" w:eastAsia="宋体" w:cs="Times New Roman"/>
          <w:color w:val="auto"/>
          <w:position w:val="-30"/>
        </w:rPr>
        <w:t xml:space="preserve">          （公式三）       </w:t>
      </w:r>
    </w:p>
    <w:p w14:paraId="13E74325">
      <w:pPr>
        <w:tabs>
          <w:tab w:val="left" w:pos="4620"/>
        </w:tabs>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A</w:t>
      </w:r>
      <w:r>
        <w:rPr>
          <w:rFonts w:hint="default" w:ascii="Times New Roman" w:hAnsi="Times New Roman" w:eastAsia="宋体" w:cs="Times New Roman"/>
          <w:color w:val="auto"/>
        </w:rPr>
        <w:t>------距声源r处的总A声级；</w:t>
      </w:r>
    </w:p>
    <w:p w14:paraId="3219FCE3">
      <w:pPr>
        <w:tabs>
          <w:tab w:val="left" w:pos="4620"/>
        </w:tabs>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n------声源数量；</w:t>
      </w:r>
    </w:p>
    <w:p w14:paraId="604104AE">
      <w:pPr>
        <w:tabs>
          <w:tab w:val="left" w:pos="4620"/>
        </w:tabs>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i</w:t>
      </w:r>
      <w:r>
        <w:rPr>
          <w:rFonts w:hint="default" w:ascii="Times New Roman" w:hAnsi="Times New Roman" w:eastAsia="宋体" w:cs="Times New Roman"/>
          <w:color w:val="auto"/>
        </w:rPr>
        <w:t>------第i个声源的A声级，dB（A）。</w:t>
      </w:r>
    </w:p>
    <w:p w14:paraId="5BA21D4D">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本项目噪声衰减除几何发散衰减后的其他衰减（包括空气吸收衰减、屏障物和地面效应引起的衰减、其他附加衰减）取值的因素很多，项目场地周边设2.5m高围</w:t>
      </w:r>
      <w:r>
        <w:rPr>
          <w:rFonts w:hint="default" w:ascii="Times New Roman" w:hAnsi="Times New Roman" w:eastAsia="宋体" w:cs="Times New Roman"/>
          <w:color w:val="auto"/>
          <w:lang w:eastAsia="zh-CN"/>
        </w:rPr>
        <w:t>挡</w:t>
      </w:r>
      <w:r>
        <w:rPr>
          <w:rFonts w:hint="default" w:ascii="Times New Roman" w:hAnsi="Times New Roman" w:eastAsia="宋体" w:cs="Times New Roman"/>
          <w:color w:val="auto"/>
        </w:rPr>
        <w:t>，故施工期基础</w:t>
      </w:r>
      <w:r>
        <w:rPr>
          <w:rFonts w:hint="default" w:ascii="Times New Roman" w:hAnsi="Times New Roman" w:eastAsia="宋体" w:cs="Times New Roman"/>
          <w:color w:val="auto"/>
          <w:lang w:eastAsia="zh-CN"/>
        </w:rPr>
        <w:t>阶段</w:t>
      </w:r>
      <w:r>
        <w:rPr>
          <w:rFonts w:hint="default" w:ascii="Times New Roman" w:hAnsi="Times New Roman" w:eastAsia="宋体" w:cs="Times New Roman"/>
          <w:color w:val="auto"/>
        </w:rPr>
        <w:t>及主体工程阶段噪声预测计算时</w:t>
      </w:r>
      <w:r>
        <w:rPr>
          <w:rFonts w:hint="default" w:ascii="Times New Roman" w:hAnsi="Times New Roman" w:eastAsia="宋体" w:cs="Times New Roman"/>
          <w:color w:val="auto"/>
          <w:lang w:eastAsia="zh-CN"/>
        </w:rPr>
        <w:t>衰减值</w:t>
      </w:r>
      <w:r>
        <w:rPr>
          <w:rFonts w:hint="default" w:ascii="Times New Roman" w:hAnsi="Times New Roman" w:eastAsia="宋体" w:cs="Times New Roman"/>
          <w:color w:val="auto"/>
        </w:rPr>
        <w:t>取10dB(A)，装修、设备安装阶段噪声源位于室内，衰减值取15dB(A)。</w:t>
      </w:r>
    </w:p>
    <w:p w14:paraId="081A0AF3">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（3）噪声影响预测结果</w:t>
      </w:r>
    </w:p>
    <w:p w14:paraId="50BF1EF2">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间的噪声主要来自施工机械和运输车辆，施工期噪声具有阶段性、临时性和不固定性的特征，本次评价按照全部施工机械同时投入使用最大噪声值进行预测，不同的施工阶段施工机械产生最大噪声值见表5.1-1，这些机械噪声随距离衰减，其衰减情况见表5.1-2。</w:t>
      </w:r>
    </w:p>
    <w:p w14:paraId="28C0E62B">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表5.1-1 各施工阶段施工机械同时运转的最大噪声值 单位：dB（A）</w:t>
      </w:r>
    </w:p>
    <w:tbl>
      <w:tblPr>
        <w:tblStyle w:val="6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2071"/>
        <w:gridCol w:w="2488"/>
        <w:gridCol w:w="2477"/>
      </w:tblGrid>
      <w:tr w14:paraId="30C6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blHeader/>
          <w:jc w:val="center"/>
        </w:trPr>
        <w:tc>
          <w:tcPr>
            <w:tcW w:w="1490" w:type="dxa"/>
            <w:tcBorders>
              <w:top w:val="single" w:color="auto" w:sz="4" w:space="0"/>
              <w:left w:val="single" w:color="auto" w:sz="4" w:space="0"/>
              <w:bottom w:val="single" w:color="auto" w:sz="4" w:space="0"/>
              <w:right w:val="single" w:color="auto" w:sz="4" w:space="0"/>
            </w:tcBorders>
            <w:vAlign w:val="center"/>
          </w:tcPr>
          <w:p w14:paraId="4C12A50C">
            <w:pPr>
              <w:autoSpaceDE w:val="0"/>
              <w:autoSpaceDN w:val="0"/>
              <w:adjustRightInd w:val="0"/>
              <w:snapToGrid w:val="0"/>
              <w:spacing w:line="240" w:lineRule="auto"/>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b/>
                <w:color w:val="auto"/>
                <w:kern w:val="0"/>
                <w:sz w:val="21"/>
              </w:rPr>
              <w:t>施工阶段</w:t>
            </w:r>
          </w:p>
        </w:tc>
        <w:tc>
          <w:tcPr>
            <w:tcW w:w="2071" w:type="dxa"/>
            <w:tcBorders>
              <w:top w:val="single" w:color="auto" w:sz="4" w:space="0"/>
              <w:left w:val="single" w:color="auto" w:sz="4" w:space="0"/>
              <w:bottom w:val="single" w:color="auto" w:sz="4" w:space="0"/>
              <w:right w:val="single" w:color="auto" w:sz="4" w:space="0"/>
            </w:tcBorders>
            <w:vAlign w:val="center"/>
          </w:tcPr>
          <w:p w14:paraId="2CBB24D3">
            <w:pPr>
              <w:autoSpaceDE w:val="0"/>
              <w:autoSpaceDN w:val="0"/>
              <w:adjustRightInd w:val="0"/>
              <w:snapToGrid w:val="0"/>
              <w:spacing w:line="240" w:lineRule="auto"/>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b/>
                <w:color w:val="auto"/>
                <w:kern w:val="0"/>
                <w:sz w:val="21"/>
              </w:rPr>
              <w:t>机械设备</w:t>
            </w:r>
          </w:p>
        </w:tc>
        <w:tc>
          <w:tcPr>
            <w:tcW w:w="2488" w:type="dxa"/>
            <w:tcBorders>
              <w:top w:val="single" w:color="auto" w:sz="4" w:space="0"/>
              <w:left w:val="single" w:color="auto" w:sz="4" w:space="0"/>
              <w:bottom w:val="single" w:color="auto" w:sz="4" w:space="0"/>
              <w:right w:val="single" w:color="auto" w:sz="4" w:space="0"/>
            </w:tcBorders>
            <w:vAlign w:val="center"/>
          </w:tcPr>
          <w:p w14:paraId="62B819C9">
            <w:pPr>
              <w:autoSpaceDE w:val="0"/>
              <w:autoSpaceDN w:val="0"/>
              <w:adjustRightInd w:val="0"/>
              <w:snapToGrid w:val="0"/>
              <w:spacing w:line="240" w:lineRule="auto"/>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b/>
                <w:color w:val="auto"/>
                <w:kern w:val="0"/>
                <w:sz w:val="21"/>
              </w:rPr>
              <w:t>声级dB（A）</w:t>
            </w:r>
          </w:p>
        </w:tc>
        <w:tc>
          <w:tcPr>
            <w:tcW w:w="2477" w:type="dxa"/>
            <w:tcBorders>
              <w:top w:val="single" w:color="auto" w:sz="4" w:space="0"/>
              <w:left w:val="single" w:color="auto" w:sz="4" w:space="0"/>
              <w:bottom w:val="single" w:color="auto" w:sz="4" w:space="0"/>
              <w:right w:val="single" w:color="auto" w:sz="4" w:space="0"/>
            </w:tcBorders>
            <w:vAlign w:val="center"/>
          </w:tcPr>
          <w:p w14:paraId="0FF10AD2">
            <w:pPr>
              <w:autoSpaceDE w:val="0"/>
              <w:autoSpaceDN w:val="0"/>
              <w:adjustRightInd w:val="0"/>
              <w:snapToGrid w:val="0"/>
              <w:spacing w:line="240" w:lineRule="auto"/>
              <w:jc w:val="center"/>
              <w:rPr>
                <w:rFonts w:hint="default" w:ascii="Times New Roman" w:hAnsi="Times New Roman" w:eastAsia="宋体" w:cs="Times New Roman"/>
                <w:b/>
                <w:color w:val="auto"/>
                <w:kern w:val="0"/>
                <w:sz w:val="21"/>
              </w:rPr>
            </w:pPr>
            <w:r>
              <w:rPr>
                <w:rFonts w:hint="default" w:ascii="Times New Roman" w:hAnsi="Times New Roman" w:eastAsia="宋体" w:cs="Times New Roman"/>
                <w:bCs/>
                <w:color w:val="auto"/>
                <w:kern w:val="0"/>
                <w:sz w:val="21"/>
              </w:rPr>
              <w:t>叠加后最大噪声值dB（A）</w:t>
            </w:r>
          </w:p>
        </w:tc>
      </w:tr>
      <w:tr w14:paraId="2F09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490" w:type="dxa"/>
            <w:vMerge w:val="restart"/>
            <w:tcBorders>
              <w:top w:val="single" w:color="auto" w:sz="4" w:space="0"/>
              <w:left w:val="single" w:color="auto" w:sz="4" w:space="0"/>
              <w:right w:val="single" w:color="auto" w:sz="4" w:space="0"/>
            </w:tcBorders>
            <w:vAlign w:val="center"/>
          </w:tcPr>
          <w:p w14:paraId="28E3841D">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eastAsia="zh-CN"/>
              </w:rPr>
            </w:pPr>
            <w:r>
              <w:rPr>
                <w:rFonts w:hint="default" w:ascii="Times New Roman" w:hAnsi="Times New Roman" w:eastAsia="宋体" w:cs="Times New Roman"/>
                <w:bCs/>
                <w:color w:val="auto"/>
                <w:kern w:val="0"/>
                <w:sz w:val="21"/>
                <w:lang w:eastAsia="zh-CN"/>
              </w:rPr>
              <w:t>环保设施安装</w:t>
            </w:r>
          </w:p>
        </w:tc>
        <w:tc>
          <w:tcPr>
            <w:tcW w:w="2071" w:type="dxa"/>
            <w:tcBorders>
              <w:top w:val="single" w:color="auto" w:sz="4" w:space="0"/>
              <w:left w:val="single" w:color="auto" w:sz="4" w:space="0"/>
              <w:bottom w:val="single" w:color="auto" w:sz="4" w:space="0"/>
              <w:right w:val="single" w:color="auto" w:sz="4" w:space="0"/>
            </w:tcBorders>
            <w:vAlign w:val="center"/>
          </w:tcPr>
          <w:p w14:paraId="018181A2">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打桩机</w:t>
            </w:r>
          </w:p>
        </w:tc>
        <w:tc>
          <w:tcPr>
            <w:tcW w:w="2488" w:type="dxa"/>
            <w:tcBorders>
              <w:top w:val="single" w:color="auto" w:sz="4" w:space="0"/>
              <w:left w:val="single" w:color="auto" w:sz="4" w:space="0"/>
              <w:bottom w:val="single" w:color="auto" w:sz="4" w:space="0"/>
              <w:right w:val="single" w:color="auto" w:sz="4" w:space="0"/>
            </w:tcBorders>
            <w:vAlign w:val="center"/>
          </w:tcPr>
          <w:p w14:paraId="33043F09">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105</w:t>
            </w:r>
          </w:p>
        </w:tc>
        <w:tc>
          <w:tcPr>
            <w:tcW w:w="2477" w:type="dxa"/>
            <w:vMerge w:val="restart"/>
            <w:tcBorders>
              <w:top w:val="single" w:color="auto" w:sz="4" w:space="0"/>
              <w:left w:val="single" w:color="auto" w:sz="4" w:space="0"/>
              <w:right w:val="single" w:color="auto" w:sz="4" w:space="0"/>
            </w:tcBorders>
            <w:vAlign w:val="center"/>
          </w:tcPr>
          <w:p w14:paraId="29F4E19F">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val="en-US" w:eastAsia="zh-CN"/>
              </w:rPr>
            </w:pPr>
            <w:r>
              <w:rPr>
                <w:rFonts w:hint="default" w:ascii="Times New Roman" w:hAnsi="Times New Roman" w:eastAsia="宋体" w:cs="Times New Roman"/>
                <w:color w:val="auto"/>
                <w:kern w:val="0"/>
                <w:sz w:val="21"/>
                <w:lang w:val="en-US" w:eastAsia="zh-CN"/>
              </w:rPr>
              <w:t>105.95</w:t>
            </w:r>
          </w:p>
        </w:tc>
      </w:tr>
      <w:tr w14:paraId="1225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490" w:type="dxa"/>
            <w:vMerge w:val="continue"/>
            <w:tcBorders>
              <w:left w:val="single" w:color="auto" w:sz="4" w:space="0"/>
              <w:right w:val="single" w:color="auto" w:sz="4" w:space="0"/>
            </w:tcBorders>
            <w:vAlign w:val="center"/>
          </w:tcPr>
          <w:p w14:paraId="1F09DE2E">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p>
        </w:tc>
        <w:tc>
          <w:tcPr>
            <w:tcW w:w="2071" w:type="dxa"/>
            <w:tcBorders>
              <w:top w:val="single" w:color="auto" w:sz="4" w:space="0"/>
              <w:left w:val="single" w:color="auto" w:sz="4" w:space="0"/>
              <w:bottom w:val="single" w:color="auto" w:sz="4" w:space="0"/>
              <w:right w:val="single" w:color="auto" w:sz="4" w:space="0"/>
            </w:tcBorders>
            <w:vAlign w:val="center"/>
          </w:tcPr>
          <w:p w14:paraId="248AAA92">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eastAsia="zh-CN"/>
              </w:rPr>
            </w:pPr>
            <w:r>
              <w:rPr>
                <w:rFonts w:hint="default" w:ascii="Times New Roman" w:hAnsi="Times New Roman" w:eastAsia="宋体" w:cs="Times New Roman"/>
                <w:bCs/>
                <w:color w:val="auto"/>
                <w:kern w:val="0"/>
                <w:sz w:val="21"/>
                <w:lang w:eastAsia="zh-CN"/>
              </w:rPr>
              <w:t>挖掘机</w:t>
            </w:r>
          </w:p>
        </w:tc>
        <w:tc>
          <w:tcPr>
            <w:tcW w:w="2488" w:type="dxa"/>
            <w:tcBorders>
              <w:top w:val="single" w:color="auto" w:sz="4" w:space="0"/>
              <w:left w:val="single" w:color="auto" w:sz="4" w:space="0"/>
              <w:bottom w:val="single" w:color="auto" w:sz="4" w:space="0"/>
              <w:right w:val="single" w:color="auto" w:sz="4" w:space="0"/>
            </w:tcBorders>
            <w:vAlign w:val="center"/>
          </w:tcPr>
          <w:p w14:paraId="5DDAF190">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val="en-US" w:eastAsia="zh-CN"/>
              </w:rPr>
            </w:pPr>
            <w:r>
              <w:rPr>
                <w:rFonts w:hint="default" w:ascii="Times New Roman" w:hAnsi="Times New Roman" w:eastAsia="宋体" w:cs="Times New Roman"/>
                <w:bCs/>
                <w:color w:val="auto"/>
                <w:kern w:val="0"/>
                <w:sz w:val="21"/>
                <w:lang w:val="en-US" w:eastAsia="zh-CN"/>
              </w:rPr>
              <w:t>85</w:t>
            </w:r>
          </w:p>
        </w:tc>
        <w:tc>
          <w:tcPr>
            <w:tcW w:w="2477" w:type="dxa"/>
            <w:vMerge w:val="continue"/>
            <w:tcBorders>
              <w:left w:val="single" w:color="auto" w:sz="4" w:space="0"/>
              <w:right w:val="single" w:color="auto" w:sz="4" w:space="0"/>
            </w:tcBorders>
            <w:vAlign w:val="center"/>
          </w:tcPr>
          <w:p w14:paraId="115E9F57">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val="en-US" w:eastAsia="zh-CN"/>
              </w:rPr>
            </w:pPr>
          </w:p>
        </w:tc>
      </w:tr>
      <w:tr w14:paraId="7296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90" w:type="dxa"/>
            <w:vMerge w:val="continue"/>
            <w:tcBorders>
              <w:left w:val="single" w:color="auto" w:sz="4" w:space="0"/>
              <w:right w:val="single" w:color="auto" w:sz="4" w:space="0"/>
            </w:tcBorders>
            <w:vAlign w:val="center"/>
          </w:tcPr>
          <w:p w14:paraId="41FA5933">
            <w:pPr>
              <w:widowControl/>
              <w:spacing w:line="240" w:lineRule="auto"/>
              <w:jc w:val="left"/>
              <w:rPr>
                <w:rFonts w:hint="default" w:ascii="Times New Roman" w:hAnsi="Times New Roman" w:eastAsia="宋体" w:cs="Times New Roman"/>
                <w:bCs/>
                <w:color w:val="auto"/>
                <w:kern w:val="0"/>
                <w:sz w:val="21"/>
              </w:rPr>
            </w:pPr>
          </w:p>
        </w:tc>
        <w:tc>
          <w:tcPr>
            <w:tcW w:w="2071" w:type="dxa"/>
            <w:tcBorders>
              <w:top w:val="single" w:color="auto" w:sz="4" w:space="0"/>
              <w:left w:val="single" w:color="auto" w:sz="4" w:space="0"/>
              <w:bottom w:val="single" w:color="auto" w:sz="4" w:space="0"/>
              <w:right w:val="single" w:color="auto" w:sz="4" w:space="0"/>
            </w:tcBorders>
            <w:vAlign w:val="center"/>
          </w:tcPr>
          <w:p w14:paraId="7FBD4EAA">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平地机</w:t>
            </w:r>
          </w:p>
        </w:tc>
        <w:tc>
          <w:tcPr>
            <w:tcW w:w="2488" w:type="dxa"/>
            <w:tcBorders>
              <w:top w:val="single" w:color="auto" w:sz="4" w:space="0"/>
              <w:left w:val="single" w:color="auto" w:sz="4" w:space="0"/>
              <w:bottom w:val="single" w:color="auto" w:sz="4" w:space="0"/>
              <w:right w:val="single" w:color="auto" w:sz="4" w:space="0"/>
            </w:tcBorders>
            <w:vAlign w:val="center"/>
          </w:tcPr>
          <w:p w14:paraId="734A3356">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86</w:t>
            </w:r>
          </w:p>
        </w:tc>
        <w:tc>
          <w:tcPr>
            <w:tcW w:w="2477" w:type="dxa"/>
            <w:vMerge w:val="continue"/>
            <w:tcBorders>
              <w:left w:val="single" w:color="auto" w:sz="4" w:space="0"/>
              <w:right w:val="single" w:color="auto" w:sz="4" w:space="0"/>
            </w:tcBorders>
            <w:vAlign w:val="center"/>
          </w:tcPr>
          <w:p w14:paraId="3225C3CB">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p>
        </w:tc>
      </w:tr>
      <w:tr w14:paraId="20D4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490" w:type="dxa"/>
            <w:vMerge w:val="continue"/>
            <w:tcBorders>
              <w:left w:val="single" w:color="auto" w:sz="4" w:space="0"/>
              <w:right w:val="single" w:color="auto" w:sz="4" w:space="0"/>
            </w:tcBorders>
            <w:vAlign w:val="center"/>
          </w:tcPr>
          <w:p w14:paraId="6893CFBD">
            <w:pPr>
              <w:widowControl/>
              <w:spacing w:line="240" w:lineRule="auto"/>
              <w:jc w:val="left"/>
              <w:rPr>
                <w:rFonts w:hint="default" w:ascii="Times New Roman" w:hAnsi="Times New Roman" w:eastAsia="宋体" w:cs="Times New Roman"/>
                <w:bCs/>
                <w:color w:val="auto"/>
                <w:kern w:val="0"/>
                <w:sz w:val="21"/>
              </w:rPr>
            </w:pPr>
          </w:p>
        </w:tc>
        <w:tc>
          <w:tcPr>
            <w:tcW w:w="2071" w:type="dxa"/>
            <w:tcBorders>
              <w:top w:val="single" w:color="auto" w:sz="4" w:space="0"/>
              <w:left w:val="single" w:color="auto" w:sz="4" w:space="0"/>
              <w:bottom w:val="single" w:color="auto" w:sz="4" w:space="0"/>
              <w:right w:val="single" w:color="auto" w:sz="4" w:space="0"/>
            </w:tcBorders>
            <w:vAlign w:val="center"/>
          </w:tcPr>
          <w:p w14:paraId="5C175DDD">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空压机</w:t>
            </w:r>
          </w:p>
        </w:tc>
        <w:tc>
          <w:tcPr>
            <w:tcW w:w="2488" w:type="dxa"/>
            <w:tcBorders>
              <w:top w:val="single" w:color="auto" w:sz="4" w:space="0"/>
              <w:left w:val="single" w:color="auto" w:sz="4" w:space="0"/>
              <w:bottom w:val="single" w:color="auto" w:sz="4" w:space="0"/>
              <w:right w:val="single" w:color="auto" w:sz="4" w:space="0"/>
            </w:tcBorders>
            <w:vAlign w:val="center"/>
          </w:tcPr>
          <w:p w14:paraId="5325EBE1">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92</w:t>
            </w:r>
          </w:p>
        </w:tc>
        <w:tc>
          <w:tcPr>
            <w:tcW w:w="2477" w:type="dxa"/>
            <w:vMerge w:val="continue"/>
            <w:tcBorders>
              <w:left w:val="single" w:color="auto" w:sz="4" w:space="0"/>
              <w:right w:val="single" w:color="auto" w:sz="4" w:space="0"/>
            </w:tcBorders>
            <w:vAlign w:val="center"/>
          </w:tcPr>
          <w:p w14:paraId="3C0CB8EA">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p>
        </w:tc>
      </w:tr>
      <w:tr w14:paraId="6CB1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490" w:type="dxa"/>
            <w:vMerge w:val="continue"/>
            <w:tcBorders>
              <w:left w:val="single" w:color="auto" w:sz="4" w:space="0"/>
              <w:right w:val="single" w:color="auto" w:sz="4" w:space="0"/>
            </w:tcBorders>
            <w:vAlign w:val="center"/>
          </w:tcPr>
          <w:p w14:paraId="01EA29E7">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p>
        </w:tc>
        <w:tc>
          <w:tcPr>
            <w:tcW w:w="2071" w:type="dxa"/>
            <w:tcBorders>
              <w:top w:val="single" w:color="auto" w:sz="4" w:space="0"/>
              <w:left w:val="single" w:color="auto" w:sz="4" w:space="0"/>
              <w:bottom w:val="single" w:color="auto" w:sz="4" w:space="0"/>
              <w:right w:val="single" w:color="auto" w:sz="4" w:space="0"/>
            </w:tcBorders>
            <w:vAlign w:val="center"/>
          </w:tcPr>
          <w:p w14:paraId="24A0B671">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混凝土振捣棒</w:t>
            </w:r>
          </w:p>
        </w:tc>
        <w:tc>
          <w:tcPr>
            <w:tcW w:w="2488" w:type="dxa"/>
            <w:tcBorders>
              <w:top w:val="single" w:color="auto" w:sz="4" w:space="0"/>
              <w:left w:val="single" w:color="auto" w:sz="4" w:space="0"/>
              <w:bottom w:val="single" w:color="auto" w:sz="4" w:space="0"/>
              <w:right w:val="single" w:color="auto" w:sz="4" w:space="0"/>
            </w:tcBorders>
            <w:vAlign w:val="center"/>
          </w:tcPr>
          <w:p w14:paraId="0C0254B0">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90</w:t>
            </w:r>
          </w:p>
        </w:tc>
        <w:tc>
          <w:tcPr>
            <w:tcW w:w="2477" w:type="dxa"/>
            <w:vMerge w:val="continue"/>
            <w:tcBorders>
              <w:left w:val="single" w:color="auto" w:sz="4" w:space="0"/>
              <w:right w:val="single" w:color="auto" w:sz="4" w:space="0"/>
            </w:tcBorders>
            <w:vAlign w:val="center"/>
          </w:tcPr>
          <w:p w14:paraId="207E085D">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p>
        </w:tc>
      </w:tr>
      <w:tr w14:paraId="0D95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90" w:type="dxa"/>
            <w:vMerge w:val="continue"/>
            <w:tcBorders>
              <w:left w:val="single" w:color="auto" w:sz="4" w:space="0"/>
              <w:right w:val="single" w:color="auto" w:sz="4" w:space="0"/>
            </w:tcBorders>
            <w:vAlign w:val="center"/>
          </w:tcPr>
          <w:p w14:paraId="309264F2">
            <w:pPr>
              <w:widowControl/>
              <w:spacing w:line="240" w:lineRule="auto"/>
              <w:jc w:val="left"/>
              <w:rPr>
                <w:rFonts w:hint="default" w:ascii="Times New Roman" w:hAnsi="Times New Roman" w:eastAsia="宋体" w:cs="Times New Roman"/>
                <w:color w:val="auto"/>
                <w:kern w:val="0"/>
                <w:sz w:val="21"/>
              </w:rPr>
            </w:pPr>
          </w:p>
        </w:tc>
        <w:tc>
          <w:tcPr>
            <w:tcW w:w="2071" w:type="dxa"/>
            <w:tcBorders>
              <w:top w:val="single" w:color="auto" w:sz="4" w:space="0"/>
              <w:left w:val="single" w:color="auto" w:sz="4" w:space="0"/>
              <w:bottom w:val="single" w:color="auto" w:sz="4" w:space="0"/>
              <w:right w:val="single" w:color="auto" w:sz="4" w:space="0"/>
            </w:tcBorders>
            <w:vAlign w:val="center"/>
          </w:tcPr>
          <w:p w14:paraId="222B2B5E">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吊车</w:t>
            </w:r>
          </w:p>
        </w:tc>
        <w:tc>
          <w:tcPr>
            <w:tcW w:w="2488" w:type="dxa"/>
            <w:tcBorders>
              <w:top w:val="single" w:color="auto" w:sz="4" w:space="0"/>
              <w:left w:val="single" w:color="auto" w:sz="4" w:space="0"/>
              <w:bottom w:val="single" w:color="auto" w:sz="4" w:space="0"/>
              <w:right w:val="single" w:color="auto" w:sz="4" w:space="0"/>
            </w:tcBorders>
            <w:vAlign w:val="center"/>
          </w:tcPr>
          <w:p w14:paraId="55260B7C">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85</w:t>
            </w:r>
          </w:p>
        </w:tc>
        <w:tc>
          <w:tcPr>
            <w:tcW w:w="2477" w:type="dxa"/>
            <w:vMerge w:val="continue"/>
            <w:tcBorders>
              <w:left w:val="single" w:color="auto" w:sz="4" w:space="0"/>
              <w:right w:val="single" w:color="auto" w:sz="4" w:space="0"/>
            </w:tcBorders>
            <w:vAlign w:val="center"/>
          </w:tcPr>
          <w:p w14:paraId="152513F1">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p>
        </w:tc>
      </w:tr>
      <w:tr w14:paraId="794E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490" w:type="dxa"/>
            <w:vMerge w:val="continue"/>
            <w:tcBorders>
              <w:left w:val="single" w:color="auto" w:sz="4" w:space="0"/>
              <w:bottom w:val="single" w:color="auto" w:sz="4" w:space="0"/>
              <w:right w:val="single" w:color="auto" w:sz="4" w:space="0"/>
            </w:tcBorders>
            <w:vAlign w:val="center"/>
          </w:tcPr>
          <w:p w14:paraId="10F17D3D">
            <w:pPr>
              <w:widowControl/>
              <w:spacing w:line="240" w:lineRule="auto"/>
              <w:jc w:val="left"/>
              <w:rPr>
                <w:rFonts w:hint="default" w:ascii="Times New Roman" w:hAnsi="Times New Roman" w:eastAsia="宋体" w:cs="Times New Roman"/>
                <w:color w:val="auto"/>
                <w:kern w:val="0"/>
                <w:sz w:val="21"/>
              </w:rPr>
            </w:pPr>
          </w:p>
        </w:tc>
        <w:tc>
          <w:tcPr>
            <w:tcW w:w="2071" w:type="dxa"/>
            <w:tcBorders>
              <w:top w:val="single" w:color="auto" w:sz="4" w:space="0"/>
              <w:left w:val="single" w:color="auto" w:sz="4" w:space="0"/>
              <w:bottom w:val="single" w:color="auto" w:sz="4" w:space="0"/>
              <w:right w:val="single" w:color="auto" w:sz="4" w:space="0"/>
            </w:tcBorders>
            <w:vAlign w:val="center"/>
          </w:tcPr>
          <w:p w14:paraId="0EF7EBB8">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电锯</w:t>
            </w:r>
          </w:p>
        </w:tc>
        <w:tc>
          <w:tcPr>
            <w:tcW w:w="2488" w:type="dxa"/>
            <w:tcBorders>
              <w:top w:val="single" w:color="auto" w:sz="4" w:space="0"/>
              <w:left w:val="single" w:color="auto" w:sz="4" w:space="0"/>
              <w:bottom w:val="single" w:color="auto" w:sz="4" w:space="0"/>
              <w:right w:val="single" w:color="auto" w:sz="4" w:space="0"/>
            </w:tcBorders>
            <w:vAlign w:val="center"/>
          </w:tcPr>
          <w:p w14:paraId="080FD3E8">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95</w:t>
            </w:r>
          </w:p>
        </w:tc>
        <w:tc>
          <w:tcPr>
            <w:tcW w:w="2477" w:type="dxa"/>
            <w:vMerge w:val="continue"/>
            <w:tcBorders>
              <w:left w:val="single" w:color="auto" w:sz="4" w:space="0"/>
              <w:bottom w:val="single" w:color="auto" w:sz="4" w:space="0"/>
              <w:right w:val="single" w:color="auto" w:sz="4" w:space="0"/>
            </w:tcBorders>
            <w:vAlign w:val="center"/>
          </w:tcPr>
          <w:p w14:paraId="4FCB5D66">
            <w:pPr>
              <w:autoSpaceDE w:val="0"/>
              <w:autoSpaceDN w:val="0"/>
              <w:adjustRightInd w:val="0"/>
              <w:snapToGrid w:val="0"/>
              <w:spacing w:line="240" w:lineRule="auto"/>
              <w:jc w:val="center"/>
              <w:rPr>
                <w:rFonts w:hint="default" w:ascii="Times New Roman" w:hAnsi="Times New Roman" w:eastAsia="宋体" w:cs="Times New Roman"/>
                <w:color w:val="auto"/>
                <w:kern w:val="0"/>
                <w:sz w:val="21"/>
                <w:lang w:val="en-US" w:eastAsia="zh-CN"/>
              </w:rPr>
            </w:pPr>
          </w:p>
        </w:tc>
      </w:tr>
      <w:tr w14:paraId="044D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0" w:type="dxa"/>
            <w:vMerge w:val="restart"/>
            <w:tcBorders>
              <w:top w:val="single" w:color="auto" w:sz="4" w:space="0"/>
              <w:left w:val="single" w:color="auto" w:sz="4" w:space="0"/>
              <w:bottom w:val="single" w:color="auto" w:sz="4" w:space="0"/>
              <w:right w:val="single" w:color="auto" w:sz="4" w:space="0"/>
            </w:tcBorders>
            <w:vAlign w:val="center"/>
          </w:tcPr>
          <w:p w14:paraId="5C59A121">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color w:val="auto"/>
                <w:kern w:val="0"/>
                <w:sz w:val="21"/>
              </w:rPr>
              <w:t>装修阶段、设备安装</w:t>
            </w:r>
          </w:p>
        </w:tc>
        <w:tc>
          <w:tcPr>
            <w:tcW w:w="2071" w:type="dxa"/>
            <w:tcBorders>
              <w:top w:val="single" w:color="auto" w:sz="4" w:space="0"/>
              <w:left w:val="single" w:color="auto" w:sz="4" w:space="0"/>
              <w:bottom w:val="single" w:color="auto" w:sz="4" w:space="0"/>
              <w:right w:val="single" w:color="auto" w:sz="4" w:space="0"/>
            </w:tcBorders>
            <w:vAlign w:val="center"/>
          </w:tcPr>
          <w:p w14:paraId="63261A13">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切割机</w:t>
            </w:r>
          </w:p>
        </w:tc>
        <w:tc>
          <w:tcPr>
            <w:tcW w:w="2488" w:type="dxa"/>
            <w:tcBorders>
              <w:top w:val="single" w:color="auto" w:sz="4" w:space="0"/>
              <w:left w:val="single" w:color="auto" w:sz="4" w:space="0"/>
              <w:bottom w:val="single" w:color="auto" w:sz="4" w:space="0"/>
              <w:right w:val="single" w:color="auto" w:sz="4" w:space="0"/>
            </w:tcBorders>
            <w:vAlign w:val="center"/>
          </w:tcPr>
          <w:p w14:paraId="51CDBCA9">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rPr>
            </w:pPr>
            <w:r>
              <w:rPr>
                <w:rFonts w:hint="default" w:ascii="Times New Roman" w:hAnsi="Times New Roman" w:eastAsia="宋体" w:cs="Times New Roman"/>
                <w:bCs/>
                <w:color w:val="auto"/>
                <w:kern w:val="0"/>
                <w:sz w:val="21"/>
              </w:rPr>
              <w:t>88</w:t>
            </w:r>
          </w:p>
        </w:tc>
        <w:tc>
          <w:tcPr>
            <w:tcW w:w="2477" w:type="dxa"/>
            <w:vMerge w:val="restart"/>
            <w:tcBorders>
              <w:top w:val="single" w:color="auto" w:sz="4" w:space="0"/>
              <w:left w:val="single" w:color="auto" w:sz="4" w:space="0"/>
              <w:right w:val="single" w:color="auto" w:sz="4" w:space="0"/>
            </w:tcBorders>
            <w:vAlign w:val="center"/>
          </w:tcPr>
          <w:p w14:paraId="5CF50A25">
            <w:pPr>
              <w:autoSpaceDE w:val="0"/>
              <w:autoSpaceDN w:val="0"/>
              <w:adjustRightInd w:val="0"/>
              <w:snapToGrid w:val="0"/>
              <w:spacing w:line="240" w:lineRule="auto"/>
              <w:jc w:val="center"/>
              <w:rPr>
                <w:rFonts w:hint="default" w:ascii="Times New Roman" w:hAnsi="Times New Roman" w:eastAsia="宋体" w:cs="Times New Roman"/>
                <w:bCs/>
                <w:color w:val="auto"/>
                <w:kern w:val="0"/>
                <w:sz w:val="21"/>
                <w:lang w:val="en-US" w:eastAsia="zh-CN"/>
              </w:rPr>
            </w:pPr>
            <w:r>
              <w:rPr>
                <w:rFonts w:hint="default" w:ascii="Times New Roman" w:hAnsi="Times New Roman" w:eastAsia="宋体" w:cs="Times New Roman"/>
                <w:bCs/>
                <w:color w:val="auto"/>
                <w:kern w:val="0"/>
                <w:sz w:val="21"/>
                <w:lang w:val="en-US" w:eastAsia="zh-CN"/>
              </w:rPr>
              <w:t>103.34</w:t>
            </w:r>
          </w:p>
        </w:tc>
      </w:tr>
      <w:tr w14:paraId="1A4C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0" w:type="dxa"/>
            <w:vMerge w:val="continue"/>
            <w:tcBorders>
              <w:top w:val="single" w:color="auto" w:sz="4" w:space="0"/>
              <w:left w:val="single" w:color="auto" w:sz="4" w:space="0"/>
              <w:bottom w:val="single" w:color="auto" w:sz="4" w:space="0"/>
              <w:right w:val="single" w:color="auto" w:sz="4" w:space="0"/>
            </w:tcBorders>
            <w:vAlign w:val="center"/>
          </w:tcPr>
          <w:p w14:paraId="5720F2DD">
            <w:pPr>
              <w:widowControl/>
              <w:spacing w:line="240" w:lineRule="auto"/>
              <w:jc w:val="left"/>
              <w:rPr>
                <w:rFonts w:hint="default" w:ascii="Times New Roman" w:hAnsi="Times New Roman" w:eastAsia="宋体" w:cs="Times New Roman"/>
                <w:bCs/>
                <w:color w:val="auto"/>
                <w:kern w:val="0"/>
                <w:sz w:val="21"/>
              </w:rPr>
            </w:pPr>
          </w:p>
        </w:tc>
        <w:tc>
          <w:tcPr>
            <w:tcW w:w="2071" w:type="dxa"/>
            <w:tcBorders>
              <w:top w:val="single" w:color="auto" w:sz="4" w:space="0"/>
              <w:left w:val="single" w:color="auto" w:sz="4" w:space="0"/>
              <w:bottom w:val="single" w:color="auto" w:sz="4" w:space="0"/>
              <w:right w:val="single" w:color="auto" w:sz="4" w:space="0"/>
            </w:tcBorders>
            <w:vAlign w:val="center"/>
          </w:tcPr>
          <w:p w14:paraId="522DB22D">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电钻</w:t>
            </w:r>
          </w:p>
        </w:tc>
        <w:tc>
          <w:tcPr>
            <w:tcW w:w="2488" w:type="dxa"/>
            <w:tcBorders>
              <w:top w:val="single" w:color="auto" w:sz="4" w:space="0"/>
              <w:left w:val="single" w:color="auto" w:sz="4" w:space="0"/>
              <w:bottom w:val="single" w:color="auto" w:sz="4" w:space="0"/>
              <w:right w:val="single" w:color="auto" w:sz="4" w:space="0"/>
            </w:tcBorders>
            <w:vAlign w:val="center"/>
          </w:tcPr>
          <w:p w14:paraId="43946711">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90</w:t>
            </w:r>
          </w:p>
        </w:tc>
        <w:tc>
          <w:tcPr>
            <w:tcW w:w="2477" w:type="dxa"/>
            <w:vMerge w:val="continue"/>
            <w:tcBorders>
              <w:left w:val="single" w:color="auto" w:sz="4" w:space="0"/>
              <w:right w:val="single" w:color="auto" w:sz="4" w:space="0"/>
            </w:tcBorders>
            <w:vAlign w:val="center"/>
          </w:tcPr>
          <w:p w14:paraId="4D62BD5E">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p>
        </w:tc>
      </w:tr>
      <w:tr w14:paraId="15FC4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90" w:type="dxa"/>
            <w:vMerge w:val="continue"/>
            <w:tcBorders>
              <w:top w:val="single" w:color="auto" w:sz="4" w:space="0"/>
              <w:left w:val="single" w:color="auto" w:sz="4" w:space="0"/>
              <w:bottom w:val="single" w:color="auto" w:sz="4" w:space="0"/>
              <w:right w:val="single" w:color="auto" w:sz="4" w:space="0"/>
            </w:tcBorders>
            <w:vAlign w:val="center"/>
          </w:tcPr>
          <w:p w14:paraId="3F16FF15">
            <w:pPr>
              <w:widowControl/>
              <w:spacing w:line="240" w:lineRule="auto"/>
              <w:jc w:val="left"/>
              <w:rPr>
                <w:rFonts w:hint="default" w:ascii="Times New Roman" w:hAnsi="Times New Roman" w:eastAsia="宋体" w:cs="Times New Roman"/>
                <w:bCs/>
                <w:color w:val="auto"/>
                <w:kern w:val="0"/>
                <w:sz w:val="21"/>
              </w:rPr>
            </w:pPr>
          </w:p>
        </w:tc>
        <w:tc>
          <w:tcPr>
            <w:tcW w:w="2071" w:type="dxa"/>
            <w:tcBorders>
              <w:top w:val="single" w:color="auto" w:sz="4" w:space="0"/>
              <w:left w:val="single" w:color="auto" w:sz="4" w:space="0"/>
              <w:bottom w:val="single" w:color="auto" w:sz="4" w:space="0"/>
              <w:right w:val="single" w:color="auto" w:sz="4" w:space="0"/>
            </w:tcBorders>
            <w:vAlign w:val="center"/>
          </w:tcPr>
          <w:p w14:paraId="09D09B5A">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电锯</w:t>
            </w:r>
          </w:p>
        </w:tc>
        <w:tc>
          <w:tcPr>
            <w:tcW w:w="2488" w:type="dxa"/>
            <w:tcBorders>
              <w:top w:val="single" w:color="auto" w:sz="4" w:space="0"/>
              <w:left w:val="single" w:color="auto" w:sz="4" w:space="0"/>
              <w:bottom w:val="single" w:color="auto" w:sz="4" w:space="0"/>
              <w:right w:val="single" w:color="auto" w:sz="4" w:space="0"/>
            </w:tcBorders>
            <w:vAlign w:val="center"/>
          </w:tcPr>
          <w:p w14:paraId="2476B4F5">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103</w:t>
            </w:r>
          </w:p>
        </w:tc>
        <w:tc>
          <w:tcPr>
            <w:tcW w:w="2477" w:type="dxa"/>
            <w:vMerge w:val="continue"/>
            <w:tcBorders>
              <w:left w:val="single" w:color="auto" w:sz="4" w:space="0"/>
              <w:right w:val="single" w:color="auto" w:sz="4" w:space="0"/>
            </w:tcBorders>
            <w:vAlign w:val="center"/>
          </w:tcPr>
          <w:p w14:paraId="36D7AF2F">
            <w:pPr>
              <w:autoSpaceDE w:val="0"/>
              <w:autoSpaceDN w:val="0"/>
              <w:adjustRightInd w:val="0"/>
              <w:snapToGrid w:val="0"/>
              <w:spacing w:line="240" w:lineRule="auto"/>
              <w:jc w:val="center"/>
              <w:rPr>
                <w:rFonts w:hint="default" w:ascii="Times New Roman" w:hAnsi="Times New Roman" w:eastAsia="宋体" w:cs="Times New Roman"/>
                <w:color w:val="auto"/>
                <w:kern w:val="0"/>
                <w:sz w:val="21"/>
              </w:rPr>
            </w:pPr>
          </w:p>
        </w:tc>
      </w:tr>
    </w:tbl>
    <w:p w14:paraId="57AB55ED">
      <w:pPr>
        <w:adjustRightInd w:val="0"/>
        <w:snapToGrid w:val="0"/>
        <w:jc w:val="both"/>
        <w:rPr>
          <w:rFonts w:hint="default" w:ascii="Times New Roman" w:hAnsi="Times New Roman" w:eastAsia="宋体" w:cs="Times New Roman"/>
          <w:b/>
          <w:color w:val="auto"/>
        </w:rPr>
      </w:pPr>
    </w:p>
    <w:p w14:paraId="61938428">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表5.1-2  各施工阶段最大噪声值随距离衰减情况</w:t>
      </w:r>
    </w:p>
    <w:tbl>
      <w:tblPr>
        <w:tblStyle w:val="6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3438"/>
        <w:gridCol w:w="3874"/>
      </w:tblGrid>
      <w:tr w14:paraId="7593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216" w:type="dxa"/>
            <w:vMerge w:val="restart"/>
            <w:tcBorders>
              <w:top w:val="single" w:color="auto" w:sz="4" w:space="0"/>
              <w:left w:val="single" w:color="auto" w:sz="4" w:space="0"/>
              <w:bottom w:val="single" w:color="auto" w:sz="4" w:space="0"/>
              <w:right w:val="single" w:color="auto" w:sz="4" w:space="0"/>
            </w:tcBorders>
            <w:vAlign w:val="center"/>
          </w:tcPr>
          <w:p w14:paraId="184844ED">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声级</w:t>
            </w:r>
          </w:p>
        </w:tc>
        <w:tc>
          <w:tcPr>
            <w:tcW w:w="7312" w:type="dxa"/>
            <w:gridSpan w:val="2"/>
            <w:tcBorders>
              <w:top w:val="single" w:color="auto" w:sz="4" w:space="0"/>
              <w:left w:val="single" w:color="auto" w:sz="4" w:space="0"/>
              <w:bottom w:val="single" w:color="auto" w:sz="4" w:space="0"/>
              <w:right w:val="single" w:color="auto" w:sz="4" w:space="0"/>
            </w:tcBorders>
            <w:vAlign w:val="center"/>
          </w:tcPr>
          <w:p w14:paraId="043ED22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昼间</w:t>
            </w:r>
            <w:r>
              <w:rPr>
                <w:rFonts w:hint="default" w:ascii="Times New Roman" w:hAnsi="Times New Roman" w:eastAsia="宋体" w:cs="Times New Roman"/>
                <w:color w:val="auto"/>
                <w:sz w:val="21"/>
                <w:lang w:val="en-US" w:eastAsia="zh-CN"/>
              </w:rPr>
              <w:t>70</w:t>
            </w:r>
            <w:r>
              <w:rPr>
                <w:rFonts w:hint="default" w:ascii="Times New Roman" w:hAnsi="Times New Roman" w:eastAsia="宋体" w:cs="Times New Roman"/>
                <w:color w:val="auto"/>
                <w:sz w:val="21"/>
              </w:rPr>
              <w:t>dB(A)，夜间不施工。</w:t>
            </w:r>
          </w:p>
        </w:tc>
      </w:tr>
      <w:tr w14:paraId="20904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216" w:type="dxa"/>
            <w:vMerge w:val="continue"/>
            <w:tcBorders>
              <w:top w:val="single" w:color="auto" w:sz="4" w:space="0"/>
              <w:left w:val="single" w:color="auto" w:sz="4" w:space="0"/>
              <w:bottom w:val="single" w:color="auto" w:sz="4" w:space="0"/>
              <w:right w:val="single" w:color="auto" w:sz="4" w:space="0"/>
            </w:tcBorders>
            <w:vAlign w:val="center"/>
          </w:tcPr>
          <w:p w14:paraId="288CA2F5">
            <w:pPr>
              <w:widowControl/>
              <w:spacing w:line="240" w:lineRule="auto"/>
              <w:jc w:val="left"/>
              <w:rPr>
                <w:rFonts w:hint="default" w:ascii="Times New Roman" w:hAnsi="Times New Roman" w:eastAsia="宋体" w:cs="Times New Roman"/>
                <w:color w:val="auto"/>
                <w:sz w:val="21"/>
              </w:rPr>
            </w:pPr>
          </w:p>
        </w:tc>
        <w:tc>
          <w:tcPr>
            <w:tcW w:w="3438" w:type="dxa"/>
            <w:tcBorders>
              <w:top w:val="single" w:color="auto" w:sz="4" w:space="0"/>
              <w:left w:val="single" w:color="auto" w:sz="4" w:space="0"/>
              <w:bottom w:val="single" w:color="auto" w:sz="4" w:space="0"/>
              <w:right w:val="single" w:color="auto" w:sz="4" w:space="0"/>
            </w:tcBorders>
            <w:vAlign w:val="center"/>
          </w:tcPr>
          <w:p w14:paraId="5D4543D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Cs/>
                <w:color w:val="auto"/>
                <w:kern w:val="0"/>
                <w:sz w:val="21"/>
                <w:lang w:eastAsia="zh-CN"/>
              </w:rPr>
              <w:t>环保设施安装</w:t>
            </w:r>
          </w:p>
        </w:tc>
        <w:tc>
          <w:tcPr>
            <w:tcW w:w="3874" w:type="dxa"/>
            <w:tcBorders>
              <w:top w:val="single" w:color="auto" w:sz="4" w:space="0"/>
              <w:left w:val="single" w:color="auto" w:sz="4" w:space="0"/>
              <w:bottom w:val="single" w:color="auto" w:sz="4" w:space="0"/>
              <w:right w:val="single" w:color="auto" w:sz="4" w:space="0"/>
            </w:tcBorders>
            <w:vAlign w:val="center"/>
          </w:tcPr>
          <w:p w14:paraId="448DB5A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装修阶段、设备安装</w:t>
            </w:r>
          </w:p>
        </w:tc>
      </w:tr>
      <w:tr w14:paraId="5E6F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16" w:type="dxa"/>
            <w:tcBorders>
              <w:top w:val="single" w:color="auto" w:sz="4" w:space="0"/>
              <w:left w:val="single" w:color="auto" w:sz="4" w:space="0"/>
              <w:bottom w:val="single" w:color="auto" w:sz="4" w:space="0"/>
              <w:right w:val="single" w:color="auto" w:sz="4" w:space="0"/>
            </w:tcBorders>
            <w:vAlign w:val="center"/>
          </w:tcPr>
          <w:p w14:paraId="23200E8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距离/m</w:t>
            </w:r>
          </w:p>
        </w:tc>
        <w:tc>
          <w:tcPr>
            <w:tcW w:w="3438" w:type="dxa"/>
            <w:tcBorders>
              <w:top w:val="single" w:color="auto" w:sz="4" w:space="0"/>
              <w:left w:val="single" w:color="auto" w:sz="4" w:space="0"/>
              <w:bottom w:val="single" w:color="auto" w:sz="4" w:space="0"/>
              <w:right w:val="single" w:color="auto" w:sz="4" w:space="0"/>
            </w:tcBorders>
            <w:vAlign w:val="center"/>
          </w:tcPr>
          <w:p w14:paraId="3509B146">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62.7</w:t>
            </w:r>
          </w:p>
        </w:tc>
        <w:tc>
          <w:tcPr>
            <w:tcW w:w="3874" w:type="dxa"/>
            <w:tcBorders>
              <w:top w:val="single" w:color="auto" w:sz="4" w:space="0"/>
              <w:left w:val="single" w:color="auto" w:sz="4" w:space="0"/>
              <w:bottom w:val="single" w:color="auto" w:sz="4" w:space="0"/>
              <w:right w:val="single" w:color="auto" w:sz="4" w:space="0"/>
            </w:tcBorders>
            <w:vAlign w:val="center"/>
          </w:tcPr>
          <w:p w14:paraId="3E2A2217">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46.9</w:t>
            </w:r>
          </w:p>
        </w:tc>
      </w:tr>
    </w:tbl>
    <w:p w14:paraId="30F43307">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从表5.1-1和表5.1-2可以看出，施工过程中噪声源最大的为基础施工阶段，该阶段在</w:t>
      </w:r>
      <w:r>
        <w:rPr>
          <w:rFonts w:hint="default" w:ascii="Times New Roman" w:hAnsi="Times New Roman" w:eastAsia="宋体" w:cs="Times New Roman"/>
          <w:color w:val="auto"/>
          <w:lang w:val="en-US" w:eastAsia="zh-CN"/>
        </w:rPr>
        <w:t>62.7</w:t>
      </w:r>
      <w:r>
        <w:rPr>
          <w:rFonts w:hint="default" w:ascii="Times New Roman" w:hAnsi="Times New Roman" w:eastAsia="宋体" w:cs="Times New Roman"/>
          <w:color w:val="auto"/>
        </w:rPr>
        <w:t>m范围外设备运行产生的噪声小于昼间标准限值70dB(A)。结合项目平面布置情况，项目拟建生产厂房等主要建筑均位于场地四周，施工机械设备集中在场地边界处，故施工期场界噪声不能达到《建筑施工场界环境噪声排放标准》（GB12523-2011），即昼间≤70dB（A），夜间≤55dB（A）。</w:t>
      </w:r>
      <w:r>
        <w:rPr>
          <w:rFonts w:hint="default" w:ascii="Times New Roman" w:hAnsi="Times New Roman" w:eastAsia="宋体" w:cs="Times New Roman"/>
          <w:color w:val="auto"/>
          <w:lang w:eastAsia="zh-CN"/>
        </w:rPr>
        <w:t>但</w:t>
      </w:r>
      <w:r>
        <w:rPr>
          <w:rFonts w:hint="default" w:ascii="Times New Roman" w:hAnsi="Times New Roman" w:eastAsia="宋体" w:cs="Times New Roman"/>
          <w:color w:val="auto"/>
        </w:rPr>
        <w:t>项目施工期较短，施工期噪声随施工结束而消失，</w:t>
      </w:r>
      <w:r>
        <w:rPr>
          <w:rFonts w:hint="default" w:ascii="Times New Roman" w:hAnsi="Times New Roman" w:eastAsia="宋体" w:cs="Times New Roman"/>
          <w:color w:val="auto"/>
          <w:lang w:eastAsia="zh-CN"/>
        </w:rPr>
        <w:t>项目施工期噪声</w:t>
      </w:r>
      <w:r>
        <w:rPr>
          <w:rFonts w:hint="default" w:ascii="Times New Roman" w:hAnsi="Times New Roman" w:eastAsia="宋体" w:cs="Times New Roman"/>
          <w:color w:val="auto"/>
        </w:rPr>
        <w:t>对周边环境影响较小</w:t>
      </w:r>
      <w:r>
        <w:rPr>
          <w:rFonts w:hint="default" w:ascii="Times New Roman" w:hAnsi="Times New Roman" w:eastAsia="宋体" w:cs="Times New Roman"/>
          <w:color w:val="auto"/>
          <w:lang w:eastAsia="zh-CN"/>
        </w:rPr>
        <w:t>。</w:t>
      </w:r>
    </w:p>
    <w:p w14:paraId="2D08487E">
      <w:pPr>
        <w:adjustRightInd w:val="0"/>
        <w:snapToGrid w:val="0"/>
        <w:ind w:firstLine="482" w:firstLineChars="200"/>
        <w:rPr>
          <w:rFonts w:hint="default" w:ascii="Times New Roman" w:hAnsi="Times New Roman" w:eastAsia="宋体" w:cs="Times New Roman"/>
          <w:b/>
          <w:bCs/>
          <w:color w:val="auto"/>
          <w:szCs w:val="28"/>
        </w:rPr>
      </w:pPr>
      <w:r>
        <w:rPr>
          <w:rFonts w:hint="default" w:ascii="Times New Roman" w:hAnsi="Times New Roman" w:eastAsia="宋体" w:cs="Times New Roman"/>
          <w:b/>
          <w:color w:val="auto"/>
        </w:rPr>
        <w:t>（2）对敏感目标的预测结果及影响分析</w:t>
      </w:r>
    </w:p>
    <w:p w14:paraId="1A8C434D">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从项目周围环境关系看，施工场地周边200m范围内无村庄等居民集中点，最近村庄在</w:t>
      </w:r>
      <w:r>
        <w:rPr>
          <w:rFonts w:hint="default" w:ascii="Times New Roman" w:hAnsi="Times New Roman" w:eastAsia="宋体" w:cs="Times New Roman"/>
          <w:color w:val="auto"/>
          <w:lang w:val="en-US" w:eastAsia="zh-CN"/>
        </w:rPr>
        <w:t>520</w:t>
      </w:r>
      <w:r>
        <w:rPr>
          <w:rFonts w:hint="default" w:ascii="Times New Roman" w:hAnsi="Times New Roman" w:eastAsia="宋体" w:cs="Times New Roman"/>
          <w:color w:val="auto"/>
        </w:rPr>
        <w:t>m外，故施工噪声对村民基本无影响。项目施工期较短，且施工主要集中在白天，施工期噪声随施工结束而消失，对周边环境</w:t>
      </w:r>
      <w:r>
        <w:rPr>
          <w:rFonts w:hint="default" w:ascii="Times New Roman" w:hAnsi="Times New Roman" w:eastAsia="宋体" w:cs="Times New Roman"/>
          <w:color w:val="auto"/>
          <w:lang w:eastAsia="zh-CN"/>
        </w:rPr>
        <w:t>和敏感点</w:t>
      </w:r>
      <w:r>
        <w:rPr>
          <w:rFonts w:hint="default" w:ascii="Times New Roman" w:hAnsi="Times New Roman" w:eastAsia="宋体" w:cs="Times New Roman"/>
          <w:color w:val="auto"/>
        </w:rPr>
        <w:t>影响小。</w:t>
      </w:r>
    </w:p>
    <w:p w14:paraId="6C6A6C48">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322" w:name="_Toc9976"/>
      <w:bookmarkStart w:id="323" w:name="_Toc377779324"/>
      <w:r>
        <w:rPr>
          <w:rFonts w:hint="default" w:ascii="Times New Roman" w:hAnsi="Times New Roman" w:eastAsia="宋体" w:cs="Times New Roman"/>
          <w:color w:val="auto"/>
          <w:sz w:val="28"/>
          <w:szCs w:val="28"/>
        </w:rPr>
        <w:t>5.1.4固体废物环境影响分析</w:t>
      </w:r>
      <w:bookmarkEnd w:id="322"/>
      <w:bookmarkEnd w:id="323"/>
    </w:p>
    <w:p w14:paraId="790810F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项目场地施工土石方能够挖填平衡，无废弃土石方产生，施工期固体废物主要为建筑垃圾以及施工人员的生活垃圾等。</w:t>
      </w:r>
    </w:p>
    <w:p w14:paraId="56D34979">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（1）建筑垃圾</w:t>
      </w:r>
    </w:p>
    <w:p w14:paraId="262AADF5">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建筑垃圾是在建筑物的建设、装修过程产生的，主要有砂石、渣土、废钢筋和各种废钢配件，金属管线废料、木屑、各种装饰材料的包装箱、包装袋等、散落的砂浆和混凝土，碎砖和碎混凝土块。</w:t>
      </w:r>
      <w:r>
        <w:rPr>
          <w:rFonts w:hint="default" w:ascii="Times New Roman" w:hAnsi="Times New Roman" w:eastAsia="宋体" w:cs="Times New Roman"/>
          <w:bCs/>
          <w:color w:val="auto"/>
        </w:rPr>
        <w:t>根据《环境卫生工程》（2006</w:t>
      </w:r>
      <w:r>
        <w:rPr>
          <w:rFonts w:hint="default" w:ascii="Times New Roman" w:hAnsi="Times New Roman" w:eastAsia="宋体" w:cs="Times New Roman"/>
          <w:color w:val="auto"/>
        </w:rPr>
        <w:t>年vol.14No4）中《建筑垃圾的产生和循环利用》，单位面积施工固体废弃物的产生系数为20~55kg/m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，本项目</w:t>
      </w:r>
      <w:r>
        <w:rPr>
          <w:rFonts w:hint="default" w:ascii="Times New Roman" w:hAnsi="Times New Roman" w:eastAsia="宋体" w:cs="Times New Roman"/>
          <w:color w:val="auto"/>
          <w:lang w:eastAsia="zh-CN"/>
        </w:rPr>
        <w:t>水洗车间为砖混结构，只进行简单装修</w:t>
      </w:r>
      <w:r>
        <w:rPr>
          <w:rFonts w:hint="default" w:ascii="Times New Roman" w:hAnsi="Times New Roman" w:eastAsia="宋体" w:cs="Times New Roman"/>
          <w:color w:val="auto"/>
        </w:rPr>
        <w:t>，故项目建设产生的固体垃圾较少</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可回收利用的部分回收利用，不可回收的部分及时</w:t>
      </w:r>
      <w:r>
        <w:rPr>
          <w:rFonts w:hint="default" w:ascii="Times New Roman" w:hAnsi="Times New Roman" w:eastAsia="宋体" w:cs="Times New Roman"/>
          <w:color w:val="auto"/>
          <w:lang w:eastAsia="zh-CN"/>
        </w:rPr>
        <w:t>委托</w:t>
      </w:r>
      <w:r>
        <w:rPr>
          <w:rFonts w:hint="default" w:ascii="Times New Roman" w:hAnsi="Times New Roman" w:eastAsia="宋体" w:cs="Times New Roman"/>
          <w:color w:val="auto"/>
        </w:rPr>
        <w:t>有资质的单位清运</w:t>
      </w:r>
      <w:r>
        <w:rPr>
          <w:rFonts w:hint="default" w:ascii="Times New Roman" w:hAnsi="Times New Roman" w:eastAsia="宋体" w:cs="Times New Roman"/>
          <w:color w:val="auto"/>
          <w:lang w:eastAsia="zh-CN"/>
        </w:rPr>
        <w:t>处理</w:t>
      </w:r>
      <w:r>
        <w:rPr>
          <w:rFonts w:hint="default" w:ascii="Times New Roman" w:hAnsi="Times New Roman" w:eastAsia="宋体" w:cs="Times New Roman"/>
          <w:color w:val="auto"/>
        </w:rPr>
        <w:t>。</w:t>
      </w:r>
    </w:p>
    <w:p w14:paraId="3ECDB165">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（2）生活垃圾</w:t>
      </w:r>
    </w:p>
    <w:p w14:paraId="4A320D63">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项目施工人员产生的生活垃圾按每人0.5kg/d，</w:t>
      </w:r>
      <w:r>
        <w:rPr>
          <w:rFonts w:hint="default" w:ascii="Times New Roman" w:hAnsi="Times New Roman" w:eastAsia="宋体" w:cs="Times New Roman"/>
          <w:color w:val="auto"/>
          <w:lang w:eastAsia="zh-CN"/>
        </w:rPr>
        <w:t>施工人员</w:t>
      </w:r>
      <w:r>
        <w:rPr>
          <w:rFonts w:hint="default" w:ascii="Times New Roman" w:hAnsi="Times New Roman" w:eastAsia="宋体" w:cs="Times New Roman"/>
          <w:color w:val="auto"/>
          <w:lang w:val="en-US" w:eastAsia="zh-CN"/>
        </w:rPr>
        <w:t>10人</w:t>
      </w:r>
      <w:r>
        <w:rPr>
          <w:rFonts w:hint="default" w:ascii="Times New Roman" w:hAnsi="Times New Roman" w:eastAsia="宋体" w:cs="Times New Roman"/>
          <w:color w:val="auto"/>
        </w:rPr>
        <w:t>，产生量约为</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kg/d。</w:t>
      </w:r>
      <w:r>
        <w:rPr>
          <w:rFonts w:hint="default" w:ascii="Times New Roman" w:hAnsi="Times New Roman" w:eastAsia="宋体" w:cs="Times New Roman"/>
          <w:color w:val="auto"/>
          <w:lang w:eastAsia="zh-CN"/>
        </w:rPr>
        <w:t>施工周期为</w:t>
      </w:r>
      <w:r>
        <w:rPr>
          <w:rFonts w:hint="default" w:ascii="Times New Roman" w:hAnsi="Times New Roman" w:eastAsia="宋体" w:cs="Times New Roman"/>
          <w:color w:val="auto"/>
          <w:lang w:val="en-US" w:eastAsia="zh-CN"/>
        </w:rPr>
        <w:t>3个月，</w:t>
      </w:r>
      <w:r>
        <w:rPr>
          <w:rFonts w:hint="default" w:ascii="Times New Roman" w:hAnsi="Times New Roman" w:eastAsia="宋体" w:cs="Times New Roman"/>
          <w:color w:val="auto"/>
        </w:rPr>
        <w:t>施工期生活垃圾产生总量为</w:t>
      </w:r>
      <w:r>
        <w:rPr>
          <w:rFonts w:hint="default" w:ascii="Times New Roman" w:hAnsi="Times New Roman" w:eastAsia="宋体" w:cs="Times New Roman"/>
          <w:color w:val="auto"/>
          <w:lang w:val="en-US" w:eastAsia="zh-CN"/>
        </w:rPr>
        <w:t>0.45</w:t>
      </w:r>
      <w:r>
        <w:rPr>
          <w:rFonts w:hint="default" w:ascii="Times New Roman" w:hAnsi="Times New Roman" w:eastAsia="宋体" w:cs="Times New Roman"/>
          <w:color w:val="auto"/>
        </w:rPr>
        <w:t>t。</w:t>
      </w:r>
      <w:r>
        <w:rPr>
          <w:rFonts w:hint="default" w:ascii="Times New Roman" w:hAnsi="Times New Roman" w:eastAsia="宋体" w:cs="Times New Roman"/>
          <w:color w:val="auto"/>
          <w:lang w:eastAsia="zh-CN"/>
        </w:rPr>
        <w:t>环评要求</w:t>
      </w:r>
      <w:r>
        <w:rPr>
          <w:rFonts w:hint="default" w:ascii="Times New Roman" w:hAnsi="Times New Roman" w:eastAsia="宋体" w:cs="Times New Roman"/>
          <w:color w:val="auto"/>
        </w:rPr>
        <w:t>项目设置生活垃圾集中</w:t>
      </w:r>
      <w:r>
        <w:rPr>
          <w:rFonts w:hint="default" w:ascii="Times New Roman" w:hAnsi="Times New Roman" w:eastAsia="宋体" w:cs="Times New Roman"/>
          <w:color w:val="auto"/>
          <w:lang w:eastAsia="zh-CN"/>
        </w:rPr>
        <w:t>收集点</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收集后</w:t>
      </w:r>
      <w:r>
        <w:rPr>
          <w:rFonts w:hint="default" w:ascii="Times New Roman" w:hAnsi="Times New Roman" w:eastAsia="宋体" w:cs="Times New Roman"/>
          <w:color w:val="auto"/>
        </w:rPr>
        <w:t xml:space="preserve">委托当地环卫部门进行清运处理。 </w:t>
      </w:r>
    </w:p>
    <w:p w14:paraId="61539132">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w:t>
      </w:r>
      <w:r>
        <w:rPr>
          <w:rFonts w:hint="default" w:ascii="Times New Roman" w:hAnsi="Times New Roman" w:eastAsia="宋体" w:cs="Times New Roman"/>
          <w:color w:val="auto"/>
          <w:lang w:eastAsia="zh-CN"/>
        </w:rPr>
        <w:t>项目</w:t>
      </w:r>
      <w:r>
        <w:rPr>
          <w:rFonts w:hint="default" w:ascii="Times New Roman" w:hAnsi="Times New Roman" w:eastAsia="宋体" w:cs="Times New Roman"/>
          <w:color w:val="auto"/>
        </w:rPr>
        <w:t>只要采取切实措施，处置措施得当，施工期固体废弃物对周围环境影响较小。</w:t>
      </w:r>
    </w:p>
    <w:p w14:paraId="7BAA924D">
      <w:pPr>
        <w:adjustRightInd w:val="0"/>
        <w:snapToGrid w:val="0"/>
        <w:spacing w:beforeLines="50"/>
        <w:outlineLvl w:val="1"/>
        <w:rPr>
          <w:rFonts w:hint="default" w:ascii="Times New Roman" w:hAnsi="Times New Roman" w:eastAsia="宋体" w:cs="Times New Roman"/>
          <w:b/>
          <w:color w:val="auto"/>
          <w:sz w:val="32"/>
          <w:szCs w:val="32"/>
        </w:rPr>
      </w:pPr>
      <w:bookmarkStart w:id="324" w:name="_Toc6413"/>
      <w:bookmarkStart w:id="325" w:name="_Toc2082"/>
      <w:r>
        <w:rPr>
          <w:rFonts w:hint="default" w:ascii="Times New Roman" w:hAnsi="Times New Roman" w:eastAsia="宋体" w:cs="Times New Roman"/>
          <w:b/>
          <w:color w:val="auto"/>
          <w:sz w:val="32"/>
          <w:szCs w:val="32"/>
        </w:rPr>
        <w:t>5.2运营期环境影响分析</w:t>
      </w:r>
      <w:bookmarkEnd w:id="324"/>
      <w:bookmarkEnd w:id="325"/>
    </w:p>
    <w:p w14:paraId="6EB2AA2A">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326" w:name="_Toc328725393"/>
      <w:bookmarkStart w:id="327" w:name="_Toc12406"/>
      <w:r>
        <w:rPr>
          <w:rFonts w:hint="default" w:ascii="Times New Roman" w:hAnsi="Times New Roman" w:eastAsia="宋体" w:cs="Times New Roman"/>
          <w:color w:val="auto"/>
          <w:sz w:val="28"/>
        </w:rPr>
        <w:t>5.2.1大气环境影响预测与分析</w:t>
      </w:r>
      <w:bookmarkEnd w:id="326"/>
      <w:bookmarkEnd w:id="327"/>
      <w:bookmarkStart w:id="328" w:name="_Toc335040480"/>
    </w:p>
    <w:bookmarkEnd w:id="328"/>
    <w:p w14:paraId="606A3286">
      <w:pPr>
        <w:adjustRightInd w:val="0"/>
        <w:snapToGrid w:val="0"/>
        <w:outlineLvl w:val="3"/>
        <w:rPr>
          <w:rFonts w:hint="default" w:ascii="Times New Roman" w:hAnsi="Times New Roman" w:eastAsia="宋体" w:cs="Times New Roman"/>
          <w:b/>
          <w:color w:val="auto"/>
        </w:rPr>
      </w:pPr>
      <w:r>
        <w:rPr>
          <w:rFonts w:hint="default" w:ascii="Times New Roman" w:hAnsi="Times New Roman" w:eastAsia="宋体" w:cs="Times New Roman"/>
          <w:b/>
          <w:color w:val="auto"/>
        </w:rPr>
        <w:t>5.2.1.1气象背景及污染气象特征</w:t>
      </w:r>
    </w:p>
    <w:p w14:paraId="077DD59D">
      <w:pPr>
        <w:ind w:firstLine="482" w:firstLineChars="200"/>
        <w:jc w:val="left"/>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1、气象数据收集与统计</w:t>
      </w:r>
    </w:p>
    <w:p w14:paraId="1D55F123">
      <w:pPr>
        <w:ind w:firstLine="480" w:firstLineChars="200"/>
        <w:jc w:val="left"/>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本项目位于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，根据《环境影响评价技术导则 大气环境》（HJ/T2.2-2018）中气象资料的使用原则，本项目气象数据使用情况如下</w:t>
      </w:r>
      <w:r>
        <w:rPr>
          <w:rFonts w:hint="default" w:ascii="Times New Roman" w:hAnsi="Times New Roman" w:eastAsia="宋体" w:cs="Times New Roman"/>
          <w:color w:val="auto"/>
          <w:lang w:eastAsia="zh-CN"/>
        </w:rPr>
        <w:t>：</w:t>
      </w:r>
    </w:p>
    <w:p w14:paraId="2891AA43">
      <w:pPr>
        <w:pStyle w:val="15"/>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及污染物浓度预测采用芒市气象站20年（1989~2010年）的多年气象资料统计结果。芒市气象局地址：芒市团结大街167号。台（站）名：芒市气象站（区站号：56844。纬度：24°26′N，经度：98°35′E。观测场拔海高度：913.8米），属于国家一般气象站。周围地理环境条件与项目周围基本类似，且距拟建项目距离不远，根据《环境影响评价技术导则  大气环境》HJ/T2.2-2008中有关规定，该气象站污染气象资料具有较好的适用性。</w:t>
      </w:r>
    </w:p>
    <w:p w14:paraId="766AFE1B">
      <w:pPr>
        <w:pStyle w:val="15"/>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本次评价及污染物浓度预测采用芒市气象站30年（1971~2000年）的平均气候资料及2013年1月、4月、7月、10月观测资料统计结果。该地区各项30年气象要素平均值见表5.2-1。</w:t>
      </w:r>
    </w:p>
    <w:p w14:paraId="389891CB">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表5.2-1  芒市累年（1971~2000年）各月气象要素一览表</w:t>
      </w:r>
    </w:p>
    <w:tbl>
      <w:tblPr>
        <w:tblStyle w:val="6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9"/>
        <w:gridCol w:w="580"/>
        <w:gridCol w:w="580"/>
        <w:gridCol w:w="579"/>
        <w:gridCol w:w="579"/>
        <w:gridCol w:w="579"/>
        <w:gridCol w:w="579"/>
        <w:gridCol w:w="579"/>
        <w:gridCol w:w="579"/>
        <w:gridCol w:w="579"/>
        <w:gridCol w:w="579"/>
        <w:gridCol w:w="579"/>
        <w:gridCol w:w="579"/>
        <w:gridCol w:w="620"/>
      </w:tblGrid>
      <w:tr w14:paraId="34FF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89" w:type="dxa"/>
            <w:tcBorders>
              <w:tl2br w:val="single" w:color="auto" w:sz="4" w:space="0"/>
            </w:tcBorders>
            <w:noWrap w:val="0"/>
            <w:vAlign w:val="center"/>
          </w:tcPr>
          <w:p w14:paraId="46E31BE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     月份</w:t>
            </w:r>
          </w:p>
          <w:p w14:paraId="4F75692E">
            <w:pPr>
              <w:ind w:firstLine="211" w:firstLineChars="1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580" w:type="dxa"/>
            <w:noWrap w:val="0"/>
            <w:vAlign w:val="center"/>
          </w:tcPr>
          <w:p w14:paraId="4C93AC1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580" w:type="dxa"/>
            <w:noWrap w:val="0"/>
            <w:vAlign w:val="center"/>
          </w:tcPr>
          <w:p w14:paraId="3893D7B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579" w:type="dxa"/>
            <w:noWrap w:val="0"/>
            <w:vAlign w:val="center"/>
          </w:tcPr>
          <w:p w14:paraId="4B4021C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579" w:type="dxa"/>
            <w:noWrap w:val="0"/>
            <w:vAlign w:val="center"/>
          </w:tcPr>
          <w:p w14:paraId="0B5EBB7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579" w:type="dxa"/>
            <w:noWrap w:val="0"/>
            <w:vAlign w:val="center"/>
          </w:tcPr>
          <w:p w14:paraId="54248E2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w:t>
            </w:r>
          </w:p>
        </w:tc>
        <w:tc>
          <w:tcPr>
            <w:tcW w:w="579" w:type="dxa"/>
            <w:noWrap w:val="0"/>
            <w:vAlign w:val="center"/>
          </w:tcPr>
          <w:p w14:paraId="6FC31D9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6</w:t>
            </w:r>
          </w:p>
        </w:tc>
        <w:tc>
          <w:tcPr>
            <w:tcW w:w="579" w:type="dxa"/>
            <w:noWrap w:val="0"/>
            <w:vAlign w:val="center"/>
          </w:tcPr>
          <w:p w14:paraId="0E1EC5A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w:t>
            </w:r>
          </w:p>
        </w:tc>
        <w:tc>
          <w:tcPr>
            <w:tcW w:w="579" w:type="dxa"/>
            <w:noWrap w:val="0"/>
            <w:vAlign w:val="center"/>
          </w:tcPr>
          <w:p w14:paraId="6B4BBC8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8</w:t>
            </w:r>
          </w:p>
        </w:tc>
        <w:tc>
          <w:tcPr>
            <w:tcW w:w="579" w:type="dxa"/>
            <w:noWrap w:val="0"/>
            <w:vAlign w:val="center"/>
          </w:tcPr>
          <w:p w14:paraId="6A11289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9</w:t>
            </w:r>
          </w:p>
        </w:tc>
        <w:tc>
          <w:tcPr>
            <w:tcW w:w="579" w:type="dxa"/>
            <w:noWrap w:val="0"/>
            <w:vAlign w:val="center"/>
          </w:tcPr>
          <w:p w14:paraId="61EA95A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579" w:type="dxa"/>
            <w:noWrap w:val="0"/>
            <w:vAlign w:val="center"/>
          </w:tcPr>
          <w:p w14:paraId="292AF37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11</w:t>
            </w:r>
          </w:p>
        </w:tc>
        <w:tc>
          <w:tcPr>
            <w:tcW w:w="579" w:type="dxa"/>
            <w:noWrap w:val="0"/>
            <w:vAlign w:val="center"/>
          </w:tcPr>
          <w:p w14:paraId="7D3DB75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12</w:t>
            </w:r>
          </w:p>
        </w:tc>
        <w:tc>
          <w:tcPr>
            <w:tcW w:w="620" w:type="dxa"/>
            <w:noWrap w:val="0"/>
            <w:vAlign w:val="center"/>
          </w:tcPr>
          <w:p w14:paraId="4A3852D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全年</w:t>
            </w:r>
          </w:p>
        </w:tc>
      </w:tr>
      <w:tr w14:paraId="3702E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0A52C5E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气压(hPa)</w:t>
            </w:r>
          </w:p>
        </w:tc>
        <w:tc>
          <w:tcPr>
            <w:tcW w:w="580" w:type="dxa"/>
            <w:noWrap w:val="0"/>
            <w:vAlign w:val="center"/>
          </w:tcPr>
          <w:p w14:paraId="0E1A06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913.5</w:t>
            </w:r>
          </w:p>
        </w:tc>
        <w:tc>
          <w:tcPr>
            <w:tcW w:w="580" w:type="dxa"/>
            <w:noWrap w:val="0"/>
            <w:vAlign w:val="center"/>
          </w:tcPr>
          <w:p w14:paraId="79451E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912.3</w:t>
            </w:r>
          </w:p>
        </w:tc>
        <w:tc>
          <w:tcPr>
            <w:tcW w:w="579" w:type="dxa"/>
            <w:noWrap w:val="0"/>
            <w:vAlign w:val="center"/>
          </w:tcPr>
          <w:p w14:paraId="5635CE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910.9</w:t>
            </w:r>
          </w:p>
        </w:tc>
        <w:tc>
          <w:tcPr>
            <w:tcW w:w="579" w:type="dxa"/>
            <w:noWrap w:val="0"/>
            <w:vAlign w:val="center"/>
          </w:tcPr>
          <w:p w14:paraId="308B00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909.3</w:t>
            </w:r>
          </w:p>
        </w:tc>
        <w:tc>
          <w:tcPr>
            <w:tcW w:w="579" w:type="dxa"/>
            <w:noWrap w:val="0"/>
            <w:vAlign w:val="center"/>
          </w:tcPr>
          <w:p w14:paraId="7F0947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907.4</w:t>
            </w:r>
          </w:p>
        </w:tc>
        <w:tc>
          <w:tcPr>
            <w:tcW w:w="579" w:type="dxa"/>
            <w:noWrap w:val="0"/>
            <w:vAlign w:val="center"/>
          </w:tcPr>
          <w:p w14:paraId="51FEB5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905.2</w:t>
            </w:r>
          </w:p>
        </w:tc>
        <w:tc>
          <w:tcPr>
            <w:tcW w:w="579" w:type="dxa"/>
            <w:noWrap w:val="0"/>
            <w:vAlign w:val="center"/>
          </w:tcPr>
          <w:p w14:paraId="4D0EC2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95.1</w:t>
            </w:r>
          </w:p>
        </w:tc>
        <w:tc>
          <w:tcPr>
            <w:tcW w:w="579" w:type="dxa"/>
            <w:noWrap w:val="0"/>
            <w:vAlign w:val="center"/>
          </w:tcPr>
          <w:p w14:paraId="671A36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905.9</w:t>
            </w:r>
          </w:p>
        </w:tc>
        <w:tc>
          <w:tcPr>
            <w:tcW w:w="579" w:type="dxa"/>
            <w:noWrap w:val="0"/>
            <w:vAlign w:val="center"/>
          </w:tcPr>
          <w:p w14:paraId="390C6A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908.8</w:t>
            </w:r>
          </w:p>
        </w:tc>
        <w:tc>
          <w:tcPr>
            <w:tcW w:w="579" w:type="dxa"/>
            <w:noWrap w:val="0"/>
            <w:vAlign w:val="center"/>
          </w:tcPr>
          <w:p w14:paraId="4E9B42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911.9</w:t>
            </w:r>
          </w:p>
        </w:tc>
        <w:tc>
          <w:tcPr>
            <w:tcW w:w="579" w:type="dxa"/>
            <w:noWrap w:val="0"/>
            <w:vAlign w:val="center"/>
          </w:tcPr>
          <w:p w14:paraId="446872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914.0</w:t>
            </w:r>
          </w:p>
        </w:tc>
        <w:tc>
          <w:tcPr>
            <w:tcW w:w="579" w:type="dxa"/>
            <w:noWrap w:val="0"/>
            <w:vAlign w:val="center"/>
          </w:tcPr>
          <w:p w14:paraId="11F811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914.8</w:t>
            </w:r>
          </w:p>
        </w:tc>
        <w:tc>
          <w:tcPr>
            <w:tcW w:w="620" w:type="dxa"/>
            <w:noWrap w:val="0"/>
            <w:vAlign w:val="center"/>
          </w:tcPr>
          <w:p w14:paraId="1A5E7D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909.6</w:t>
            </w:r>
          </w:p>
        </w:tc>
      </w:tr>
      <w:tr w14:paraId="7221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75AB9F2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气温(℃)</w:t>
            </w:r>
          </w:p>
        </w:tc>
        <w:tc>
          <w:tcPr>
            <w:tcW w:w="580" w:type="dxa"/>
            <w:noWrap w:val="0"/>
            <w:vAlign w:val="center"/>
          </w:tcPr>
          <w:p w14:paraId="0E9424B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w:t>
            </w:r>
          </w:p>
        </w:tc>
        <w:tc>
          <w:tcPr>
            <w:tcW w:w="580" w:type="dxa"/>
            <w:noWrap w:val="0"/>
            <w:vAlign w:val="center"/>
          </w:tcPr>
          <w:p w14:paraId="3E9CAB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14.2</w:t>
            </w:r>
          </w:p>
        </w:tc>
        <w:tc>
          <w:tcPr>
            <w:tcW w:w="579" w:type="dxa"/>
            <w:noWrap w:val="0"/>
            <w:vAlign w:val="center"/>
          </w:tcPr>
          <w:p w14:paraId="35915D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579" w:type="dxa"/>
            <w:noWrap w:val="0"/>
            <w:vAlign w:val="center"/>
          </w:tcPr>
          <w:p w14:paraId="578EA2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w:t>
            </w:r>
          </w:p>
        </w:tc>
        <w:tc>
          <w:tcPr>
            <w:tcW w:w="579" w:type="dxa"/>
            <w:noWrap w:val="0"/>
            <w:vAlign w:val="center"/>
          </w:tcPr>
          <w:p w14:paraId="06A5AF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23.3</w:t>
            </w:r>
          </w:p>
        </w:tc>
        <w:tc>
          <w:tcPr>
            <w:tcW w:w="579" w:type="dxa"/>
            <w:noWrap w:val="0"/>
            <w:vAlign w:val="center"/>
          </w:tcPr>
          <w:p w14:paraId="4E71E0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24.1</w:t>
            </w:r>
          </w:p>
        </w:tc>
        <w:tc>
          <w:tcPr>
            <w:tcW w:w="579" w:type="dxa"/>
            <w:noWrap w:val="0"/>
            <w:vAlign w:val="center"/>
          </w:tcPr>
          <w:p w14:paraId="603C97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23.7</w:t>
            </w:r>
          </w:p>
        </w:tc>
        <w:tc>
          <w:tcPr>
            <w:tcW w:w="579" w:type="dxa"/>
            <w:noWrap w:val="0"/>
            <w:vAlign w:val="center"/>
          </w:tcPr>
          <w:p w14:paraId="3EC96B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23.9</w:t>
            </w:r>
          </w:p>
        </w:tc>
        <w:tc>
          <w:tcPr>
            <w:tcW w:w="579" w:type="dxa"/>
            <w:noWrap w:val="0"/>
            <w:vAlign w:val="center"/>
          </w:tcPr>
          <w:p w14:paraId="33DB08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23.3</w:t>
            </w:r>
          </w:p>
        </w:tc>
        <w:tc>
          <w:tcPr>
            <w:tcW w:w="579" w:type="dxa"/>
            <w:noWrap w:val="0"/>
            <w:vAlign w:val="center"/>
          </w:tcPr>
          <w:p w14:paraId="0B6819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21.2</w:t>
            </w:r>
          </w:p>
        </w:tc>
        <w:tc>
          <w:tcPr>
            <w:tcW w:w="579" w:type="dxa"/>
            <w:noWrap w:val="0"/>
            <w:vAlign w:val="center"/>
          </w:tcPr>
          <w:p w14:paraId="53DCC8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w:t>
            </w:r>
          </w:p>
        </w:tc>
        <w:tc>
          <w:tcPr>
            <w:tcW w:w="579" w:type="dxa"/>
            <w:noWrap w:val="0"/>
            <w:vAlign w:val="center"/>
          </w:tcPr>
          <w:p w14:paraId="6BBD53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w:t>
            </w:r>
          </w:p>
        </w:tc>
        <w:tc>
          <w:tcPr>
            <w:tcW w:w="620" w:type="dxa"/>
            <w:noWrap w:val="0"/>
            <w:vAlign w:val="center"/>
          </w:tcPr>
          <w:p w14:paraId="170B84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19.6</w:t>
            </w:r>
          </w:p>
        </w:tc>
      </w:tr>
      <w:tr w14:paraId="1A66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696BA68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降水量(mm)</w:t>
            </w:r>
          </w:p>
        </w:tc>
        <w:tc>
          <w:tcPr>
            <w:tcW w:w="580" w:type="dxa"/>
            <w:noWrap w:val="0"/>
            <w:vAlign w:val="center"/>
          </w:tcPr>
          <w:p w14:paraId="57B0F3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w:t>
            </w:r>
          </w:p>
        </w:tc>
        <w:tc>
          <w:tcPr>
            <w:tcW w:w="580" w:type="dxa"/>
            <w:noWrap w:val="0"/>
            <w:vAlign w:val="center"/>
          </w:tcPr>
          <w:p w14:paraId="44D87E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26.2</w:t>
            </w:r>
          </w:p>
        </w:tc>
        <w:tc>
          <w:tcPr>
            <w:tcW w:w="579" w:type="dxa"/>
            <w:noWrap w:val="0"/>
            <w:vAlign w:val="center"/>
          </w:tcPr>
          <w:p w14:paraId="60785A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28.2</w:t>
            </w:r>
          </w:p>
        </w:tc>
        <w:tc>
          <w:tcPr>
            <w:tcW w:w="579" w:type="dxa"/>
            <w:noWrap w:val="0"/>
            <w:vAlign w:val="center"/>
          </w:tcPr>
          <w:p w14:paraId="1723CB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59.8</w:t>
            </w:r>
          </w:p>
        </w:tc>
        <w:tc>
          <w:tcPr>
            <w:tcW w:w="579" w:type="dxa"/>
            <w:noWrap w:val="0"/>
            <w:vAlign w:val="center"/>
          </w:tcPr>
          <w:p w14:paraId="32BE0A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137.0</w:t>
            </w:r>
          </w:p>
        </w:tc>
        <w:tc>
          <w:tcPr>
            <w:tcW w:w="579" w:type="dxa"/>
            <w:noWrap w:val="0"/>
            <w:vAlign w:val="center"/>
          </w:tcPr>
          <w:p w14:paraId="604D3A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299.8</w:t>
            </w:r>
          </w:p>
        </w:tc>
        <w:tc>
          <w:tcPr>
            <w:tcW w:w="579" w:type="dxa"/>
            <w:noWrap w:val="0"/>
            <w:vAlign w:val="center"/>
          </w:tcPr>
          <w:p w14:paraId="09F251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391.2</w:t>
            </w:r>
          </w:p>
        </w:tc>
        <w:tc>
          <w:tcPr>
            <w:tcW w:w="579" w:type="dxa"/>
            <w:noWrap w:val="0"/>
            <w:vAlign w:val="center"/>
          </w:tcPr>
          <w:p w14:paraId="7CB12B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326.4</w:t>
            </w:r>
          </w:p>
        </w:tc>
        <w:tc>
          <w:tcPr>
            <w:tcW w:w="579" w:type="dxa"/>
            <w:noWrap w:val="0"/>
            <w:vAlign w:val="center"/>
          </w:tcPr>
          <w:p w14:paraId="3FB42E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183.3</w:t>
            </w:r>
          </w:p>
        </w:tc>
        <w:tc>
          <w:tcPr>
            <w:tcW w:w="579" w:type="dxa"/>
            <w:noWrap w:val="0"/>
            <w:vAlign w:val="center"/>
          </w:tcPr>
          <w:p w14:paraId="0A717C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118.0</w:t>
            </w:r>
          </w:p>
        </w:tc>
        <w:tc>
          <w:tcPr>
            <w:tcW w:w="579" w:type="dxa"/>
            <w:noWrap w:val="0"/>
            <w:vAlign w:val="center"/>
          </w:tcPr>
          <w:p w14:paraId="3D2C91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60.3</w:t>
            </w:r>
          </w:p>
        </w:tc>
        <w:tc>
          <w:tcPr>
            <w:tcW w:w="579" w:type="dxa"/>
            <w:noWrap w:val="0"/>
            <w:vAlign w:val="center"/>
          </w:tcPr>
          <w:p w14:paraId="5CDB4EA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w:t>
            </w:r>
          </w:p>
        </w:tc>
        <w:tc>
          <w:tcPr>
            <w:tcW w:w="620" w:type="dxa"/>
            <w:noWrap w:val="0"/>
            <w:vAlign w:val="center"/>
          </w:tcPr>
          <w:p w14:paraId="7DD84C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1655.2</w:t>
            </w:r>
          </w:p>
        </w:tc>
      </w:tr>
      <w:tr w14:paraId="32CB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6F2BFCE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蒸发量(mm)</w:t>
            </w:r>
          </w:p>
        </w:tc>
        <w:tc>
          <w:tcPr>
            <w:tcW w:w="580" w:type="dxa"/>
            <w:noWrap w:val="0"/>
            <w:vAlign w:val="center"/>
          </w:tcPr>
          <w:p w14:paraId="43510D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110.4</w:t>
            </w:r>
          </w:p>
        </w:tc>
        <w:tc>
          <w:tcPr>
            <w:tcW w:w="580" w:type="dxa"/>
            <w:noWrap w:val="0"/>
            <w:vAlign w:val="center"/>
          </w:tcPr>
          <w:p w14:paraId="166C21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132.9</w:t>
            </w:r>
          </w:p>
        </w:tc>
        <w:tc>
          <w:tcPr>
            <w:tcW w:w="579" w:type="dxa"/>
            <w:noWrap w:val="0"/>
            <w:vAlign w:val="center"/>
          </w:tcPr>
          <w:p w14:paraId="5FB0D3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197.6</w:t>
            </w:r>
          </w:p>
        </w:tc>
        <w:tc>
          <w:tcPr>
            <w:tcW w:w="579" w:type="dxa"/>
            <w:noWrap w:val="0"/>
            <w:vAlign w:val="center"/>
          </w:tcPr>
          <w:p w14:paraId="1C3C5B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214.7</w:t>
            </w:r>
          </w:p>
        </w:tc>
        <w:tc>
          <w:tcPr>
            <w:tcW w:w="579" w:type="dxa"/>
            <w:noWrap w:val="0"/>
            <w:vAlign w:val="center"/>
          </w:tcPr>
          <w:p w14:paraId="3BB449A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196.7</w:t>
            </w:r>
          </w:p>
        </w:tc>
        <w:tc>
          <w:tcPr>
            <w:tcW w:w="579" w:type="dxa"/>
            <w:noWrap w:val="0"/>
            <w:vAlign w:val="center"/>
          </w:tcPr>
          <w:p w14:paraId="588A70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139.2</w:t>
            </w:r>
          </w:p>
        </w:tc>
        <w:tc>
          <w:tcPr>
            <w:tcW w:w="579" w:type="dxa"/>
            <w:noWrap w:val="0"/>
            <w:vAlign w:val="center"/>
          </w:tcPr>
          <w:p w14:paraId="4A14F5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110.6</w:t>
            </w:r>
          </w:p>
        </w:tc>
        <w:tc>
          <w:tcPr>
            <w:tcW w:w="579" w:type="dxa"/>
            <w:noWrap w:val="0"/>
            <w:vAlign w:val="center"/>
          </w:tcPr>
          <w:p w14:paraId="600977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131.4</w:t>
            </w:r>
          </w:p>
        </w:tc>
        <w:tc>
          <w:tcPr>
            <w:tcW w:w="579" w:type="dxa"/>
            <w:noWrap w:val="0"/>
            <w:vAlign w:val="center"/>
          </w:tcPr>
          <w:p w14:paraId="4B7494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140.3</w:t>
            </w:r>
          </w:p>
        </w:tc>
        <w:tc>
          <w:tcPr>
            <w:tcW w:w="579" w:type="dxa"/>
            <w:noWrap w:val="0"/>
            <w:vAlign w:val="center"/>
          </w:tcPr>
          <w:p w14:paraId="36D5CD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132.1</w:t>
            </w:r>
          </w:p>
        </w:tc>
        <w:tc>
          <w:tcPr>
            <w:tcW w:w="579" w:type="dxa"/>
            <w:noWrap w:val="0"/>
            <w:vAlign w:val="center"/>
          </w:tcPr>
          <w:p w14:paraId="64857F6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106.3</w:t>
            </w:r>
          </w:p>
        </w:tc>
        <w:tc>
          <w:tcPr>
            <w:tcW w:w="579" w:type="dxa"/>
            <w:noWrap w:val="0"/>
            <w:vAlign w:val="center"/>
          </w:tcPr>
          <w:p w14:paraId="18E285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98.3</w:t>
            </w:r>
          </w:p>
        </w:tc>
        <w:tc>
          <w:tcPr>
            <w:tcW w:w="620" w:type="dxa"/>
            <w:noWrap w:val="0"/>
            <w:vAlign w:val="center"/>
          </w:tcPr>
          <w:p w14:paraId="2B5480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1710.2</w:t>
            </w:r>
          </w:p>
        </w:tc>
      </w:tr>
      <w:tr w14:paraId="0BE9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5B23945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相对湿度(%)</w:t>
            </w:r>
          </w:p>
        </w:tc>
        <w:tc>
          <w:tcPr>
            <w:tcW w:w="580" w:type="dxa"/>
            <w:noWrap w:val="0"/>
            <w:vAlign w:val="center"/>
          </w:tcPr>
          <w:p w14:paraId="5486C1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580" w:type="dxa"/>
            <w:noWrap w:val="0"/>
            <w:vAlign w:val="center"/>
          </w:tcPr>
          <w:p w14:paraId="30A4AF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w:t>
            </w:r>
          </w:p>
        </w:tc>
        <w:tc>
          <w:tcPr>
            <w:tcW w:w="579" w:type="dxa"/>
            <w:noWrap w:val="0"/>
            <w:vAlign w:val="center"/>
          </w:tcPr>
          <w:p w14:paraId="0370F5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w:t>
            </w:r>
          </w:p>
        </w:tc>
        <w:tc>
          <w:tcPr>
            <w:tcW w:w="579" w:type="dxa"/>
            <w:noWrap w:val="0"/>
            <w:vAlign w:val="center"/>
          </w:tcPr>
          <w:p w14:paraId="5CD526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w:t>
            </w:r>
          </w:p>
        </w:tc>
        <w:tc>
          <w:tcPr>
            <w:tcW w:w="579" w:type="dxa"/>
            <w:noWrap w:val="0"/>
            <w:vAlign w:val="center"/>
          </w:tcPr>
          <w:p w14:paraId="4F68C92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w:t>
            </w:r>
          </w:p>
        </w:tc>
        <w:tc>
          <w:tcPr>
            <w:tcW w:w="579" w:type="dxa"/>
            <w:noWrap w:val="0"/>
            <w:vAlign w:val="center"/>
          </w:tcPr>
          <w:p w14:paraId="67FEF1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579" w:type="dxa"/>
            <w:noWrap w:val="0"/>
            <w:vAlign w:val="center"/>
          </w:tcPr>
          <w:p w14:paraId="5A370E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88</w:t>
            </w:r>
          </w:p>
        </w:tc>
        <w:tc>
          <w:tcPr>
            <w:tcW w:w="579" w:type="dxa"/>
            <w:noWrap w:val="0"/>
            <w:vAlign w:val="center"/>
          </w:tcPr>
          <w:p w14:paraId="2701E9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87</w:t>
            </w:r>
          </w:p>
        </w:tc>
        <w:tc>
          <w:tcPr>
            <w:tcW w:w="579" w:type="dxa"/>
            <w:noWrap w:val="0"/>
            <w:vAlign w:val="center"/>
          </w:tcPr>
          <w:p w14:paraId="5FACBD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w:t>
            </w:r>
          </w:p>
        </w:tc>
        <w:tc>
          <w:tcPr>
            <w:tcW w:w="579" w:type="dxa"/>
            <w:noWrap w:val="0"/>
            <w:vAlign w:val="center"/>
          </w:tcPr>
          <w:p w14:paraId="15E2E9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w:t>
            </w:r>
          </w:p>
        </w:tc>
        <w:tc>
          <w:tcPr>
            <w:tcW w:w="579" w:type="dxa"/>
            <w:noWrap w:val="0"/>
            <w:vAlign w:val="center"/>
          </w:tcPr>
          <w:p w14:paraId="131224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w:t>
            </w:r>
          </w:p>
        </w:tc>
        <w:tc>
          <w:tcPr>
            <w:tcW w:w="579" w:type="dxa"/>
            <w:noWrap w:val="0"/>
            <w:vAlign w:val="center"/>
          </w:tcPr>
          <w:p w14:paraId="317446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81</w:t>
            </w:r>
          </w:p>
        </w:tc>
        <w:tc>
          <w:tcPr>
            <w:tcW w:w="620" w:type="dxa"/>
            <w:noWrap w:val="0"/>
            <w:vAlign w:val="center"/>
          </w:tcPr>
          <w:p w14:paraId="4A75E8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r>
      <w:tr w14:paraId="4604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5A168DD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平均风速(m/s)</w:t>
            </w:r>
          </w:p>
        </w:tc>
        <w:tc>
          <w:tcPr>
            <w:tcW w:w="580" w:type="dxa"/>
            <w:noWrap w:val="0"/>
            <w:vAlign w:val="center"/>
          </w:tcPr>
          <w:p w14:paraId="559855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580" w:type="dxa"/>
            <w:noWrap w:val="0"/>
            <w:vAlign w:val="center"/>
          </w:tcPr>
          <w:p w14:paraId="73079EC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579" w:type="dxa"/>
            <w:noWrap w:val="0"/>
            <w:vAlign w:val="center"/>
          </w:tcPr>
          <w:p w14:paraId="65AF11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79" w:type="dxa"/>
            <w:noWrap w:val="0"/>
            <w:vAlign w:val="center"/>
          </w:tcPr>
          <w:p w14:paraId="3D140B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79" w:type="dxa"/>
            <w:noWrap w:val="0"/>
            <w:vAlign w:val="center"/>
          </w:tcPr>
          <w:p w14:paraId="3021F4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79" w:type="dxa"/>
            <w:noWrap w:val="0"/>
            <w:vAlign w:val="center"/>
          </w:tcPr>
          <w:p w14:paraId="60BD6E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79" w:type="dxa"/>
            <w:noWrap w:val="0"/>
            <w:vAlign w:val="center"/>
          </w:tcPr>
          <w:p w14:paraId="3B4769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c>
          <w:tcPr>
            <w:tcW w:w="579" w:type="dxa"/>
            <w:noWrap w:val="0"/>
            <w:vAlign w:val="center"/>
          </w:tcPr>
          <w:p w14:paraId="24A6A2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579" w:type="dxa"/>
            <w:noWrap w:val="0"/>
            <w:vAlign w:val="center"/>
          </w:tcPr>
          <w:p w14:paraId="15341D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w:t>
            </w:r>
          </w:p>
        </w:tc>
        <w:tc>
          <w:tcPr>
            <w:tcW w:w="579" w:type="dxa"/>
            <w:noWrap w:val="0"/>
            <w:vAlign w:val="center"/>
          </w:tcPr>
          <w:p w14:paraId="65C89F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w:t>
            </w:r>
          </w:p>
        </w:tc>
        <w:tc>
          <w:tcPr>
            <w:tcW w:w="579" w:type="dxa"/>
            <w:noWrap w:val="0"/>
            <w:vAlign w:val="center"/>
          </w:tcPr>
          <w:p w14:paraId="003F09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579" w:type="dxa"/>
            <w:noWrap w:val="0"/>
            <w:vAlign w:val="center"/>
          </w:tcPr>
          <w:p w14:paraId="151372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620" w:type="dxa"/>
            <w:noWrap w:val="0"/>
            <w:vAlign w:val="center"/>
          </w:tcPr>
          <w:p w14:paraId="3E7B11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w:t>
            </w:r>
          </w:p>
        </w:tc>
      </w:tr>
      <w:tr w14:paraId="338A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89" w:type="dxa"/>
            <w:vMerge w:val="restart"/>
            <w:noWrap w:val="0"/>
            <w:vAlign w:val="center"/>
          </w:tcPr>
          <w:p w14:paraId="14BD4EC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最多风向</w:t>
            </w:r>
          </w:p>
          <w:p w14:paraId="70544F7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及频率</w:t>
            </w:r>
          </w:p>
        </w:tc>
        <w:tc>
          <w:tcPr>
            <w:tcW w:w="580" w:type="dxa"/>
            <w:noWrap w:val="0"/>
            <w:vAlign w:val="center"/>
          </w:tcPr>
          <w:p w14:paraId="187D6B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580" w:type="dxa"/>
            <w:noWrap w:val="0"/>
            <w:vAlign w:val="center"/>
          </w:tcPr>
          <w:p w14:paraId="14AA5A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579" w:type="dxa"/>
            <w:noWrap w:val="0"/>
            <w:vAlign w:val="center"/>
          </w:tcPr>
          <w:p w14:paraId="1D2830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579" w:type="dxa"/>
            <w:noWrap w:val="0"/>
            <w:vAlign w:val="center"/>
          </w:tcPr>
          <w:p w14:paraId="66EBA2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579" w:type="dxa"/>
            <w:noWrap w:val="0"/>
            <w:vAlign w:val="center"/>
          </w:tcPr>
          <w:p w14:paraId="46A27B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579" w:type="dxa"/>
            <w:noWrap w:val="0"/>
            <w:vAlign w:val="center"/>
          </w:tcPr>
          <w:p w14:paraId="590F1E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579" w:type="dxa"/>
            <w:noWrap w:val="0"/>
            <w:vAlign w:val="center"/>
          </w:tcPr>
          <w:p w14:paraId="544C6A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579" w:type="dxa"/>
            <w:noWrap w:val="0"/>
            <w:vAlign w:val="center"/>
          </w:tcPr>
          <w:p w14:paraId="1A5AEF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579" w:type="dxa"/>
            <w:noWrap w:val="0"/>
            <w:vAlign w:val="center"/>
          </w:tcPr>
          <w:p w14:paraId="0854C5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579" w:type="dxa"/>
            <w:noWrap w:val="0"/>
            <w:vAlign w:val="center"/>
          </w:tcPr>
          <w:p w14:paraId="2C6942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579" w:type="dxa"/>
            <w:noWrap w:val="0"/>
            <w:vAlign w:val="center"/>
          </w:tcPr>
          <w:p w14:paraId="5EAA489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579" w:type="dxa"/>
            <w:noWrap w:val="0"/>
            <w:vAlign w:val="center"/>
          </w:tcPr>
          <w:p w14:paraId="6A9542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620" w:type="dxa"/>
            <w:noWrap w:val="0"/>
            <w:vAlign w:val="center"/>
          </w:tcPr>
          <w:p w14:paraId="41C5D7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r>
      <w:tr w14:paraId="6CEA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89" w:type="dxa"/>
            <w:vMerge w:val="continue"/>
            <w:noWrap w:val="0"/>
            <w:vAlign w:val="center"/>
          </w:tcPr>
          <w:p w14:paraId="2FDE4DBB">
            <w:pPr>
              <w:jc w:val="center"/>
              <w:rPr>
                <w:rFonts w:hint="default" w:ascii="Times New Roman" w:hAnsi="Times New Roman" w:eastAsia="宋体" w:cs="Times New Roman"/>
                <w:b/>
                <w:bCs/>
                <w:color w:val="auto"/>
                <w:sz w:val="21"/>
                <w:szCs w:val="21"/>
              </w:rPr>
            </w:pPr>
          </w:p>
        </w:tc>
        <w:tc>
          <w:tcPr>
            <w:tcW w:w="580" w:type="dxa"/>
            <w:noWrap w:val="0"/>
            <w:vAlign w:val="center"/>
          </w:tcPr>
          <w:p w14:paraId="44FB19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80" w:type="dxa"/>
            <w:noWrap w:val="0"/>
            <w:vAlign w:val="center"/>
          </w:tcPr>
          <w:p w14:paraId="41523B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579" w:type="dxa"/>
            <w:noWrap w:val="0"/>
            <w:vAlign w:val="center"/>
          </w:tcPr>
          <w:p w14:paraId="3A8CBF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79" w:type="dxa"/>
            <w:noWrap w:val="0"/>
            <w:vAlign w:val="center"/>
          </w:tcPr>
          <w:p w14:paraId="2FD0D5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79" w:type="dxa"/>
            <w:noWrap w:val="0"/>
            <w:vAlign w:val="center"/>
          </w:tcPr>
          <w:p w14:paraId="30166A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579" w:type="dxa"/>
            <w:noWrap w:val="0"/>
            <w:vAlign w:val="center"/>
          </w:tcPr>
          <w:p w14:paraId="168C01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79" w:type="dxa"/>
            <w:noWrap w:val="0"/>
            <w:vAlign w:val="center"/>
          </w:tcPr>
          <w:p w14:paraId="78E1CA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79" w:type="dxa"/>
            <w:noWrap w:val="0"/>
            <w:vAlign w:val="center"/>
          </w:tcPr>
          <w:p w14:paraId="6CD2D1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79" w:type="dxa"/>
            <w:noWrap w:val="0"/>
            <w:vAlign w:val="center"/>
          </w:tcPr>
          <w:p w14:paraId="33C4CC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79" w:type="dxa"/>
            <w:noWrap w:val="0"/>
            <w:vAlign w:val="center"/>
          </w:tcPr>
          <w:p w14:paraId="18BFB5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579" w:type="dxa"/>
            <w:noWrap w:val="0"/>
            <w:vAlign w:val="center"/>
          </w:tcPr>
          <w:p w14:paraId="53E1AC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579" w:type="dxa"/>
            <w:noWrap w:val="0"/>
            <w:vAlign w:val="center"/>
          </w:tcPr>
          <w:p w14:paraId="3CDCACE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620" w:type="dxa"/>
            <w:noWrap w:val="0"/>
            <w:vAlign w:val="center"/>
          </w:tcPr>
          <w:p w14:paraId="782C8B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r>
      <w:tr w14:paraId="33FA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89" w:type="dxa"/>
            <w:vMerge w:val="continue"/>
            <w:noWrap w:val="0"/>
            <w:vAlign w:val="center"/>
          </w:tcPr>
          <w:p w14:paraId="6154DFAF">
            <w:pPr>
              <w:jc w:val="center"/>
              <w:rPr>
                <w:rFonts w:hint="default" w:ascii="Times New Roman" w:hAnsi="Times New Roman" w:eastAsia="宋体" w:cs="Times New Roman"/>
                <w:b/>
                <w:bCs/>
                <w:color w:val="auto"/>
                <w:sz w:val="21"/>
                <w:szCs w:val="21"/>
              </w:rPr>
            </w:pPr>
          </w:p>
        </w:tc>
        <w:tc>
          <w:tcPr>
            <w:tcW w:w="580" w:type="dxa"/>
            <w:noWrap w:val="0"/>
            <w:vAlign w:val="center"/>
          </w:tcPr>
          <w:p w14:paraId="2D1204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80" w:type="dxa"/>
            <w:noWrap w:val="0"/>
            <w:vAlign w:val="center"/>
          </w:tcPr>
          <w:p w14:paraId="3C9DA7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62FC2C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0BBF35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2D7D51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076449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3B0AA1C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0017D1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722939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10A762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09BE14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579" w:type="dxa"/>
            <w:noWrap w:val="0"/>
            <w:vAlign w:val="center"/>
          </w:tcPr>
          <w:p w14:paraId="1FEA9E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620" w:type="dxa"/>
            <w:noWrap w:val="0"/>
            <w:vAlign w:val="center"/>
          </w:tcPr>
          <w:p w14:paraId="38D22E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r>
      <w:tr w14:paraId="28C3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389" w:type="dxa"/>
            <w:vMerge w:val="continue"/>
            <w:noWrap w:val="0"/>
            <w:vAlign w:val="center"/>
          </w:tcPr>
          <w:p w14:paraId="309B62DC">
            <w:pPr>
              <w:jc w:val="center"/>
              <w:rPr>
                <w:rFonts w:hint="default" w:ascii="Times New Roman" w:hAnsi="Times New Roman" w:eastAsia="宋体" w:cs="Times New Roman"/>
                <w:b/>
                <w:bCs/>
                <w:color w:val="auto"/>
                <w:sz w:val="21"/>
                <w:szCs w:val="21"/>
              </w:rPr>
            </w:pPr>
          </w:p>
        </w:tc>
        <w:tc>
          <w:tcPr>
            <w:tcW w:w="580" w:type="dxa"/>
            <w:noWrap w:val="0"/>
            <w:vAlign w:val="center"/>
          </w:tcPr>
          <w:p w14:paraId="191E2A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580" w:type="dxa"/>
            <w:noWrap w:val="0"/>
            <w:vAlign w:val="center"/>
          </w:tcPr>
          <w:p w14:paraId="55680F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79" w:type="dxa"/>
            <w:noWrap w:val="0"/>
            <w:vAlign w:val="center"/>
          </w:tcPr>
          <w:p w14:paraId="040296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79" w:type="dxa"/>
            <w:noWrap w:val="0"/>
            <w:vAlign w:val="center"/>
          </w:tcPr>
          <w:p w14:paraId="5103FF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79" w:type="dxa"/>
            <w:noWrap w:val="0"/>
            <w:vAlign w:val="center"/>
          </w:tcPr>
          <w:p w14:paraId="600407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w:t>
            </w:r>
          </w:p>
        </w:tc>
        <w:tc>
          <w:tcPr>
            <w:tcW w:w="579" w:type="dxa"/>
            <w:noWrap w:val="0"/>
            <w:vAlign w:val="center"/>
          </w:tcPr>
          <w:p w14:paraId="2EF0DB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79" w:type="dxa"/>
            <w:noWrap w:val="0"/>
            <w:vAlign w:val="center"/>
          </w:tcPr>
          <w:p w14:paraId="35D57A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579" w:type="dxa"/>
            <w:noWrap w:val="0"/>
            <w:vAlign w:val="center"/>
          </w:tcPr>
          <w:p w14:paraId="3FB100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c>
          <w:tcPr>
            <w:tcW w:w="579" w:type="dxa"/>
            <w:noWrap w:val="0"/>
            <w:vAlign w:val="center"/>
          </w:tcPr>
          <w:p w14:paraId="4F6E5A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w:t>
            </w:r>
          </w:p>
        </w:tc>
        <w:tc>
          <w:tcPr>
            <w:tcW w:w="579" w:type="dxa"/>
            <w:noWrap w:val="0"/>
            <w:vAlign w:val="center"/>
          </w:tcPr>
          <w:p w14:paraId="1FF669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52</w:t>
            </w:r>
          </w:p>
        </w:tc>
        <w:tc>
          <w:tcPr>
            <w:tcW w:w="579" w:type="dxa"/>
            <w:noWrap w:val="0"/>
            <w:vAlign w:val="center"/>
          </w:tcPr>
          <w:p w14:paraId="367484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57</w:t>
            </w:r>
          </w:p>
        </w:tc>
        <w:tc>
          <w:tcPr>
            <w:tcW w:w="579" w:type="dxa"/>
            <w:noWrap w:val="0"/>
            <w:vAlign w:val="center"/>
          </w:tcPr>
          <w:p w14:paraId="076083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620" w:type="dxa"/>
            <w:noWrap w:val="0"/>
            <w:vAlign w:val="center"/>
          </w:tcPr>
          <w:p w14:paraId="38DD7A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r>
      <w:tr w14:paraId="2468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700DEAF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日照时数(h)</w:t>
            </w:r>
          </w:p>
        </w:tc>
        <w:tc>
          <w:tcPr>
            <w:tcW w:w="580" w:type="dxa"/>
            <w:noWrap w:val="0"/>
            <w:vAlign w:val="center"/>
          </w:tcPr>
          <w:p w14:paraId="7039A2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238.9</w:t>
            </w:r>
          </w:p>
        </w:tc>
        <w:tc>
          <w:tcPr>
            <w:tcW w:w="580" w:type="dxa"/>
            <w:noWrap w:val="0"/>
            <w:vAlign w:val="center"/>
          </w:tcPr>
          <w:p w14:paraId="6D2262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218.9</w:t>
            </w:r>
          </w:p>
        </w:tc>
        <w:tc>
          <w:tcPr>
            <w:tcW w:w="579" w:type="dxa"/>
            <w:noWrap w:val="0"/>
            <w:vAlign w:val="center"/>
          </w:tcPr>
          <w:p w14:paraId="24A3BE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238.3</w:t>
            </w:r>
          </w:p>
        </w:tc>
        <w:tc>
          <w:tcPr>
            <w:tcW w:w="579" w:type="dxa"/>
            <w:noWrap w:val="0"/>
            <w:vAlign w:val="center"/>
          </w:tcPr>
          <w:p w14:paraId="43A7DA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222.4</w:t>
            </w:r>
          </w:p>
        </w:tc>
        <w:tc>
          <w:tcPr>
            <w:tcW w:w="579" w:type="dxa"/>
            <w:noWrap w:val="0"/>
            <w:vAlign w:val="center"/>
          </w:tcPr>
          <w:p w14:paraId="6E97FB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205.8</w:t>
            </w:r>
          </w:p>
        </w:tc>
        <w:tc>
          <w:tcPr>
            <w:tcW w:w="579" w:type="dxa"/>
            <w:noWrap w:val="0"/>
            <w:vAlign w:val="center"/>
          </w:tcPr>
          <w:p w14:paraId="1D5815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130.5</w:t>
            </w:r>
          </w:p>
        </w:tc>
        <w:tc>
          <w:tcPr>
            <w:tcW w:w="579" w:type="dxa"/>
            <w:noWrap w:val="0"/>
            <w:vAlign w:val="center"/>
          </w:tcPr>
          <w:p w14:paraId="5A9620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96.2</w:t>
            </w:r>
          </w:p>
        </w:tc>
        <w:tc>
          <w:tcPr>
            <w:tcW w:w="579" w:type="dxa"/>
            <w:noWrap w:val="0"/>
            <w:vAlign w:val="center"/>
          </w:tcPr>
          <w:p w14:paraId="29B216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132.7</w:t>
            </w:r>
          </w:p>
        </w:tc>
        <w:tc>
          <w:tcPr>
            <w:tcW w:w="579" w:type="dxa"/>
            <w:noWrap w:val="0"/>
            <w:vAlign w:val="center"/>
          </w:tcPr>
          <w:p w14:paraId="0D06A6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158.6</w:t>
            </w:r>
          </w:p>
        </w:tc>
        <w:tc>
          <w:tcPr>
            <w:tcW w:w="579" w:type="dxa"/>
            <w:noWrap w:val="0"/>
            <w:vAlign w:val="center"/>
          </w:tcPr>
          <w:p w14:paraId="4EC9B0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190.4</w:t>
            </w:r>
          </w:p>
        </w:tc>
        <w:tc>
          <w:tcPr>
            <w:tcW w:w="579" w:type="dxa"/>
            <w:noWrap w:val="0"/>
            <w:vAlign w:val="center"/>
          </w:tcPr>
          <w:p w14:paraId="2B7D02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195.0</w:t>
            </w:r>
          </w:p>
        </w:tc>
        <w:tc>
          <w:tcPr>
            <w:tcW w:w="579" w:type="dxa"/>
            <w:noWrap w:val="0"/>
            <w:vAlign w:val="center"/>
          </w:tcPr>
          <w:p w14:paraId="02F4DE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225.2</w:t>
            </w:r>
          </w:p>
        </w:tc>
        <w:tc>
          <w:tcPr>
            <w:tcW w:w="620" w:type="dxa"/>
            <w:noWrap w:val="0"/>
            <w:vAlign w:val="center"/>
          </w:tcPr>
          <w:p w14:paraId="3CEB58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2252.9</w:t>
            </w:r>
          </w:p>
        </w:tc>
      </w:tr>
      <w:tr w14:paraId="62F7E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4163EC2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大风日数(天)</w:t>
            </w:r>
          </w:p>
        </w:tc>
        <w:tc>
          <w:tcPr>
            <w:tcW w:w="580" w:type="dxa"/>
            <w:noWrap w:val="0"/>
            <w:vAlign w:val="center"/>
          </w:tcPr>
          <w:p w14:paraId="61C04F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80" w:type="dxa"/>
            <w:noWrap w:val="0"/>
            <w:vAlign w:val="center"/>
          </w:tcPr>
          <w:p w14:paraId="1191F9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79" w:type="dxa"/>
            <w:noWrap w:val="0"/>
            <w:vAlign w:val="center"/>
          </w:tcPr>
          <w:p w14:paraId="17F38B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579" w:type="dxa"/>
            <w:noWrap w:val="0"/>
            <w:vAlign w:val="center"/>
          </w:tcPr>
          <w:p w14:paraId="3ADC58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579" w:type="dxa"/>
            <w:noWrap w:val="0"/>
            <w:vAlign w:val="center"/>
          </w:tcPr>
          <w:p w14:paraId="651215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79" w:type="dxa"/>
            <w:noWrap w:val="0"/>
            <w:vAlign w:val="center"/>
          </w:tcPr>
          <w:p w14:paraId="7628E5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w:t>
            </w:r>
          </w:p>
        </w:tc>
        <w:tc>
          <w:tcPr>
            <w:tcW w:w="579" w:type="dxa"/>
            <w:noWrap w:val="0"/>
            <w:vAlign w:val="center"/>
          </w:tcPr>
          <w:p w14:paraId="2A2667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79" w:type="dxa"/>
            <w:noWrap w:val="0"/>
            <w:vAlign w:val="center"/>
          </w:tcPr>
          <w:p w14:paraId="15997D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579" w:type="dxa"/>
            <w:noWrap w:val="0"/>
            <w:vAlign w:val="center"/>
          </w:tcPr>
          <w:p w14:paraId="523FFC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79" w:type="dxa"/>
            <w:noWrap w:val="0"/>
            <w:vAlign w:val="center"/>
          </w:tcPr>
          <w:p w14:paraId="1AA9A5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79" w:type="dxa"/>
            <w:noWrap w:val="0"/>
            <w:vAlign w:val="center"/>
          </w:tcPr>
          <w:p w14:paraId="6141AA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79" w:type="dxa"/>
            <w:noWrap w:val="0"/>
            <w:vAlign w:val="center"/>
          </w:tcPr>
          <w:p w14:paraId="123CF3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620" w:type="dxa"/>
            <w:noWrap w:val="0"/>
            <w:vAlign w:val="center"/>
          </w:tcPr>
          <w:p w14:paraId="01168D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r>
      <w:tr w14:paraId="1847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333DE70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阴天日数(天)</w:t>
            </w:r>
          </w:p>
        </w:tc>
        <w:tc>
          <w:tcPr>
            <w:tcW w:w="580" w:type="dxa"/>
            <w:noWrap w:val="0"/>
            <w:vAlign w:val="center"/>
          </w:tcPr>
          <w:p w14:paraId="539078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w:t>
            </w:r>
          </w:p>
        </w:tc>
        <w:tc>
          <w:tcPr>
            <w:tcW w:w="580" w:type="dxa"/>
            <w:noWrap w:val="0"/>
            <w:vAlign w:val="center"/>
          </w:tcPr>
          <w:p w14:paraId="548500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w:t>
            </w:r>
          </w:p>
        </w:tc>
        <w:tc>
          <w:tcPr>
            <w:tcW w:w="579" w:type="dxa"/>
            <w:noWrap w:val="0"/>
            <w:vAlign w:val="center"/>
          </w:tcPr>
          <w:p w14:paraId="720504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4.9</w:t>
            </w:r>
          </w:p>
        </w:tc>
        <w:tc>
          <w:tcPr>
            <w:tcW w:w="579" w:type="dxa"/>
            <w:noWrap w:val="0"/>
            <w:vAlign w:val="center"/>
          </w:tcPr>
          <w:p w14:paraId="34EF7A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w:t>
            </w:r>
          </w:p>
        </w:tc>
        <w:tc>
          <w:tcPr>
            <w:tcW w:w="579" w:type="dxa"/>
            <w:noWrap w:val="0"/>
            <w:vAlign w:val="center"/>
          </w:tcPr>
          <w:p w14:paraId="2E4E65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w:t>
            </w:r>
          </w:p>
        </w:tc>
        <w:tc>
          <w:tcPr>
            <w:tcW w:w="579" w:type="dxa"/>
            <w:noWrap w:val="0"/>
            <w:vAlign w:val="center"/>
          </w:tcPr>
          <w:p w14:paraId="504E2A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w:t>
            </w:r>
          </w:p>
        </w:tc>
        <w:tc>
          <w:tcPr>
            <w:tcW w:w="579" w:type="dxa"/>
            <w:noWrap w:val="0"/>
            <w:vAlign w:val="center"/>
          </w:tcPr>
          <w:p w14:paraId="555142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28.1</w:t>
            </w:r>
          </w:p>
        </w:tc>
        <w:tc>
          <w:tcPr>
            <w:tcW w:w="579" w:type="dxa"/>
            <w:noWrap w:val="0"/>
            <w:vAlign w:val="center"/>
          </w:tcPr>
          <w:p w14:paraId="531C8A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24.0</w:t>
            </w:r>
          </w:p>
        </w:tc>
        <w:tc>
          <w:tcPr>
            <w:tcW w:w="579" w:type="dxa"/>
            <w:noWrap w:val="0"/>
            <w:vAlign w:val="center"/>
          </w:tcPr>
          <w:p w14:paraId="27FA205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18.2</w:t>
            </w:r>
          </w:p>
        </w:tc>
        <w:tc>
          <w:tcPr>
            <w:tcW w:w="579" w:type="dxa"/>
            <w:noWrap w:val="0"/>
            <w:vAlign w:val="center"/>
          </w:tcPr>
          <w:p w14:paraId="5E0FE9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579" w:type="dxa"/>
            <w:noWrap w:val="0"/>
            <w:vAlign w:val="center"/>
          </w:tcPr>
          <w:p w14:paraId="41F7BD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7.1</w:t>
            </w:r>
          </w:p>
        </w:tc>
        <w:tc>
          <w:tcPr>
            <w:tcW w:w="579" w:type="dxa"/>
            <w:noWrap w:val="0"/>
            <w:vAlign w:val="center"/>
          </w:tcPr>
          <w:p w14:paraId="71A1F59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w:t>
            </w:r>
          </w:p>
        </w:tc>
        <w:tc>
          <w:tcPr>
            <w:tcW w:w="620" w:type="dxa"/>
            <w:noWrap w:val="0"/>
            <w:vAlign w:val="center"/>
          </w:tcPr>
          <w:p w14:paraId="010719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146.7</w:t>
            </w:r>
          </w:p>
        </w:tc>
      </w:tr>
      <w:tr w14:paraId="5C50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7C0FF01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雾日数(天)</w:t>
            </w:r>
          </w:p>
        </w:tc>
        <w:tc>
          <w:tcPr>
            <w:tcW w:w="580" w:type="dxa"/>
            <w:noWrap w:val="0"/>
            <w:vAlign w:val="center"/>
          </w:tcPr>
          <w:p w14:paraId="17B5A3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18.5</w:t>
            </w:r>
          </w:p>
        </w:tc>
        <w:tc>
          <w:tcPr>
            <w:tcW w:w="580" w:type="dxa"/>
            <w:noWrap w:val="0"/>
            <w:vAlign w:val="center"/>
          </w:tcPr>
          <w:p w14:paraId="41BFDE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579" w:type="dxa"/>
            <w:noWrap w:val="0"/>
            <w:vAlign w:val="center"/>
          </w:tcPr>
          <w:p w14:paraId="0B7780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579" w:type="dxa"/>
            <w:noWrap w:val="0"/>
            <w:vAlign w:val="center"/>
          </w:tcPr>
          <w:p w14:paraId="3564B2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579" w:type="dxa"/>
            <w:noWrap w:val="0"/>
            <w:vAlign w:val="center"/>
          </w:tcPr>
          <w:p w14:paraId="141C57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579" w:type="dxa"/>
            <w:noWrap w:val="0"/>
            <w:vAlign w:val="center"/>
          </w:tcPr>
          <w:p w14:paraId="404AD3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w:t>
            </w:r>
          </w:p>
        </w:tc>
        <w:tc>
          <w:tcPr>
            <w:tcW w:w="579" w:type="dxa"/>
            <w:noWrap w:val="0"/>
            <w:vAlign w:val="center"/>
          </w:tcPr>
          <w:p w14:paraId="3F5793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w:t>
            </w:r>
          </w:p>
        </w:tc>
        <w:tc>
          <w:tcPr>
            <w:tcW w:w="579" w:type="dxa"/>
            <w:noWrap w:val="0"/>
            <w:vAlign w:val="center"/>
          </w:tcPr>
          <w:p w14:paraId="218674B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79" w:type="dxa"/>
            <w:noWrap w:val="0"/>
            <w:vAlign w:val="center"/>
          </w:tcPr>
          <w:p w14:paraId="2FAD57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c>
          <w:tcPr>
            <w:tcW w:w="579" w:type="dxa"/>
            <w:noWrap w:val="0"/>
            <w:vAlign w:val="center"/>
          </w:tcPr>
          <w:p w14:paraId="4827BC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579" w:type="dxa"/>
            <w:noWrap w:val="0"/>
            <w:vAlign w:val="center"/>
          </w:tcPr>
          <w:p w14:paraId="79F864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17.9</w:t>
            </w:r>
          </w:p>
        </w:tc>
        <w:tc>
          <w:tcPr>
            <w:tcW w:w="579" w:type="dxa"/>
            <w:noWrap w:val="0"/>
            <w:vAlign w:val="center"/>
          </w:tcPr>
          <w:p w14:paraId="260CDA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23.3</w:t>
            </w:r>
          </w:p>
        </w:tc>
        <w:tc>
          <w:tcPr>
            <w:tcW w:w="620" w:type="dxa"/>
            <w:noWrap w:val="0"/>
            <w:vAlign w:val="center"/>
          </w:tcPr>
          <w:p w14:paraId="10B2BC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85.9</w:t>
            </w:r>
          </w:p>
        </w:tc>
      </w:tr>
      <w:tr w14:paraId="604B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exact"/>
          <w:jc w:val="center"/>
        </w:trPr>
        <w:tc>
          <w:tcPr>
            <w:tcW w:w="1389" w:type="dxa"/>
            <w:noWrap w:val="0"/>
            <w:vAlign w:val="center"/>
          </w:tcPr>
          <w:p w14:paraId="3AA309F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雷暴日数(天)</w:t>
            </w:r>
          </w:p>
        </w:tc>
        <w:tc>
          <w:tcPr>
            <w:tcW w:w="580" w:type="dxa"/>
            <w:noWrap w:val="0"/>
            <w:vAlign w:val="center"/>
          </w:tcPr>
          <w:p w14:paraId="344805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80" w:type="dxa"/>
            <w:noWrap w:val="0"/>
            <w:vAlign w:val="center"/>
          </w:tcPr>
          <w:p w14:paraId="22BAED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w:t>
            </w:r>
          </w:p>
        </w:tc>
        <w:tc>
          <w:tcPr>
            <w:tcW w:w="579" w:type="dxa"/>
            <w:noWrap w:val="0"/>
            <w:vAlign w:val="center"/>
          </w:tcPr>
          <w:p w14:paraId="3CEC12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579" w:type="dxa"/>
            <w:noWrap w:val="0"/>
            <w:vAlign w:val="center"/>
          </w:tcPr>
          <w:p w14:paraId="41A665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9.5</w:t>
            </w:r>
          </w:p>
        </w:tc>
        <w:tc>
          <w:tcPr>
            <w:tcW w:w="579" w:type="dxa"/>
            <w:noWrap w:val="0"/>
            <w:vAlign w:val="center"/>
          </w:tcPr>
          <w:p w14:paraId="1F8B65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w:t>
            </w:r>
          </w:p>
        </w:tc>
        <w:tc>
          <w:tcPr>
            <w:tcW w:w="579" w:type="dxa"/>
            <w:noWrap w:val="0"/>
            <w:vAlign w:val="center"/>
          </w:tcPr>
          <w:p w14:paraId="46D0A6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w:t>
            </w:r>
          </w:p>
        </w:tc>
        <w:tc>
          <w:tcPr>
            <w:tcW w:w="579" w:type="dxa"/>
            <w:noWrap w:val="0"/>
            <w:vAlign w:val="center"/>
          </w:tcPr>
          <w:p w14:paraId="5BEB3A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7.8</w:t>
            </w:r>
          </w:p>
        </w:tc>
        <w:tc>
          <w:tcPr>
            <w:tcW w:w="579" w:type="dxa"/>
            <w:noWrap w:val="0"/>
            <w:vAlign w:val="center"/>
          </w:tcPr>
          <w:p w14:paraId="61CED7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w:t>
            </w:r>
          </w:p>
        </w:tc>
        <w:tc>
          <w:tcPr>
            <w:tcW w:w="579" w:type="dxa"/>
            <w:noWrap w:val="0"/>
            <w:vAlign w:val="center"/>
          </w:tcPr>
          <w:p w14:paraId="12EE96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12.4</w:t>
            </w:r>
          </w:p>
        </w:tc>
        <w:tc>
          <w:tcPr>
            <w:tcW w:w="579" w:type="dxa"/>
            <w:noWrap w:val="0"/>
            <w:vAlign w:val="center"/>
          </w:tcPr>
          <w:p w14:paraId="659CF8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w:t>
            </w:r>
          </w:p>
        </w:tc>
        <w:tc>
          <w:tcPr>
            <w:tcW w:w="579" w:type="dxa"/>
            <w:noWrap w:val="0"/>
            <w:vAlign w:val="center"/>
          </w:tcPr>
          <w:p w14:paraId="4AB0B8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579" w:type="dxa"/>
            <w:noWrap w:val="0"/>
            <w:vAlign w:val="center"/>
          </w:tcPr>
          <w:p w14:paraId="58EDAD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620" w:type="dxa"/>
            <w:noWrap w:val="0"/>
            <w:vAlign w:val="center"/>
          </w:tcPr>
          <w:p w14:paraId="7F7F50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76.9</w:t>
            </w:r>
          </w:p>
        </w:tc>
      </w:tr>
    </w:tbl>
    <w:p w14:paraId="0A6973D0">
      <w:pPr>
        <w:spacing w:line="44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（1）近地面风场基本特征</w:t>
      </w:r>
    </w:p>
    <w:p w14:paraId="0D64415C">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本项目评价采用芒市气象站2013年1月、4月、7月、10月逐日观测资料分析该区域的近地面风场特征。</w:t>
      </w:r>
    </w:p>
    <w:p w14:paraId="2E1F8F8A">
      <w:pPr>
        <w:spacing w:line="44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①风速</w:t>
      </w:r>
    </w:p>
    <w:p w14:paraId="53DDD8BA">
      <w:pPr>
        <w:spacing w:line="440" w:lineRule="exact"/>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sz w:val="24"/>
        </w:rPr>
        <w:t>从表5.2-2及表5.2-3可以看出：芒市2013年平均风速与30年平均值月变化趋势基本一致，表现为春季风速最大，夏季次之，秋冬风速小。2013年平均风速比30年平均值有所增大；2013年平均风速1.21m/s，30年平均风速为0.9m/s。从2013年情况看，4月份风速较大(1.56m/s)；1月风速最小为0.91m/s。从表可以看出，该区域静风和小于1.5m/s的风速出现频率占68.61%，大于1.5m/s的风速出现频率31.39%，其中1.5~3.0m/s出现频率为29.23%。</w:t>
      </w:r>
    </w:p>
    <w:p w14:paraId="3639BF63">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表5.2-2  芒市2013年各月及年平均风速 单位：m/s</w:t>
      </w:r>
    </w:p>
    <w:tbl>
      <w:tblPr>
        <w:tblStyle w:val="66"/>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5"/>
        <w:gridCol w:w="1377"/>
        <w:gridCol w:w="1379"/>
        <w:gridCol w:w="1379"/>
        <w:gridCol w:w="1379"/>
        <w:gridCol w:w="1377"/>
      </w:tblGrid>
      <w:tr w14:paraId="3C4F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5" w:type="dxa"/>
            <w:noWrap w:val="0"/>
            <w:vAlign w:val="center"/>
          </w:tcPr>
          <w:p w14:paraId="4B14DDF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月份</w:t>
            </w:r>
          </w:p>
        </w:tc>
        <w:tc>
          <w:tcPr>
            <w:tcW w:w="1377" w:type="dxa"/>
            <w:noWrap w:val="0"/>
            <w:vAlign w:val="center"/>
          </w:tcPr>
          <w:p w14:paraId="4079D6D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1379" w:type="dxa"/>
            <w:noWrap w:val="0"/>
            <w:vAlign w:val="center"/>
          </w:tcPr>
          <w:p w14:paraId="6722F8A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1379" w:type="dxa"/>
            <w:noWrap w:val="0"/>
            <w:vAlign w:val="center"/>
          </w:tcPr>
          <w:p w14:paraId="25C8FA3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w:t>
            </w:r>
          </w:p>
        </w:tc>
        <w:tc>
          <w:tcPr>
            <w:tcW w:w="1379" w:type="dxa"/>
            <w:noWrap w:val="0"/>
            <w:vAlign w:val="center"/>
          </w:tcPr>
          <w:p w14:paraId="7A0F09E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1377" w:type="dxa"/>
            <w:noWrap w:val="0"/>
            <w:vAlign w:val="center"/>
          </w:tcPr>
          <w:p w14:paraId="5A2A9E7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年均</w:t>
            </w:r>
          </w:p>
        </w:tc>
      </w:tr>
      <w:tr w14:paraId="0F1A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5" w:type="dxa"/>
            <w:noWrap w:val="0"/>
            <w:vAlign w:val="center"/>
          </w:tcPr>
          <w:p w14:paraId="4CCB34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风速(m/s)</w:t>
            </w:r>
          </w:p>
        </w:tc>
        <w:tc>
          <w:tcPr>
            <w:tcW w:w="1377" w:type="dxa"/>
            <w:noWrap w:val="0"/>
            <w:vAlign w:val="center"/>
          </w:tcPr>
          <w:p w14:paraId="236CB0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c>
          <w:tcPr>
            <w:tcW w:w="1379" w:type="dxa"/>
            <w:noWrap w:val="0"/>
            <w:vAlign w:val="center"/>
          </w:tcPr>
          <w:p w14:paraId="2F9AF1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w:t>
            </w:r>
          </w:p>
        </w:tc>
        <w:tc>
          <w:tcPr>
            <w:tcW w:w="1379" w:type="dxa"/>
            <w:noWrap w:val="0"/>
            <w:vAlign w:val="center"/>
          </w:tcPr>
          <w:p w14:paraId="79D4A5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w:t>
            </w:r>
          </w:p>
        </w:tc>
        <w:tc>
          <w:tcPr>
            <w:tcW w:w="1379" w:type="dxa"/>
            <w:noWrap w:val="0"/>
            <w:vAlign w:val="center"/>
          </w:tcPr>
          <w:p w14:paraId="23577E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w:t>
            </w:r>
          </w:p>
        </w:tc>
        <w:tc>
          <w:tcPr>
            <w:tcW w:w="1377" w:type="dxa"/>
            <w:noWrap w:val="0"/>
            <w:vAlign w:val="center"/>
          </w:tcPr>
          <w:p w14:paraId="3F1568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w:t>
            </w:r>
          </w:p>
        </w:tc>
      </w:tr>
    </w:tbl>
    <w:p w14:paraId="626F8BDD">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表5.2-3  芒市2013年各级风速出现频率（%）</w:t>
      </w:r>
    </w:p>
    <w:tbl>
      <w:tblPr>
        <w:tblStyle w:val="66"/>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88"/>
        <w:gridCol w:w="936"/>
        <w:gridCol w:w="1020"/>
        <w:gridCol w:w="2793"/>
        <w:gridCol w:w="1279"/>
      </w:tblGrid>
      <w:tr w14:paraId="1631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88" w:type="dxa"/>
            <w:noWrap w:val="0"/>
            <w:vAlign w:val="center"/>
          </w:tcPr>
          <w:p w14:paraId="09137AAE">
            <w:pPr>
              <w:ind w:left="286" w:hanging="287" w:hangingChars="136"/>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风速级别(m/s)</w:t>
            </w:r>
          </w:p>
        </w:tc>
        <w:tc>
          <w:tcPr>
            <w:tcW w:w="936" w:type="dxa"/>
            <w:noWrap w:val="0"/>
            <w:vAlign w:val="center"/>
          </w:tcPr>
          <w:p w14:paraId="42E7195C">
            <w:pPr>
              <w:ind w:left="286" w:hanging="287" w:hangingChars="136"/>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静风</w:t>
            </w:r>
          </w:p>
        </w:tc>
        <w:tc>
          <w:tcPr>
            <w:tcW w:w="1020" w:type="dxa"/>
            <w:noWrap w:val="0"/>
            <w:vAlign w:val="center"/>
          </w:tcPr>
          <w:p w14:paraId="02E1D376">
            <w:pPr>
              <w:ind w:left="286" w:hanging="287" w:hangingChars="136"/>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sym w:font="Symbol" w:char="00A3"/>
            </w:r>
            <w:r>
              <w:rPr>
                <w:rFonts w:hint="default" w:ascii="Times New Roman" w:hAnsi="Times New Roman" w:eastAsia="宋体" w:cs="Times New Roman"/>
                <w:b/>
                <w:bCs/>
                <w:color w:val="auto"/>
                <w:sz w:val="21"/>
                <w:szCs w:val="21"/>
              </w:rPr>
              <w:t>1.5</w:t>
            </w:r>
          </w:p>
        </w:tc>
        <w:tc>
          <w:tcPr>
            <w:tcW w:w="2793" w:type="dxa"/>
            <w:noWrap w:val="0"/>
            <w:vAlign w:val="center"/>
          </w:tcPr>
          <w:p w14:paraId="4D4614C0">
            <w:pPr>
              <w:ind w:left="286" w:hanging="287" w:hangingChars="136"/>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1.5~3.0</w:t>
            </w:r>
          </w:p>
        </w:tc>
        <w:tc>
          <w:tcPr>
            <w:tcW w:w="1279" w:type="dxa"/>
            <w:noWrap w:val="0"/>
            <w:vAlign w:val="center"/>
          </w:tcPr>
          <w:p w14:paraId="358645DC">
            <w:pPr>
              <w:ind w:left="286" w:hanging="287" w:hangingChars="136"/>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3.1~5.0</w:t>
            </w:r>
          </w:p>
        </w:tc>
      </w:tr>
      <w:tr w14:paraId="1AF7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88" w:type="dxa"/>
            <w:noWrap w:val="0"/>
            <w:vAlign w:val="center"/>
          </w:tcPr>
          <w:p w14:paraId="6FC24664">
            <w:pPr>
              <w:ind w:left="286" w:hanging="287" w:hangingChars="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出现频率(%)</w:t>
            </w:r>
          </w:p>
        </w:tc>
        <w:tc>
          <w:tcPr>
            <w:tcW w:w="936" w:type="dxa"/>
            <w:noWrap w:val="0"/>
            <w:vAlign w:val="center"/>
          </w:tcPr>
          <w:p w14:paraId="062C9B1E">
            <w:pPr>
              <w:ind w:left="286" w:hanging="285" w:hangingChars="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6.29</w:t>
            </w:r>
          </w:p>
        </w:tc>
        <w:tc>
          <w:tcPr>
            <w:tcW w:w="1020" w:type="dxa"/>
            <w:noWrap w:val="0"/>
            <w:vAlign w:val="center"/>
          </w:tcPr>
          <w:p w14:paraId="55A0E4EC">
            <w:pPr>
              <w:ind w:left="286" w:hanging="285" w:hangingChars="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63.32</w:t>
            </w:r>
          </w:p>
        </w:tc>
        <w:tc>
          <w:tcPr>
            <w:tcW w:w="2793" w:type="dxa"/>
            <w:noWrap w:val="0"/>
            <w:vAlign w:val="center"/>
          </w:tcPr>
          <w:p w14:paraId="4A150604">
            <w:pPr>
              <w:ind w:left="286" w:hanging="285" w:hangingChars="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29.23</w:t>
            </w:r>
          </w:p>
        </w:tc>
        <w:tc>
          <w:tcPr>
            <w:tcW w:w="1279" w:type="dxa"/>
            <w:noWrap w:val="0"/>
            <w:vAlign w:val="center"/>
          </w:tcPr>
          <w:p w14:paraId="770EE1D2">
            <w:pPr>
              <w:ind w:left="286" w:hanging="285" w:hangingChars="136"/>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2.16</w:t>
            </w:r>
          </w:p>
        </w:tc>
      </w:tr>
    </w:tbl>
    <w:p w14:paraId="7FD44CC1">
      <w:pPr>
        <w:spacing w:line="44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② 风向</w:t>
      </w:r>
    </w:p>
    <w:p w14:paraId="52EA424E">
      <w:pPr>
        <w:spacing w:line="440" w:lineRule="exact"/>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表5.2-4为芒市2013年1、4、7、10月及全年各风向出现频率，图5.2-1为各季与全年的风向频率玫瑰图。</w:t>
      </w:r>
    </w:p>
    <w:p w14:paraId="23554C23">
      <w:pPr>
        <w:spacing w:line="440" w:lineRule="exact"/>
        <w:ind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该区域四季静风出现频率较大，全年平均为6.22%，1月静风频率最大为7.52%，4月静风频率最小，为4.47%。静风时污染物在污染源附近各方位均匀缓慢扩散，易在污染源附近地面出现污染物高浓度。</w:t>
      </w:r>
    </w:p>
    <w:p w14:paraId="61F4C729">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芒市2013年全年以西南风出现频率最高，达14.0%，其次为西南西风，为12.7%。1月以西南风出现频率为16.1%，其次为西南西风13.9%；4月以南风出现频率为最高16.6%，其次为西南西风和西南风，同为14.4%；7月以西南西风出现频率最大，12.9%，其次为西南风11.8%；10月以西南风出现频率最高13.9%。全年盛行风向出现在南—西南西扇形区域内，以偏南风为主，风向相对稳定。</w:t>
      </w:r>
    </w:p>
    <w:p w14:paraId="1D1D6005">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表5.2-4  芒市2013年1、4、7、10月全年各风向出现频率（%）</w:t>
      </w:r>
    </w:p>
    <w:tbl>
      <w:tblPr>
        <w:tblStyle w:val="6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7"/>
        <w:gridCol w:w="498"/>
        <w:gridCol w:w="498"/>
        <w:gridCol w:w="497"/>
        <w:gridCol w:w="498"/>
        <w:gridCol w:w="498"/>
        <w:gridCol w:w="498"/>
        <w:gridCol w:w="497"/>
        <w:gridCol w:w="498"/>
        <w:gridCol w:w="498"/>
        <w:gridCol w:w="497"/>
        <w:gridCol w:w="498"/>
        <w:gridCol w:w="498"/>
        <w:gridCol w:w="498"/>
        <w:gridCol w:w="497"/>
        <w:gridCol w:w="498"/>
        <w:gridCol w:w="498"/>
        <w:gridCol w:w="498"/>
      </w:tblGrid>
      <w:tr w14:paraId="2940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5386933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月份</w:t>
            </w:r>
          </w:p>
        </w:tc>
        <w:tc>
          <w:tcPr>
            <w:tcW w:w="498" w:type="dxa"/>
            <w:noWrap w:val="0"/>
            <w:vAlign w:val="center"/>
          </w:tcPr>
          <w:p w14:paraId="363D185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t>
            </w:r>
          </w:p>
        </w:tc>
        <w:tc>
          <w:tcPr>
            <w:tcW w:w="498" w:type="dxa"/>
            <w:noWrap w:val="0"/>
            <w:vAlign w:val="center"/>
          </w:tcPr>
          <w:p w14:paraId="27D539C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NNE</w:t>
            </w:r>
          </w:p>
        </w:tc>
        <w:tc>
          <w:tcPr>
            <w:tcW w:w="497" w:type="dxa"/>
            <w:noWrap w:val="0"/>
            <w:vAlign w:val="center"/>
          </w:tcPr>
          <w:p w14:paraId="6637335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NE</w:t>
            </w:r>
          </w:p>
        </w:tc>
        <w:tc>
          <w:tcPr>
            <w:tcW w:w="498" w:type="dxa"/>
            <w:noWrap w:val="0"/>
            <w:vAlign w:val="center"/>
          </w:tcPr>
          <w:p w14:paraId="7F78333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ENE</w:t>
            </w:r>
          </w:p>
        </w:tc>
        <w:tc>
          <w:tcPr>
            <w:tcW w:w="498" w:type="dxa"/>
            <w:noWrap w:val="0"/>
            <w:vAlign w:val="center"/>
          </w:tcPr>
          <w:p w14:paraId="57F3C77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w:t>
            </w:r>
          </w:p>
        </w:tc>
        <w:tc>
          <w:tcPr>
            <w:tcW w:w="498" w:type="dxa"/>
            <w:noWrap w:val="0"/>
            <w:vAlign w:val="center"/>
          </w:tcPr>
          <w:p w14:paraId="569562B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ESE</w:t>
            </w:r>
          </w:p>
        </w:tc>
        <w:tc>
          <w:tcPr>
            <w:tcW w:w="497" w:type="dxa"/>
            <w:noWrap w:val="0"/>
            <w:vAlign w:val="center"/>
          </w:tcPr>
          <w:p w14:paraId="0C9773D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SE</w:t>
            </w:r>
          </w:p>
        </w:tc>
        <w:tc>
          <w:tcPr>
            <w:tcW w:w="498" w:type="dxa"/>
            <w:noWrap w:val="0"/>
            <w:vAlign w:val="center"/>
          </w:tcPr>
          <w:p w14:paraId="417EDFD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SSE</w:t>
            </w:r>
          </w:p>
        </w:tc>
        <w:tc>
          <w:tcPr>
            <w:tcW w:w="498" w:type="dxa"/>
            <w:noWrap w:val="0"/>
            <w:vAlign w:val="center"/>
          </w:tcPr>
          <w:p w14:paraId="7E9BD34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w:t>
            </w:r>
          </w:p>
        </w:tc>
        <w:tc>
          <w:tcPr>
            <w:tcW w:w="497" w:type="dxa"/>
            <w:noWrap w:val="0"/>
            <w:vAlign w:val="center"/>
          </w:tcPr>
          <w:p w14:paraId="35564AB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w:t>
            </w:r>
          </w:p>
        </w:tc>
        <w:tc>
          <w:tcPr>
            <w:tcW w:w="498" w:type="dxa"/>
            <w:noWrap w:val="0"/>
            <w:vAlign w:val="center"/>
          </w:tcPr>
          <w:p w14:paraId="66BE97A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SW</w:t>
            </w:r>
          </w:p>
        </w:tc>
        <w:tc>
          <w:tcPr>
            <w:tcW w:w="498" w:type="dxa"/>
            <w:noWrap w:val="0"/>
            <w:vAlign w:val="center"/>
          </w:tcPr>
          <w:p w14:paraId="7F21CAA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WSW</w:t>
            </w:r>
          </w:p>
        </w:tc>
        <w:tc>
          <w:tcPr>
            <w:tcW w:w="498" w:type="dxa"/>
            <w:noWrap w:val="0"/>
            <w:vAlign w:val="center"/>
          </w:tcPr>
          <w:p w14:paraId="0B8830B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w:t>
            </w:r>
          </w:p>
        </w:tc>
        <w:tc>
          <w:tcPr>
            <w:tcW w:w="497" w:type="dxa"/>
            <w:noWrap w:val="0"/>
            <w:vAlign w:val="center"/>
          </w:tcPr>
          <w:p w14:paraId="380A0CF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WNW</w:t>
            </w:r>
          </w:p>
        </w:tc>
        <w:tc>
          <w:tcPr>
            <w:tcW w:w="498" w:type="dxa"/>
            <w:noWrap w:val="0"/>
            <w:vAlign w:val="center"/>
          </w:tcPr>
          <w:p w14:paraId="62268D2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w:t>
            </w:r>
          </w:p>
        </w:tc>
        <w:tc>
          <w:tcPr>
            <w:tcW w:w="498" w:type="dxa"/>
            <w:noWrap w:val="0"/>
            <w:vAlign w:val="center"/>
          </w:tcPr>
          <w:p w14:paraId="4443DF5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NNW</w:t>
            </w:r>
          </w:p>
        </w:tc>
        <w:tc>
          <w:tcPr>
            <w:tcW w:w="498" w:type="dxa"/>
            <w:noWrap w:val="0"/>
            <w:vAlign w:val="center"/>
          </w:tcPr>
          <w:p w14:paraId="78BD6CB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w:t>
            </w:r>
          </w:p>
        </w:tc>
      </w:tr>
      <w:tr w14:paraId="155E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4C6D334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498" w:type="dxa"/>
            <w:noWrap w:val="0"/>
            <w:vAlign w:val="center"/>
          </w:tcPr>
          <w:p w14:paraId="3C6B2D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498" w:type="dxa"/>
            <w:noWrap w:val="0"/>
            <w:vAlign w:val="center"/>
          </w:tcPr>
          <w:p w14:paraId="494A3D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6.45</w:t>
            </w:r>
          </w:p>
        </w:tc>
        <w:tc>
          <w:tcPr>
            <w:tcW w:w="497" w:type="dxa"/>
            <w:noWrap w:val="0"/>
            <w:vAlign w:val="center"/>
          </w:tcPr>
          <w:p w14:paraId="4458F3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8" w:type="dxa"/>
            <w:noWrap w:val="0"/>
            <w:vAlign w:val="center"/>
          </w:tcPr>
          <w:p w14:paraId="47D4E4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498" w:type="dxa"/>
            <w:noWrap w:val="0"/>
            <w:vAlign w:val="center"/>
          </w:tcPr>
          <w:p w14:paraId="3647C5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8" w:type="dxa"/>
            <w:noWrap w:val="0"/>
            <w:vAlign w:val="center"/>
          </w:tcPr>
          <w:p w14:paraId="59E3863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497" w:type="dxa"/>
            <w:noWrap w:val="0"/>
            <w:vAlign w:val="center"/>
          </w:tcPr>
          <w:p w14:paraId="311067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498" w:type="dxa"/>
            <w:noWrap w:val="0"/>
            <w:vAlign w:val="center"/>
          </w:tcPr>
          <w:p w14:paraId="2C1498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498" w:type="dxa"/>
            <w:noWrap w:val="0"/>
            <w:vAlign w:val="center"/>
          </w:tcPr>
          <w:p w14:paraId="56598C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497" w:type="dxa"/>
            <w:noWrap w:val="0"/>
            <w:vAlign w:val="center"/>
          </w:tcPr>
          <w:p w14:paraId="48BF27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9.68</w:t>
            </w:r>
          </w:p>
        </w:tc>
        <w:tc>
          <w:tcPr>
            <w:tcW w:w="498" w:type="dxa"/>
            <w:noWrap w:val="0"/>
            <w:vAlign w:val="center"/>
          </w:tcPr>
          <w:p w14:paraId="51EB0C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16.1</w:t>
            </w:r>
          </w:p>
        </w:tc>
        <w:tc>
          <w:tcPr>
            <w:tcW w:w="498" w:type="dxa"/>
            <w:noWrap w:val="0"/>
            <w:vAlign w:val="center"/>
          </w:tcPr>
          <w:p w14:paraId="712B07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13.9</w:t>
            </w:r>
          </w:p>
        </w:tc>
        <w:tc>
          <w:tcPr>
            <w:tcW w:w="498" w:type="dxa"/>
            <w:noWrap w:val="0"/>
            <w:vAlign w:val="center"/>
          </w:tcPr>
          <w:p w14:paraId="7E9C1E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w:t>
            </w:r>
          </w:p>
        </w:tc>
        <w:tc>
          <w:tcPr>
            <w:tcW w:w="497" w:type="dxa"/>
            <w:noWrap w:val="0"/>
            <w:vAlign w:val="center"/>
          </w:tcPr>
          <w:p w14:paraId="23EC8E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8" w:type="dxa"/>
            <w:noWrap w:val="0"/>
            <w:vAlign w:val="center"/>
          </w:tcPr>
          <w:p w14:paraId="6E357E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498" w:type="dxa"/>
            <w:noWrap w:val="0"/>
            <w:vAlign w:val="center"/>
          </w:tcPr>
          <w:p w14:paraId="5C47B4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498" w:type="dxa"/>
            <w:noWrap w:val="0"/>
            <w:vAlign w:val="center"/>
          </w:tcPr>
          <w:p w14:paraId="24DAC5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7.520</w:t>
            </w:r>
          </w:p>
        </w:tc>
      </w:tr>
      <w:tr w14:paraId="5FFC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03D0087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498" w:type="dxa"/>
            <w:noWrap w:val="0"/>
            <w:vAlign w:val="center"/>
          </w:tcPr>
          <w:p w14:paraId="731AF4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498" w:type="dxa"/>
            <w:noWrap w:val="0"/>
            <w:vAlign w:val="center"/>
          </w:tcPr>
          <w:p w14:paraId="4C05A3E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w:t>
            </w:r>
          </w:p>
        </w:tc>
        <w:tc>
          <w:tcPr>
            <w:tcW w:w="497" w:type="dxa"/>
            <w:noWrap w:val="0"/>
            <w:vAlign w:val="center"/>
          </w:tcPr>
          <w:p w14:paraId="7C2860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498" w:type="dxa"/>
            <w:noWrap w:val="0"/>
            <w:vAlign w:val="center"/>
          </w:tcPr>
          <w:p w14:paraId="329E30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3.33</w:t>
            </w:r>
          </w:p>
        </w:tc>
        <w:tc>
          <w:tcPr>
            <w:tcW w:w="498" w:type="dxa"/>
            <w:noWrap w:val="0"/>
            <w:vAlign w:val="center"/>
          </w:tcPr>
          <w:p w14:paraId="62535B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2.22</w:t>
            </w:r>
          </w:p>
        </w:tc>
        <w:tc>
          <w:tcPr>
            <w:tcW w:w="498" w:type="dxa"/>
            <w:noWrap w:val="0"/>
            <w:vAlign w:val="center"/>
          </w:tcPr>
          <w:p w14:paraId="328AC1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497" w:type="dxa"/>
            <w:noWrap w:val="0"/>
            <w:vAlign w:val="center"/>
          </w:tcPr>
          <w:p w14:paraId="3F02AE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4.44</w:t>
            </w:r>
          </w:p>
        </w:tc>
        <w:tc>
          <w:tcPr>
            <w:tcW w:w="498" w:type="dxa"/>
            <w:noWrap w:val="0"/>
            <w:vAlign w:val="center"/>
          </w:tcPr>
          <w:p w14:paraId="5DB13F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6.67</w:t>
            </w:r>
          </w:p>
        </w:tc>
        <w:tc>
          <w:tcPr>
            <w:tcW w:w="498" w:type="dxa"/>
            <w:noWrap w:val="0"/>
            <w:vAlign w:val="center"/>
          </w:tcPr>
          <w:p w14:paraId="1B5196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16.6</w:t>
            </w:r>
          </w:p>
        </w:tc>
        <w:tc>
          <w:tcPr>
            <w:tcW w:w="497" w:type="dxa"/>
            <w:noWrap w:val="0"/>
            <w:vAlign w:val="center"/>
          </w:tcPr>
          <w:p w14:paraId="5690B2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498" w:type="dxa"/>
            <w:noWrap w:val="0"/>
            <w:vAlign w:val="center"/>
          </w:tcPr>
          <w:p w14:paraId="3DBB7F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14.4</w:t>
            </w:r>
          </w:p>
        </w:tc>
        <w:tc>
          <w:tcPr>
            <w:tcW w:w="498" w:type="dxa"/>
            <w:noWrap w:val="0"/>
            <w:vAlign w:val="center"/>
          </w:tcPr>
          <w:p w14:paraId="69624F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14.4</w:t>
            </w:r>
          </w:p>
        </w:tc>
        <w:tc>
          <w:tcPr>
            <w:tcW w:w="498" w:type="dxa"/>
            <w:noWrap w:val="0"/>
            <w:vAlign w:val="center"/>
          </w:tcPr>
          <w:p w14:paraId="44FCBB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3.33</w:t>
            </w:r>
          </w:p>
        </w:tc>
        <w:tc>
          <w:tcPr>
            <w:tcW w:w="497" w:type="dxa"/>
            <w:noWrap w:val="0"/>
            <w:vAlign w:val="center"/>
          </w:tcPr>
          <w:p w14:paraId="3AF102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5.56</w:t>
            </w:r>
          </w:p>
        </w:tc>
        <w:tc>
          <w:tcPr>
            <w:tcW w:w="498" w:type="dxa"/>
            <w:noWrap w:val="0"/>
            <w:vAlign w:val="center"/>
          </w:tcPr>
          <w:p w14:paraId="1D8BE8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5.56</w:t>
            </w:r>
          </w:p>
        </w:tc>
        <w:tc>
          <w:tcPr>
            <w:tcW w:w="498" w:type="dxa"/>
            <w:noWrap w:val="0"/>
            <w:vAlign w:val="center"/>
          </w:tcPr>
          <w:p w14:paraId="4899F9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3.33</w:t>
            </w:r>
          </w:p>
        </w:tc>
        <w:tc>
          <w:tcPr>
            <w:tcW w:w="498" w:type="dxa"/>
            <w:noWrap w:val="0"/>
            <w:vAlign w:val="center"/>
          </w:tcPr>
          <w:p w14:paraId="156B8E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4.47</w:t>
            </w:r>
          </w:p>
        </w:tc>
      </w:tr>
      <w:tr w14:paraId="7DC43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4384223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w:t>
            </w:r>
          </w:p>
        </w:tc>
        <w:tc>
          <w:tcPr>
            <w:tcW w:w="498" w:type="dxa"/>
            <w:noWrap w:val="0"/>
            <w:vAlign w:val="center"/>
          </w:tcPr>
          <w:p w14:paraId="174004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8" w:type="dxa"/>
            <w:noWrap w:val="0"/>
            <w:vAlign w:val="center"/>
          </w:tcPr>
          <w:p w14:paraId="6F4AB42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497" w:type="dxa"/>
            <w:noWrap w:val="0"/>
            <w:vAlign w:val="center"/>
          </w:tcPr>
          <w:p w14:paraId="5FFE3C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7.53</w:t>
            </w:r>
          </w:p>
        </w:tc>
        <w:tc>
          <w:tcPr>
            <w:tcW w:w="498" w:type="dxa"/>
            <w:noWrap w:val="0"/>
            <w:vAlign w:val="center"/>
          </w:tcPr>
          <w:p w14:paraId="3B7A53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8" w:type="dxa"/>
            <w:noWrap w:val="0"/>
            <w:vAlign w:val="center"/>
          </w:tcPr>
          <w:p w14:paraId="40239B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498" w:type="dxa"/>
            <w:noWrap w:val="0"/>
            <w:vAlign w:val="center"/>
          </w:tcPr>
          <w:p w14:paraId="2C12DD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7" w:type="dxa"/>
            <w:noWrap w:val="0"/>
            <w:vAlign w:val="center"/>
          </w:tcPr>
          <w:p w14:paraId="2C3034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498" w:type="dxa"/>
            <w:noWrap w:val="0"/>
            <w:vAlign w:val="center"/>
          </w:tcPr>
          <w:p w14:paraId="25F8E9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6.45</w:t>
            </w:r>
          </w:p>
        </w:tc>
        <w:tc>
          <w:tcPr>
            <w:tcW w:w="498" w:type="dxa"/>
            <w:noWrap w:val="0"/>
            <w:vAlign w:val="center"/>
          </w:tcPr>
          <w:p w14:paraId="2920C4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9.68</w:t>
            </w:r>
          </w:p>
        </w:tc>
        <w:tc>
          <w:tcPr>
            <w:tcW w:w="497" w:type="dxa"/>
            <w:noWrap w:val="0"/>
            <w:vAlign w:val="center"/>
          </w:tcPr>
          <w:p w14:paraId="31409C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8" w:type="dxa"/>
            <w:noWrap w:val="0"/>
            <w:vAlign w:val="center"/>
          </w:tcPr>
          <w:p w14:paraId="50FE85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w:t>
            </w:r>
          </w:p>
        </w:tc>
        <w:tc>
          <w:tcPr>
            <w:tcW w:w="498" w:type="dxa"/>
            <w:noWrap w:val="0"/>
            <w:vAlign w:val="center"/>
          </w:tcPr>
          <w:p w14:paraId="27313F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w:t>
            </w:r>
          </w:p>
        </w:tc>
        <w:tc>
          <w:tcPr>
            <w:tcW w:w="498" w:type="dxa"/>
            <w:noWrap w:val="0"/>
            <w:vAlign w:val="center"/>
          </w:tcPr>
          <w:p w14:paraId="0DE9FE6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497" w:type="dxa"/>
            <w:noWrap w:val="0"/>
            <w:vAlign w:val="center"/>
          </w:tcPr>
          <w:p w14:paraId="65AF13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7.53</w:t>
            </w:r>
          </w:p>
        </w:tc>
        <w:tc>
          <w:tcPr>
            <w:tcW w:w="498" w:type="dxa"/>
            <w:noWrap w:val="0"/>
            <w:vAlign w:val="center"/>
          </w:tcPr>
          <w:p w14:paraId="435D50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8" w:type="dxa"/>
            <w:noWrap w:val="0"/>
            <w:vAlign w:val="center"/>
          </w:tcPr>
          <w:p w14:paraId="0943CBB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498" w:type="dxa"/>
            <w:noWrap w:val="0"/>
            <w:vAlign w:val="center"/>
          </w:tcPr>
          <w:p w14:paraId="5BC1A6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6.43</w:t>
            </w:r>
          </w:p>
        </w:tc>
      </w:tr>
      <w:tr w14:paraId="302F6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1B904DF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498" w:type="dxa"/>
            <w:noWrap w:val="0"/>
            <w:vAlign w:val="center"/>
          </w:tcPr>
          <w:p w14:paraId="01313B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498" w:type="dxa"/>
            <w:noWrap w:val="0"/>
            <w:vAlign w:val="center"/>
          </w:tcPr>
          <w:p w14:paraId="50E807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5.38</w:t>
            </w:r>
          </w:p>
        </w:tc>
        <w:tc>
          <w:tcPr>
            <w:tcW w:w="497" w:type="dxa"/>
            <w:noWrap w:val="0"/>
            <w:vAlign w:val="center"/>
          </w:tcPr>
          <w:p w14:paraId="38973D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498" w:type="dxa"/>
            <w:noWrap w:val="0"/>
            <w:vAlign w:val="center"/>
          </w:tcPr>
          <w:p w14:paraId="147399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8" w:type="dxa"/>
            <w:noWrap w:val="0"/>
            <w:vAlign w:val="center"/>
          </w:tcPr>
          <w:p w14:paraId="5A9727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498" w:type="dxa"/>
            <w:noWrap w:val="0"/>
            <w:vAlign w:val="center"/>
          </w:tcPr>
          <w:p w14:paraId="189421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497" w:type="dxa"/>
            <w:noWrap w:val="0"/>
            <w:vAlign w:val="center"/>
          </w:tcPr>
          <w:p w14:paraId="55A2B3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498" w:type="dxa"/>
            <w:noWrap w:val="0"/>
            <w:vAlign w:val="center"/>
          </w:tcPr>
          <w:p w14:paraId="4C2480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5.38</w:t>
            </w:r>
          </w:p>
        </w:tc>
        <w:tc>
          <w:tcPr>
            <w:tcW w:w="498" w:type="dxa"/>
            <w:noWrap w:val="0"/>
            <w:vAlign w:val="center"/>
          </w:tcPr>
          <w:p w14:paraId="0E5B86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12.9</w:t>
            </w:r>
          </w:p>
        </w:tc>
        <w:tc>
          <w:tcPr>
            <w:tcW w:w="497" w:type="dxa"/>
            <w:noWrap w:val="0"/>
            <w:vAlign w:val="center"/>
          </w:tcPr>
          <w:p w14:paraId="4733E3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498" w:type="dxa"/>
            <w:noWrap w:val="0"/>
            <w:vAlign w:val="center"/>
          </w:tcPr>
          <w:p w14:paraId="580F93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13.9</w:t>
            </w:r>
          </w:p>
        </w:tc>
        <w:tc>
          <w:tcPr>
            <w:tcW w:w="498" w:type="dxa"/>
            <w:noWrap w:val="0"/>
            <w:vAlign w:val="center"/>
          </w:tcPr>
          <w:p w14:paraId="16545C0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9.68</w:t>
            </w:r>
          </w:p>
        </w:tc>
        <w:tc>
          <w:tcPr>
            <w:tcW w:w="498" w:type="dxa"/>
            <w:noWrap w:val="0"/>
            <w:vAlign w:val="center"/>
          </w:tcPr>
          <w:p w14:paraId="6F20E9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8.60</w:t>
            </w:r>
          </w:p>
        </w:tc>
        <w:tc>
          <w:tcPr>
            <w:tcW w:w="497" w:type="dxa"/>
            <w:noWrap w:val="0"/>
            <w:vAlign w:val="center"/>
          </w:tcPr>
          <w:p w14:paraId="124F72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4.30</w:t>
            </w:r>
          </w:p>
        </w:tc>
        <w:tc>
          <w:tcPr>
            <w:tcW w:w="498" w:type="dxa"/>
            <w:noWrap w:val="0"/>
            <w:vAlign w:val="center"/>
          </w:tcPr>
          <w:p w14:paraId="683A3AC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498" w:type="dxa"/>
            <w:noWrap w:val="0"/>
            <w:vAlign w:val="center"/>
          </w:tcPr>
          <w:p w14:paraId="17814A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498" w:type="dxa"/>
            <w:noWrap w:val="0"/>
            <w:vAlign w:val="center"/>
          </w:tcPr>
          <w:p w14:paraId="56AEF3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6.47</w:t>
            </w:r>
          </w:p>
        </w:tc>
      </w:tr>
      <w:tr w14:paraId="08C6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2914392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w:t>
            </w:r>
          </w:p>
        </w:tc>
        <w:tc>
          <w:tcPr>
            <w:tcW w:w="498" w:type="dxa"/>
            <w:noWrap w:val="0"/>
            <w:vAlign w:val="center"/>
          </w:tcPr>
          <w:p w14:paraId="37E826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w:t>
            </w:r>
          </w:p>
        </w:tc>
        <w:tc>
          <w:tcPr>
            <w:tcW w:w="498" w:type="dxa"/>
            <w:noWrap w:val="0"/>
            <w:vAlign w:val="center"/>
          </w:tcPr>
          <w:p w14:paraId="3BE0E8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4.61</w:t>
            </w:r>
          </w:p>
        </w:tc>
        <w:tc>
          <w:tcPr>
            <w:tcW w:w="497" w:type="dxa"/>
            <w:noWrap w:val="0"/>
            <w:vAlign w:val="center"/>
          </w:tcPr>
          <w:p w14:paraId="0CA6E54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4.07</w:t>
            </w:r>
          </w:p>
        </w:tc>
        <w:tc>
          <w:tcPr>
            <w:tcW w:w="498" w:type="dxa"/>
            <w:noWrap w:val="0"/>
            <w:vAlign w:val="center"/>
          </w:tcPr>
          <w:p w14:paraId="21E35B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c>
          <w:tcPr>
            <w:tcW w:w="498" w:type="dxa"/>
            <w:noWrap w:val="0"/>
            <w:vAlign w:val="center"/>
          </w:tcPr>
          <w:p w14:paraId="586D96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w:t>
            </w:r>
          </w:p>
        </w:tc>
        <w:tc>
          <w:tcPr>
            <w:tcW w:w="498" w:type="dxa"/>
            <w:noWrap w:val="0"/>
            <w:vAlign w:val="center"/>
          </w:tcPr>
          <w:p w14:paraId="580AD5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w:t>
            </w:r>
          </w:p>
        </w:tc>
        <w:tc>
          <w:tcPr>
            <w:tcW w:w="497" w:type="dxa"/>
            <w:noWrap w:val="0"/>
            <w:vAlign w:val="center"/>
          </w:tcPr>
          <w:p w14:paraId="2ACEBC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w:t>
            </w:r>
          </w:p>
        </w:tc>
        <w:tc>
          <w:tcPr>
            <w:tcW w:w="498" w:type="dxa"/>
            <w:noWrap w:val="0"/>
            <w:vAlign w:val="center"/>
          </w:tcPr>
          <w:p w14:paraId="3CA4CE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5.15</w:t>
            </w:r>
          </w:p>
        </w:tc>
        <w:tc>
          <w:tcPr>
            <w:tcW w:w="498" w:type="dxa"/>
            <w:noWrap w:val="0"/>
            <w:vAlign w:val="center"/>
          </w:tcPr>
          <w:p w14:paraId="159B99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12.4</w:t>
            </w:r>
          </w:p>
        </w:tc>
        <w:tc>
          <w:tcPr>
            <w:tcW w:w="497" w:type="dxa"/>
            <w:noWrap w:val="0"/>
            <w:vAlign w:val="center"/>
          </w:tcPr>
          <w:p w14:paraId="5AFA9D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8.40</w:t>
            </w:r>
          </w:p>
        </w:tc>
        <w:tc>
          <w:tcPr>
            <w:tcW w:w="498" w:type="dxa"/>
            <w:noWrap w:val="0"/>
            <w:vAlign w:val="center"/>
          </w:tcPr>
          <w:p w14:paraId="5659AA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c>
          <w:tcPr>
            <w:tcW w:w="498" w:type="dxa"/>
            <w:noWrap w:val="0"/>
            <w:vAlign w:val="center"/>
          </w:tcPr>
          <w:p w14:paraId="52B330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w:t>
            </w:r>
          </w:p>
        </w:tc>
        <w:tc>
          <w:tcPr>
            <w:tcW w:w="498" w:type="dxa"/>
            <w:noWrap w:val="0"/>
            <w:vAlign w:val="center"/>
          </w:tcPr>
          <w:p w14:paraId="69D49C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8.67</w:t>
            </w:r>
          </w:p>
        </w:tc>
        <w:tc>
          <w:tcPr>
            <w:tcW w:w="497" w:type="dxa"/>
            <w:noWrap w:val="0"/>
            <w:vAlign w:val="center"/>
          </w:tcPr>
          <w:p w14:paraId="266FA7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5.15</w:t>
            </w:r>
          </w:p>
        </w:tc>
        <w:tc>
          <w:tcPr>
            <w:tcW w:w="498" w:type="dxa"/>
            <w:noWrap w:val="0"/>
            <w:vAlign w:val="center"/>
          </w:tcPr>
          <w:p w14:paraId="0D712D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2.44</w:t>
            </w:r>
          </w:p>
        </w:tc>
        <w:tc>
          <w:tcPr>
            <w:tcW w:w="498" w:type="dxa"/>
            <w:noWrap w:val="0"/>
            <w:vAlign w:val="center"/>
          </w:tcPr>
          <w:p w14:paraId="13AABD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w:t>
            </w:r>
          </w:p>
        </w:tc>
        <w:tc>
          <w:tcPr>
            <w:tcW w:w="498" w:type="dxa"/>
            <w:noWrap w:val="0"/>
            <w:vAlign w:val="center"/>
          </w:tcPr>
          <w:p w14:paraId="0849B0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6.29</w:t>
            </w:r>
          </w:p>
        </w:tc>
      </w:tr>
    </w:tbl>
    <w:p w14:paraId="3B76EF35">
      <w:pPr>
        <w:spacing w:line="440" w:lineRule="exact"/>
        <w:rPr>
          <w:rFonts w:hint="default" w:ascii="Times New Roman" w:hAnsi="Times New Roman" w:eastAsia="宋体" w:cs="Times New Roman"/>
          <w:color w:val="auto"/>
        </w:rPr>
      </w:pPr>
    </w:p>
    <w:p w14:paraId="7294E8E9">
      <w:pPr>
        <w:pStyle w:val="2"/>
        <w:rPr>
          <w:rFonts w:hint="default" w:ascii="Times New Roman" w:hAnsi="Times New Roman" w:eastAsia="宋体" w:cs="Times New Roman"/>
          <w:color w:val="auto"/>
        </w:rPr>
      </w:pPr>
    </w:p>
    <w:p w14:paraId="5CE34811">
      <w:pPr>
        <w:pStyle w:val="7"/>
        <w:rPr>
          <w:rFonts w:hint="default" w:ascii="Times New Roman" w:hAnsi="Times New Roman" w:eastAsia="宋体" w:cs="Times New Roman"/>
          <w:color w:val="auto"/>
        </w:rPr>
      </w:pPr>
    </w:p>
    <w:p w14:paraId="50C1DBCF">
      <w:pPr>
        <w:pStyle w:val="7"/>
        <w:rPr>
          <w:rFonts w:hint="default" w:ascii="Times New Roman" w:hAnsi="Times New Roman" w:eastAsia="宋体" w:cs="Times New Roman"/>
          <w:color w:val="auto"/>
        </w:rPr>
      </w:pPr>
    </w:p>
    <w:p w14:paraId="69E21EE8">
      <w:pPr>
        <w:pStyle w:val="7"/>
        <w:rPr>
          <w:rFonts w:hint="default" w:ascii="Times New Roman" w:hAnsi="Times New Roman" w:eastAsia="宋体" w:cs="Times New Roman"/>
          <w:color w:val="auto"/>
        </w:rPr>
      </w:pPr>
    </w:p>
    <w:p w14:paraId="422D7942">
      <w:pPr>
        <w:pStyle w:val="7"/>
        <w:rPr>
          <w:rFonts w:hint="default" w:ascii="Times New Roman" w:hAnsi="Times New Roman" w:eastAsia="宋体" w:cs="Times New Roman"/>
          <w:color w:val="auto"/>
        </w:rPr>
      </w:pPr>
    </w:p>
    <w:p w14:paraId="01C323FA">
      <w:pPr>
        <w:pStyle w:val="7"/>
        <w:rPr>
          <w:rFonts w:hint="default" w:ascii="Times New Roman" w:hAnsi="Times New Roman" w:eastAsia="宋体" w:cs="Times New Roman"/>
          <w:color w:val="auto"/>
        </w:rPr>
      </w:pPr>
    </w:p>
    <w:p w14:paraId="2E0447F1">
      <w:pPr>
        <w:spacing w:line="440" w:lineRule="exact"/>
        <w:rPr>
          <w:rFonts w:hint="default" w:ascii="Times New Roman" w:hAnsi="Times New Roman" w:eastAsia="宋体" w:cs="Times New Roman"/>
          <w:color w:val="auto"/>
        </w:rPr>
      </w:pPr>
      <w:r>
        <w:rPr>
          <w:rFonts w:hint="default" w:ascii="Times New Roman" w:hAnsi="Times New Roman" w:eastAsia="宋体" w:cs="Times New Roman"/>
          <w:color w:val="auto"/>
        </w:rPr>
        <mc:AlternateContent>
          <mc:Choice Requires="wpg">
            <w:drawing>
              <wp:anchor distT="0" distB="0" distL="114300" distR="114300" simplePos="0" relativeHeight="251662336" behindDoc="0" locked="0" layoutInCell="1" allowOverlap="1">
                <wp:simplePos x="0" y="0"/>
                <wp:positionH relativeFrom="column">
                  <wp:posOffset>73025</wp:posOffset>
                </wp:positionH>
                <wp:positionV relativeFrom="paragraph">
                  <wp:posOffset>-12065</wp:posOffset>
                </wp:positionV>
                <wp:extent cx="5478145" cy="4231005"/>
                <wp:effectExtent l="0" t="0" r="8255" b="17145"/>
                <wp:wrapNone/>
                <wp:docPr id="3" name="组合 3"/>
                <wp:cNvGraphicFramePr/>
                <a:graphic xmlns:a="http://schemas.openxmlformats.org/drawingml/2006/main">
                  <a:graphicData uri="http://schemas.microsoft.com/office/word/2010/wordprocessingGroup">
                    <wpg:wgp>
                      <wpg:cNvGrpSpPr/>
                      <wpg:grpSpPr>
                        <a:xfrm>
                          <a:off x="0" y="0"/>
                          <a:ext cx="5478145" cy="4231005"/>
                          <a:chOff x="1152" y="2304"/>
                          <a:chExt cx="9288" cy="6806"/>
                        </a:xfrm>
                      </wpg:grpSpPr>
                      <pic:pic xmlns:pic="http://schemas.openxmlformats.org/drawingml/2006/picture">
                        <pic:nvPicPr>
                          <pic:cNvPr id="22" name="图片 4" descr="1"/>
                          <pic:cNvPicPr>
                            <a:picLocks noChangeAspect="1"/>
                          </pic:cNvPicPr>
                        </pic:nvPicPr>
                        <pic:blipFill>
                          <a:blip r:embed="rId30"/>
                          <a:stretch>
                            <a:fillRect/>
                          </a:stretch>
                        </pic:blipFill>
                        <pic:spPr>
                          <a:xfrm>
                            <a:off x="1260" y="2376"/>
                            <a:ext cx="4500" cy="3432"/>
                          </a:xfrm>
                          <a:prstGeom prst="rect">
                            <a:avLst/>
                          </a:prstGeom>
                          <a:noFill/>
                          <a:ln>
                            <a:noFill/>
                          </a:ln>
                        </pic:spPr>
                      </pic:pic>
                      <pic:pic xmlns:pic="http://schemas.openxmlformats.org/drawingml/2006/picture">
                        <pic:nvPicPr>
                          <pic:cNvPr id="23" name="图片 5" descr="2"/>
                          <pic:cNvPicPr>
                            <a:picLocks noChangeAspect="1"/>
                          </pic:cNvPicPr>
                        </pic:nvPicPr>
                        <pic:blipFill>
                          <a:blip r:embed="rId31"/>
                          <a:stretch>
                            <a:fillRect/>
                          </a:stretch>
                        </pic:blipFill>
                        <pic:spPr>
                          <a:xfrm>
                            <a:off x="5651" y="2304"/>
                            <a:ext cx="4768" cy="3452"/>
                          </a:xfrm>
                          <a:prstGeom prst="rect">
                            <a:avLst/>
                          </a:prstGeom>
                          <a:noFill/>
                          <a:ln>
                            <a:noFill/>
                          </a:ln>
                        </pic:spPr>
                      </pic:pic>
                      <pic:pic xmlns:pic="http://schemas.openxmlformats.org/drawingml/2006/picture">
                        <pic:nvPicPr>
                          <pic:cNvPr id="24" name="图片 6" descr="3"/>
                          <pic:cNvPicPr>
                            <a:picLocks noChangeAspect="1"/>
                          </pic:cNvPicPr>
                        </pic:nvPicPr>
                        <pic:blipFill>
                          <a:blip r:embed="rId32"/>
                          <a:stretch>
                            <a:fillRect/>
                          </a:stretch>
                        </pic:blipFill>
                        <pic:spPr>
                          <a:xfrm>
                            <a:off x="1152" y="5756"/>
                            <a:ext cx="4500" cy="3354"/>
                          </a:xfrm>
                          <a:prstGeom prst="rect">
                            <a:avLst/>
                          </a:prstGeom>
                          <a:noFill/>
                          <a:ln>
                            <a:noFill/>
                          </a:ln>
                        </pic:spPr>
                      </pic:pic>
                      <pic:pic xmlns:pic="http://schemas.openxmlformats.org/drawingml/2006/picture">
                        <pic:nvPicPr>
                          <pic:cNvPr id="25" name="图片 7" descr="4"/>
                          <pic:cNvPicPr>
                            <a:picLocks noChangeAspect="1"/>
                          </pic:cNvPicPr>
                        </pic:nvPicPr>
                        <pic:blipFill>
                          <a:blip r:embed="rId33"/>
                          <a:stretch>
                            <a:fillRect/>
                          </a:stretch>
                        </pic:blipFill>
                        <pic:spPr>
                          <a:xfrm>
                            <a:off x="5652" y="5756"/>
                            <a:ext cx="4788" cy="3312"/>
                          </a:xfrm>
                          <a:prstGeom prst="rect">
                            <a:avLst/>
                          </a:prstGeom>
                          <a:noFill/>
                          <a:ln>
                            <a:noFill/>
                          </a:ln>
                        </pic:spPr>
                      </pic:pic>
                    </wpg:wgp>
                  </a:graphicData>
                </a:graphic>
              </wp:anchor>
            </w:drawing>
          </mc:Choice>
          <mc:Fallback>
            <w:pict>
              <v:group id="_x0000_s1026" o:spid="_x0000_s1026" o:spt="203" style="position:absolute;left:0pt;margin-left:5.75pt;margin-top:-0.95pt;height:333.15pt;width:431.35pt;z-index:251662336;mso-width-relative:page;mso-height-relative:page;" coordorigin="1152,2304" coordsize="9288,6806" o:gfxdata="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">
                <o:lock v:ext="edit" aspectratio="f"/>
                <v:shape id="图片 4" o:spid="_x0000_s1026" o:spt="75" alt="1" type="#_x0000_t75" style="position:absolute;left:1260;top:2376;height:3432;width:4500;" filled="f" o:preferrelative="t" stroked="f" coordsize="21600,21600" o:gfxdata="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I9Lu8AAAA&#10;2wAAAA8AAAAAAAAAAQAgAAAAIgAAAGRycy9kb3ducmV2LnhtbFBLAQIUABQAAAAIAIdO4kAzLwWe&#10;OwAAADkAAAAQAAAAAAAAAAEAIAAAAAsBAABkcnMvc2hhcGV4bWwueG1sUEsFBgAAAAAGAAYAWwEA&#10;ALUDAAAAAA==&#10;">
                  <v:fill on="f" focussize="0,0"/>
                  <v:stroke on="f"/>
                  <v:imagedata r:id="rId30" o:title=""/>
                  <o:lock v:ext="edit" aspectratio="t"/>
                </v:shape>
                <v:shape id="图片 5" o:spid="_x0000_s1026" o:spt="75" alt="2" type="#_x0000_t75" style="position:absolute;left:5651;top:2304;height:3452;width:4768;" filled="f" o:preferrelative="t" stroked="f" coordsize="21600,21600" o:gfxdata="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DhCVvQAA&#10;ANsAAAAPAAAAAAAAAAEAIAAAACIAAABkcnMvZG93bnJldi54bWxQSwECFAAUAAAACACHTuJAMy8F&#10;njsAAAA5AAAAEAAAAAAAAAABACAAAAAMAQAAZHJzL3NoYXBleG1sLnhtbFBLBQYAAAAABgAGAFsB&#10;AAC2AwAAAAA=&#10;">
                  <v:fill on="f" focussize="0,0"/>
                  <v:stroke on="f"/>
                  <v:imagedata r:id="rId31" o:title=""/>
                  <o:lock v:ext="edit" aspectratio="t"/>
                </v:shape>
                <v:shape id="图片 6" o:spid="_x0000_s1026" o:spt="75" alt="3" type="#_x0000_t75" style="position:absolute;left:1152;top:5756;height:3354;width:4500;" filled="f" o:preferrelative="t" stroked="f" coordsize="21600,21600" o:gfxdata="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axy1b4A&#10;AADbAAAADwAAAAAAAAABACAAAAAiAAAAZHJzL2Rvd25yZXYueG1sUEsBAhQAFAAAAAgAh07iQDMv&#10;BZ47AAAAOQAAABAAAAAAAAAAAQAgAAAADQEAAGRycy9zaGFwZXhtbC54bWxQSwUGAAAAAAYABgBb&#10;AQAAtwMAAAAA&#10;">
                  <v:fill on="f" focussize="0,0"/>
                  <v:stroke on="f"/>
                  <v:imagedata r:id="rId32" o:title=""/>
                  <o:lock v:ext="edit" aspectratio="t"/>
                </v:shape>
                <v:shape id="图片 7" o:spid="_x0000_s1026" o:spt="75" alt="4" type="#_x0000_t75" style="position:absolute;left:5652;top:5756;height:3312;width:4788;" filled="f" o:preferrelative="t" stroked="f" coordsize="21600,21600" o:gfxdata="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hSI/ugAAANsA&#10;AAAPAAAAAAAAAAEAIAAAACIAAABkcnMvZG93bnJldi54bWxQSwECFAAUAAAACACHTuJAMy8FnjsA&#10;AAA5AAAAEAAAAAAAAAABACAAAAAJAQAAZHJzL3NoYXBleG1sLnhtbFBLBQYAAAAABgAGAFsBAACz&#10;AwAAAAA=&#10;">
                  <v:fill on="f" focussize="0,0"/>
                  <v:stroke on="f"/>
                  <v:imagedata r:id="rId33" o:title=""/>
                  <o:lock v:ext="edit" aspectratio="t"/>
                </v:shape>
              </v:group>
            </w:pict>
          </mc:Fallback>
        </mc:AlternateContent>
      </w:r>
    </w:p>
    <w:p w14:paraId="10F7EBAD">
      <w:pPr>
        <w:spacing w:line="440" w:lineRule="exact"/>
        <w:rPr>
          <w:rFonts w:hint="default" w:ascii="Times New Roman" w:hAnsi="Times New Roman" w:eastAsia="宋体" w:cs="Times New Roman"/>
          <w:color w:val="auto"/>
        </w:rPr>
      </w:pPr>
    </w:p>
    <w:p w14:paraId="3A7DE3D4">
      <w:pPr>
        <w:spacing w:line="440" w:lineRule="exact"/>
        <w:rPr>
          <w:rFonts w:hint="default" w:ascii="Times New Roman" w:hAnsi="Times New Roman" w:eastAsia="宋体" w:cs="Times New Roman"/>
          <w:color w:val="auto"/>
        </w:rPr>
      </w:pPr>
    </w:p>
    <w:p w14:paraId="2244C035">
      <w:pPr>
        <w:spacing w:line="440" w:lineRule="exact"/>
        <w:jc w:val="center"/>
        <w:rPr>
          <w:rFonts w:hint="default" w:ascii="Times New Roman" w:hAnsi="Times New Roman" w:eastAsia="宋体" w:cs="Times New Roman"/>
          <w:b/>
          <w:color w:val="auto"/>
        </w:rPr>
      </w:pPr>
    </w:p>
    <w:p w14:paraId="37A1234C">
      <w:pPr>
        <w:spacing w:line="440" w:lineRule="exact"/>
        <w:jc w:val="center"/>
        <w:rPr>
          <w:rFonts w:hint="default" w:ascii="Times New Roman" w:hAnsi="Times New Roman" w:eastAsia="宋体" w:cs="Times New Roman"/>
          <w:b/>
          <w:color w:val="auto"/>
        </w:rPr>
      </w:pPr>
    </w:p>
    <w:p w14:paraId="0B458555">
      <w:pPr>
        <w:spacing w:line="440" w:lineRule="exact"/>
        <w:jc w:val="center"/>
        <w:rPr>
          <w:rFonts w:hint="default" w:ascii="Times New Roman" w:hAnsi="Times New Roman" w:eastAsia="宋体" w:cs="Times New Roman"/>
          <w:b/>
          <w:color w:val="auto"/>
        </w:rPr>
      </w:pPr>
    </w:p>
    <w:p w14:paraId="20A8F27F">
      <w:pPr>
        <w:spacing w:line="440" w:lineRule="exact"/>
        <w:jc w:val="center"/>
        <w:rPr>
          <w:rFonts w:hint="default" w:ascii="Times New Roman" w:hAnsi="Times New Roman" w:eastAsia="宋体" w:cs="Times New Roman"/>
          <w:b/>
          <w:color w:val="auto"/>
        </w:rPr>
      </w:pPr>
    </w:p>
    <w:p w14:paraId="2263F3C0">
      <w:pPr>
        <w:spacing w:line="440" w:lineRule="exact"/>
        <w:jc w:val="center"/>
        <w:rPr>
          <w:rFonts w:hint="default" w:ascii="Times New Roman" w:hAnsi="Times New Roman" w:eastAsia="宋体" w:cs="Times New Roman"/>
          <w:b/>
          <w:color w:val="auto"/>
        </w:rPr>
      </w:pPr>
    </w:p>
    <w:p w14:paraId="019778B9">
      <w:pPr>
        <w:spacing w:line="440" w:lineRule="exact"/>
        <w:jc w:val="center"/>
        <w:rPr>
          <w:rFonts w:hint="default" w:ascii="Times New Roman" w:hAnsi="Times New Roman" w:eastAsia="宋体" w:cs="Times New Roman"/>
          <w:b/>
          <w:color w:val="auto"/>
        </w:rPr>
      </w:pPr>
    </w:p>
    <w:p w14:paraId="6EB3C9BC">
      <w:pPr>
        <w:spacing w:line="440" w:lineRule="exact"/>
        <w:jc w:val="center"/>
        <w:rPr>
          <w:rFonts w:hint="default" w:ascii="Times New Roman" w:hAnsi="Times New Roman" w:eastAsia="宋体" w:cs="Times New Roman"/>
          <w:b/>
          <w:color w:val="auto"/>
        </w:rPr>
      </w:pPr>
    </w:p>
    <w:p w14:paraId="46DAC8C0">
      <w:pPr>
        <w:spacing w:line="440" w:lineRule="exact"/>
        <w:jc w:val="center"/>
        <w:rPr>
          <w:rFonts w:hint="default" w:ascii="Times New Roman" w:hAnsi="Times New Roman" w:eastAsia="宋体" w:cs="Times New Roman"/>
          <w:b/>
          <w:color w:val="auto"/>
        </w:rPr>
      </w:pPr>
    </w:p>
    <w:p w14:paraId="1BD660F2">
      <w:pPr>
        <w:spacing w:line="440" w:lineRule="exact"/>
        <w:jc w:val="both"/>
        <w:rPr>
          <w:rFonts w:hint="default" w:ascii="Times New Roman" w:hAnsi="Times New Roman" w:eastAsia="宋体" w:cs="Times New Roman"/>
          <w:b/>
          <w:color w:val="auto"/>
        </w:rPr>
      </w:pPr>
    </w:p>
    <w:p w14:paraId="5264B9FA">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图5.2-1  芒市2013年1、4、7、10月与年各风向出现风向频率玫瑰图</w:t>
      </w:r>
    </w:p>
    <w:p w14:paraId="10193467">
      <w:pPr>
        <w:spacing w:line="44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③ 各风向下的平均风速</w:t>
      </w:r>
    </w:p>
    <w:p w14:paraId="035048C8">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芒市各风向下的平均风速如表5.2-5所示。全年平均以西南风向下的风速最大1.51m/s，其次为南西南风1.46m/s。</w:t>
      </w:r>
    </w:p>
    <w:p w14:paraId="5F4D655A">
      <w:pPr>
        <w:pStyle w:val="2"/>
        <w:rPr>
          <w:rFonts w:hint="default"/>
        </w:rPr>
      </w:pPr>
    </w:p>
    <w:p w14:paraId="16C09AEB">
      <w:pPr>
        <w:pStyle w:val="1263"/>
        <w:spacing w:before="0" w:beforeLines="0" w:line="440" w:lineRule="exac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表5.2-5  芒市2013年1、4、7、10月各月及年各风向下平均风速 单位：m/s</w:t>
      </w:r>
    </w:p>
    <w:tbl>
      <w:tblPr>
        <w:tblStyle w:val="6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
        <w:gridCol w:w="461"/>
        <w:gridCol w:w="481"/>
        <w:gridCol w:w="461"/>
        <w:gridCol w:w="460"/>
        <w:gridCol w:w="460"/>
        <w:gridCol w:w="460"/>
        <w:gridCol w:w="460"/>
        <w:gridCol w:w="460"/>
        <w:gridCol w:w="460"/>
        <w:gridCol w:w="480"/>
        <w:gridCol w:w="460"/>
        <w:gridCol w:w="704"/>
        <w:gridCol w:w="460"/>
        <w:gridCol w:w="739"/>
        <w:gridCol w:w="460"/>
        <w:gridCol w:w="552"/>
        <w:gridCol w:w="460"/>
      </w:tblGrid>
      <w:tr w14:paraId="5AE6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 w:type="dxa"/>
            <w:noWrap w:val="0"/>
            <w:vAlign w:val="center"/>
          </w:tcPr>
          <w:p w14:paraId="18BC7BF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月份</w:t>
            </w:r>
          </w:p>
        </w:tc>
        <w:tc>
          <w:tcPr>
            <w:tcW w:w="461" w:type="dxa"/>
            <w:noWrap w:val="0"/>
            <w:vAlign w:val="center"/>
          </w:tcPr>
          <w:p w14:paraId="44D1635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t>
            </w:r>
          </w:p>
        </w:tc>
        <w:tc>
          <w:tcPr>
            <w:tcW w:w="481" w:type="dxa"/>
            <w:noWrap w:val="0"/>
            <w:vAlign w:val="center"/>
          </w:tcPr>
          <w:p w14:paraId="3A9021F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NNE</w:t>
            </w:r>
          </w:p>
        </w:tc>
        <w:tc>
          <w:tcPr>
            <w:tcW w:w="461" w:type="dxa"/>
            <w:noWrap w:val="0"/>
            <w:vAlign w:val="center"/>
          </w:tcPr>
          <w:p w14:paraId="2B0A325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NE</w:t>
            </w:r>
          </w:p>
        </w:tc>
        <w:tc>
          <w:tcPr>
            <w:tcW w:w="460" w:type="dxa"/>
            <w:noWrap w:val="0"/>
            <w:vAlign w:val="center"/>
          </w:tcPr>
          <w:p w14:paraId="19E9F73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ENE</w:t>
            </w:r>
          </w:p>
        </w:tc>
        <w:tc>
          <w:tcPr>
            <w:tcW w:w="460" w:type="dxa"/>
            <w:noWrap w:val="0"/>
            <w:vAlign w:val="center"/>
          </w:tcPr>
          <w:p w14:paraId="6D43836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w:t>
            </w:r>
          </w:p>
        </w:tc>
        <w:tc>
          <w:tcPr>
            <w:tcW w:w="460" w:type="dxa"/>
            <w:noWrap w:val="0"/>
            <w:vAlign w:val="center"/>
          </w:tcPr>
          <w:p w14:paraId="26C41FA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ESE</w:t>
            </w:r>
          </w:p>
        </w:tc>
        <w:tc>
          <w:tcPr>
            <w:tcW w:w="460" w:type="dxa"/>
            <w:noWrap w:val="0"/>
            <w:vAlign w:val="center"/>
          </w:tcPr>
          <w:p w14:paraId="7C82C61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SE</w:t>
            </w:r>
          </w:p>
        </w:tc>
        <w:tc>
          <w:tcPr>
            <w:tcW w:w="460" w:type="dxa"/>
            <w:noWrap w:val="0"/>
            <w:vAlign w:val="center"/>
          </w:tcPr>
          <w:p w14:paraId="433D412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SSE</w:t>
            </w:r>
          </w:p>
        </w:tc>
        <w:tc>
          <w:tcPr>
            <w:tcW w:w="460" w:type="dxa"/>
            <w:noWrap w:val="0"/>
            <w:vAlign w:val="center"/>
          </w:tcPr>
          <w:p w14:paraId="309DE6E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w:t>
            </w:r>
          </w:p>
        </w:tc>
        <w:tc>
          <w:tcPr>
            <w:tcW w:w="480" w:type="dxa"/>
            <w:noWrap w:val="0"/>
            <w:vAlign w:val="center"/>
          </w:tcPr>
          <w:p w14:paraId="65290CD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w:t>
            </w:r>
          </w:p>
        </w:tc>
        <w:tc>
          <w:tcPr>
            <w:tcW w:w="460" w:type="dxa"/>
            <w:noWrap w:val="0"/>
            <w:vAlign w:val="center"/>
          </w:tcPr>
          <w:p w14:paraId="1F93626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SW</w:t>
            </w:r>
          </w:p>
        </w:tc>
        <w:tc>
          <w:tcPr>
            <w:tcW w:w="704" w:type="dxa"/>
            <w:noWrap w:val="0"/>
            <w:vAlign w:val="center"/>
          </w:tcPr>
          <w:p w14:paraId="48A38FE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WSW</w:t>
            </w:r>
          </w:p>
        </w:tc>
        <w:tc>
          <w:tcPr>
            <w:tcW w:w="460" w:type="dxa"/>
            <w:noWrap w:val="0"/>
            <w:vAlign w:val="center"/>
          </w:tcPr>
          <w:p w14:paraId="0A82A0B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w:t>
            </w:r>
          </w:p>
        </w:tc>
        <w:tc>
          <w:tcPr>
            <w:tcW w:w="739" w:type="dxa"/>
            <w:noWrap w:val="0"/>
            <w:vAlign w:val="center"/>
          </w:tcPr>
          <w:p w14:paraId="2F1F3E2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WNW</w:t>
            </w:r>
          </w:p>
        </w:tc>
        <w:tc>
          <w:tcPr>
            <w:tcW w:w="460" w:type="dxa"/>
            <w:noWrap w:val="0"/>
            <w:vAlign w:val="center"/>
          </w:tcPr>
          <w:p w14:paraId="35B96FD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w:t>
            </w:r>
          </w:p>
        </w:tc>
        <w:tc>
          <w:tcPr>
            <w:tcW w:w="552" w:type="dxa"/>
            <w:noWrap w:val="0"/>
            <w:vAlign w:val="center"/>
          </w:tcPr>
          <w:p w14:paraId="5835228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NNW</w:t>
            </w:r>
          </w:p>
        </w:tc>
        <w:tc>
          <w:tcPr>
            <w:tcW w:w="460" w:type="dxa"/>
            <w:noWrap w:val="0"/>
            <w:vAlign w:val="center"/>
          </w:tcPr>
          <w:p w14:paraId="0ABB42E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w:t>
            </w:r>
          </w:p>
        </w:tc>
      </w:tr>
      <w:tr w14:paraId="6075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1" w:type="dxa"/>
            <w:noWrap w:val="0"/>
            <w:vAlign w:val="center"/>
          </w:tcPr>
          <w:p w14:paraId="2D2F8F0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461" w:type="dxa"/>
            <w:noWrap w:val="0"/>
            <w:vAlign w:val="center"/>
          </w:tcPr>
          <w:p w14:paraId="3643790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481" w:type="dxa"/>
            <w:noWrap w:val="0"/>
            <w:vAlign w:val="center"/>
          </w:tcPr>
          <w:p w14:paraId="1E626B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w:t>
            </w:r>
          </w:p>
        </w:tc>
        <w:tc>
          <w:tcPr>
            <w:tcW w:w="461" w:type="dxa"/>
            <w:noWrap w:val="0"/>
            <w:vAlign w:val="center"/>
          </w:tcPr>
          <w:p w14:paraId="167C69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w:t>
            </w:r>
          </w:p>
        </w:tc>
        <w:tc>
          <w:tcPr>
            <w:tcW w:w="460" w:type="dxa"/>
            <w:noWrap w:val="0"/>
            <w:vAlign w:val="center"/>
          </w:tcPr>
          <w:p w14:paraId="7E8678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0.63</w:t>
            </w:r>
          </w:p>
        </w:tc>
        <w:tc>
          <w:tcPr>
            <w:tcW w:w="460" w:type="dxa"/>
            <w:noWrap w:val="0"/>
            <w:vAlign w:val="center"/>
          </w:tcPr>
          <w:p w14:paraId="651429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0.47</w:t>
            </w:r>
          </w:p>
        </w:tc>
        <w:tc>
          <w:tcPr>
            <w:tcW w:w="460" w:type="dxa"/>
            <w:noWrap w:val="0"/>
            <w:vAlign w:val="center"/>
          </w:tcPr>
          <w:p w14:paraId="002F49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0.45</w:t>
            </w:r>
          </w:p>
        </w:tc>
        <w:tc>
          <w:tcPr>
            <w:tcW w:w="460" w:type="dxa"/>
            <w:noWrap w:val="0"/>
            <w:vAlign w:val="center"/>
          </w:tcPr>
          <w:p w14:paraId="4D4C5C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0.30</w:t>
            </w:r>
          </w:p>
        </w:tc>
        <w:tc>
          <w:tcPr>
            <w:tcW w:w="460" w:type="dxa"/>
            <w:noWrap w:val="0"/>
            <w:vAlign w:val="center"/>
          </w:tcPr>
          <w:p w14:paraId="4533CB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1.05</w:t>
            </w:r>
          </w:p>
        </w:tc>
        <w:tc>
          <w:tcPr>
            <w:tcW w:w="460" w:type="dxa"/>
            <w:noWrap w:val="0"/>
            <w:vAlign w:val="center"/>
          </w:tcPr>
          <w:p w14:paraId="473AE4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0.98</w:t>
            </w:r>
          </w:p>
        </w:tc>
        <w:tc>
          <w:tcPr>
            <w:tcW w:w="480" w:type="dxa"/>
            <w:noWrap w:val="0"/>
            <w:vAlign w:val="center"/>
          </w:tcPr>
          <w:p w14:paraId="5588EC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460" w:type="dxa"/>
            <w:noWrap w:val="0"/>
            <w:vAlign w:val="center"/>
          </w:tcPr>
          <w:p w14:paraId="574F5C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704" w:type="dxa"/>
            <w:noWrap w:val="0"/>
            <w:vAlign w:val="center"/>
          </w:tcPr>
          <w:p w14:paraId="26933A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1.02</w:t>
            </w:r>
          </w:p>
        </w:tc>
        <w:tc>
          <w:tcPr>
            <w:tcW w:w="460" w:type="dxa"/>
            <w:noWrap w:val="0"/>
            <w:vAlign w:val="center"/>
          </w:tcPr>
          <w:p w14:paraId="0CC638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0.94</w:t>
            </w:r>
          </w:p>
        </w:tc>
        <w:tc>
          <w:tcPr>
            <w:tcW w:w="739" w:type="dxa"/>
            <w:noWrap w:val="0"/>
            <w:vAlign w:val="center"/>
          </w:tcPr>
          <w:p w14:paraId="1657F1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460" w:type="dxa"/>
            <w:noWrap w:val="0"/>
            <w:vAlign w:val="center"/>
          </w:tcPr>
          <w:p w14:paraId="68302F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0.40</w:t>
            </w:r>
          </w:p>
        </w:tc>
        <w:tc>
          <w:tcPr>
            <w:tcW w:w="552" w:type="dxa"/>
            <w:noWrap w:val="0"/>
            <w:vAlign w:val="center"/>
          </w:tcPr>
          <w:p w14:paraId="1A92FFA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0.60</w:t>
            </w:r>
          </w:p>
        </w:tc>
        <w:tc>
          <w:tcPr>
            <w:tcW w:w="460" w:type="dxa"/>
            <w:noWrap w:val="0"/>
            <w:vAlign w:val="center"/>
          </w:tcPr>
          <w:p w14:paraId="7B1B32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0.91</w:t>
            </w:r>
          </w:p>
        </w:tc>
      </w:tr>
      <w:tr w14:paraId="43B1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481" w:type="dxa"/>
            <w:noWrap w:val="0"/>
            <w:vAlign w:val="center"/>
          </w:tcPr>
          <w:p w14:paraId="3847058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461" w:type="dxa"/>
            <w:noWrap w:val="0"/>
            <w:vAlign w:val="center"/>
          </w:tcPr>
          <w:p w14:paraId="104876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481" w:type="dxa"/>
            <w:noWrap w:val="0"/>
            <w:vAlign w:val="center"/>
          </w:tcPr>
          <w:p w14:paraId="7101DF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w:t>
            </w:r>
          </w:p>
        </w:tc>
        <w:tc>
          <w:tcPr>
            <w:tcW w:w="461" w:type="dxa"/>
            <w:noWrap w:val="0"/>
            <w:vAlign w:val="center"/>
          </w:tcPr>
          <w:p w14:paraId="01F3D9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w:t>
            </w:r>
          </w:p>
        </w:tc>
        <w:tc>
          <w:tcPr>
            <w:tcW w:w="460" w:type="dxa"/>
            <w:noWrap w:val="0"/>
            <w:vAlign w:val="center"/>
          </w:tcPr>
          <w:p w14:paraId="432F7EC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1.83</w:t>
            </w:r>
          </w:p>
        </w:tc>
        <w:tc>
          <w:tcPr>
            <w:tcW w:w="460" w:type="dxa"/>
            <w:noWrap w:val="0"/>
            <w:vAlign w:val="center"/>
          </w:tcPr>
          <w:p w14:paraId="167747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460" w:type="dxa"/>
            <w:noWrap w:val="0"/>
            <w:vAlign w:val="center"/>
          </w:tcPr>
          <w:p w14:paraId="1FC7DF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w:t>
            </w:r>
          </w:p>
        </w:tc>
        <w:tc>
          <w:tcPr>
            <w:tcW w:w="460" w:type="dxa"/>
            <w:noWrap w:val="0"/>
            <w:vAlign w:val="center"/>
          </w:tcPr>
          <w:p w14:paraId="0009D9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w:t>
            </w:r>
          </w:p>
        </w:tc>
        <w:tc>
          <w:tcPr>
            <w:tcW w:w="460" w:type="dxa"/>
            <w:noWrap w:val="0"/>
            <w:vAlign w:val="center"/>
          </w:tcPr>
          <w:p w14:paraId="553D6D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1.45</w:t>
            </w:r>
          </w:p>
        </w:tc>
        <w:tc>
          <w:tcPr>
            <w:tcW w:w="460" w:type="dxa"/>
            <w:noWrap w:val="0"/>
            <w:vAlign w:val="center"/>
          </w:tcPr>
          <w:p w14:paraId="3980D8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w:t>
            </w:r>
          </w:p>
        </w:tc>
        <w:tc>
          <w:tcPr>
            <w:tcW w:w="480" w:type="dxa"/>
            <w:noWrap w:val="0"/>
            <w:vAlign w:val="center"/>
          </w:tcPr>
          <w:p w14:paraId="32D5488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460" w:type="dxa"/>
            <w:noWrap w:val="0"/>
            <w:vAlign w:val="center"/>
          </w:tcPr>
          <w:p w14:paraId="7053E9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2.05</w:t>
            </w:r>
          </w:p>
        </w:tc>
        <w:tc>
          <w:tcPr>
            <w:tcW w:w="704" w:type="dxa"/>
            <w:noWrap w:val="0"/>
            <w:vAlign w:val="center"/>
          </w:tcPr>
          <w:p w14:paraId="7938AE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1.79</w:t>
            </w:r>
          </w:p>
        </w:tc>
        <w:tc>
          <w:tcPr>
            <w:tcW w:w="460" w:type="dxa"/>
            <w:noWrap w:val="0"/>
            <w:vAlign w:val="center"/>
          </w:tcPr>
          <w:p w14:paraId="77EEF4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w:t>
            </w:r>
          </w:p>
        </w:tc>
        <w:tc>
          <w:tcPr>
            <w:tcW w:w="739" w:type="dxa"/>
            <w:noWrap w:val="0"/>
            <w:vAlign w:val="center"/>
          </w:tcPr>
          <w:p w14:paraId="0BD165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w:t>
            </w:r>
          </w:p>
        </w:tc>
        <w:tc>
          <w:tcPr>
            <w:tcW w:w="460" w:type="dxa"/>
            <w:noWrap w:val="0"/>
            <w:vAlign w:val="center"/>
          </w:tcPr>
          <w:p w14:paraId="0737B29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w:t>
            </w:r>
          </w:p>
        </w:tc>
        <w:tc>
          <w:tcPr>
            <w:tcW w:w="552" w:type="dxa"/>
            <w:noWrap w:val="0"/>
            <w:vAlign w:val="center"/>
          </w:tcPr>
          <w:p w14:paraId="6380E4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w:t>
            </w:r>
          </w:p>
        </w:tc>
        <w:tc>
          <w:tcPr>
            <w:tcW w:w="460" w:type="dxa"/>
            <w:noWrap w:val="0"/>
            <w:vAlign w:val="center"/>
          </w:tcPr>
          <w:p w14:paraId="1186DE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1.56</w:t>
            </w:r>
          </w:p>
        </w:tc>
      </w:tr>
      <w:tr w14:paraId="6D81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1" w:type="dxa"/>
            <w:noWrap w:val="0"/>
            <w:vAlign w:val="center"/>
          </w:tcPr>
          <w:p w14:paraId="0B6DAEF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w:t>
            </w:r>
          </w:p>
        </w:tc>
        <w:tc>
          <w:tcPr>
            <w:tcW w:w="461" w:type="dxa"/>
            <w:noWrap w:val="0"/>
            <w:vAlign w:val="center"/>
          </w:tcPr>
          <w:p w14:paraId="63A5FF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w:t>
            </w:r>
          </w:p>
        </w:tc>
        <w:tc>
          <w:tcPr>
            <w:tcW w:w="481" w:type="dxa"/>
            <w:noWrap w:val="0"/>
            <w:vAlign w:val="center"/>
          </w:tcPr>
          <w:p w14:paraId="66F087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w:t>
            </w:r>
          </w:p>
        </w:tc>
        <w:tc>
          <w:tcPr>
            <w:tcW w:w="461" w:type="dxa"/>
            <w:noWrap w:val="0"/>
            <w:vAlign w:val="center"/>
          </w:tcPr>
          <w:p w14:paraId="49199E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0.99</w:t>
            </w:r>
          </w:p>
        </w:tc>
        <w:tc>
          <w:tcPr>
            <w:tcW w:w="460" w:type="dxa"/>
            <w:noWrap w:val="0"/>
            <w:vAlign w:val="center"/>
          </w:tcPr>
          <w:p w14:paraId="5BE028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460" w:type="dxa"/>
            <w:noWrap w:val="0"/>
            <w:vAlign w:val="center"/>
          </w:tcPr>
          <w:p w14:paraId="743025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0.60</w:t>
            </w:r>
          </w:p>
        </w:tc>
        <w:tc>
          <w:tcPr>
            <w:tcW w:w="460" w:type="dxa"/>
            <w:noWrap w:val="0"/>
            <w:vAlign w:val="center"/>
          </w:tcPr>
          <w:p w14:paraId="0F8EA9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0.83</w:t>
            </w:r>
          </w:p>
        </w:tc>
        <w:tc>
          <w:tcPr>
            <w:tcW w:w="460" w:type="dxa"/>
            <w:noWrap w:val="0"/>
            <w:vAlign w:val="center"/>
          </w:tcPr>
          <w:p w14:paraId="20A14E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w:t>
            </w:r>
          </w:p>
        </w:tc>
        <w:tc>
          <w:tcPr>
            <w:tcW w:w="460" w:type="dxa"/>
            <w:noWrap w:val="0"/>
            <w:vAlign w:val="center"/>
          </w:tcPr>
          <w:p w14:paraId="018B94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w:t>
            </w:r>
          </w:p>
        </w:tc>
        <w:tc>
          <w:tcPr>
            <w:tcW w:w="460" w:type="dxa"/>
            <w:noWrap w:val="0"/>
            <w:vAlign w:val="center"/>
          </w:tcPr>
          <w:p w14:paraId="5DE9B6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w:t>
            </w:r>
          </w:p>
        </w:tc>
        <w:tc>
          <w:tcPr>
            <w:tcW w:w="480" w:type="dxa"/>
            <w:noWrap w:val="0"/>
            <w:vAlign w:val="center"/>
          </w:tcPr>
          <w:p w14:paraId="06C79EB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w:t>
            </w:r>
          </w:p>
        </w:tc>
        <w:tc>
          <w:tcPr>
            <w:tcW w:w="460" w:type="dxa"/>
            <w:noWrap w:val="0"/>
            <w:vAlign w:val="center"/>
          </w:tcPr>
          <w:p w14:paraId="3493120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1.86</w:t>
            </w:r>
          </w:p>
        </w:tc>
        <w:tc>
          <w:tcPr>
            <w:tcW w:w="704" w:type="dxa"/>
            <w:noWrap w:val="0"/>
            <w:vAlign w:val="center"/>
          </w:tcPr>
          <w:p w14:paraId="6A5509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1.73</w:t>
            </w:r>
          </w:p>
        </w:tc>
        <w:tc>
          <w:tcPr>
            <w:tcW w:w="460" w:type="dxa"/>
            <w:noWrap w:val="0"/>
            <w:vAlign w:val="center"/>
          </w:tcPr>
          <w:p w14:paraId="7C99CC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w:t>
            </w:r>
          </w:p>
        </w:tc>
        <w:tc>
          <w:tcPr>
            <w:tcW w:w="739" w:type="dxa"/>
            <w:noWrap w:val="0"/>
            <w:vAlign w:val="center"/>
          </w:tcPr>
          <w:p w14:paraId="408C59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1.47</w:t>
            </w:r>
          </w:p>
        </w:tc>
        <w:tc>
          <w:tcPr>
            <w:tcW w:w="460" w:type="dxa"/>
            <w:noWrap w:val="0"/>
            <w:vAlign w:val="center"/>
          </w:tcPr>
          <w:p w14:paraId="4B4E14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1.27</w:t>
            </w:r>
          </w:p>
        </w:tc>
        <w:tc>
          <w:tcPr>
            <w:tcW w:w="552" w:type="dxa"/>
            <w:noWrap w:val="0"/>
            <w:vAlign w:val="center"/>
          </w:tcPr>
          <w:p w14:paraId="3AEC31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w:t>
            </w:r>
          </w:p>
        </w:tc>
        <w:tc>
          <w:tcPr>
            <w:tcW w:w="460" w:type="dxa"/>
            <w:noWrap w:val="0"/>
            <w:vAlign w:val="center"/>
          </w:tcPr>
          <w:p w14:paraId="0A235F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w:t>
            </w:r>
          </w:p>
        </w:tc>
      </w:tr>
      <w:tr w14:paraId="6AC1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1" w:type="dxa"/>
            <w:noWrap w:val="0"/>
            <w:vAlign w:val="center"/>
          </w:tcPr>
          <w:p w14:paraId="43B9CC2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461" w:type="dxa"/>
            <w:noWrap w:val="0"/>
            <w:vAlign w:val="center"/>
          </w:tcPr>
          <w:p w14:paraId="45C356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0.95</w:t>
            </w:r>
          </w:p>
        </w:tc>
        <w:tc>
          <w:tcPr>
            <w:tcW w:w="481" w:type="dxa"/>
            <w:noWrap w:val="0"/>
            <w:vAlign w:val="center"/>
          </w:tcPr>
          <w:p w14:paraId="626C05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1.54</w:t>
            </w:r>
          </w:p>
        </w:tc>
        <w:tc>
          <w:tcPr>
            <w:tcW w:w="461" w:type="dxa"/>
            <w:noWrap w:val="0"/>
            <w:vAlign w:val="center"/>
          </w:tcPr>
          <w:p w14:paraId="4A8101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0.88</w:t>
            </w:r>
          </w:p>
        </w:tc>
        <w:tc>
          <w:tcPr>
            <w:tcW w:w="460" w:type="dxa"/>
            <w:noWrap w:val="0"/>
            <w:vAlign w:val="center"/>
          </w:tcPr>
          <w:p w14:paraId="40E183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w:t>
            </w:r>
          </w:p>
        </w:tc>
        <w:tc>
          <w:tcPr>
            <w:tcW w:w="460" w:type="dxa"/>
            <w:noWrap w:val="0"/>
            <w:vAlign w:val="center"/>
          </w:tcPr>
          <w:p w14:paraId="39838D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w:t>
            </w:r>
          </w:p>
        </w:tc>
        <w:tc>
          <w:tcPr>
            <w:tcW w:w="460" w:type="dxa"/>
            <w:noWrap w:val="0"/>
            <w:vAlign w:val="center"/>
          </w:tcPr>
          <w:p w14:paraId="66FC0F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0.65</w:t>
            </w:r>
          </w:p>
        </w:tc>
        <w:tc>
          <w:tcPr>
            <w:tcW w:w="460" w:type="dxa"/>
            <w:noWrap w:val="0"/>
            <w:vAlign w:val="center"/>
          </w:tcPr>
          <w:p w14:paraId="1A14C0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0.65</w:t>
            </w:r>
          </w:p>
        </w:tc>
        <w:tc>
          <w:tcPr>
            <w:tcW w:w="460" w:type="dxa"/>
            <w:noWrap w:val="0"/>
            <w:vAlign w:val="center"/>
          </w:tcPr>
          <w:p w14:paraId="1D9D3F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w:t>
            </w:r>
          </w:p>
        </w:tc>
        <w:tc>
          <w:tcPr>
            <w:tcW w:w="460" w:type="dxa"/>
            <w:noWrap w:val="0"/>
            <w:vAlign w:val="center"/>
          </w:tcPr>
          <w:p w14:paraId="0D1F05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1.28</w:t>
            </w:r>
          </w:p>
        </w:tc>
        <w:tc>
          <w:tcPr>
            <w:tcW w:w="480" w:type="dxa"/>
            <w:noWrap w:val="0"/>
            <w:vAlign w:val="center"/>
          </w:tcPr>
          <w:p w14:paraId="7BC32D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1.45</w:t>
            </w:r>
          </w:p>
        </w:tc>
        <w:tc>
          <w:tcPr>
            <w:tcW w:w="460" w:type="dxa"/>
            <w:noWrap w:val="0"/>
            <w:vAlign w:val="center"/>
          </w:tcPr>
          <w:p w14:paraId="13CB93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1.06</w:t>
            </w:r>
          </w:p>
        </w:tc>
        <w:tc>
          <w:tcPr>
            <w:tcW w:w="704" w:type="dxa"/>
            <w:noWrap w:val="0"/>
            <w:vAlign w:val="center"/>
          </w:tcPr>
          <w:p w14:paraId="1EA700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w:t>
            </w:r>
          </w:p>
        </w:tc>
        <w:tc>
          <w:tcPr>
            <w:tcW w:w="460" w:type="dxa"/>
            <w:noWrap w:val="0"/>
            <w:vAlign w:val="center"/>
          </w:tcPr>
          <w:p w14:paraId="45BED2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0.81</w:t>
            </w:r>
          </w:p>
        </w:tc>
        <w:tc>
          <w:tcPr>
            <w:tcW w:w="739" w:type="dxa"/>
            <w:noWrap w:val="0"/>
            <w:vAlign w:val="center"/>
          </w:tcPr>
          <w:p w14:paraId="5A5090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460" w:type="dxa"/>
            <w:noWrap w:val="0"/>
            <w:vAlign w:val="center"/>
          </w:tcPr>
          <w:p w14:paraId="1EBFDD4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552" w:type="dxa"/>
            <w:noWrap w:val="0"/>
            <w:vAlign w:val="center"/>
          </w:tcPr>
          <w:p w14:paraId="5AA76B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w:t>
            </w:r>
          </w:p>
        </w:tc>
        <w:tc>
          <w:tcPr>
            <w:tcW w:w="460" w:type="dxa"/>
            <w:noWrap w:val="0"/>
            <w:vAlign w:val="center"/>
          </w:tcPr>
          <w:p w14:paraId="023B3B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w:t>
            </w:r>
          </w:p>
        </w:tc>
      </w:tr>
      <w:tr w14:paraId="62C7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1" w:type="dxa"/>
            <w:noWrap w:val="0"/>
            <w:vAlign w:val="center"/>
          </w:tcPr>
          <w:p w14:paraId="3705FBB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w:t>
            </w:r>
          </w:p>
        </w:tc>
        <w:tc>
          <w:tcPr>
            <w:tcW w:w="461" w:type="dxa"/>
            <w:noWrap w:val="0"/>
            <w:vAlign w:val="center"/>
          </w:tcPr>
          <w:p w14:paraId="23E239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w:t>
            </w:r>
          </w:p>
        </w:tc>
        <w:tc>
          <w:tcPr>
            <w:tcW w:w="481" w:type="dxa"/>
            <w:noWrap w:val="0"/>
            <w:vAlign w:val="center"/>
          </w:tcPr>
          <w:p w14:paraId="065A22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w:t>
            </w:r>
          </w:p>
        </w:tc>
        <w:tc>
          <w:tcPr>
            <w:tcW w:w="461" w:type="dxa"/>
            <w:noWrap w:val="0"/>
            <w:vAlign w:val="center"/>
          </w:tcPr>
          <w:p w14:paraId="30908F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0.99</w:t>
            </w:r>
          </w:p>
        </w:tc>
        <w:tc>
          <w:tcPr>
            <w:tcW w:w="460" w:type="dxa"/>
            <w:noWrap w:val="0"/>
            <w:vAlign w:val="center"/>
          </w:tcPr>
          <w:p w14:paraId="580F13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0.85</w:t>
            </w:r>
          </w:p>
        </w:tc>
        <w:tc>
          <w:tcPr>
            <w:tcW w:w="460" w:type="dxa"/>
            <w:noWrap w:val="0"/>
            <w:vAlign w:val="center"/>
          </w:tcPr>
          <w:p w14:paraId="0A41B24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0.85</w:t>
            </w:r>
          </w:p>
        </w:tc>
        <w:tc>
          <w:tcPr>
            <w:tcW w:w="460" w:type="dxa"/>
            <w:noWrap w:val="0"/>
            <w:vAlign w:val="center"/>
          </w:tcPr>
          <w:p w14:paraId="5F7A0B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0.77</w:t>
            </w:r>
          </w:p>
        </w:tc>
        <w:tc>
          <w:tcPr>
            <w:tcW w:w="460" w:type="dxa"/>
            <w:noWrap w:val="0"/>
            <w:vAlign w:val="center"/>
          </w:tcPr>
          <w:p w14:paraId="2FA3D4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w:t>
            </w:r>
          </w:p>
        </w:tc>
        <w:tc>
          <w:tcPr>
            <w:tcW w:w="460" w:type="dxa"/>
            <w:noWrap w:val="0"/>
            <w:vAlign w:val="center"/>
          </w:tcPr>
          <w:p w14:paraId="3D27B2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w:t>
            </w:r>
          </w:p>
        </w:tc>
        <w:tc>
          <w:tcPr>
            <w:tcW w:w="460" w:type="dxa"/>
            <w:noWrap w:val="0"/>
            <w:vAlign w:val="center"/>
          </w:tcPr>
          <w:p w14:paraId="3156C20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w:t>
            </w:r>
          </w:p>
        </w:tc>
        <w:tc>
          <w:tcPr>
            <w:tcW w:w="480" w:type="dxa"/>
            <w:noWrap w:val="0"/>
            <w:vAlign w:val="center"/>
          </w:tcPr>
          <w:p w14:paraId="187244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w:t>
            </w:r>
          </w:p>
        </w:tc>
        <w:tc>
          <w:tcPr>
            <w:tcW w:w="460" w:type="dxa"/>
            <w:noWrap w:val="0"/>
            <w:vAlign w:val="center"/>
          </w:tcPr>
          <w:p w14:paraId="23A72D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w:t>
            </w:r>
          </w:p>
        </w:tc>
        <w:tc>
          <w:tcPr>
            <w:tcW w:w="704" w:type="dxa"/>
            <w:noWrap w:val="0"/>
            <w:vAlign w:val="center"/>
          </w:tcPr>
          <w:p w14:paraId="41CA85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1.37</w:t>
            </w:r>
          </w:p>
        </w:tc>
        <w:tc>
          <w:tcPr>
            <w:tcW w:w="460" w:type="dxa"/>
            <w:noWrap w:val="0"/>
            <w:vAlign w:val="center"/>
          </w:tcPr>
          <w:p w14:paraId="429E67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739" w:type="dxa"/>
            <w:noWrap w:val="0"/>
            <w:vAlign w:val="center"/>
          </w:tcPr>
          <w:p w14:paraId="2735CD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1.41</w:t>
            </w:r>
          </w:p>
        </w:tc>
        <w:tc>
          <w:tcPr>
            <w:tcW w:w="460" w:type="dxa"/>
            <w:noWrap w:val="0"/>
            <w:vAlign w:val="center"/>
          </w:tcPr>
          <w:p w14:paraId="17D6734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w:t>
            </w:r>
          </w:p>
        </w:tc>
        <w:tc>
          <w:tcPr>
            <w:tcW w:w="552" w:type="dxa"/>
            <w:noWrap w:val="0"/>
            <w:vAlign w:val="center"/>
          </w:tcPr>
          <w:p w14:paraId="429028E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w:t>
            </w:r>
          </w:p>
        </w:tc>
        <w:tc>
          <w:tcPr>
            <w:tcW w:w="460" w:type="dxa"/>
            <w:noWrap w:val="0"/>
            <w:vAlign w:val="center"/>
          </w:tcPr>
          <w:p w14:paraId="5AC7BC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w:t>
            </w:r>
          </w:p>
        </w:tc>
      </w:tr>
    </w:tbl>
    <w:p w14:paraId="57758D24">
      <w:pPr>
        <w:spacing w:line="440" w:lineRule="exact"/>
        <w:rPr>
          <w:rFonts w:hint="default" w:ascii="Times New Roman" w:hAnsi="Times New Roman" w:eastAsia="宋体" w:cs="Times New Roman"/>
          <w:color w:val="auto"/>
          <w:sz w:val="24"/>
        </w:rPr>
      </w:pPr>
    </w:p>
    <w:p w14:paraId="07BA871D">
      <w:pPr>
        <w:pStyle w:val="2"/>
        <w:rPr>
          <w:rFonts w:hint="default" w:ascii="Times New Roman" w:hAnsi="Times New Roman" w:eastAsia="宋体" w:cs="Times New Roman"/>
          <w:color w:val="auto"/>
          <w:sz w:val="24"/>
        </w:rPr>
      </w:pPr>
    </w:p>
    <w:p w14:paraId="3AF2B139">
      <w:pPr>
        <w:pStyle w:val="7"/>
        <w:rPr>
          <w:rFonts w:hint="default" w:ascii="Times New Roman" w:hAnsi="Times New Roman" w:eastAsia="宋体" w:cs="Times New Roman"/>
          <w:color w:val="auto"/>
          <w:sz w:val="24"/>
        </w:rPr>
      </w:pPr>
    </w:p>
    <w:p w14:paraId="09472D48">
      <w:pPr>
        <w:pStyle w:val="7"/>
        <w:rPr>
          <w:rFonts w:hint="default" w:ascii="Times New Roman" w:hAnsi="Times New Roman" w:eastAsia="宋体" w:cs="Times New Roman"/>
          <w:color w:val="auto"/>
          <w:sz w:val="24"/>
        </w:rPr>
      </w:pPr>
    </w:p>
    <w:p w14:paraId="68AB9528">
      <w:pPr>
        <w:pStyle w:val="7"/>
        <w:rPr>
          <w:rFonts w:hint="default" w:ascii="Times New Roman" w:hAnsi="Times New Roman" w:eastAsia="宋体" w:cs="Times New Roman"/>
          <w:color w:val="auto"/>
          <w:sz w:val="24"/>
        </w:rPr>
      </w:pPr>
    </w:p>
    <w:p w14:paraId="1BF074D7">
      <w:pPr>
        <w:pStyle w:val="7"/>
        <w:rPr>
          <w:rFonts w:hint="default" w:ascii="Times New Roman" w:hAnsi="Times New Roman" w:eastAsia="宋体" w:cs="Times New Roman"/>
          <w:color w:val="auto"/>
          <w:sz w:val="24"/>
        </w:rPr>
      </w:pPr>
    </w:p>
    <w:p w14:paraId="169C0EB4">
      <w:pPr>
        <w:pStyle w:val="7"/>
        <w:rPr>
          <w:rFonts w:hint="default" w:ascii="Times New Roman" w:hAnsi="Times New Roman" w:eastAsia="宋体" w:cs="Times New Roman"/>
          <w:color w:val="auto"/>
          <w:sz w:val="24"/>
        </w:rPr>
      </w:pPr>
    </w:p>
    <w:p w14:paraId="3428D3CF">
      <w:pPr>
        <w:pStyle w:val="7"/>
        <w:rPr>
          <w:rFonts w:hint="default" w:ascii="Times New Roman" w:hAnsi="Times New Roman" w:eastAsia="宋体" w:cs="Times New Roman"/>
          <w:color w:val="auto"/>
          <w:sz w:val="24"/>
        </w:rPr>
      </w:pPr>
    </w:p>
    <w:p w14:paraId="5E734C2B">
      <w:pPr>
        <w:pStyle w:val="7"/>
        <w:rPr>
          <w:rFonts w:hint="default" w:ascii="Times New Roman" w:hAnsi="Times New Roman" w:eastAsia="宋体" w:cs="Times New Roman"/>
          <w:color w:val="auto"/>
          <w:sz w:val="24"/>
        </w:rPr>
      </w:pPr>
    </w:p>
    <w:p w14:paraId="7FE40112">
      <w:pPr>
        <w:pStyle w:val="7"/>
        <w:rPr>
          <w:rFonts w:hint="default" w:ascii="Times New Roman" w:hAnsi="Times New Roman" w:eastAsia="宋体" w:cs="Times New Roman"/>
          <w:color w:val="auto"/>
          <w:sz w:val="24"/>
        </w:rPr>
      </w:pPr>
    </w:p>
    <w:p w14:paraId="7E765019">
      <w:pPr>
        <w:pStyle w:val="7"/>
        <w:rPr>
          <w:rFonts w:hint="default" w:ascii="Times New Roman" w:hAnsi="Times New Roman" w:eastAsia="宋体" w:cs="Times New Roman"/>
          <w:color w:val="auto"/>
          <w:sz w:val="24"/>
        </w:rPr>
      </w:pPr>
    </w:p>
    <w:p w14:paraId="24625E04">
      <w:pPr>
        <w:spacing w:line="440" w:lineRule="exact"/>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rPr>
        <w:drawing>
          <wp:anchor distT="0" distB="0" distL="114300" distR="114300" simplePos="0" relativeHeight="251664384" behindDoc="0" locked="0" layoutInCell="1" allowOverlap="1">
            <wp:simplePos x="0" y="0"/>
            <wp:positionH relativeFrom="column">
              <wp:posOffset>2803525</wp:posOffset>
            </wp:positionH>
            <wp:positionV relativeFrom="paragraph">
              <wp:posOffset>138430</wp:posOffset>
            </wp:positionV>
            <wp:extent cx="2465070" cy="1726565"/>
            <wp:effectExtent l="0" t="0" r="11430" b="6985"/>
            <wp:wrapNone/>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34" r:link="rId35"/>
                    <a:stretch>
                      <a:fillRect/>
                    </a:stretch>
                  </pic:blipFill>
                  <pic:spPr>
                    <a:xfrm>
                      <a:off x="0" y="0"/>
                      <a:ext cx="2465070" cy="1726565"/>
                    </a:xfrm>
                    <a:prstGeom prst="rect">
                      <a:avLst/>
                    </a:prstGeom>
                    <a:noFill/>
                    <a:ln>
                      <a:noFill/>
                    </a:ln>
                  </pic:spPr>
                </pic:pic>
              </a:graphicData>
            </a:graphic>
          </wp:anchor>
        </w:drawing>
      </w:r>
      <w:r>
        <w:rPr>
          <w:rFonts w:hint="default" w:ascii="Times New Roman" w:hAnsi="Times New Roman" w:eastAsia="宋体" w:cs="Times New Roman"/>
          <w:color w:val="auto"/>
        </w:rPr>
        <w:drawing>
          <wp:anchor distT="0" distB="0" distL="114300" distR="114300" simplePos="0" relativeHeight="251663360" behindDoc="0" locked="0" layoutInCell="1" allowOverlap="1">
            <wp:simplePos x="0" y="0"/>
            <wp:positionH relativeFrom="column">
              <wp:posOffset>407035</wp:posOffset>
            </wp:positionH>
            <wp:positionV relativeFrom="paragraph">
              <wp:posOffset>93345</wp:posOffset>
            </wp:positionV>
            <wp:extent cx="2436495" cy="1771650"/>
            <wp:effectExtent l="0" t="0" r="1905" b="0"/>
            <wp:wrapNone/>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6" r:link="rId37"/>
                    <a:stretch>
                      <a:fillRect/>
                    </a:stretch>
                  </pic:blipFill>
                  <pic:spPr>
                    <a:xfrm>
                      <a:off x="0" y="0"/>
                      <a:ext cx="2436495" cy="1771650"/>
                    </a:xfrm>
                    <a:prstGeom prst="rect">
                      <a:avLst/>
                    </a:prstGeom>
                    <a:noFill/>
                    <a:ln>
                      <a:noFill/>
                    </a:ln>
                  </pic:spPr>
                </pic:pic>
              </a:graphicData>
            </a:graphic>
          </wp:anchor>
        </w:drawing>
      </w:r>
    </w:p>
    <w:p w14:paraId="38944DEA">
      <w:pPr>
        <w:spacing w:line="440" w:lineRule="exact"/>
        <w:jc w:val="center"/>
        <w:rPr>
          <w:rFonts w:hint="default" w:ascii="Times New Roman" w:hAnsi="Times New Roman" w:eastAsia="宋体" w:cs="Times New Roman"/>
          <w:b/>
          <w:color w:val="auto"/>
        </w:rPr>
      </w:pPr>
    </w:p>
    <w:p w14:paraId="3EA32242">
      <w:pPr>
        <w:spacing w:line="440" w:lineRule="exact"/>
        <w:jc w:val="center"/>
        <w:rPr>
          <w:rFonts w:hint="default" w:ascii="Times New Roman" w:hAnsi="Times New Roman" w:eastAsia="宋体" w:cs="Times New Roman"/>
          <w:b/>
          <w:color w:val="auto"/>
        </w:rPr>
      </w:pPr>
    </w:p>
    <w:p w14:paraId="5C8883CA">
      <w:pPr>
        <w:spacing w:line="440" w:lineRule="exact"/>
        <w:jc w:val="center"/>
        <w:rPr>
          <w:rFonts w:hint="default" w:ascii="Times New Roman" w:hAnsi="Times New Roman" w:eastAsia="宋体" w:cs="Times New Roman"/>
          <w:b/>
          <w:color w:val="auto"/>
        </w:rPr>
      </w:pPr>
    </w:p>
    <w:p w14:paraId="7C2D24F7">
      <w:pPr>
        <w:spacing w:line="440" w:lineRule="exact"/>
        <w:jc w:val="center"/>
        <w:rPr>
          <w:rFonts w:hint="default" w:ascii="Times New Roman" w:hAnsi="Times New Roman" w:eastAsia="宋体" w:cs="Times New Roman"/>
          <w:b/>
          <w:color w:val="auto"/>
        </w:rPr>
      </w:pPr>
    </w:p>
    <w:p w14:paraId="7461375E">
      <w:pPr>
        <w:spacing w:line="440" w:lineRule="exact"/>
        <w:jc w:val="center"/>
        <w:rPr>
          <w:rFonts w:hint="default" w:ascii="Times New Roman" w:hAnsi="Times New Roman" w:eastAsia="宋体" w:cs="Times New Roman"/>
          <w:b/>
          <w:color w:val="auto"/>
        </w:rPr>
      </w:pPr>
    </w:p>
    <w:p w14:paraId="47F78282">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color w:val="auto"/>
        </w:rPr>
        <w:drawing>
          <wp:anchor distT="0" distB="0" distL="114300" distR="114300" simplePos="0" relativeHeight="251666432" behindDoc="0" locked="0" layoutInCell="1" allowOverlap="1">
            <wp:simplePos x="0" y="0"/>
            <wp:positionH relativeFrom="column">
              <wp:posOffset>2843530</wp:posOffset>
            </wp:positionH>
            <wp:positionV relativeFrom="paragraph">
              <wp:posOffset>86360</wp:posOffset>
            </wp:positionV>
            <wp:extent cx="2320290" cy="1689100"/>
            <wp:effectExtent l="0" t="0" r="3810" b="635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8" r:link="rId39"/>
                    <a:stretch>
                      <a:fillRect/>
                    </a:stretch>
                  </pic:blipFill>
                  <pic:spPr>
                    <a:xfrm>
                      <a:off x="0" y="0"/>
                      <a:ext cx="2320290" cy="1689100"/>
                    </a:xfrm>
                    <a:prstGeom prst="rect">
                      <a:avLst/>
                    </a:prstGeom>
                    <a:noFill/>
                    <a:ln>
                      <a:noFill/>
                    </a:ln>
                  </pic:spPr>
                </pic:pic>
              </a:graphicData>
            </a:graphic>
          </wp:anchor>
        </w:drawing>
      </w:r>
      <w:r>
        <w:rPr>
          <w:rFonts w:hint="default" w:ascii="Times New Roman" w:hAnsi="Times New Roman" w:eastAsia="宋体" w:cs="Times New Roman"/>
          <w:color w:val="auto"/>
        </w:rPr>
        <w:drawing>
          <wp:anchor distT="0" distB="0" distL="114300" distR="114300" simplePos="0" relativeHeight="251665408" behindDoc="0" locked="0" layoutInCell="1" allowOverlap="1">
            <wp:simplePos x="0" y="0"/>
            <wp:positionH relativeFrom="column">
              <wp:posOffset>407035</wp:posOffset>
            </wp:positionH>
            <wp:positionV relativeFrom="paragraph">
              <wp:posOffset>86360</wp:posOffset>
            </wp:positionV>
            <wp:extent cx="2436495" cy="1773555"/>
            <wp:effectExtent l="0" t="0" r="1905" b="17145"/>
            <wp:wrapNone/>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40" r:link="rId41"/>
                    <a:stretch>
                      <a:fillRect/>
                    </a:stretch>
                  </pic:blipFill>
                  <pic:spPr>
                    <a:xfrm>
                      <a:off x="0" y="0"/>
                      <a:ext cx="2436495" cy="1773555"/>
                    </a:xfrm>
                    <a:prstGeom prst="rect">
                      <a:avLst/>
                    </a:prstGeom>
                    <a:noFill/>
                    <a:ln>
                      <a:noFill/>
                    </a:ln>
                  </pic:spPr>
                </pic:pic>
              </a:graphicData>
            </a:graphic>
          </wp:anchor>
        </w:drawing>
      </w:r>
    </w:p>
    <w:p w14:paraId="13CBB98E">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INCLUDEPICTURE "../Local%20Settings/Temp/V82%7dA9IK%5d988E382CZ4HTXO.jpg" \* MERGEFORMAT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drawing>
          <wp:inline distT="0" distB="0" distL="114300" distR="114300">
            <wp:extent cx="3495675" cy="2962275"/>
            <wp:effectExtent l="0" t="0" r="9525" b="9525"/>
            <wp:docPr id="16" name="图片 17" descr="V82}A9IK]988E382CZ4HT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V82}A9IK]988E382CZ4HTXO"/>
                    <pic:cNvPicPr>
                      <a:picLocks noChangeAspect="1"/>
                    </pic:cNvPicPr>
                  </pic:nvPicPr>
                  <pic:blipFill>
                    <a:blip r:embed="rId34" r:link="rId35"/>
                    <a:stretch>
                      <a:fillRect/>
                    </a:stretch>
                  </pic:blipFill>
                  <pic:spPr>
                    <a:xfrm>
                      <a:off x="0" y="0"/>
                      <a:ext cx="3495675" cy="2962275"/>
                    </a:xfrm>
                    <a:prstGeom prst="rect">
                      <a:avLst/>
                    </a:prstGeom>
                    <a:noFill/>
                    <a:ln>
                      <a:noFill/>
                    </a:ln>
                  </pic:spPr>
                </pic:pic>
              </a:graphicData>
            </a:graphic>
          </wp:inline>
        </w:drawing>
      </w:r>
      <w:r>
        <w:rPr>
          <w:rFonts w:hint="default" w:ascii="Times New Roman" w:hAnsi="Times New Roman" w:eastAsia="宋体" w:cs="Times New Roman"/>
          <w:color w:val="auto"/>
        </w:rPr>
        <w:fldChar w:fldCharType="end"/>
      </w:r>
    </w:p>
    <w:p w14:paraId="15E1B814">
      <w:pPr>
        <w:spacing w:line="440" w:lineRule="exact"/>
        <w:jc w:val="center"/>
        <w:rPr>
          <w:rFonts w:hint="default" w:ascii="Times New Roman" w:hAnsi="Times New Roman" w:eastAsia="宋体" w:cs="Times New Roman"/>
          <w:b/>
          <w:color w:val="auto"/>
        </w:rPr>
      </w:pPr>
    </w:p>
    <w:p w14:paraId="707A1137">
      <w:pPr>
        <w:spacing w:line="440" w:lineRule="exact"/>
        <w:jc w:val="center"/>
        <w:rPr>
          <w:rFonts w:hint="default" w:ascii="Times New Roman" w:hAnsi="Times New Roman" w:eastAsia="宋体" w:cs="Times New Roman"/>
          <w:b/>
          <w:color w:val="auto"/>
        </w:rPr>
      </w:pPr>
    </w:p>
    <w:p w14:paraId="06D62078">
      <w:pPr>
        <w:spacing w:line="440" w:lineRule="exact"/>
        <w:jc w:val="center"/>
        <w:rPr>
          <w:rFonts w:hint="default" w:ascii="Times New Roman" w:hAnsi="Times New Roman" w:eastAsia="宋体" w:cs="Times New Roman"/>
          <w:b/>
          <w:color w:val="auto"/>
        </w:rPr>
      </w:pPr>
    </w:p>
    <w:p w14:paraId="29CBEFE8">
      <w:pPr>
        <w:spacing w:line="440" w:lineRule="exact"/>
        <w:jc w:val="center"/>
        <w:rPr>
          <w:rFonts w:hint="default" w:ascii="Times New Roman" w:hAnsi="Times New Roman" w:eastAsia="宋体" w:cs="Times New Roman"/>
          <w:b/>
          <w:color w:val="auto"/>
        </w:rPr>
      </w:pPr>
    </w:p>
    <w:p w14:paraId="687CB124">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color w:val="auto"/>
        </w:rPr>
        <w:drawing>
          <wp:anchor distT="0" distB="0" distL="114300" distR="114300" simplePos="0" relativeHeight="251668480" behindDoc="0" locked="0" layoutInCell="1" allowOverlap="1">
            <wp:simplePos x="0" y="0"/>
            <wp:positionH relativeFrom="column">
              <wp:posOffset>2803525</wp:posOffset>
            </wp:positionH>
            <wp:positionV relativeFrom="paragraph">
              <wp:posOffset>43815</wp:posOffset>
            </wp:positionV>
            <wp:extent cx="2360295" cy="1895475"/>
            <wp:effectExtent l="0" t="0" r="1905" b="9525"/>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42" r:link="rId43"/>
                    <a:stretch>
                      <a:fillRect/>
                    </a:stretch>
                  </pic:blipFill>
                  <pic:spPr>
                    <a:xfrm>
                      <a:off x="0" y="0"/>
                      <a:ext cx="2360295" cy="1895475"/>
                    </a:xfrm>
                    <a:prstGeom prst="rect">
                      <a:avLst/>
                    </a:prstGeom>
                    <a:noFill/>
                    <a:ln>
                      <a:noFill/>
                    </a:ln>
                  </pic:spPr>
                </pic:pic>
              </a:graphicData>
            </a:graphic>
          </wp:anchor>
        </w:drawing>
      </w:r>
      <w:r>
        <w:rPr>
          <w:rFonts w:hint="default" w:ascii="Times New Roman" w:hAnsi="Times New Roman" w:eastAsia="宋体" w:cs="Times New Roman"/>
          <w:color w:val="auto"/>
        </w:rPr>
        <w:drawing>
          <wp:anchor distT="0" distB="0" distL="114300" distR="114300" simplePos="0" relativeHeight="251667456" behindDoc="0" locked="0" layoutInCell="1" allowOverlap="1">
            <wp:simplePos x="0" y="0"/>
            <wp:positionH relativeFrom="column">
              <wp:posOffset>407035</wp:posOffset>
            </wp:positionH>
            <wp:positionV relativeFrom="paragraph">
              <wp:posOffset>220980</wp:posOffset>
            </wp:positionV>
            <wp:extent cx="2291080" cy="1667510"/>
            <wp:effectExtent l="0" t="0" r="13970" b="8890"/>
            <wp:wrapNone/>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44" r:link="rId45"/>
                    <a:stretch>
                      <a:fillRect/>
                    </a:stretch>
                  </pic:blipFill>
                  <pic:spPr>
                    <a:xfrm>
                      <a:off x="0" y="0"/>
                      <a:ext cx="2291080" cy="1667510"/>
                    </a:xfrm>
                    <a:prstGeom prst="rect">
                      <a:avLst/>
                    </a:prstGeom>
                    <a:noFill/>
                    <a:ln>
                      <a:noFill/>
                    </a:ln>
                  </pic:spPr>
                </pic:pic>
              </a:graphicData>
            </a:graphic>
          </wp:anchor>
        </w:drawing>
      </w:r>
    </w:p>
    <w:p w14:paraId="13426F65">
      <w:pPr>
        <w:spacing w:line="440" w:lineRule="exact"/>
        <w:jc w:val="center"/>
        <w:rPr>
          <w:rFonts w:hint="default" w:ascii="Times New Roman" w:hAnsi="Times New Roman" w:eastAsia="宋体" w:cs="Times New Roman"/>
          <w:b/>
          <w:color w:val="auto"/>
        </w:rPr>
      </w:pPr>
    </w:p>
    <w:p w14:paraId="0475B712">
      <w:pPr>
        <w:spacing w:line="440" w:lineRule="exact"/>
        <w:jc w:val="center"/>
        <w:rPr>
          <w:rFonts w:hint="default" w:ascii="Times New Roman" w:hAnsi="Times New Roman" w:eastAsia="宋体" w:cs="Times New Roman"/>
          <w:b/>
          <w:color w:val="auto"/>
        </w:rPr>
      </w:pPr>
    </w:p>
    <w:p w14:paraId="663A950D">
      <w:pPr>
        <w:spacing w:line="440" w:lineRule="exact"/>
        <w:jc w:val="center"/>
        <w:rPr>
          <w:rFonts w:hint="default" w:ascii="Times New Roman" w:hAnsi="Times New Roman" w:eastAsia="宋体" w:cs="Times New Roman"/>
          <w:b/>
          <w:color w:val="auto"/>
        </w:rPr>
      </w:pPr>
    </w:p>
    <w:p w14:paraId="1F41A7A2">
      <w:pPr>
        <w:spacing w:line="440" w:lineRule="exact"/>
        <w:jc w:val="center"/>
        <w:rPr>
          <w:rFonts w:hint="default" w:ascii="Times New Roman" w:hAnsi="Times New Roman" w:eastAsia="宋体" w:cs="Times New Roman"/>
          <w:b/>
          <w:color w:val="auto"/>
        </w:rPr>
      </w:pPr>
    </w:p>
    <w:p w14:paraId="6F432758">
      <w:pPr>
        <w:spacing w:line="440" w:lineRule="exact"/>
        <w:jc w:val="center"/>
        <w:rPr>
          <w:rFonts w:hint="default" w:ascii="Times New Roman" w:hAnsi="Times New Roman" w:eastAsia="宋体" w:cs="Times New Roman"/>
          <w:b/>
          <w:color w:val="auto"/>
        </w:rPr>
      </w:pPr>
    </w:p>
    <w:p w14:paraId="1860CBE4">
      <w:pPr>
        <w:spacing w:line="440" w:lineRule="exact"/>
        <w:jc w:val="center"/>
        <w:rPr>
          <w:rFonts w:hint="default" w:ascii="Times New Roman" w:hAnsi="Times New Roman" w:eastAsia="宋体" w:cs="Times New Roman"/>
          <w:b/>
          <w:color w:val="auto"/>
        </w:rPr>
      </w:pPr>
    </w:p>
    <w:p w14:paraId="2786D3BD">
      <w:pPr>
        <w:spacing w:line="440" w:lineRule="exact"/>
        <w:jc w:val="center"/>
        <w:rPr>
          <w:rFonts w:hint="default" w:ascii="Times New Roman" w:hAnsi="Times New Roman" w:eastAsia="宋体" w:cs="Times New Roman"/>
          <w:b/>
          <w:color w:val="auto"/>
        </w:rPr>
      </w:pPr>
    </w:p>
    <w:p w14:paraId="7060007C">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图5.2-2  芒市2013年1、4、7、10月与年各风向下风速玫瑰图</w:t>
      </w:r>
    </w:p>
    <w:p w14:paraId="5109AA49">
      <w:pPr>
        <w:spacing w:line="440" w:lineRule="exact"/>
        <w:ind w:firstLine="361" w:firstLineChars="15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④ 污染系数</w:t>
      </w:r>
    </w:p>
    <w:p w14:paraId="7AEA2792">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污染系数与风频和风速的比成正比，计算公式为：</w:t>
      </w:r>
    </w:p>
    <w:p w14:paraId="557F9306">
      <w:pPr>
        <w:spacing w:line="440" w:lineRule="exact"/>
        <w:ind w:firstLine="2520" w:firstLineChars="105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X</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=16×f</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/u</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+4/3×f</w:t>
      </w:r>
      <w:r>
        <w:rPr>
          <w:rFonts w:hint="default" w:ascii="Times New Roman" w:hAnsi="Times New Roman" w:eastAsia="宋体" w:cs="Times New Roman"/>
          <w:color w:val="auto"/>
          <w:sz w:val="24"/>
          <w:vertAlign w:val="subscript"/>
        </w:rPr>
        <w:t>0</w:t>
      </w:r>
    </w:p>
    <w:p w14:paraId="1EF55A04">
      <w:pPr>
        <w:spacing w:line="44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w:t>
      </w:r>
      <w:r>
        <w:rPr>
          <w:rFonts w:hint="default" w:ascii="Times New Roman" w:hAnsi="Times New Roman" w:eastAsia="宋体" w:cs="Times New Roman"/>
          <w:color w:val="auto"/>
        </w:rPr>
        <w:t>Xi</w:t>
      </w:r>
      <w:r>
        <w:rPr>
          <w:rFonts w:hint="default" w:ascii="Times New Roman" w:hAnsi="Times New Roman" w:eastAsia="宋体" w:cs="Times New Roman"/>
          <w:color w:val="auto"/>
          <w:sz w:val="24"/>
        </w:rPr>
        <w:t>=污染系数，f</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—各风向出现频率，f0为—静风频率，u</w:t>
      </w:r>
      <w:r>
        <w:rPr>
          <w:rFonts w:hint="default" w:ascii="Times New Roman" w:hAnsi="Times New Roman" w:eastAsia="宋体" w:cs="Times New Roman"/>
          <w:color w:val="auto"/>
          <w:sz w:val="24"/>
          <w:vertAlign w:val="subscript"/>
        </w:rPr>
        <w:t>i</w:t>
      </w:r>
      <w:r>
        <w:rPr>
          <w:rFonts w:hint="default" w:ascii="Times New Roman" w:hAnsi="Times New Roman" w:eastAsia="宋体" w:cs="Times New Roman"/>
          <w:color w:val="auto"/>
          <w:sz w:val="24"/>
        </w:rPr>
        <w:t>—为各风向下的平均风速，i=1,2,3,…,16。</w:t>
      </w:r>
    </w:p>
    <w:p w14:paraId="330380B0">
      <w:pPr>
        <w:spacing w:line="440" w:lineRule="exact"/>
        <w:ind w:firstLine="480" w:firstLineChars="200"/>
        <w:rPr>
          <w:rFonts w:hint="default" w:ascii="Times New Roman" w:hAnsi="Times New Roman" w:eastAsia="宋体" w:cs="Times New Roman"/>
          <w:color w:val="auto"/>
          <w:sz w:val="21"/>
        </w:rPr>
      </w:pPr>
      <w:r>
        <w:rPr>
          <w:rFonts w:hint="default" w:ascii="Times New Roman" w:hAnsi="Times New Roman" w:eastAsia="宋体" w:cs="Times New Roman"/>
          <w:color w:val="auto"/>
          <w:sz w:val="24"/>
        </w:rPr>
        <w:t>表5.2-3-6为芒市2013年1、4、7、10月各月及全年各风向下相对污染系数值。可以看出，该区域以南（S）风向下污染系数值最大，为0.132，其次为西南（SW）风向，0.125，其余各方向下的污染系数相对较小，在0.0218~0.104之间。</w:t>
      </w:r>
    </w:p>
    <w:p w14:paraId="35C93469">
      <w:pPr>
        <w:pStyle w:val="1263"/>
        <w:spacing w:before="0" w:beforeLines="0" w:line="440" w:lineRule="exact"/>
        <w:rPr>
          <w:rFonts w:hint="default" w:ascii="Times New Roman" w:hAnsi="Times New Roman" w:eastAsia="宋体" w:cs="Times New Roman"/>
          <w:color w:val="auto"/>
          <w:sz w:val="21"/>
        </w:rPr>
      </w:pPr>
    </w:p>
    <w:p w14:paraId="7BBC2934">
      <w:pPr>
        <w:pStyle w:val="1263"/>
        <w:spacing w:before="0" w:beforeLines="0" w:line="440" w:lineRule="exact"/>
        <w:rPr>
          <w:rFonts w:hint="default" w:ascii="Times New Roman" w:hAnsi="Times New Roman" w:eastAsia="宋体" w:cs="Times New Roman"/>
          <w:color w:val="auto"/>
          <w:sz w:val="21"/>
        </w:rPr>
      </w:pPr>
    </w:p>
    <w:p w14:paraId="55634C5C">
      <w:pPr>
        <w:pStyle w:val="1263"/>
        <w:spacing w:before="0" w:beforeLines="0" w:line="440" w:lineRule="exac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表5.2-6芒市2008年1、4、7、10月及全年相对污染系数（%）</w:t>
      </w:r>
    </w:p>
    <w:tbl>
      <w:tblPr>
        <w:tblStyle w:val="6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7"/>
        <w:gridCol w:w="498"/>
        <w:gridCol w:w="498"/>
        <w:gridCol w:w="497"/>
        <w:gridCol w:w="498"/>
        <w:gridCol w:w="498"/>
        <w:gridCol w:w="498"/>
        <w:gridCol w:w="497"/>
        <w:gridCol w:w="498"/>
        <w:gridCol w:w="498"/>
        <w:gridCol w:w="497"/>
        <w:gridCol w:w="498"/>
        <w:gridCol w:w="498"/>
        <w:gridCol w:w="498"/>
        <w:gridCol w:w="497"/>
        <w:gridCol w:w="498"/>
        <w:gridCol w:w="498"/>
        <w:gridCol w:w="498"/>
      </w:tblGrid>
      <w:tr w14:paraId="3A74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026FA71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月份</w:t>
            </w:r>
          </w:p>
        </w:tc>
        <w:tc>
          <w:tcPr>
            <w:tcW w:w="498" w:type="dxa"/>
            <w:noWrap w:val="0"/>
            <w:vAlign w:val="center"/>
          </w:tcPr>
          <w:p w14:paraId="65A71D9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t>
            </w:r>
          </w:p>
        </w:tc>
        <w:tc>
          <w:tcPr>
            <w:tcW w:w="498" w:type="dxa"/>
            <w:noWrap w:val="0"/>
            <w:vAlign w:val="center"/>
          </w:tcPr>
          <w:p w14:paraId="3045A81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NNE</w:t>
            </w:r>
          </w:p>
        </w:tc>
        <w:tc>
          <w:tcPr>
            <w:tcW w:w="497" w:type="dxa"/>
            <w:noWrap w:val="0"/>
            <w:vAlign w:val="center"/>
          </w:tcPr>
          <w:p w14:paraId="0CEA3DC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NE</w:t>
            </w:r>
          </w:p>
        </w:tc>
        <w:tc>
          <w:tcPr>
            <w:tcW w:w="498" w:type="dxa"/>
            <w:noWrap w:val="0"/>
            <w:vAlign w:val="center"/>
          </w:tcPr>
          <w:p w14:paraId="7BAAC4A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ENE</w:t>
            </w:r>
          </w:p>
        </w:tc>
        <w:tc>
          <w:tcPr>
            <w:tcW w:w="498" w:type="dxa"/>
            <w:noWrap w:val="0"/>
            <w:vAlign w:val="center"/>
          </w:tcPr>
          <w:p w14:paraId="4CF72659">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w:t>
            </w:r>
          </w:p>
        </w:tc>
        <w:tc>
          <w:tcPr>
            <w:tcW w:w="498" w:type="dxa"/>
            <w:noWrap w:val="0"/>
            <w:vAlign w:val="center"/>
          </w:tcPr>
          <w:p w14:paraId="3EFB1C0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ESE</w:t>
            </w:r>
          </w:p>
        </w:tc>
        <w:tc>
          <w:tcPr>
            <w:tcW w:w="497" w:type="dxa"/>
            <w:noWrap w:val="0"/>
            <w:vAlign w:val="center"/>
          </w:tcPr>
          <w:p w14:paraId="1D823C1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SE</w:t>
            </w:r>
          </w:p>
        </w:tc>
        <w:tc>
          <w:tcPr>
            <w:tcW w:w="498" w:type="dxa"/>
            <w:noWrap w:val="0"/>
            <w:vAlign w:val="center"/>
          </w:tcPr>
          <w:p w14:paraId="3F3DD26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SSE</w:t>
            </w:r>
          </w:p>
        </w:tc>
        <w:tc>
          <w:tcPr>
            <w:tcW w:w="498" w:type="dxa"/>
            <w:noWrap w:val="0"/>
            <w:vAlign w:val="center"/>
          </w:tcPr>
          <w:p w14:paraId="48EF74C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w:t>
            </w:r>
          </w:p>
        </w:tc>
        <w:tc>
          <w:tcPr>
            <w:tcW w:w="497" w:type="dxa"/>
            <w:noWrap w:val="0"/>
            <w:vAlign w:val="center"/>
          </w:tcPr>
          <w:p w14:paraId="7CA47FA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w:t>
            </w:r>
          </w:p>
        </w:tc>
        <w:tc>
          <w:tcPr>
            <w:tcW w:w="498" w:type="dxa"/>
            <w:noWrap w:val="0"/>
            <w:vAlign w:val="center"/>
          </w:tcPr>
          <w:p w14:paraId="13D464F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SW</w:t>
            </w:r>
          </w:p>
        </w:tc>
        <w:tc>
          <w:tcPr>
            <w:tcW w:w="498" w:type="dxa"/>
            <w:noWrap w:val="0"/>
            <w:vAlign w:val="center"/>
          </w:tcPr>
          <w:p w14:paraId="461B1C3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WSW</w:t>
            </w:r>
          </w:p>
        </w:tc>
        <w:tc>
          <w:tcPr>
            <w:tcW w:w="498" w:type="dxa"/>
            <w:noWrap w:val="0"/>
            <w:vAlign w:val="center"/>
          </w:tcPr>
          <w:p w14:paraId="6A1C12E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w:t>
            </w:r>
          </w:p>
        </w:tc>
        <w:tc>
          <w:tcPr>
            <w:tcW w:w="497" w:type="dxa"/>
            <w:noWrap w:val="0"/>
            <w:vAlign w:val="center"/>
          </w:tcPr>
          <w:p w14:paraId="4608EEE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WNW</w:t>
            </w:r>
          </w:p>
        </w:tc>
        <w:tc>
          <w:tcPr>
            <w:tcW w:w="498" w:type="dxa"/>
            <w:noWrap w:val="0"/>
            <w:vAlign w:val="center"/>
          </w:tcPr>
          <w:p w14:paraId="70786D6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w:t>
            </w:r>
          </w:p>
        </w:tc>
        <w:tc>
          <w:tcPr>
            <w:tcW w:w="498" w:type="dxa"/>
            <w:noWrap w:val="0"/>
            <w:vAlign w:val="center"/>
          </w:tcPr>
          <w:p w14:paraId="5A64BB2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NNW</w:t>
            </w:r>
          </w:p>
        </w:tc>
        <w:tc>
          <w:tcPr>
            <w:tcW w:w="498" w:type="dxa"/>
            <w:noWrap w:val="0"/>
            <w:vAlign w:val="center"/>
          </w:tcPr>
          <w:p w14:paraId="486C31A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w:t>
            </w:r>
          </w:p>
        </w:tc>
      </w:tr>
      <w:tr w14:paraId="5805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27B5BD3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498" w:type="dxa"/>
            <w:noWrap w:val="0"/>
            <w:vAlign w:val="center"/>
          </w:tcPr>
          <w:p w14:paraId="14AF71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1.84</w:t>
            </w:r>
          </w:p>
        </w:tc>
        <w:tc>
          <w:tcPr>
            <w:tcW w:w="498" w:type="dxa"/>
            <w:noWrap w:val="0"/>
            <w:vAlign w:val="center"/>
          </w:tcPr>
          <w:p w14:paraId="6B68692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6.21</w:t>
            </w:r>
          </w:p>
        </w:tc>
        <w:tc>
          <w:tcPr>
            <w:tcW w:w="497" w:type="dxa"/>
            <w:noWrap w:val="0"/>
            <w:vAlign w:val="center"/>
          </w:tcPr>
          <w:p w14:paraId="31BA18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3.08</w:t>
            </w:r>
          </w:p>
        </w:tc>
        <w:tc>
          <w:tcPr>
            <w:tcW w:w="498" w:type="dxa"/>
            <w:noWrap w:val="0"/>
            <w:vAlign w:val="center"/>
          </w:tcPr>
          <w:p w14:paraId="67A206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6.71</w:t>
            </w:r>
          </w:p>
        </w:tc>
        <w:tc>
          <w:tcPr>
            <w:tcW w:w="498" w:type="dxa"/>
            <w:noWrap w:val="0"/>
            <w:vAlign w:val="center"/>
          </w:tcPr>
          <w:p w14:paraId="6F8A69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6.75</w:t>
            </w:r>
          </w:p>
        </w:tc>
        <w:tc>
          <w:tcPr>
            <w:tcW w:w="498" w:type="dxa"/>
            <w:noWrap w:val="0"/>
            <w:vAlign w:val="center"/>
          </w:tcPr>
          <w:p w14:paraId="6FB8E8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4.70</w:t>
            </w:r>
          </w:p>
        </w:tc>
        <w:tc>
          <w:tcPr>
            <w:tcW w:w="497" w:type="dxa"/>
            <w:noWrap w:val="0"/>
            <w:vAlign w:val="center"/>
          </w:tcPr>
          <w:p w14:paraId="020601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3.54</w:t>
            </w:r>
          </w:p>
        </w:tc>
        <w:tc>
          <w:tcPr>
            <w:tcW w:w="498" w:type="dxa"/>
            <w:noWrap w:val="0"/>
            <w:vAlign w:val="center"/>
          </w:tcPr>
          <w:p w14:paraId="2CBB93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w:t>
            </w:r>
          </w:p>
        </w:tc>
        <w:tc>
          <w:tcPr>
            <w:tcW w:w="498" w:type="dxa"/>
            <w:noWrap w:val="0"/>
            <w:vAlign w:val="center"/>
          </w:tcPr>
          <w:p w14:paraId="5707B7F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497" w:type="dxa"/>
            <w:noWrap w:val="0"/>
            <w:vAlign w:val="center"/>
          </w:tcPr>
          <w:p w14:paraId="357430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7.93</w:t>
            </w:r>
          </w:p>
        </w:tc>
        <w:tc>
          <w:tcPr>
            <w:tcW w:w="498" w:type="dxa"/>
            <w:noWrap w:val="0"/>
            <w:vAlign w:val="center"/>
          </w:tcPr>
          <w:p w14:paraId="6AE1C2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13.5</w:t>
            </w:r>
          </w:p>
        </w:tc>
        <w:tc>
          <w:tcPr>
            <w:tcW w:w="498" w:type="dxa"/>
            <w:noWrap w:val="0"/>
            <w:vAlign w:val="center"/>
          </w:tcPr>
          <w:p w14:paraId="6AF5B6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w:t>
            </w:r>
          </w:p>
        </w:tc>
        <w:tc>
          <w:tcPr>
            <w:tcW w:w="498" w:type="dxa"/>
            <w:noWrap w:val="0"/>
            <w:vAlign w:val="center"/>
          </w:tcPr>
          <w:p w14:paraId="18BAA6A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12.3</w:t>
            </w:r>
          </w:p>
        </w:tc>
        <w:tc>
          <w:tcPr>
            <w:tcW w:w="497" w:type="dxa"/>
            <w:noWrap w:val="0"/>
            <w:vAlign w:val="center"/>
          </w:tcPr>
          <w:p w14:paraId="2F6E49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2.65</w:t>
            </w:r>
          </w:p>
        </w:tc>
        <w:tc>
          <w:tcPr>
            <w:tcW w:w="498" w:type="dxa"/>
            <w:noWrap w:val="0"/>
            <w:vAlign w:val="center"/>
          </w:tcPr>
          <w:p w14:paraId="7768E2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2.65</w:t>
            </w:r>
          </w:p>
        </w:tc>
        <w:tc>
          <w:tcPr>
            <w:tcW w:w="498" w:type="dxa"/>
            <w:noWrap w:val="0"/>
            <w:vAlign w:val="center"/>
          </w:tcPr>
          <w:p w14:paraId="06E97E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1.77</w:t>
            </w:r>
          </w:p>
        </w:tc>
        <w:tc>
          <w:tcPr>
            <w:tcW w:w="498" w:type="dxa"/>
            <w:noWrap w:val="0"/>
            <w:vAlign w:val="center"/>
          </w:tcPr>
          <w:p w14:paraId="7820DE3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6.25</w:t>
            </w:r>
          </w:p>
        </w:tc>
      </w:tr>
      <w:tr w14:paraId="333E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671F719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498" w:type="dxa"/>
            <w:noWrap w:val="0"/>
            <w:vAlign w:val="center"/>
          </w:tcPr>
          <w:p w14:paraId="6C8DAB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0.73</w:t>
            </w:r>
          </w:p>
        </w:tc>
        <w:tc>
          <w:tcPr>
            <w:tcW w:w="498" w:type="dxa"/>
            <w:noWrap w:val="0"/>
            <w:vAlign w:val="center"/>
          </w:tcPr>
          <w:p w14:paraId="3FD1E7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1.93</w:t>
            </w:r>
          </w:p>
        </w:tc>
        <w:tc>
          <w:tcPr>
            <w:tcW w:w="497" w:type="dxa"/>
            <w:noWrap w:val="0"/>
            <w:vAlign w:val="center"/>
          </w:tcPr>
          <w:p w14:paraId="3E817A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1.31</w:t>
            </w:r>
          </w:p>
        </w:tc>
        <w:tc>
          <w:tcPr>
            <w:tcW w:w="498" w:type="dxa"/>
            <w:noWrap w:val="0"/>
            <w:vAlign w:val="center"/>
          </w:tcPr>
          <w:p w14:paraId="45DC93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498" w:type="dxa"/>
            <w:noWrap w:val="0"/>
            <w:vAlign w:val="center"/>
          </w:tcPr>
          <w:p w14:paraId="4EC442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3.05</w:t>
            </w:r>
          </w:p>
        </w:tc>
        <w:tc>
          <w:tcPr>
            <w:tcW w:w="498" w:type="dxa"/>
            <w:noWrap w:val="0"/>
            <w:vAlign w:val="center"/>
          </w:tcPr>
          <w:p w14:paraId="5E370C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497" w:type="dxa"/>
            <w:noWrap w:val="0"/>
            <w:vAlign w:val="center"/>
          </w:tcPr>
          <w:p w14:paraId="1728D8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5.95</w:t>
            </w:r>
          </w:p>
        </w:tc>
        <w:tc>
          <w:tcPr>
            <w:tcW w:w="498" w:type="dxa"/>
            <w:noWrap w:val="0"/>
            <w:vAlign w:val="center"/>
          </w:tcPr>
          <w:p w14:paraId="2F6234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7.59</w:t>
            </w:r>
          </w:p>
        </w:tc>
        <w:tc>
          <w:tcPr>
            <w:tcW w:w="498" w:type="dxa"/>
            <w:noWrap w:val="0"/>
            <w:vAlign w:val="center"/>
          </w:tcPr>
          <w:p w14:paraId="71C30C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21.6</w:t>
            </w:r>
          </w:p>
        </w:tc>
        <w:tc>
          <w:tcPr>
            <w:tcW w:w="497" w:type="dxa"/>
            <w:noWrap w:val="0"/>
            <w:vAlign w:val="center"/>
          </w:tcPr>
          <w:p w14:paraId="5A9244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10.3</w:t>
            </w:r>
          </w:p>
        </w:tc>
        <w:tc>
          <w:tcPr>
            <w:tcW w:w="498" w:type="dxa"/>
            <w:noWrap w:val="0"/>
            <w:vAlign w:val="center"/>
          </w:tcPr>
          <w:p w14:paraId="24E2297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11.6</w:t>
            </w:r>
          </w:p>
        </w:tc>
        <w:tc>
          <w:tcPr>
            <w:tcW w:w="498" w:type="dxa"/>
            <w:noWrap w:val="0"/>
            <w:vAlign w:val="center"/>
          </w:tcPr>
          <w:p w14:paraId="609EBE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13.3</w:t>
            </w:r>
          </w:p>
        </w:tc>
        <w:tc>
          <w:tcPr>
            <w:tcW w:w="498" w:type="dxa"/>
            <w:noWrap w:val="0"/>
            <w:vAlign w:val="center"/>
          </w:tcPr>
          <w:p w14:paraId="66B7B8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3.23</w:t>
            </w:r>
          </w:p>
        </w:tc>
        <w:tc>
          <w:tcPr>
            <w:tcW w:w="497" w:type="dxa"/>
            <w:noWrap w:val="0"/>
            <w:vAlign w:val="center"/>
          </w:tcPr>
          <w:p w14:paraId="39CC58C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5.40</w:t>
            </w:r>
          </w:p>
        </w:tc>
        <w:tc>
          <w:tcPr>
            <w:tcW w:w="498" w:type="dxa"/>
            <w:noWrap w:val="0"/>
            <w:vAlign w:val="center"/>
          </w:tcPr>
          <w:p w14:paraId="4CD26F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6.95</w:t>
            </w:r>
          </w:p>
        </w:tc>
        <w:tc>
          <w:tcPr>
            <w:tcW w:w="498" w:type="dxa"/>
            <w:noWrap w:val="0"/>
            <w:vAlign w:val="center"/>
          </w:tcPr>
          <w:p w14:paraId="737018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2.89</w:t>
            </w:r>
          </w:p>
        </w:tc>
        <w:tc>
          <w:tcPr>
            <w:tcW w:w="498" w:type="dxa"/>
            <w:noWrap w:val="0"/>
            <w:vAlign w:val="center"/>
          </w:tcPr>
          <w:p w14:paraId="28A335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6.25</w:t>
            </w:r>
          </w:p>
        </w:tc>
      </w:tr>
      <w:tr w14:paraId="5BC9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5775FA6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w:t>
            </w:r>
          </w:p>
        </w:tc>
        <w:tc>
          <w:tcPr>
            <w:tcW w:w="498" w:type="dxa"/>
            <w:noWrap w:val="0"/>
            <w:vAlign w:val="center"/>
          </w:tcPr>
          <w:p w14:paraId="35A88A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3.59</w:t>
            </w:r>
          </w:p>
        </w:tc>
        <w:tc>
          <w:tcPr>
            <w:tcW w:w="498" w:type="dxa"/>
            <w:noWrap w:val="0"/>
            <w:vAlign w:val="center"/>
          </w:tcPr>
          <w:p w14:paraId="16E3A9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4.78</w:t>
            </w:r>
          </w:p>
        </w:tc>
        <w:tc>
          <w:tcPr>
            <w:tcW w:w="497" w:type="dxa"/>
            <w:noWrap w:val="0"/>
            <w:vAlign w:val="center"/>
          </w:tcPr>
          <w:p w14:paraId="06208E0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w:t>
            </w:r>
          </w:p>
        </w:tc>
        <w:tc>
          <w:tcPr>
            <w:tcW w:w="498" w:type="dxa"/>
            <w:noWrap w:val="0"/>
            <w:vAlign w:val="center"/>
          </w:tcPr>
          <w:p w14:paraId="088D4C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3.89</w:t>
            </w:r>
          </w:p>
        </w:tc>
        <w:tc>
          <w:tcPr>
            <w:tcW w:w="498" w:type="dxa"/>
            <w:noWrap w:val="0"/>
            <w:vAlign w:val="center"/>
          </w:tcPr>
          <w:p w14:paraId="41AB18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2.60</w:t>
            </w:r>
          </w:p>
        </w:tc>
        <w:tc>
          <w:tcPr>
            <w:tcW w:w="498" w:type="dxa"/>
            <w:noWrap w:val="0"/>
            <w:vAlign w:val="center"/>
          </w:tcPr>
          <w:p w14:paraId="224D16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5.62</w:t>
            </w:r>
          </w:p>
        </w:tc>
        <w:tc>
          <w:tcPr>
            <w:tcW w:w="497" w:type="dxa"/>
            <w:noWrap w:val="0"/>
            <w:vAlign w:val="center"/>
          </w:tcPr>
          <w:p w14:paraId="754269D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0.87</w:t>
            </w:r>
          </w:p>
        </w:tc>
        <w:tc>
          <w:tcPr>
            <w:tcW w:w="498" w:type="dxa"/>
            <w:noWrap w:val="0"/>
            <w:vAlign w:val="center"/>
          </w:tcPr>
          <w:p w14:paraId="27EE6D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7.46</w:t>
            </w:r>
          </w:p>
        </w:tc>
        <w:tc>
          <w:tcPr>
            <w:tcW w:w="498" w:type="dxa"/>
            <w:noWrap w:val="0"/>
            <w:vAlign w:val="center"/>
          </w:tcPr>
          <w:p w14:paraId="4D6567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9.14</w:t>
            </w:r>
          </w:p>
        </w:tc>
        <w:tc>
          <w:tcPr>
            <w:tcW w:w="497" w:type="dxa"/>
            <w:noWrap w:val="0"/>
            <w:vAlign w:val="center"/>
          </w:tcPr>
          <w:p w14:paraId="284553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2.46</w:t>
            </w:r>
          </w:p>
        </w:tc>
        <w:tc>
          <w:tcPr>
            <w:tcW w:w="498" w:type="dxa"/>
            <w:noWrap w:val="0"/>
            <w:vAlign w:val="center"/>
          </w:tcPr>
          <w:p w14:paraId="3A7B33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9.19</w:t>
            </w:r>
          </w:p>
        </w:tc>
        <w:tc>
          <w:tcPr>
            <w:tcW w:w="498" w:type="dxa"/>
            <w:noWrap w:val="0"/>
            <w:vAlign w:val="center"/>
          </w:tcPr>
          <w:p w14:paraId="170296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w:t>
            </w:r>
          </w:p>
        </w:tc>
        <w:tc>
          <w:tcPr>
            <w:tcW w:w="498" w:type="dxa"/>
            <w:noWrap w:val="0"/>
            <w:vAlign w:val="center"/>
          </w:tcPr>
          <w:p w14:paraId="679B25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11.5</w:t>
            </w:r>
          </w:p>
        </w:tc>
        <w:tc>
          <w:tcPr>
            <w:tcW w:w="497" w:type="dxa"/>
            <w:noWrap w:val="0"/>
            <w:vAlign w:val="center"/>
          </w:tcPr>
          <w:p w14:paraId="02A312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7.40</w:t>
            </w:r>
          </w:p>
        </w:tc>
        <w:tc>
          <w:tcPr>
            <w:tcW w:w="498" w:type="dxa"/>
            <w:noWrap w:val="0"/>
            <w:vAlign w:val="center"/>
          </w:tcPr>
          <w:p w14:paraId="29D5BA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3.68</w:t>
            </w:r>
          </w:p>
        </w:tc>
        <w:tc>
          <w:tcPr>
            <w:tcW w:w="498" w:type="dxa"/>
            <w:noWrap w:val="0"/>
            <w:vAlign w:val="center"/>
          </w:tcPr>
          <w:p w14:paraId="0DEEDD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6.03</w:t>
            </w:r>
          </w:p>
        </w:tc>
        <w:tc>
          <w:tcPr>
            <w:tcW w:w="498" w:type="dxa"/>
            <w:noWrap w:val="0"/>
            <w:vAlign w:val="center"/>
          </w:tcPr>
          <w:p w14:paraId="0C4C2C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6.25</w:t>
            </w:r>
          </w:p>
        </w:tc>
      </w:tr>
      <w:tr w14:paraId="58CD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67B66EF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498" w:type="dxa"/>
            <w:noWrap w:val="0"/>
            <w:vAlign w:val="center"/>
          </w:tcPr>
          <w:p w14:paraId="0F9928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w:t>
            </w:r>
          </w:p>
        </w:tc>
        <w:tc>
          <w:tcPr>
            <w:tcW w:w="498" w:type="dxa"/>
            <w:noWrap w:val="0"/>
            <w:vAlign w:val="center"/>
          </w:tcPr>
          <w:p w14:paraId="0BC818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3.87</w:t>
            </w:r>
          </w:p>
        </w:tc>
        <w:tc>
          <w:tcPr>
            <w:tcW w:w="497" w:type="dxa"/>
            <w:noWrap w:val="0"/>
            <w:vAlign w:val="center"/>
          </w:tcPr>
          <w:p w14:paraId="1D95C0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5.41</w:t>
            </w:r>
          </w:p>
        </w:tc>
        <w:tc>
          <w:tcPr>
            <w:tcW w:w="498" w:type="dxa"/>
            <w:noWrap w:val="0"/>
            <w:vAlign w:val="center"/>
          </w:tcPr>
          <w:p w14:paraId="2B1FCE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2.75</w:t>
            </w:r>
          </w:p>
        </w:tc>
        <w:tc>
          <w:tcPr>
            <w:tcW w:w="498" w:type="dxa"/>
            <w:noWrap w:val="0"/>
            <w:vAlign w:val="center"/>
          </w:tcPr>
          <w:p w14:paraId="58CFB6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4.63</w:t>
            </w:r>
          </w:p>
        </w:tc>
        <w:tc>
          <w:tcPr>
            <w:tcW w:w="498" w:type="dxa"/>
            <w:noWrap w:val="0"/>
            <w:vAlign w:val="center"/>
          </w:tcPr>
          <w:p w14:paraId="570435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7.33</w:t>
            </w:r>
          </w:p>
        </w:tc>
        <w:tc>
          <w:tcPr>
            <w:tcW w:w="497" w:type="dxa"/>
            <w:noWrap w:val="0"/>
            <w:vAlign w:val="center"/>
          </w:tcPr>
          <w:p w14:paraId="34540C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3.67</w:t>
            </w:r>
          </w:p>
        </w:tc>
        <w:tc>
          <w:tcPr>
            <w:tcW w:w="498" w:type="dxa"/>
            <w:noWrap w:val="0"/>
            <w:vAlign w:val="center"/>
          </w:tcPr>
          <w:p w14:paraId="3EAE9A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4.08</w:t>
            </w:r>
          </w:p>
        </w:tc>
        <w:tc>
          <w:tcPr>
            <w:tcW w:w="498" w:type="dxa"/>
            <w:noWrap w:val="0"/>
            <w:vAlign w:val="center"/>
          </w:tcPr>
          <w:p w14:paraId="2E8536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w:t>
            </w:r>
          </w:p>
        </w:tc>
        <w:tc>
          <w:tcPr>
            <w:tcW w:w="497" w:type="dxa"/>
            <w:noWrap w:val="0"/>
            <w:vAlign w:val="center"/>
          </w:tcPr>
          <w:p w14:paraId="088251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8.22</w:t>
            </w:r>
          </w:p>
        </w:tc>
        <w:tc>
          <w:tcPr>
            <w:tcW w:w="498" w:type="dxa"/>
            <w:noWrap w:val="0"/>
            <w:vAlign w:val="center"/>
          </w:tcPr>
          <w:p w14:paraId="6363B1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14.6</w:t>
            </w:r>
          </w:p>
        </w:tc>
        <w:tc>
          <w:tcPr>
            <w:tcW w:w="498" w:type="dxa"/>
            <w:noWrap w:val="0"/>
            <w:vAlign w:val="center"/>
          </w:tcPr>
          <w:p w14:paraId="11F9B6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13.4</w:t>
            </w:r>
          </w:p>
        </w:tc>
        <w:tc>
          <w:tcPr>
            <w:tcW w:w="498" w:type="dxa"/>
            <w:noWrap w:val="0"/>
            <w:vAlign w:val="center"/>
          </w:tcPr>
          <w:p w14:paraId="51A3D3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11.7</w:t>
            </w:r>
          </w:p>
        </w:tc>
        <w:tc>
          <w:tcPr>
            <w:tcW w:w="497" w:type="dxa"/>
            <w:noWrap w:val="0"/>
            <w:vAlign w:val="center"/>
          </w:tcPr>
          <w:p w14:paraId="5F660B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4.41</w:t>
            </w:r>
          </w:p>
        </w:tc>
        <w:tc>
          <w:tcPr>
            <w:tcW w:w="498" w:type="dxa"/>
            <w:noWrap w:val="0"/>
            <w:vAlign w:val="center"/>
          </w:tcPr>
          <w:p w14:paraId="6F3AF8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w:t>
            </w:r>
          </w:p>
        </w:tc>
        <w:tc>
          <w:tcPr>
            <w:tcW w:w="498" w:type="dxa"/>
            <w:noWrap w:val="0"/>
            <w:vAlign w:val="center"/>
          </w:tcPr>
          <w:p w14:paraId="3FFB10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w:t>
            </w:r>
          </w:p>
        </w:tc>
        <w:tc>
          <w:tcPr>
            <w:tcW w:w="498" w:type="dxa"/>
            <w:noWrap w:val="0"/>
            <w:vAlign w:val="center"/>
          </w:tcPr>
          <w:p w14:paraId="1CAF7AB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6.25</w:t>
            </w:r>
          </w:p>
        </w:tc>
      </w:tr>
      <w:tr w14:paraId="19B0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97" w:type="dxa"/>
            <w:noWrap w:val="0"/>
            <w:vAlign w:val="center"/>
          </w:tcPr>
          <w:p w14:paraId="42C9958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w:t>
            </w:r>
          </w:p>
        </w:tc>
        <w:tc>
          <w:tcPr>
            <w:tcW w:w="498" w:type="dxa"/>
            <w:noWrap w:val="0"/>
            <w:vAlign w:val="center"/>
          </w:tcPr>
          <w:p w14:paraId="22DBE03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2.18</w:t>
            </w:r>
          </w:p>
        </w:tc>
        <w:tc>
          <w:tcPr>
            <w:tcW w:w="498" w:type="dxa"/>
            <w:noWrap w:val="0"/>
            <w:vAlign w:val="center"/>
          </w:tcPr>
          <w:p w14:paraId="62E79A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4.61</w:t>
            </w:r>
          </w:p>
        </w:tc>
        <w:tc>
          <w:tcPr>
            <w:tcW w:w="497" w:type="dxa"/>
            <w:noWrap w:val="0"/>
            <w:vAlign w:val="center"/>
          </w:tcPr>
          <w:p w14:paraId="2153C92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5.51</w:t>
            </w:r>
          </w:p>
        </w:tc>
        <w:tc>
          <w:tcPr>
            <w:tcW w:w="498" w:type="dxa"/>
            <w:noWrap w:val="0"/>
            <w:vAlign w:val="center"/>
          </w:tcPr>
          <w:p w14:paraId="344FB5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3.96</w:t>
            </w:r>
          </w:p>
        </w:tc>
        <w:tc>
          <w:tcPr>
            <w:tcW w:w="498" w:type="dxa"/>
            <w:noWrap w:val="0"/>
            <w:vAlign w:val="center"/>
          </w:tcPr>
          <w:p w14:paraId="74B6EC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4.27</w:t>
            </w:r>
          </w:p>
        </w:tc>
        <w:tc>
          <w:tcPr>
            <w:tcW w:w="498" w:type="dxa"/>
            <w:noWrap w:val="0"/>
            <w:vAlign w:val="center"/>
          </w:tcPr>
          <w:p w14:paraId="01DF2C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4.71</w:t>
            </w:r>
          </w:p>
        </w:tc>
        <w:tc>
          <w:tcPr>
            <w:tcW w:w="497" w:type="dxa"/>
            <w:noWrap w:val="0"/>
            <w:vAlign w:val="center"/>
          </w:tcPr>
          <w:p w14:paraId="2269B6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2.79</w:t>
            </w:r>
          </w:p>
        </w:tc>
        <w:tc>
          <w:tcPr>
            <w:tcW w:w="498" w:type="dxa"/>
            <w:noWrap w:val="0"/>
            <w:vAlign w:val="center"/>
          </w:tcPr>
          <w:p w14:paraId="4A62838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5.11</w:t>
            </w:r>
          </w:p>
        </w:tc>
        <w:tc>
          <w:tcPr>
            <w:tcW w:w="498" w:type="dxa"/>
            <w:noWrap w:val="0"/>
            <w:vAlign w:val="center"/>
          </w:tcPr>
          <w:p w14:paraId="12F195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w:t>
            </w:r>
          </w:p>
        </w:tc>
        <w:tc>
          <w:tcPr>
            <w:tcW w:w="497" w:type="dxa"/>
            <w:noWrap w:val="0"/>
            <w:vAlign w:val="center"/>
          </w:tcPr>
          <w:p w14:paraId="214D52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7.70</w:t>
            </w:r>
          </w:p>
        </w:tc>
        <w:tc>
          <w:tcPr>
            <w:tcW w:w="498" w:type="dxa"/>
            <w:noWrap w:val="0"/>
            <w:vAlign w:val="center"/>
          </w:tcPr>
          <w:p w14:paraId="75A94A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12.5</w:t>
            </w:r>
          </w:p>
        </w:tc>
        <w:tc>
          <w:tcPr>
            <w:tcW w:w="498" w:type="dxa"/>
            <w:noWrap w:val="0"/>
            <w:vAlign w:val="center"/>
          </w:tcPr>
          <w:p w14:paraId="3C5046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12.4</w:t>
            </w:r>
          </w:p>
        </w:tc>
        <w:tc>
          <w:tcPr>
            <w:tcW w:w="498" w:type="dxa"/>
            <w:noWrap w:val="0"/>
            <w:vAlign w:val="center"/>
          </w:tcPr>
          <w:p w14:paraId="640CDD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w:t>
            </w:r>
          </w:p>
        </w:tc>
        <w:tc>
          <w:tcPr>
            <w:tcW w:w="497" w:type="dxa"/>
            <w:noWrap w:val="0"/>
            <w:vAlign w:val="center"/>
          </w:tcPr>
          <w:p w14:paraId="29441F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4.89</w:t>
            </w:r>
          </w:p>
        </w:tc>
        <w:tc>
          <w:tcPr>
            <w:tcW w:w="498" w:type="dxa"/>
            <w:noWrap w:val="0"/>
            <w:vAlign w:val="center"/>
          </w:tcPr>
          <w:p w14:paraId="6D6203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2.72</w:t>
            </w:r>
          </w:p>
        </w:tc>
        <w:tc>
          <w:tcPr>
            <w:tcW w:w="498" w:type="dxa"/>
            <w:noWrap w:val="0"/>
            <w:vAlign w:val="center"/>
          </w:tcPr>
          <w:p w14:paraId="506FDB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2.88</w:t>
            </w:r>
          </w:p>
        </w:tc>
        <w:tc>
          <w:tcPr>
            <w:tcW w:w="498" w:type="dxa"/>
            <w:noWrap w:val="0"/>
            <w:vAlign w:val="center"/>
          </w:tcPr>
          <w:p w14:paraId="7C65C8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6.25</w:t>
            </w:r>
          </w:p>
        </w:tc>
      </w:tr>
    </w:tbl>
    <w:p w14:paraId="7C22EB18">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color w:val="auto"/>
        </w:rPr>
        <w:drawing>
          <wp:anchor distT="0" distB="0" distL="114300" distR="114300" simplePos="0" relativeHeight="251669504" behindDoc="0" locked="0" layoutInCell="1" allowOverlap="1">
            <wp:simplePos x="0" y="0"/>
            <wp:positionH relativeFrom="column">
              <wp:posOffset>-55245</wp:posOffset>
            </wp:positionH>
            <wp:positionV relativeFrom="paragraph">
              <wp:posOffset>46990</wp:posOffset>
            </wp:positionV>
            <wp:extent cx="2569845" cy="2085975"/>
            <wp:effectExtent l="0" t="0" r="1905" b="9525"/>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6" r:link="rId47"/>
                    <a:stretch>
                      <a:fillRect/>
                    </a:stretch>
                  </pic:blipFill>
                  <pic:spPr>
                    <a:xfrm>
                      <a:off x="0" y="0"/>
                      <a:ext cx="2569845" cy="2085975"/>
                    </a:xfrm>
                    <a:prstGeom prst="rect">
                      <a:avLst/>
                    </a:prstGeom>
                    <a:noFill/>
                    <a:ln>
                      <a:noFill/>
                    </a:ln>
                  </pic:spPr>
                </pic:pic>
              </a:graphicData>
            </a:graphic>
          </wp:anchor>
        </w:drawing>
      </w:r>
      <w:r>
        <w:rPr>
          <w:rFonts w:hint="default" w:ascii="Times New Roman" w:hAnsi="Times New Roman" w:eastAsia="宋体" w:cs="Times New Roman"/>
          <w:color w:val="auto"/>
        </w:rPr>
        <w:drawing>
          <wp:anchor distT="0" distB="0" distL="114300" distR="114300" simplePos="0" relativeHeight="251670528" behindDoc="0" locked="0" layoutInCell="1" allowOverlap="1">
            <wp:simplePos x="0" y="0"/>
            <wp:positionH relativeFrom="column">
              <wp:posOffset>2514600</wp:posOffset>
            </wp:positionH>
            <wp:positionV relativeFrom="paragraph">
              <wp:posOffset>0</wp:posOffset>
            </wp:positionV>
            <wp:extent cx="2857500" cy="2040890"/>
            <wp:effectExtent l="0" t="0" r="0" b="16510"/>
            <wp:wrapNone/>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8" r:link="rId49"/>
                    <a:stretch>
                      <a:fillRect/>
                    </a:stretch>
                  </pic:blipFill>
                  <pic:spPr>
                    <a:xfrm>
                      <a:off x="0" y="0"/>
                      <a:ext cx="2857500" cy="2040890"/>
                    </a:xfrm>
                    <a:prstGeom prst="rect">
                      <a:avLst/>
                    </a:prstGeom>
                    <a:noFill/>
                    <a:ln>
                      <a:noFill/>
                    </a:ln>
                  </pic:spPr>
                </pic:pic>
              </a:graphicData>
            </a:graphic>
          </wp:anchor>
        </w:drawing>
      </w:r>
    </w:p>
    <w:p w14:paraId="3ED91B07">
      <w:pPr>
        <w:spacing w:line="440" w:lineRule="exact"/>
        <w:jc w:val="center"/>
        <w:rPr>
          <w:rFonts w:hint="default" w:ascii="Times New Roman" w:hAnsi="Times New Roman" w:eastAsia="宋体" w:cs="Times New Roman"/>
          <w:b/>
          <w:color w:val="auto"/>
        </w:rPr>
      </w:pPr>
    </w:p>
    <w:p w14:paraId="1DEDDB25">
      <w:pPr>
        <w:spacing w:line="440" w:lineRule="exact"/>
        <w:jc w:val="center"/>
        <w:rPr>
          <w:rFonts w:hint="default" w:ascii="Times New Roman" w:hAnsi="Times New Roman" w:eastAsia="宋体" w:cs="Times New Roman"/>
          <w:b/>
          <w:color w:val="auto"/>
        </w:rPr>
      </w:pPr>
    </w:p>
    <w:p w14:paraId="6EAC3B3E">
      <w:pPr>
        <w:spacing w:line="440" w:lineRule="exact"/>
        <w:jc w:val="center"/>
        <w:rPr>
          <w:rFonts w:hint="default" w:ascii="Times New Roman" w:hAnsi="Times New Roman" w:eastAsia="宋体" w:cs="Times New Roman"/>
          <w:b/>
          <w:color w:val="auto"/>
        </w:rPr>
      </w:pPr>
    </w:p>
    <w:p w14:paraId="255C379E">
      <w:pPr>
        <w:spacing w:line="440" w:lineRule="exact"/>
        <w:jc w:val="center"/>
        <w:rPr>
          <w:rFonts w:hint="default" w:ascii="Times New Roman" w:hAnsi="Times New Roman" w:eastAsia="宋体" w:cs="Times New Roman"/>
          <w:b/>
          <w:color w:val="auto"/>
        </w:rPr>
      </w:pPr>
    </w:p>
    <w:p w14:paraId="585501E3">
      <w:pPr>
        <w:spacing w:line="440" w:lineRule="exact"/>
        <w:jc w:val="center"/>
        <w:rPr>
          <w:rFonts w:hint="default" w:ascii="Times New Roman" w:hAnsi="Times New Roman" w:eastAsia="宋体" w:cs="Times New Roman"/>
          <w:b/>
          <w:color w:val="auto"/>
        </w:rPr>
      </w:pPr>
    </w:p>
    <w:p w14:paraId="2456381E">
      <w:pPr>
        <w:spacing w:line="440" w:lineRule="exact"/>
        <w:jc w:val="center"/>
        <w:rPr>
          <w:rFonts w:hint="default" w:ascii="Times New Roman" w:hAnsi="Times New Roman" w:eastAsia="宋体" w:cs="Times New Roman"/>
          <w:b/>
          <w:color w:val="auto"/>
        </w:rPr>
      </w:pPr>
    </w:p>
    <w:p w14:paraId="202FF880">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color w:val="auto"/>
        </w:rPr>
        <w:drawing>
          <wp:anchor distT="0" distB="0" distL="114300" distR="114300" simplePos="0" relativeHeight="251672576" behindDoc="0" locked="0" layoutInCell="1" allowOverlap="1">
            <wp:simplePos x="0" y="0"/>
            <wp:positionH relativeFrom="column">
              <wp:posOffset>2514600</wp:posOffset>
            </wp:positionH>
            <wp:positionV relativeFrom="paragraph">
              <wp:posOffset>85090</wp:posOffset>
            </wp:positionV>
            <wp:extent cx="2907030" cy="2116455"/>
            <wp:effectExtent l="0" t="0" r="7620" b="17145"/>
            <wp:wrapNone/>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50" r:link="rId51"/>
                    <a:stretch>
                      <a:fillRect/>
                    </a:stretch>
                  </pic:blipFill>
                  <pic:spPr>
                    <a:xfrm>
                      <a:off x="0" y="0"/>
                      <a:ext cx="2907030" cy="2116455"/>
                    </a:xfrm>
                    <a:prstGeom prst="rect">
                      <a:avLst/>
                    </a:prstGeom>
                    <a:noFill/>
                    <a:ln>
                      <a:noFill/>
                    </a:ln>
                  </pic:spPr>
                </pic:pic>
              </a:graphicData>
            </a:graphic>
          </wp:anchor>
        </w:drawing>
      </w:r>
      <w:r>
        <w:rPr>
          <w:rFonts w:hint="default" w:ascii="Times New Roman" w:hAnsi="Times New Roman" w:eastAsia="宋体" w:cs="Times New Roman"/>
          <w:color w:val="auto"/>
        </w:rPr>
        <w:drawing>
          <wp:anchor distT="0" distB="0" distL="114300" distR="114300" simplePos="0" relativeHeight="251671552" behindDoc="0" locked="0" layoutInCell="1" allowOverlap="1">
            <wp:simplePos x="0" y="0"/>
            <wp:positionH relativeFrom="column">
              <wp:posOffset>-55245</wp:posOffset>
            </wp:positionH>
            <wp:positionV relativeFrom="paragraph">
              <wp:posOffset>132080</wp:posOffset>
            </wp:positionV>
            <wp:extent cx="2569845" cy="2033270"/>
            <wp:effectExtent l="0" t="0" r="1905" b="5080"/>
            <wp:wrapNone/>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52" r:link="rId53"/>
                    <a:stretch>
                      <a:fillRect/>
                    </a:stretch>
                  </pic:blipFill>
                  <pic:spPr>
                    <a:xfrm>
                      <a:off x="0" y="0"/>
                      <a:ext cx="2569845" cy="2033270"/>
                    </a:xfrm>
                    <a:prstGeom prst="rect">
                      <a:avLst/>
                    </a:prstGeom>
                    <a:noFill/>
                    <a:ln>
                      <a:noFill/>
                    </a:ln>
                  </pic:spPr>
                </pic:pic>
              </a:graphicData>
            </a:graphic>
          </wp:anchor>
        </w:drawing>
      </w:r>
    </w:p>
    <w:p w14:paraId="6F8CDDB7">
      <w:pPr>
        <w:spacing w:line="440" w:lineRule="exact"/>
        <w:jc w:val="center"/>
        <w:rPr>
          <w:rFonts w:hint="default" w:ascii="Times New Roman" w:hAnsi="Times New Roman" w:eastAsia="宋体" w:cs="Times New Roman"/>
          <w:b/>
          <w:color w:val="auto"/>
        </w:rPr>
      </w:pPr>
    </w:p>
    <w:p w14:paraId="6934A050">
      <w:pPr>
        <w:spacing w:line="440" w:lineRule="exact"/>
        <w:jc w:val="center"/>
        <w:rPr>
          <w:rFonts w:hint="default" w:ascii="Times New Roman" w:hAnsi="Times New Roman" w:eastAsia="宋体" w:cs="Times New Roman"/>
          <w:b/>
          <w:color w:val="auto"/>
        </w:rPr>
      </w:pPr>
    </w:p>
    <w:p w14:paraId="34C77139">
      <w:pPr>
        <w:spacing w:line="440" w:lineRule="exact"/>
        <w:jc w:val="center"/>
        <w:rPr>
          <w:rFonts w:hint="default" w:ascii="Times New Roman" w:hAnsi="Times New Roman" w:eastAsia="宋体" w:cs="Times New Roman"/>
          <w:b/>
          <w:color w:val="auto"/>
        </w:rPr>
      </w:pPr>
    </w:p>
    <w:p w14:paraId="612677A9">
      <w:pPr>
        <w:spacing w:line="440" w:lineRule="exact"/>
        <w:jc w:val="center"/>
        <w:rPr>
          <w:rFonts w:hint="default" w:ascii="Times New Roman" w:hAnsi="Times New Roman" w:eastAsia="宋体" w:cs="Times New Roman"/>
          <w:b/>
          <w:color w:val="auto"/>
        </w:rPr>
      </w:pPr>
    </w:p>
    <w:p w14:paraId="460B72C0">
      <w:pPr>
        <w:spacing w:line="440" w:lineRule="exact"/>
        <w:jc w:val="center"/>
        <w:rPr>
          <w:rFonts w:hint="default" w:ascii="Times New Roman" w:hAnsi="Times New Roman" w:eastAsia="宋体" w:cs="Times New Roman"/>
          <w:b/>
          <w:color w:val="auto"/>
        </w:rPr>
      </w:pPr>
    </w:p>
    <w:p w14:paraId="24CD3DAC">
      <w:pPr>
        <w:spacing w:line="440" w:lineRule="exact"/>
        <w:jc w:val="center"/>
        <w:rPr>
          <w:rFonts w:hint="default" w:ascii="Times New Roman" w:hAnsi="Times New Roman" w:eastAsia="宋体" w:cs="Times New Roman"/>
          <w:b/>
          <w:color w:val="auto"/>
        </w:rPr>
      </w:pPr>
    </w:p>
    <w:p w14:paraId="489B9FAB">
      <w:pPr>
        <w:spacing w:line="440" w:lineRule="exact"/>
        <w:jc w:val="center"/>
        <w:rPr>
          <w:rFonts w:hint="default" w:ascii="Times New Roman" w:hAnsi="Times New Roman" w:eastAsia="宋体" w:cs="Times New Roman"/>
          <w:b/>
          <w:color w:val="auto"/>
        </w:rPr>
      </w:pPr>
      <w:r>
        <w:rPr>
          <w:rFonts w:hint="default" w:ascii="Times New Roman" w:hAnsi="Times New Roman" w:eastAsia="宋体" w:cs="Times New Roman"/>
          <w:color w:val="auto"/>
        </w:rPr>
        <w:drawing>
          <wp:anchor distT="0" distB="0" distL="114300" distR="114300" simplePos="0" relativeHeight="251673600" behindDoc="0" locked="0" layoutInCell="1" allowOverlap="1">
            <wp:simplePos x="0" y="0"/>
            <wp:positionH relativeFrom="column">
              <wp:posOffset>-55245</wp:posOffset>
            </wp:positionH>
            <wp:positionV relativeFrom="paragraph">
              <wp:posOffset>40640</wp:posOffset>
            </wp:positionV>
            <wp:extent cx="2912745" cy="2193290"/>
            <wp:effectExtent l="0" t="0" r="1905" b="1651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54" r:link="rId55"/>
                    <a:stretch>
                      <a:fillRect/>
                    </a:stretch>
                  </pic:blipFill>
                  <pic:spPr>
                    <a:xfrm>
                      <a:off x="0" y="0"/>
                      <a:ext cx="2912745" cy="2193290"/>
                    </a:xfrm>
                    <a:prstGeom prst="rect">
                      <a:avLst/>
                    </a:prstGeom>
                    <a:noFill/>
                    <a:ln>
                      <a:noFill/>
                    </a:ln>
                  </pic:spPr>
                </pic:pic>
              </a:graphicData>
            </a:graphic>
          </wp:anchor>
        </w:drawing>
      </w:r>
      <w:r>
        <w:rPr>
          <w:rFonts w:hint="default" w:ascii="Times New Roman" w:hAnsi="Times New Roman" w:eastAsia="宋体" w:cs="Times New Roman"/>
          <w:color w:val="auto"/>
        </w:rPr>
        <w:drawing>
          <wp:anchor distT="0" distB="0" distL="114300" distR="114300" simplePos="0" relativeHeight="251674624" behindDoc="0" locked="0" layoutInCell="1" allowOverlap="1">
            <wp:simplePos x="0" y="0"/>
            <wp:positionH relativeFrom="column">
              <wp:posOffset>2743200</wp:posOffset>
            </wp:positionH>
            <wp:positionV relativeFrom="paragraph">
              <wp:posOffset>40640</wp:posOffset>
            </wp:positionV>
            <wp:extent cx="2678430" cy="2185035"/>
            <wp:effectExtent l="0" t="0" r="7620" b="5715"/>
            <wp:wrapNone/>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56" r:link="rId57"/>
                    <a:stretch>
                      <a:fillRect/>
                    </a:stretch>
                  </pic:blipFill>
                  <pic:spPr>
                    <a:xfrm>
                      <a:off x="0" y="0"/>
                      <a:ext cx="2678430" cy="2185035"/>
                    </a:xfrm>
                    <a:prstGeom prst="rect">
                      <a:avLst/>
                    </a:prstGeom>
                    <a:noFill/>
                    <a:ln>
                      <a:noFill/>
                    </a:ln>
                  </pic:spPr>
                </pic:pic>
              </a:graphicData>
            </a:graphic>
          </wp:anchor>
        </w:drawing>
      </w:r>
    </w:p>
    <w:p w14:paraId="6CFC9337">
      <w:pPr>
        <w:spacing w:line="440" w:lineRule="exact"/>
        <w:jc w:val="center"/>
        <w:rPr>
          <w:rFonts w:hint="default" w:ascii="Times New Roman" w:hAnsi="Times New Roman" w:eastAsia="宋体" w:cs="Times New Roman"/>
          <w:color w:val="auto"/>
        </w:rPr>
      </w:pPr>
      <w:r>
        <w:rPr>
          <w:rFonts w:hint="default" w:ascii="Times New Roman" w:hAnsi="Times New Roman" w:eastAsia="宋体" w:cs="Times New Roman"/>
          <w:b/>
          <w:color w:val="auto"/>
        </w:rPr>
        <w:t>图5.2-3  芒市2013年1、4、7、10月与年各风向污染系数玫瑰图</w:t>
      </w:r>
    </w:p>
    <w:p w14:paraId="164E2B1B">
      <w:pPr>
        <w:spacing w:line="44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⑤ 大气稳定度</w:t>
      </w:r>
    </w:p>
    <w:p w14:paraId="4DA20BC3">
      <w:pPr>
        <w:spacing w:line="440" w:lineRule="exact"/>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表5.2-7给出芒市 2013年1、4、7、10月及全年大气稳定度出现频率。由表可以看出：该区域全年以中性D类天气出现频率最大，达53.93%，其次是E、B类天气，分别为22.49%和18.15%，F类天气为0%，无强不稳定天气，不稳定天气出现的频率为22.49%。</w:t>
      </w:r>
    </w:p>
    <w:p w14:paraId="1493304D">
      <w:pPr>
        <w:pStyle w:val="1263"/>
        <w:spacing w:before="0" w:beforeLines="0" w:line="440" w:lineRule="exac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表5.2-7 芒市2013年1、4、7、10月各级大气稳定度出现频率（%）</w:t>
      </w:r>
    </w:p>
    <w:tbl>
      <w:tblPr>
        <w:tblStyle w:val="6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325"/>
        <w:gridCol w:w="1248"/>
        <w:gridCol w:w="1185"/>
        <w:gridCol w:w="1276"/>
        <w:gridCol w:w="1276"/>
        <w:gridCol w:w="1248"/>
      </w:tblGrid>
      <w:tr w14:paraId="63CA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noWrap w:val="0"/>
            <w:vAlign w:val="center"/>
          </w:tcPr>
          <w:p w14:paraId="31A4B3E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月份</w:t>
            </w:r>
          </w:p>
        </w:tc>
        <w:tc>
          <w:tcPr>
            <w:tcW w:w="1325" w:type="dxa"/>
            <w:noWrap w:val="0"/>
            <w:vAlign w:val="center"/>
          </w:tcPr>
          <w:p w14:paraId="44EC084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A</w:t>
            </w:r>
          </w:p>
        </w:tc>
        <w:tc>
          <w:tcPr>
            <w:tcW w:w="1248" w:type="dxa"/>
            <w:noWrap w:val="0"/>
            <w:vAlign w:val="center"/>
          </w:tcPr>
          <w:p w14:paraId="32A1753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w:t>
            </w:r>
          </w:p>
        </w:tc>
        <w:tc>
          <w:tcPr>
            <w:tcW w:w="1185" w:type="dxa"/>
            <w:noWrap w:val="0"/>
            <w:vAlign w:val="center"/>
          </w:tcPr>
          <w:p w14:paraId="29E05B7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w:t>
            </w:r>
          </w:p>
        </w:tc>
        <w:tc>
          <w:tcPr>
            <w:tcW w:w="1276" w:type="dxa"/>
            <w:noWrap w:val="0"/>
            <w:vAlign w:val="center"/>
          </w:tcPr>
          <w:p w14:paraId="3CCDC0F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D</w:t>
            </w:r>
          </w:p>
        </w:tc>
        <w:tc>
          <w:tcPr>
            <w:tcW w:w="1276" w:type="dxa"/>
            <w:noWrap w:val="0"/>
            <w:vAlign w:val="center"/>
          </w:tcPr>
          <w:p w14:paraId="1989ED6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E</w:t>
            </w:r>
          </w:p>
        </w:tc>
        <w:tc>
          <w:tcPr>
            <w:tcW w:w="1248" w:type="dxa"/>
            <w:noWrap w:val="0"/>
            <w:vAlign w:val="center"/>
          </w:tcPr>
          <w:p w14:paraId="3C7FEAF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F</w:t>
            </w:r>
          </w:p>
        </w:tc>
      </w:tr>
      <w:tr w14:paraId="08FA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noWrap w:val="0"/>
            <w:vAlign w:val="center"/>
          </w:tcPr>
          <w:p w14:paraId="39C0627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1月</w:t>
            </w:r>
          </w:p>
        </w:tc>
        <w:tc>
          <w:tcPr>
            <w:tcW w:w="1325" w:type="dxa"/>
            <w:noWrap w:val="0"/>
            <w:vAlign w:val="center"/>
          </w:tcPr>
          <w:p w14:paraId="2B6D59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248" w:type="dxa"/>
            <w:noWrap w:val="0"/>
            <w:vAlign w:val="center"/>
          </w:tcPr>
          <w:p w14:paraId="2B8E16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31.18</w:t>
            </w:r>
          </w:p>
        </w:tc>
        <w:tc>
          <w:tcPr>
            <w:tcW w:w="1185" w:type="dxa"/>
            <w:noWrap w:val="0"/>
            <w:vAlign w:val="center"/>
          </w:tcPr>
          <w:p w14:paraId="0FCBDAE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276" w:type="dxa"/>
            <w:noWrap w:val="0"/>
            <w:vAlign w:val="center"/>
          </w:tcPr>
          <w:p w14:paraId="09FA11B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17.2</w:t>
            </w:r>
          </w:p>
        </w:tc>
        <w:tc>
          <w:tcPr>
            <w:tcW w:w="1276" w:type="dxa"/>
            <w:noWrap w:val="0"/>
            <w:vAlign w:val="center"/>
          </w:tcPr>
          <w:p w14:paraId="661FA10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51.61</w:t>
            </w:r>
          </w:p>
        </w:tc>
        <w:tc>
          <w:tcPr>
            <w:tcW w:w="1248" w:type="dxa"/>
            <w:noWrap w:val="0"/>
            <w:vAlign w:val="center"/>
          </w:tcPr>
          <w:p w14:paraId="25575F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0D6A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noWrap w:val="0"/>
            <w:vAlign w:val="center"/>
          </w:tcPr>
          <w:p w14:paraId="697C2D5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4月</w:t>
            </w:r>
          </w:p>
        </w:tc>
        <w:tc>
          <w:tcPr>
            <w:tcW w:w="1325" w:type="dxa"/>
            <w:noWrap w:val="0"/>
            <w:vAlign w:val="center"/>
          </w:tcPr>
          <w:p w14:paraId="48515D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12.22</w:t>
            </w:r>
          </w:p>
        </w:tc>
        <w:tc>
          <w:tcPr>
            <w:tcW w:w="1248" w:type="dxa"/>
            <w:noWrap w:val="0"/>
            <w:vAlign w:val="center"/>
          </w:tcPr>
          <w:p w14:paraId="0A9B32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11.11</w:t>
            </w:r>
          </w:p>
        </w:tc>
        <w:tc>
          <w:tcPr>
            <w:tcW w:w="1185" w:type="dxa"/>
            <w:noWrap w:val="0"/>
            <w:vAlign w:val="center"/>
          </w:tcPr>
          <w:p w14:paraId="0D58A0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4.44</w:t>
            </w:r>
          </w:p>
        </w:tc>
        <w:tc>
          <w:tcPr>
            <w:tcW w:w="1276" w:type="dxa"/>
            <w:noWrap w:val="0"/>
            <w:vAlign w:val="center"/>
          </w:tcPr>
          <w:p w14:paraId="596C7D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47.78</w:t>
            </w:r>
          </w:p>
        </w:tc>
        <w:tc>
          <w:tcPr>
            <w:tcW w:w="1276" w:type="dxa"/>
            <w:noWrap w:val="0"/>
            <w:vAlign w:val="center"/>
          </w:tcPr>
          <w:p w14:paraId="029C7F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24.44</w:t>
            </w:r>
          </w:p>
        </w:tc>
        <w:tc>
          <w:tcPr>
            <w:tcW w:w="1248" w:type="dxa"/>
            <w:noWrap w:val="0"/>
            <w:vAlign w:val="center"/>
          </w:tcPr>
          <w:p w14:paraId="12EE2E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12.22</w:t>
            </w:r>
          </w:p>
        </w:tc>
      </w:tr>
      <w:tr w14:paraId="67CB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noWrap w:val="0"/>
            <w:vAlign w:val="center"/>
          </w:tcPr>
          <w:p w14:paraId="1F3A02C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7月</w:t>
            </w:r>
          </w:p>
        </w:tc>
        <w:tc>
          <w:tcPr>
            <w:tcW w:w="1325" w:type="dxa"/>
            <w:noWrap w:val="0"/>
            <w:vAlign w:val="center"/>
          </w:tcPr>
          <w:p w14:paraId="7CFB0D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1248" w:type="dxa"/>
            <w:noWrap w:val="0"/>
            <w:vAlign w:val="center"/>
          </w:tcPr>
          <w:p w14:paraId="0C6A11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9.68</w:t>
            </w:r>
          </w:p>
        </w:tc>
        <w:tc>
          <w:tcPr>
            <w:tcW w:w="1185" w:type="dxa"/>
            <w:noWrap w:val="0"/>
            <w:vAlign w:val="center"/>
          </w:tcPr>
          <w:p w14:paraId="3DEAFB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w:t>
            </w:r>
          </w:p>
        </w:tc>
        <w:tc>
          <w:tcPr>
            <w:tcW w:w="1276" w:type="dxa"/>
            <w:noWrap w:val="0"/>
            <w:vAlign w:val="center"/>
          </w:tcPr>
          <w:p w14:paraId="05BA79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84.95</w:t>
            </w:r>
          </w:p>
        </w:tc>
        <w:tc>
          <w:tcPr>
            <w:tcW w:w="1276" w:type="dxa"/>
            <w:noWrap w:val="0"/>
            <w:vAlign w:val="center"/>
          </w:tcPr>
          <w:p w14:paraId="042D2F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1248" w:type="dxa"/>
            <w:noWrap w:val="0"/>
            <w:vAlign w:val="center"/>
          </w:tcPr>
          <w:p w14:paraId="226FA6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r>
      <w:tr w14:paraId="6CEAE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noWrap w:val="0"/>
            <w:vAlign w:val="center"/>
          </w:tcPr>
          <w:p w14:paraId="0EB40C2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10月</w:t>
            </w:r>
          </w:p>
        </w:tc>
        <w:tc>
          <w:tcPr>
            <w:tcW w:w="1325" w:type="dxa"/>
            <w:noWrap w:val="0"/>
            <w:vAlign w:val="center"/>
          </w:tcPr>
          <w:p w14:paraId="56AA083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248" w:type="dxa"/>
            <w:noWrap w:val="0"/>
            <w:vAlign w:val="center"/>
          </w:tcPr>
          <w:p w14:paraId="64B66B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20.43</w:t>
            </w:r>
          </w:p>
        </w:tc>
        <w:tc>
          <w:tcPr>
            <w:tcW w:w="1185" w:type="dxa"/>
            <w:noWrap w:val="0"/>
            <w:vAlign w:val="center"/>
          </w:tcPr>
          <w:p w14:paraId="5D2499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2.15</w:t>
            </w:r>
          </w:p>
        </w:tc>
        <w:tc>
          <w:tcPr>
            <w:tcW w:w="1276" w:type="dxa"/>
            <w:noWrap w:val="0"/>
            <w:vAlign w:val="center"/>
          </w:tcPr>
          <w:p w14:paraId="230B4D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65.59</w:t>
            </w:r>
          </w:p>
        </w:tc>
        <w:tc>
          <w:tcPr>
            <w:tcW w:w="1276" w:type="dxa"/>
            <w:noWrap w:val="0"/>
            <w:vAlign w:val="center"/>
          </w:tcPr>
          <w:p w14:paraId="3D1E446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11.83</w:t>
            </w:r>
          </w:p>
        </w:tc>
        <w:tc>
          <w:tcPr>
            <w:tcW w:w="1248" w:type="dxa"/>
            <w:noWrap w:val="0"/>
            <w:vAlign w:val="center"/>
          </w:tcPr>
          <w:p w14:paraId="20E5ED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2BC88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1" w:type="dxa"/>
            <w:noWrap w:val="0"/>
            <w:vAlign w:val="center"/>
          </w:tcPr>
          <w:p w14:paraId="472479F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全年</w:t>
            </w:r>
          </w:p>
        </w:tc>
        <w:tc>
          <w:tcPr>
            <w:tcW w:w="1325" w:type="dxa"/>
            <w:noWrap w:val="0"/>
            <w:vAlign w:val="center"/>
          </w:tcPr>
          <w:p w14:paraId="1A507F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c>
          <w:tcPr>
            <w:tcW w:w="1248" w:type="dxa"/>
            <w:noWrap w:val="0"/>
            <w:vAlign w:val="center"/>
          </w:tcPr>
          <w:p w14:paraId="29D538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18.16</w:t>
            </w:r>
          </w:p>
        </w:tc>
        <w:tc>
          <w:tcPr>
            <w:tcW w:w="1185" w:type="dxa"/>
            <w:noWrap w:val="0"/>
            <w:vAlign w:val="center"/>
          </w:tcPr>
          <w:p w14:paraId="05B471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w:t>
            </w:r>
          </w:p>
        </w:tc>
        <w:tc>
          <w:tcPr>
            <w:tcW w:w="1276" w:type="dxa"/>
            <w:noWrap w:val="0"/>
            <w:vAlign w:val="center"/>
          </w:tcPr>
          <w:p w14:paraId="234018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53.93</w:t>
            </w:r>
          </w:p>
        </w:tc>
        <w:tc>
          <w:tcPr>
            <w:tcW w:w="1276" w:type="dxa"/>
            <w:noWrap w:val="0"/>
            <w:vAlign w:val="center"/>
          </w:tcPr>
          <w:p w14:paraId="7EB43D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22.49</w:t>
            </w:r>
          </w:p>
        </w:tc>
        <w:tc>
          <w:tcPr>
            <w:tcW w:w="1248" w:type="dxa"/>
            <w:noWrap w:val="0"/>
            <w:vAlign w:val="center"/>
          </w:tcPr>
          <w:p w14:paraId="34BF01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r>
    </w:tbl>
    <w:p w14:paraId="341E5F8D">
      <w:pPr>
        <w:spacing w:line="44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（2）风向、风速及稳定度联合频率</w:t>
      </w:r>
    </w:p>
    <w:p w14:paraId="2FE6858C">
      <w:pPr>
        <w:adjustRightInd w:val="0"/>
        <w:snapToGrid w:val="0"/>
        <w:spacing w:line="440" w:lineRule="exact"/>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利用芒市气象站2013年1、4、7、10四个月风向、风速、云量资料，统计出该区域各气象条件联合频率和主要非零联合频率，如表5.2-8、表5.2-9所示。从表中可以看出，全年非零联合频率以南风、风速小于1.5 m/s、D类稳定度联合频率最大，同为4.88%。</w:t>
      </w:r>
    </w:p>
    <w:p w14:paraId="35425376">
      <w:pPr>
        <w:pStyle w:val="1263"/>
        <w:spacing w:before="0" w:beforeLines="0" w:line="440" w:lineRule="exac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表5.2-8  2013年度风向、风速及稳定度联合出现频率（%）</w:t>
      </w:r>
    </w:p>
    <w:tbl>
      <w:tblPr>
        <w:tblStyle w:val="6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280"/>
        <w:gridCol w:w="1280"/>
        <w:gridCol w:w="1280"/>
        <w:gridCol w:w="1280"/>
        <w:gridCol w:w="1280"/>
        <w:gridCol w:w="1280"/>
      </w:tblGrid>
      <w:tr w14:paraId="7392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67CF0F0C">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风向</w:t>
            </w:r>
          </w:p>
        </w:tc>
        <w:tc>
          <w:tcPr>
            <w:tcW w:w="1280" w:type="dxa"/>
            <w:vMerge w:val="restart"/>
            <w:noWrap w:val="0"/>
            <w:vAlign w:val="center"/>
          </w:tcPr>
          <w:p w14:paraId="3565324D">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风速段</w:t>
            </w:r>
          </w:p>
        </w:tc>
        <w:tc>
          <w:tcPr>
            <w:tcW w:w="6400" w:type="dxa"/>
            <w:gridSpan w:val="5"/>
            <w:noWrap w:val="0"/>
            <w:vAlign w:val="center"/>
          </w:tcPr>
          <w:p w14:paraId="7DC6C2E1">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稳定度等级</w:t>
            </w:r>
          </w:p>
        </w:tc>
      </w:tr>
      <w:tr w14:paraId="6C2A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32C1F3C5">
            <w:pPr>
              <w:widowControl/>
              <w:jc w:val="center"/>
              <w:rPr>
                <w:rFonts w:hint="default" w:ascii="Times New Roman" w:hAnsi="Times New Roman" w:eastAsia="宋体" w:cs="Times New Roman"/>
                <w:b/>
                <w:bCs/>
                <w:color w:val="auto"/>
                <w:kern w:val="0"/>
                <w:sz w:val="21"/>
                <w:szCs w:val="21"/>
              </w:rPr>
            </w:pPr>
          </w:p>
        </w:tc>
        <w:tc>
          <w:tcPr>
            <w:tcW w:w="1280" w:type="dxa"/>
            <w:vMerge w:val="continue"/>
            <w:noWrap w:val="0"/>
            <w:vAlign w:val="center"/>
          </w:tcPr>
          <w:p w14:paraId="6E47E9AD">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3F954AEA">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A</w:t>
            </w:r>
          </w:p>
        </w:tc>
        <w:tc>
          <w:tcPr>
            <w:tcW w:w="1280" w:type="dxa"/>
            <w:noWrap w:val="0"/>
            <w:vAlign w:val="center"/>
          </w:tcPr>
          <w:p w14:paraId="6AFBE909">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B</w:t>
            </w:r>
          </w:p>
        </w:tc>
        <w:tc>
          <w:tcPr>
            <w:tcW w:w="1280" w:type="dxa"/>
            <w:noWrap w:val="0"/>
            <w:vAlign w:val="center"/>
          </w:tcPr>
          <w:p w14:paraId="347F3861">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C</w:t>
            </w:r>
          </w:p>
        </w:tc>
        <w:tc>
          <w:tcPr>
            <w:tcW w:w="1280" w:type="dxa"/>
            <w:noWrap w:val="0"/>
            <w:vAlign w:val="center"/>
          </w:tcPr>
          <w:p w14:paraId="524D08E3">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D</w:t>
            </w:r>
          </w:p>
        </w:tc>
        <w:tc>
          <w:tcPr>
            <w:tcW w:w="1280" w:type="dxa"/>
            <w:noWrap w:val="0"/>
            <w:vAlign w:val="center"/>
          </w:tcPr>
          <w:p w14:paraId="477A06D8">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E</w:t>
            </w:r>
          </w:p>
        </w:tc>
      </w:tr>
      <w:tr w14:paraId="2816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1035EF73">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N</w:t>
            </w:r>
          </w:p>
        </w:tc>
        <w:tc>
          <w:tcPr>
            <w:tcW w:w="1280" w:type="dxa"/>
            <w:noWrap w:val="0"/>
            <w:vAlign w:val="center"/>
          </w:tcPr>
          <w:p w14:paraId="6DED6F3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12DDC8D9">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2AA7EEC">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D26BC5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06E262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0.81</w:t>
            </w:r>
          </w:p>
        </w:tc>
        <w:tc>
          <w:tcPr>
            <w:tcW w:w="1280" w:type="dxa"/>
            <w:noWrap w:val="0"/>
            <w:vAlign w:val="center"/>
          </w:tcPr>
          <w:p w14:paraId="54B73A90">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0.81</w:t>
            </w:r>
          </w:p>
        </w:tc>
      </w:tr>
      <w:tr w14:paraId="2DB9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07278AC7">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19D304F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43174799">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0D44ED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73D5B2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7F6A0FB">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1CED312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12559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6B206379">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676A317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688555C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73E4BC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C67B07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A831FCB">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F4BC6B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0A4D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6675BAC8">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NNE</w:t>
            </w:r>
          </w:p>
        </w:tc>
        <w:tc>
          <w:tcPr>
            <w:tcW w:w="1280" w:type="dxa"/>
            <w:noWrap w:val="0"/>
            <w:vAlign w:val="center"/>
          </w:tcPr>
          <w:p w14:paraId="18ACF3B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391C3D7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01A6F5C8">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B674A00">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F670CA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1.63</w:t>
            </w:r>
          </w:p>
        </w:tc>
        <w:tc>
          <w:tcPr>
            <w:tcW w:w="1280" w:type="dxa"/>
            <w:noWrap w:val="0"/>
            <w:vAlign w:val="center"/>
          </w:tcPr>
          <w:p w14:paraId="7B1B9FB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r>
      <w:tr w14:paraId="0D5A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5934084A">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5AF927F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261EBBCB">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19D5E25">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A080433">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C741F3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c>
          <w:tcPr>
            <w:tcW w:w="1280" w:type="dxa"/>
            <w:noWrap w:val="0"/>
            <w:vAlign w:val="center"/>
          </w:tcPr>
          <w:p w14:paraId="2503AED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r>
      <w:tr w14:paraId="1896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497797FF">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0CCDCDD0">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177634E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4FBFB4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5A5C235">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286C9D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12F16763">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36B94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21CB06A9">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NE</w:t>
            </w:r>
          </w:p>
        </w:tc>
        <w:tc>
          <w:tcPr>
            <w:tcW w:w="1280" w:type="dxa"/>
            <w:noWrap w:val="0"/>
            <w:vAlign w:val="center"/>
          </w:tcPr>
          <w:p w14:paraId="0014D540">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088241D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275BED7C">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B2B7F8E">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570109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2.44</w:t>
            </w:r>
          </w:p>
        </w:tc>
        <w:tc>
          <w:tcPr>
            <w:tcW w:w="1280" w:type="dxa"/>
            <w:noWrap w:val="0"/>
            <w:vAlign w:val="center"/>
          </w:tcPr>
          <w:p w14:paraId="0D6104E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0.81</w:t>
            </w:r>
          </w:p>
        </w:tc>
      </w:tr>
      <w:tr w14:paraId="24FF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5D67837E">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5CCB77D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451D50AC">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F8ED8B1">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7466DCC">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CCDB03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1ACC18D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7B98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760D9871">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338869E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454B7C2D">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40C4CAF">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E6C9778">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C84E71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926C671">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2627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6C0AC1A5">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ENE</w:t>
            </w:r>
          </w:p>
        </w:tc>
        <w:tc>
          <w:tcPr>
            <w:tcW w:w="1280" w:type="dxa"/>
            <w:noWrap w:val="0"/>
            <w:vAlign w:val="center"/>
          </w:tcPr>
          <w:p w14:paraId="4B9A53E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17F10D09">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D1471AF">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E465557">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782B14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w:t>
            </w:r>
          </w:p>
        </w:tc>
        <w:tc>
          <w:tcPr>
            <w:tcW w:w="1280" w:type="dxa"/>
            <w:noWrap w:val="0"/>
            <w:vAlign w:val="center"/>
          </w:tcPr>
          <w:p w14:paraId="7DFB6C4D">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0.81</w:t>
            </w:r>
          </w:p>
        </w:tc>
      </w:tr>
      <w:tr w14:paraId="6557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4F5F3C47">
            <w:pPr>
              <w:widowControl/>
              <w:jc w:val="center"/>
              <w:rPr>
                <w:rFonts w:hint="default" w:ascii="Times New Roman" w:hAnsi="Times New Roman" w:eastAsia="宋体" w:cs="Times New Roman"/>
                <w:color w:val="auto"/>
                <w:kern w:val="0"/>
                <w:sz w:val="21"/>
                <w:szCs w:val="21"/>
              </w:rPr>
            </w:pPr>
          </w:p>
        </w:tc>
        <w:tc>
          <w:tcPr>
            <w:tcW w:w="1280" w:type="dxa"/>
            <w:noWrap w:val="0"/>
            <w:vAlign w:val="center"/>
          </w:tcPr>
          <w:p w14:paraId="5640FCF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5581C24C">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FBFA228">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1BE4A3DE">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94C6AD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2B9372C1">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r>
      <w:tr w14:paraId="5FBF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243171D5">
            <w:pPr>
              <w:widowControl/>
              <w:jc w:val="center"/>
              <w:rPr>
                <w:rFonts w:hint="default" w:ascii="Times New Roman" w:hAnsi="Times New Roman" w:eastAsia="宋体" w:cs="Times New Roman"/>
                <w:color w:val="auto"/>
                <w:kern w:val="0"/>
                <w:sz w:val="21"/>
                <w:szCs w:val="21"/>
              </w:rPr>
            </w:pPr>
          </w:p>
        </w:tc>
        <w:tc>
          <w:tcPr>
            <w:tcW w:w="1280" w:type="dxa"/>
            <w:noWrap w:val="0"/>
            <w:vAlign w:val="center"/>
          </w:tcPr>
          <w:p w14:paraId="13EDD54C">
            <w:pPr>
              <w:widowControl/>
              <w:jc w:val="center"/>
              <w:rPr>
                <w:rFonts w:hint="default" w:ascii="Times New Roman" w:hAnsi="Times New Roman" w:eastAsia="宋体" w:cs="Times New Roman"/>
                <w:color w:val="auto"/>
                <w:kern w:val="0"/>
                <w:sz w:val="21"/>
                <w:szCs w:val="21"/>
              </w:rPr>
            </w:pPr>
          </w:p>
        </w:tc>
        <w:tc>
          <w:tcPr>
            <w:tcW w:w="1280" w:type="dxa"/>
            <w:noWrap w:val="0"/>
            <w:vAlign w:val="center"/>
          </w:tcPr>
          <w:p w14:paraId="1220F9F5">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53E744E">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7D2C1D0">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6AA9F4B">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A344BB0">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38A7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27382434">
            <w:pPr>
              <w:widowControl/>
              <w:jc w:val="center"/>
              <w:rPr>
                <w:rFonts w:hint="default" w:ascii="Times New Roman" w:hAnsi="Times New Roman" w:eastAsia="宋体" w:cs="Times New Roman"/>
                <w:color w:val="auto"/>
                <w:kern w:val="0"/>
                <w:sz w:val="21"/>
                <w:szCs w:val="21"/>
              </w:rPr>
            </w:pPr>
          </w:p>
        </w:tc>
        <w:tc>
          <w:tcPr>
            <w:tcW w:w="1280" w:type="dxa"/>
            <w:noWrap w:val="0"/>
            <w:vAlign w:val="center"/>
          </w:tcPr>
          <w:p w14:paraId="21D4AA3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6F0BA99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B1DEC3B">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2A89EBC">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344DF9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E0F6E0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52A7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5360D2C0">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E</w:t>
            </w:r>
          </w:p>
        </w:tc>
        <w:tc>
          <w:tcPr>
            <w:tcW w:w="1280" w:type="dxa"/>
            <w:noWrap w:val="0"/>
            <w:vAlign w:val="center"/>
          </w:tcPr>
          <w:p w14:paraId="5C0C94B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624A41B8">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A5B14E9">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BCD66E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E7907B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1.63</w:t>
            </w:r>
          </w:p>
        </w:tc>
        <w:tc>
          <w:tcPr>
            <w:tcW w:w="1280" w:type="dxa"/>
            <w:noWrap w:val="0"/>
            <w:vAlign w:val="center"/>
          </w:tcPr>
          <w:p w14:paraId="10A9717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r>
      <w:tr w14:paraId="1B173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20373CFF">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228DF93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4F1A8723">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2DFB44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D66F97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A3E0A89">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B780200">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30BB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1D2C2D29">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56B5F77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5A470E54">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FAC27E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2692350">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DCB8782">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5611548">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1776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7E86989B">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ESE</w:t>
            </w:r>
          </w:p>
        </w:tc>
        <w:tc>
          <w:tcPr>
            <w:tcW w:w="1280" w:type="dxa"/>
            <w:noWrap w:val="0"/>
            <w:vAlign w:val="center"/>
          </w:tcPr>
          <w:p w14:paraId="557BFD6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30B8EB94">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CF4695B">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3342582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319E44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1.63</w:t>
            </w:r>
          </w:p>
        </w:tc>
        <w:tc>
          <w:tcPr>
            <w:tcW w:w="1280" w:type="dxa"/>
            <w:noWrap w:val="0"/>
            <w:vAlign w:val="center"/>
          </w:tcPr>
          <w:p w14:paraId="70CD9E0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r>
      <w:tr w14:paraId="0854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15963BD7">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6254E92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41EB8C71">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0799D41">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7CD38132">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11E66D4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5FB9D20">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1F21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5318126A">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1CE347D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3F428FDE">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10C6CF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36BE01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9DEC95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5AFCFE2">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6F64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0000FCA3">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SE</w:t>
            </w:r>
          </w:p>
        </w:tc>
        <w:tc>
          <w:tcPr>
            <w:tcW w:w="1280" w:type="dxa"/>
            <w:noWrap w:val="0"/>
            <w:vAlign w:val="center"/>
          </w:tcPr>
          <w:p w14:paraId="57CE9D3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5BFB8941">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BEBDD3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2A63479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38350A9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c>
          <w:tcPr>
            <w:tcW w:w="1280" w:type="dxa"/>
            <w:noWrap w:val="0"/>
            <w:vAlign w:val="center"/>
          </w:tcPr>
          <w:p w14:paraId="7581C67C">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370F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74A67E07">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34C20F3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5E7350DB">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76A2A2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9C1FA8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B68645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4FA13E4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r>
      <w:tr w14:paraId="5398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5B62AD5C">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7D2B1ED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0ED9CD67">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94FAA8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77949DB">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4DE13F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D3EC5D7">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5CC8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505E0174">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SSE</w:t>
            </w:r>
          </w:p>
        </w:tc>
        <w:tc>
          <w:tcPr>
            <w:tcW w:w="1280" w:type="dxa"/>
            <w:noWrap w:val="0"/>
            <w:vAlign w:val="center"/>
          </w:tcPr>
          <w:p w14:paraId="169D82AB">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20C2FE60">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103C919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D70B1C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AF268A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w:t>
            </w:r>
          </w:p>
        </w:tc>
        <w:tc>
          <w:tcPr>
            <w:tcW w:w="1280" w:type="dxa"/>
            <w:noWrap w:val="0"/>
            <w:vAlign w:val="center"/>
          </w:tcPr>
          <w:p w14:paraId="0503638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08D4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76620C92">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46CDE7F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2F6C940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6FC7EAC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064FDDC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3BCF194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0.81</w:t>
            </w:r>
          </w:p>
        </w:tc>
        <w:tc>
          <w:tcPr>
            <w:tcW w:w="1280" w:type="dxa"/>
            <w:noWrap w:val="0"/>
            <w:vAlign w:val="center"/>
          </w:tcPr>
          <w:p w14:paraId="4E0FF8A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r>
      <w:tr w14:paraId="3F10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07B83628">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1D4AAC50">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1CDC4ADD">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75354F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8165020">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8B0F34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5D8DAC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0E8C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1E78A8DF">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S</w:t>
            </w:r>
          </w:p>
        </w:tc>
        <w:tc>
          <w:tcPr>
            <w:tcW w:w="1280" w:type="dxa"/>
            <w:noWrap w:val="0"/>
            <w:vAlign w:val="center"/>
          </w:tcPr>
          <w:p w14:paraId="4AE166E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3230761F">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388FFEB">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154E0297">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7CE844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4.88</w:t>
            </w:r>
          </w:p>
        </w:tc>
        <w:tc>
          <w:tcPr>
            <w:tcW w:w="1280" w:type="dxa"/>
            <w:noWrap w:val="0"/>
            <w:vAlign w:val="center"/>
          </w:tcPr>
          <w:p w14:paraId="6451CBE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2.71</w:t>
            </w:r>
          </w:p>
        </w:tc>
      </w:tr>
      <w:tr w14:paraId="481E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2230104F">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044911E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22F88D01">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B85F55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c>
          <w:tcPr>
            <w:tcW w:w="1280" w:type="dxa"/>
            <w:noWrap w:val="0"/>
            <w:vAlign w:val="center"/>
          </w:tcPr>
          <w:p w14:paraId="798B66D8">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AE2708B">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2.17</w:t>
            </w:r>
          </w:p>
        </w:tc>
        <w:tc>
          <w:tcPr>
            <w:tcW w:w="1280" w:type="dxa"/>
            <w:noWrap w:val="0"/>
            <w:vAlign w:val="center"/>
          </w:tcPr>
          <w:p w14:paraId="5FED27B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r>
      <w:tr w14:paraId="664A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2E5CAD82">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34176F2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1290FA7C">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A691E6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02E4C54">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56D1EFB">
            <w:pPr>
              <w:widowControl/>
              <w:jc w:val="center"/>
              <w:rPr>
                <w:rFonts w:hint="default" w:ascii="Times New Roman" w:hAnsi="Times New Roman" w:eastAsia="宋体" w:cs="Times New Roman"/>
                <w:color w:val="auto"/>
                <w:kern w:val="0"/>
                <w:sz w:val="21"/>
                <w:szCs w:val="21"/>
              </w:rPr>
            </w:pPr>
          </w:p>
        </w:tc>
        <w:tc>
          <w:tcPr>
            <w:tcW w:w="1280" w:type="dxa"/>
            <w:noWrap w:val="0"/>
            <w:vAlign w:val="center"/>
          </w:tcPr>
          <w:p w14:paraId="677FDFD3">
            <w:pPr>
              <w:widowControl/>
              <w:jc w:val="center"/>
              <w:rPr>
                <w:rFonts w:hint="default" w:ascii="Times New Roman" w:hAnsi="Times New Roman" w:eastAsia="宋体" w:cs="Times New Roman"/>
                <w:color w:val="auto"/>
                <w:kern w:val="0"/>
                <w:sz w:val="21"/>
                <w:szCs w:val="21"/>
              </w:rPr>
            </w:pPr>
          </w:p>
        </w:tc>
      </w:tr>
      <w:tr w14:paraId="28AE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3F5C252C">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SSW</w:t>
            </w:r>
          </w:p>
        </w:tc>
        <w:tc>
          <w:tcPr>
            <w:tcW w:w="1280" w:type="dxa"/>
            <w:noWrap w:val="0"/>
            <w:vAlign w:val="center"/>
          </w:tcPr>
          <w:p w14:paraId="1CD80CB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370EAE0A">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FAC063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1.36</w:t>
            </w:r>
          </w:p>
        </w:tc>
        <w:tc>
          <w:tcPr>
            <w:tcW w:w="1280" w:type="dxa"/>
            <w:noWrap w:val="0"/>
            <w:vAlign w:val="center"/>
          </w:tcPr>
          <w:p w14:paraId="7DCFB9D1">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3C6836B">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2.98</w:t>
            </w:r>
          </w:p>
        </w:tc>
        <w:tc>
          <w:tcPr>
            <w:tcW w:w="1280" w:type="dxa"/>
            <w:noWrap w:val="0"/>
            <w:vAlign w:val="center"/>
          </w:tcPr>
          <w:p w14:paraId="60D1EC6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r>
      <w:tr w14:paraId="534A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14D4B5E0">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52FE8C0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3710DA4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870743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1.63</w:t>
            </w:r>
          </w:p>
        </w:tc>
        <w:tc>
          <w:tcPr>
            <w:tcW w:w="1280" w:type="dxa"/>
            <w:noWrap w:val="0"/>
            <w:vAlign w:val="center"/>
          </w:tcPr>
          <w:p w14:paraId="1B1C7FD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0ACD414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1ABCF5F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r>
      <w:tr w14:paraId="6291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2C7BA0DF">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4741828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0E08C7D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6019123">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5AFB82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78A262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09F86F54">
            <w:pPr>
              <w:widowControl/>
              <w:jc w:val="center"/>
              <w:rPr>
                <w:rFonts w:hint="default" w:ascii="Times New Roman" w:hAnsi="Times New Roman" w:eastAsia="宋体" w:cs="Times New Roman"/>
                <w:color w:val="auto"/>
                <w:kern w:val="0"/>
                <w:sz w:val="21"/>
                <w:szCs w:val="21"/>
              </w:rPr>
            </w:pPr>
          </w:p>
        </w:tc>
      </w:tr>
      <w:tr w14:paraId="1CF1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78389E0C">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SW</w:t>
            </w:r>
          </w:p>
        </w:tc>
        <w:tc>
          <w:tcPr>
            <w:tcW w:w="1280" w:type="dxa"/>
            <w:noWrap w:val="0"/>
            <w:vAlign w:val="center"/>
          </w:tcPr>
          <w:p w14:paraId="4CAA936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6FDB612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39C99A7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2.71</w:t>
            </w:r>
          </w:p>
        </w:tc>
        <w:tc>
          <w:tcPr>
            <w:tcW w:w="1280" w:type="dxa"/>
            <w:noWrap w:val="0"/>
            <w:vAlign w:val="center"/>
          </w:tcPr>
          <w:p w14:paraId="0BF80EB7">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0189CA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3.52</w:t>
            </w:r>
          </w:p>
        </w:tc>
        <w:tc>
          <w:tcPr>
            <w:tcW w:w="1280" w:type="dxa"/>
            <w:noWrap w:val="0"/>
            <w:vAlign w:val="center"/>
          </w:tcPr>
          <w:p w14:paraId="703C00C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r>
      <w:tr w14:paraId="2C36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0A1F3E74">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3496BDF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57E7A47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77C9B1C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w:t>
            </w:r>
          </w:p>
        </w:tc>
        <w:tc>
          <w:tcPr>
            <w:tcW w:w="1280" w:type="dxa"/>
            <w:noWrap w:val="0"/>
            <w:vAlign w:val="center"/>
          </w:tcPr>
          <w:p w14:paraId="48017F0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56FC532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2.17</w:t>
            </w:r>
          </w:p>
        </w:tc>
        <w:tc>
          <w:tcPr>
            <w:tcW w:w="1280" w:type="dxa"/>
            <w:noWrap w:val="0"/>
            <w:vAlign w:val="center"/>
          </w:tcPr>
          <w:p w14:paraId="53A461C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1.36</w:t>
            </w:r>
          </w:p>
        </w:tc>
      </w:tr>
      <w:tr w14:paraId="6108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5EFB9994">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4071672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16A321A5">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0B1BC16">
            <w:pPr>
              <w:widowControl/>
              <w:jc w:val="center"/>
              <w:rPr>
                <w:rFonts w:hint="default" w:ascii="Times New Roman" w:hAnsi="Times New Roman" w:eastAsia="宋体" w:cs="Times New Roman"/>
                <w:color w:val="auto"/>
                <w:kern w:val="0"/>
                <w:sz w:val="21"/>
                <w:szCs w:val="21"/>
              </w:rPr>
            </w:pPr>
          </w:p>
        </w:tc>
        <w:tc>
          <w:tcPr>
            <w:tcW w:w="1280" w:type="dxa"/>
            <w:noWrap w:val="0"/>
            <w:vAlign w:val="center"/>
          </w:tcPr>
          <w:p w14:paraId="0A71AF31">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05C3B3B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2EB9BDCE">
            <w:pPr>
              <w:widowControl/>
              <w:jc w:val="center"/>
              <w:rPr>
                <w:rFonts w:hint="default" w:ascii="Times New Roman" w:hAnsi="Times New Roman" w:eastAsia="宋体" w:cs="Times New Roman"/>
                <w:color w:val="auto"/>
                <w:kern w:val="0"/>
                <w:sz w:val="21"/>
                <w:szCs w:val="21"/>
              </w:rPr>
            </w:pPr>
          </w:p>
        </w:tc>
      </w:tr>
      <w:tr w14:paraId="1205C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160143C0">
            <w:pPr>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WSW</w:t>
            </w:r>
          </w:p>
        </w:tc>
        <w:tc>
          <w:tcPr>
            <w:tcW w:w="1280" w:type="dxa"/>
            <w:noWrap w:val="0"/>
            <w:vAlign w:val="center"/>
          </w:tcPr>
          <w:p w14:paraId="70AC836B">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224A8345">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B8367F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2.17</w:t>
            </w:r>
          </w:p>
        </w:tc>
        <w:tc>
          <w:tcPr>
            <w:tcW w:w="1280" w:type="dxa"/>
            <w:noWrap w:val="0"/>
            <w:vAlign w:val="center"/>
          </w:tcPr>
          <w:p w14:paraId="4A157EF0">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73D5389D">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4.88</w:t>
            </w:r>
          </w:p>
        </w:tc>
        <w:tc>
          <w:tcPr>
            <w:tcW w:w="1280" w:type="dxa"/>
            <w:noWrap w:val="0"/>
            <w:vAlign w:val="center"/>
          </w:tcPr>
          <w:p w14:paraId="3726F6F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2.17</w:t>
            </w:r>
          </w:p>
        </w:tc>
      </w:tr>
      <w:tr w14:paraId="0EFB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7C4B1026">
            <w:pPr>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5E2EF7C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2BC0377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D51AFC0">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1.36</w:t>
            </w:r>
          </w:p>
        </w:tc>
        <w:tc>
          <w:tcPr>
            <w:tcW w:w="1280" w:type="dxa"/>
            <w:noWrap w:val="0"/>
            <w:vAlign w:val="center"/>
          </w:tcPr>
          <w:p w14:paraId="125D2518">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08F2B7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3CC442C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r>
      <w:tr w14:paraId="5C2B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66D415DE">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2FEA930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5288F4DD">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93BEACD">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10FCEB2F">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86B7EC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9BB1854">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04CD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6F5176C3">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风向</w:t>
            </w:r>
          </w:p>
        </w:tc>
        <w:tc>
          <w:tcPr>
            <w:tcW w:w="1280" w:type="dxa"/>
            <w:vMerge w:val="restart"/>
            <w:noWrap w:val="0"/>
            <w:vAlign w:val="center"/>
          </w:tcPr>
          <w:p w14:paraId="50C1AB7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风速段</w:t>
            </w:r>
          </w:p>
        </w:tc>
        <w:tc>
          <w:tcPr>
            <w:tcW w:w="6400" w:type="dxa"/>
            <w:gridSpan w:val="5"/>
            <w:noWrap w:val="0"/>
            <w:vAlign w:val="center"/>
          </w:tcPr>
          <w:p w14:paraId="3D0B98D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rPr>
              <w:t>稳定度等级</w:t>
            </w:r>
          </w:p>
        </w:tc>
      </w:tr>
      <w:tr w14:paraId="6CD2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33256ECD">
            <w:pPr>
              <w:widowControl/>
              <w:jc w:val="center"/>
              <w:rPr>
                <w:rFonts w:hint="default" w:ascii="Times New Roman" w:hAnsi="Times New Roman" w:eastAsia="宋体" w:cs="Times New Roman"/>
                <w:b/>
                <w:bCs/>
                <w:color w:val="auto"/>
                <w:kern w:val="0"/>
                <w:sz w:val="21"/>
                <w:szCs w:val="21"/>
              </w:rPr>
            </w:pPr>
          </w:p>
        </w:tc>
        <w:tc>
          <w:tcPr>
            <w:tcW w:w="1280" w:type="dxa"/>
            <w:vMerge w:val="continue"/>
            <w:noWrap w:val="0"/>
            <w:vAlign w:val="center"/>
          </w:tcPr>
          <w:p w14:paraId="3B90CAF5">
            <w:pPr>
              <w:widowControl/>
              <w:jc w:val="center"/>
              <w:rPr>
                <w:rFonts w:hint="default" w:ascii="Times New Roman" w:hAnsi="Times New Roman" w:eastAsia="宋体" w:cs="Times New Roman"/>
                <w:color w:val="auto"/>
                <w:kern w:val="0"/>
                <w:sz w:val="21"/>
                <w:szCs w:val="21"/>
              </w:rPr>
            </w:pPr>
          </w:p>
        </w:tc>
        <w:tc>
          <w:tcPr>
            <w:tcW w:w="1280" w:type="dxa"/>
            <w:noWrap w:val="0"/>
            <w:vAlign w:val="center"/>
          </w:tcPr>
          <w:p w14:paraId="53A69D8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A</w:t>
            </w:r>
          </w:p>
        </w:tc>
        <w:tc>
          <w:tcPr>
            <w:tcW w:w="1280" w:type="dxa"/>
            <w:noWrap w:val="0"/>
            <w:vAlign w:val="center"/>
          </w:tcPr>
          <w:p w14:paraId="17739C8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B</w:t>
            </w:r>
          </w:p>
        </w:tc>
        <w:tc>
          <w:tcPr>
            <w:tcW w:w="1280" w:type="dxa"/>
            <w:noWrap w:val="0"/>
            <w:vAlign w:val="center"/>
          </w:tcPr>
          <w:p w14:paraId="43BB4FD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w:t>
            </w:r>
          </w:p>
        </w:tc>
        <w:tc>
          <w:tcPr>
            <w:tcW w:w="1280" w:type="dxa"/>
            <w:noWrap w:val="0"/>
            <w:vAlign w:val="center"/>
          </w:tcPr>
          <w:p w14:paraId="472337E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w:t>
            </w:r>
          </w:p>
        </w:tc>
        <w:tc>
          <w:tcPr>
            <w:tcW w:w="1280" w:type="dxa"/>
            <w:noWrap w:val="0"/>
            <w:vAlign w:val="center"/>
          </w:tcPr>
          <w:p w14:paraId="40D1E41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E</w:t>
            </w:r>
          </w:p>
        </w:tc>
      </w:tr>
      <w:tr w14:paraId="30DB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048C33AB">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W</w:t>
            </w:r>
          </w:p>
        </w:tc>
        <w:tc>
          <w:tcPr>
            <w:tcW w:w="1280" w:type="dxa"/>
            <w:noWrap w:val="0"/>
            <w:vAlign w:val="center"/>
          </w:tcPr>
          <w:p w14:paraId="50F8A32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4DBB8C17">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3F37550">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1F6AA2C5">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87D421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2.71</w:t>
            </w:r>
          </w:p>
        </w:tc>
        <w:tc>
          <w:tcPr>
            <w:tcW w:w="1280" w:type="dxa"/>
            <w:noWrap w:val="0"/>
            <w:vAlign w:val="center"/>
          </w:tcPr>
          <w:p w14:paraId="51F02BE1">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w:t>
            </w:r>
          </w:p>
        </w:tc>
      </w:tr>
      <w:tr w14:paraId="0CDB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57CC6B0B">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6C4D6BDC">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1427AF7D">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0.81</w:t>
            </w:r>
          </w:p>
        </w:tc>
        <w:tc>
          <w:tcPr>
            <w:tcW w:w="1280" w:type="dxa"/>
            <w:noWrap w:val="0"/>
            <w:vAlign w:val="center"/>
          </w:tcPr>
          <w:p w14:paraId="63C7BB3D">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1.36</w:t>
            </w:r>
          </w:p>
        </w:tc>
        <w:tc>
          <w:tcPr>
            <w:tcW w:w="1280" w:type="dxa"/>
            <w:noWrap w:val="0"/>
            <w:vAlign w:val="center"/>
          </w:tcPr>
          <w:p w14:paraId="0CE45717">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281F3C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35C37A3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r>
      <w:tr w14:paraId="6D3F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3A43D637">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420222B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5D937D87">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87FF02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c>
          <w:tcPr>
            <w:tcW w:w="1280" w:type="dxa"/>
            <w:noWrap w:val="0"/>
            <w:vAlign w:val="center"/>
          </w:tcPr>
          <w:p w14:paraId="13CBC70A">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5CAA6B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B940965">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r>
      <w:tr w14:paraId="7A5F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3E5DA288">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WNW</w:t>
            </w:r>
          </w:p>
        </w:tc>
        <w:tc>
          <w:tcPr>
            <w:tcW w:w="1280" w:type="dxa"/>
            <w:noWrap w:val="0"/>
            <w:vAlign w:val="center"/>
          </w:tcPr>
          <w:p w14:paraId="6CC0884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414F3B8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F6F435C">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0CEC3900">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6E4F64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1.63</w:t>
            </w:r>
          </w:p>
        </w:tc>
        <w:tc>
          <w:tcPr>
            <w:tcW w:w="1280" w:type="dxa"/>
            <w:noWrap w:val="0"/>
            <w:vAlign w:val="center"/>
          </w:tcPr>
          <w:p w14:paraId="1E9E29E1">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r>
      <w:tr w14:paraId="656BD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503015DC">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7601410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589A8419">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62B649D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6A7D95F6">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C3FF32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1.36</w:t>
            </w:r>
          </w:p>
        </w:tc>
        <w:tc>
          <w:tcPr>
            <w:tcW w:w="1280" w:type="dxa"/>
            <w:noWrap w:val="0"/>
            <w:vAlign w:val="center"/>
          </w:tcPr>
          <w:p w14:paraId="43C0FC5E">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r>
      <w:tr w14:paraId="3949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2AF5C78C">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32D7727A">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1493742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54D340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1.08</w:t>
            </w:r>
          </w:p>
        </w:tc>
        <w:tc>
          <w:tcPr>
            <w:tcW w:w="1280" w:type="dxa"/>
            <w:noWrap w:val="0"/>
            <w:vAlign w:val="center"/>
          </w:tcPr>
          <w:p w14:paraId="6CB14C0A">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D897A45">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12CB7183">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r>
      <w:tr w14:paraId="48BA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restart"/>
            <w:noWrap w:val="0"/>
            <w:vAlign w:val="center"/>
          </w:tcPr>
          <w:p w14:paraId="4907919D">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NW</w:t>
            </w:r>
          </w:p>
        </w:tc>
        <w:tc>
          <w:tcPr>
            <w:tcW w:w="1280" w:type="dxa"/>
            <w:noWrap w:val="0"/>
            <w:vAlign w:val="center"/>
          </w:tcPr>
          <w:p w14:paraId="0E5EABD4">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&lt;1.5</w:t>
            </w:r>
          </w:p>
        </w:tc>
        <w:tc>
          <w:tcPr>
            <w:tcW w:w="1280" w:type="dxa"/>
            <w:noWrap w:val="0"/>
            <w:vAlign w:val="center"/>
          </w:tcPr>
          <w:p w14:paraId="307C9B80">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4613E29">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D95CC5C">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1AAF8261">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1.9</w:t>
            </w:r>
          </w:p>
        </w:tc>
        <w:tc>
          <w:tcPr>
            <w:tcW w:w="1280" w:type="dxa"/>
            <w:noWrap w:val="0"/>
            <w:vAlign w:val="center"/>
          </w:tcPr>
          <w:p w14:paraId="3D40D253">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r>
      <w:tr w14:paraId="136A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0FDC16E3">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43ED04E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1.5~3</w:t>
            </w:r>
          </w:p>
        </w:tc>
        <w:tc>
          <w:tcPr>
            <w:tcW w:w="1280" w:type="dxa"/>
            <w:noWrap w:val="0"/>
            <w:vAlign w:val="center"/>
          </w:tcPr>
          <w:p w14:paraId="578BC1E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0.27</w:t>
            </w:r>
          </w:p>
        </w:tc>
        <w:tc>
          <w:tcPr>
            <w:tcW w:w="1280" w:type="dxa"/>
            <w:noWrap w:val="0"/>
            <w:vAlign w:val="center"/>
          </w:tcPr>
          <w:p w14:paraId="3BCB6E8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25D61B1">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4C8BA18">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0.54</w:t>
            </w:r>
          </w:p>
        </w:tc>
        <w:tc>
          <w:tcPr>
            <w:tcW w:w="1280" w:type="dxa"/>
            <w:noWrap w:val="0"/>
            <w:vAlign w:val="center"/>
          </w:tcPr>
          <w:p w14:paraId="70B69483">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r>
      <w:tr w14:paraId="1F6D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vMerge w:val="continue"/>
            <w:noWrap w:val="0"/>
            <w:vAlign w:val="center"/>
          </w:tcPr>
          <w:p w14:paraId="793E9274">
            <w:pPr>
              <w:widowControl/>
              <w:jc w:val="center"/>
              <w:rPr>
                <w:rFonts w:hint="default" w:ascii="Times New Roman" w:hAnsi="Times New Roman" w:eastAsia="宋体" w:cs="Times New Roman"/>
                <w:b/>
                <w:bCs/>
                <w:color w:val="auto"/>
                <w:kern w:val="0"/>
                <w:sz w:val="21"/>
                <w:szCs w:val="21"/>
              </w:rPr>
            </w:pPr>
          </w:p>
        </w:tc>
        <w:tc>
          <w:tcPr>
            <w:tcW w:w="1280" w:type="dxa"/>
            <w:noWrap w:val="0"/>
            <w:vAlign w:val="center"/>
          </w:tcPr>
          <w:p w14:paraId="5CBCE57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3~5</w:t>
            </w:r>
          </w:p>
        </w:tc>
        <w:tc>
          <w:tcPr>
            <w:tcW w:w="1280" w:type="dxa"/>
            <w:noWrap w:val="0"/>
            <w:vAlign w:val="center"/>
          </w:tcPr>
          <w:p w14:paraId="54EE13B8">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41CDEA3A">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5362CD95">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637FD4F9">
            <w:pPr>
              <w:widowControl/>
              <w:jc w:val="center"/>
              <w:rPr>
                <w:rFonts w:hint="default" w:ascii="Times New Roman" w:hAnsi="Times New Roman" w:eastAsia="宋体" w:cs="Times New Roman"/>
                <w:color w:val="auto"/>
                <w:kern w:val="0"/>
                <w:sz w:val="21"/>
                <w:szCs w:val="21"/>
              </w:rPr>
            </w:pPr>
          </w:p>
        </w:tc>
        <w:tc>
          <w:tcPr>
            <w:tcW w:w="1280" w:type="dxa"/>
            <w:noWrap w:val="0"/>
            <w:vAlign w:val="center"/>
          </w:tcPr>
          <w:p w14:paraId="69D4B572">
            <w:pPr>
              <w:widowControl/>
              <w:jc w:val="center"/>
              <w:rPr>
                <w:rFonts w:hint="default" w:ascii="Times New Roman" w:hAnsi="Times New Roman" w:eastAsia="宋体" w:cs="Times New Roman"/>
                <w:color w:val="auto"/>
                <w:kern w:val="0"/>
                <w:sz w:val="21"/>
                <w:szCs w:val="21"/>
              </w:rPr>
            </w:pPr>
            <w:r>
              <w:rPr>
                <w:rFonts w:hint="eastAsia" w:ascii="Times New Roman" w:hAnsi="Times New Roman" w:cs="Times New Roman"/>
                <w:color w:val="auto"/>
                <w:kern w:val="0"/>
                <w:sz w:val="21"/>
                <w:szCs w:val="21"/>
                <w:lang w:val="en-US" w:eastAsia="zh-CN"/>
              </w:rPr>
              <w:t>--</w:t>
            </w:r>
          </w:p>
        </w:tc>
      </w:tr>
      <w:tr w14:paraId="33D6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79" w:type="dxa"/>
            <w:noWrap w:val="0"/>
            <w:vAlign w:val="center"/>
          </w:tcPr>
          <w:p w14:paraId="7AE7467B">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C</w:t>
            </w:r>
          </w:p>
        </w:tc>
        <w:tc>
          <w:tcPr>
            <w:tcW w:w="1280" w:type="dxa"/>
            <w:noWrap w:val="0"/>
            <w:vAlign w:val="center"/>
          </w:tcPr>
          <w:p w14:paraId="490AC032">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762A4606">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343AA1FE">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0FEC551">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w:t>
            </w:r>
          </w:p>
        </w:tc>
        <w:tc>
          <w:tcPr>
            <w:tcW w:w="1280" w:type="dxa"/>
            <w:noWrap w:val="0"/>
            <w:vAlign w:val="center"/>
          </w:tcPr>
          <w:p w14:paraId="203FE47F">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4.12</w:t>
            </w:r>
          </w:p>
        </w:tc>
        <w:tc>
          <w:tcPr>
            <w:tcW w:w="1280" w:type="dxa"/>
            <w:noWrap w:val="0"/>
            <w:vAlign w:val="center"/>
          </w:tcPr>
          <w:p w14:paraId="2BCA6182">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2.17</w:t>
            </w:r>
          </w:p>
        </w:tc>
      </w:tr>
    </w:tbl>
    <w:p w14:paraId="29AE747E">
      <w:pPr>
        <w:pStyle w:val="1263"/>
        <w:spacing w:before="0" w:beforeLines="0" w:line="440" w:lineRule="exac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表5.2-9  主要非零联合频率（%）</w:t>
      </w:r>
    </w:p>
    <w:tbl>
      <w:tblPr>
        <w:tblStyle w:val="6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792"/>
        <w:gridCol w:w="1792"/>
        <w:gridCol w:w="1792"/>
        <w:gridCol w:w="1792"/>
      </w:tblGrid>
      <w:tr w14:paraId="2C7E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0BDC39B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792" w:type="dxa"/>
            <w:noWrap w:val="0"/>
            <w:vAlign w:val="center"/>
          </w:tcPr>
          <w:p w14:paraId="3F1413C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风向</w:t>
            </w:r>
          </w:p>
        </w:tc>
        <w:tc>
          <w:tcPr>
            <w:tcW w:w="1792" w:type="dxa"/>
            <w:noWrap w:val="0"/>
            <w:vAlign w:val="center"/>
          </w:tcPr>
          <w:p w14:paraId="3A7502A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平均风速</w:t>
            </w:r>
          </w:p>
        </w:tc>
        <w:tc>
          <w:tcPr>
            <w:tcW w:w="1792" w:type="dxa"/>
            <w:noWrap w:val="0"/>
            <w:vAlign w:val="center"/>
          </w:tcPr>
          <w:p w14:paraId="6B0033C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稳定度</w:t>
            </w:r>
          </w:p>
        </w:tc>
        <w:tc>
          <w:tcPr>
            <w:tcW w:w="1792" w:type="dxa"/>
            <w:noWrap w:val="0"/>
            <w:vAlign w:val="center"/>
          </w:tcPr>
          <w:p w14:paraId="6DD00E4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联合频率</w:t>
            </w:r>
          </w:p>
        </w:tc>
      </w:tr>
      <w:tr w14:paraId="2CCD7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187D493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p>
        </w:tc>
        <w:tc>
          <w:tcPr>
            <w:tcW w:w="1792" w:type="dxa"/>
            <w:noWrap w:val="0"/>
            <w:vAlign w:val="center"/>
          </w:tcPr>
          <w:p w14:paraId="66B1F4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792" w:type="dxa"/>
            <w:noWrap w:val="0"/>
            <w:vAlign w:val="center"/>
          </w:tcPr>
          <w:p w14:paraId="0F0A89A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567D82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61B1B8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4.88</w:t>
            </w:r>
          </w:p>
        </w:tc>
      </w:tr>
      <w:tr w14:paraId="74F3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1363008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w:t>
            </w:r>
          </w:p>
        </w:tc>
        <w:tc>
          <w:tcPr>
            <w:tcW w:w="1792" w:type="dxa"/>
            <w:noWrap w:val="0"/>
            <w:vAlign w:val="center"/>
          </w:tcPr>
          <w:p w14:paraId="6A822C6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WSW</w:t>
            </w:r>
          </w:p>
        </w:tc>
        <w:tc>
          <w:tcPr>
            <w:tcW w:w="1792" w:type="dxa"/>
            <w:noWrap w:val="0"/>
            <w:vAlign w:val="center"/>
          </w:tcPr>
          <w:p w14:paraId="04C154B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673C377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43BDB6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4.88</w:t>
            </w:r>
          </w:p>
        </w:tc>
      </w:tr>
      <w:tr w14:paraId="75EF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1640546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3</w:t>
            </w:r>
          </w:p>
        </w:tc>
        <w:tc>
          <w:tcPr>
            <w:tcW w:w="1792" w:type="dxa"/>
            <w:noWrap w:val="0"/>
            <w:vAlign w:val="center"/>
          </w:tcPr>
          <w:p w14:paraId="463290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w:t>
            </w:r>
          </w:p>
        </w:tc>
        <w:tc>
          <w:tcPr>
            <w:tcW w:w="1792" w:type="dxa"/>
            <w:noWrap w:val="0"/>
            <w:vAlign w:val="center"/>
          </w:tcPr>
          <w:p w14:paraId="4A0104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557319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7508CA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4.12</w:t>
            </w:r>
          </w:p>
        </w:tc>
      </w:tr>
      <w:tr w14:paraId="4728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79976B76">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4</w:t>
            </w:r>
          </w:p>
        </w:tc>
        <w:tc>
          <w:tcPr>
            <w:tcW w:w="1792" w:type="dxa"/>
            <w:noWrap w:val="0"/>
            <w:vAlign w:val="center"/>
          </w:tcPr>
          <w:p w14:paraId="7EBEB5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1792" w:type="dxa"/>
            <w:noWrap w:val="0"/>
            <w:vAlign w:val="center"/>
          </w:tcPr>
          <w:p w14:paraId="6B7982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3C9F26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7AAF273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3.52</w:t>
            </w:r>
          </w:p>
        </w:tc>
      </w:tr>
      <w:tr w14:paraId="186B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03A65A7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5</w:t>
            </w:r>
          </w:p>
        </w:tc>
        <w:tc>
          <w:tcPr>
            <w:tcW w:w="1792" w:type="dxa"/>
            <w:noWrap w:val="0"/>
            <w:vAlign w:val="center"/>
          </w:tcPr>
          <w:p w14:paraId="63D1BF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w:t>
            </w:r>
          </w:p>
        </w:tc>
        <w:tc>
          <w:tcPr>
            <w:tcW w:w="1792" w:type="dxa"/>
            <w:noWrap w:val="0"/>
            <w:vAlign w:val="center"/>
          </w:tcPr>
          <w:p w14:paraId="46FB09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6067C8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3E8534D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2.98</w:t>
            </w:r>
          </w:p>
        </w:tc>
      </w:tr>
      <w:tr w14:paraId="773D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1AD723E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6</w:t>
            </w:r>
          </w:p>
        </w:tc>
        <w:tc>
          <w:tcPr>
            <w:tcW w:w="1792" w:type="dxa"/>
            <w:noWrap w:val="0"/>
            <w:vAlign w:val="center"/>
          </w:tcPr>
          <w:p w14:paraId="1B4D6D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1792" w:type="dxa"/>
            <w:noWrap w:val="0"/>
            <w:vAlign w:val="center"/>
          </w:tcPr>
          <w:p w14:paraId="40F728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10CCED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w:t>
            </w:r>
          </w:p>
        </w:tc>
        <w:tc>
          <w:tcPr>
            <w:tcW w:w="1792" w:type="dxa"/>
            <w:noWrap w:val="0"/>
            <w:vAlign w:val="center"/>
          </w:tcPr>
          <w:p w14:paraId="4822EC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w:t>
            </w:r>
          </w:p>
        </w:tc>
      </w:tr>
      <w:tr w14:paraId="5764F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0E51DDB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7</w:t>
            </w:r>
          </w:p>
        </w:tc>
        <w:tc>
          <w:tcPr>
            <w:tcW w:w="1792" w:type="dxa"/>
            <w:noWrap w:val="0"/>
            <w:vAlign w:val="center"/>
          </w:tcPr>
          <w:p w14:paraId="00CE3C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p>
        </w:tc>
        <w:tc>
          <w:tcPr>
            <w:tcW w:w="1792" w:type="dxa"/>
            <w:noWrap w:val="0"/>
            <w:vAlign w:val="center"/>
          </w:tcPr>
          <w:p w14:paraId="115304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39E64E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748F81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w:t>
            </w:r>
          </w:p>
        </w:tc>
      </w:tr>
      <w:tr w14:paraId="155F8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45BB7FF5">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8</w:t>
            </w:r>
          </w:p>
        </w:tc>
        <w:tc>
          <w:tcPr>
            <w:tcW w:w="1792" w:type="dxa"/>
            <w:noWrap w:val="0"/>
            <w:vAlign w:val="center"/>
          </w:tcPr>
          <w:p w14:paraId="093E9C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792" w:type="dxa"/>
            <w:noWrap w:val="0"/>
            <w:vAlign w:val="center"/>
          </w:tcPr>
          <w:p w14:paraId="6E0AFA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243C7A0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1792" w:type="dxa"/>
            <w:noWrap w:val="0"/>
            <w:vAlign w:val="center"/>
          </w:tcPr>
          <w:p w14:paraId="379372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2.71</w:t>
            </w:r>
          </w:p>
        </w:tc>
      </w:tr>
      <w:tr w14:paraId="6546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77A114B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9</w:t>
            </w:r>
          </w:p>
        </w:tc>
        <w:tc>
          <w:tcPr>
            <w:tcW w:w="1792" w:type="dxa"/>
            <w:noWrap w:val="0"/>
            <w:vAlign w:val="center"/>
          </w:tcPr>
          <w:p w14:paraId="174752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NE</w:t>
            </w:r>
          </w:p>
        </w:tc>
        <w:tc>
          <w:tcPr>
            <w:tcW w:w="1792" w:type="dxa"/>
            <w:noWrap w:val="0"/>
            <w:vAlign w:val="center"/>
          </w:tcPr>
          <w:p w14:paraId="3D5B22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1678F5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22FF4A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2.44</w:t>
            </w:r>
          </w:p>
        </w:tc>
      </w:tr>
      <w:tr w14:paraId="7CE33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07B6E8A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10</w:t>
            </w:r>
          </w:p>
        </w:tc>
        <w:tc>
          <w:tcPr>
            <w:tcW w:w="1792" w:type="dxa"/>
            <w:noWrap w:val="0"/>
            <w:vAlign w:val="center"/>
          </w:tcPr>
          <w:p w14:paraId="79B73B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1792" w:type="dxa"/>
            <w:noWrap w:val="0"/>
            <w:vAlign w:val="center"/>
          </w:tcPr>
          <w:p w14:paraId="661A758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1.5~3.0</w:t>
            </w:r>
          </w:p>
        </w:tc>
        <w:tc>
          <w:tcPr>
            <w:tcW w:w="1792" w:type="dxa"/>
            <w:noWrap w:val="0"/>
            <w:vAlign w:val="center"/>
          </w:tcPr>
          <w:p w14:paraId="459176F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0DF1CE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w:t>
            </w:r>
          </w:p>
        </w:tc>
      </w:tr>
      <w:tr w14:paraId="16AC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71B221F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11</w:t>
            </w:r>
          </w:p>
        </w:tc>
        <w:tc>
          <w:tcPr>
            <w:tcW w:w="1792" w:type="dxa"/>
            <w:noWrap w:val="0"/>
            <w:vAlign w:val="center"/>
          </w:tcPr>
          <w:p w14:paraId="5503227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WSW</w:t>
            </w:r>
          </w:p>
        </w:tc>
        <w:tc>
          <w:tcPr>
            <w:tcW w:w="1792" w:type="dxa"/>
            <w:noWrap w:val="0"/>
            <w:vAlign w:val="center"/>
          </w:tcPr>
          <w:p w14:paraId="54EAF0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0BA73E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w:t>
            </w:r>
          </w:p>
        </w:tc>
        <w:tc>
          <w:tcPr>
            <w:tcW w:w="1792" w:type="dxa"/>
            <w:noWrap w:val="0"/>
            <w:vAlign w:val="center"/>
          </w:tcPr>
          <w:p w14:paraId="5644FB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w:t>
            </w:r>
          </w:p>
        </w:tc>
      </w:tr>
      <w:tr w14:paraId="3467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6EA5E7C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12</w:t>
            </w:r>
          </w:p>
        </w:tc>
        <w:tc>
          <w:tcPr>
            <w:tcW w:w="1792" w:type="dxa"/>
            <w:noWrap w:val="0"/>
            <w:vAlign w:val="center"/>
          </w:tcPr>
          <w:p w14:paraId="576C41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w:t>
            </w:r>
          </w:p>
        </w:tc>
        <w:tc>
          <w:tcPr>
            <w:tcW w:w="1792" w:type="dxa"/>
            <w:noWrap w:val="0"/>
            <w:vAlign w:val="center"/>
          </w:tcPr>
          <w:p w14:paraId="6E11D9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751AD1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p>
        </w:tc>
        <w:tc>
          <w:tcPr>
            <w:tcW w:w="1792" w:type="dxa"/>
            <w:noWrap w:val="0"/>
            <w:vAlign w:val="center"/>
          </w:tcPr>
          <w:p w14:paraId="795218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w:t>
            </w:r>
          </w:p>
        </w:tc>
      </w:tr>
      <w:tr w14:paraId="6AF4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1" w:type="dxa"/>
            <w:noWrap w:val="0"/>
            <w:vAlign w:val="center"/>
          </w:tcPr>
          <w:p w14:paraId="40704A5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13</w:t>
            </w:r>
          </w:p>
        </w:tc>
        <w:tc>
          <w:tcPr>
            <w:tcW w:w="1792" w:type="dxa"/>
            <w:noWrap w:val="0"/>
            <w:vAlign w:val="center"/>
          </w:tcPr>
          <w:p w14:paraId="1BB026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WSW</w:t>
            </w:r>
          </w:p>
        </w:tc>
        <w:tc>
          <w:tcPr>
            <w:tcW w:w="1792" w:type="dxa"/>
            <w:noWrap w:val="0"/>
            <w:vAlign w:val="center"/>
          </w:tcPr>
          <w:p w14:paraId="2B2192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&lt;1.5</w:t>
            </w:r>
          </w:p>
        </w:tc>
        <w:tc>
          <w:tcPr>
            <w:tcW w:w="1792" w:type="dxa"/>
            <w:noWrap w:val="0"/>
            <w:vAlign w:val="center"/>
          </w:tcPr>
          <w:p w14:paraId="1943747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w:t>
            </w:r>
          </w:p>
        </w:tc>
        <w:tc>
          <w:tcPr>
            <w:tcW w:w="1792" w:type="dxa"/>
            <w:noWrap w:val="0"/>
            <w:vAlign w:val="center"/>
          </w:tcPr>
          <w:p w14:paraId="4EF75B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2.17</w:t>
            </w:r>
          </w:p>
        </w:tc>
      </w:tr>
    </w:tbl>
    <w:p w14:paraId="077EFA7D">
      <w:pPr>
        <w:adjustRightInd w:val="0"/>
        <w:snapToGrid w:val="0"/>
        <w:outlineLvl w:val="3"/>
        <w:rPr>
          <w:rFonts w:hint="default" w:ascii="Times New Roman" w:hAnsi="Times New Roman" w:eastAsia="宋体" w:cs="Times New Roman"/>
          <w:b/>
          <w:color w:val="auto"/>
        </w:rPr>
      </w:pPr>
      <w:r>
        <w:rPr>
          <w:rFonts w:hint="default" w:ascii="Times New Roman" w:hAnsi="Times New Roman" w:eastAsia="宋体" w:cs="Times New Roman"/>
          <w:b/>
          <w:color w:val="auto"/>
        </w:rPr>
        <w:t>5.2.1.2预测分析</w:t>
      </w:r>
    </w:p>
    <w:p w14:paraId="6FB11A1B">
      <w:pPr>
        <w:ind w:firstLine="470" w:firstLineChars="196"/>
        <w:rPr>
          <w:rFonts w:hint="default" w:ascii="Times New Roman" w:hAnsi="Times New Roman" w:eastAsia="宋体" w:cs="Times New Roman"/>
          <w:color w:val="auto"/>
        </w:rPr>
      </w:pPr>
      <w:r>
        <w:rPr>
          <w:rFonts w:hint="default" w:ascii="Times New Roman" w:hAnsi="Times New Roman" w:eastAsia="宋体" w:cs="Times New Roman"/>
          <w:color w:val="auto"/>
        </w:rPr>
        <w:t>根据工程分析可知，项目生产过程中主要大气污染物为</w:t>
      </w:r>
      <w:r>
        <w:rPr>
          <w:rFonts w:hint="default" w:ascii="Times New Roman" w:hAnsi="Times New Roman" w:eastAsia="宋体" w:cs="Times New Roman"/>
          <w:color w:val="auto"/>
          <w:kern w:val="0"/>
          <w:lang w:eastAsia="zh-CN"/>
        </w:rPr>
        <w:t>服装制造阶段产生的粉尘，污水处理站异味</w:t>
      </w:r>
      <w:r>
        <w:rPr>
          <w:rFonts w:hint="default" w:ascii="Times New Roman" w:hAnsi="Times New Roman" w:eastAsia="宋体" w:cs="Times New Roman"/>
          <w:color w:val="auto"/>
          <w:kern w:val="0"/>
        </w:rPr>
        <w:t>及食堂油烟。</w:t>
      </w:r>
    </w:p>
    <w:p w14:paraId="4971B697">
      <w:pPr>
        <w:widowControl/>
        <w:numPr>
          <w:ilvl w:val="0"/>
          <w:numId w:val="6"/>
        </w:numPr>
        <w:ind w:firstLine="482" w:firstLineChars="200"/>
        <w:jc w:val="left"/>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评价等级</w:t>
      </w:r>
    </w:p>
    <w:p w14:paraId="1B9CD1CF">
      <w:pPr>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r>
        <w:rPr>
          <w:rFonts w:hint="default" w:ascii="Times New Roman" w:hAnsi="Times New Roman" w:eastAsia="宋体" w:cs="Times New Roman"/>
          <w:color w:val="auto"/>
          <w:lang w:val="en-US" w:eastAsia="zh-CN"/>
        </w:rPr>
        <w:t xml:space="preserve"> </w:t>
      </w:r>
    </w:p>
    <w:p w14:paraId="67C759C0">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①P</w:t>
      </w:r>
      <w:r>
        <w:rPr>
          <w:rFonts w:hint="default" w:ascii="Times New Roman" w:hAnsi="Times New Roman" w:eastAsia="宋体" w:cs="Times New Roman"/>
          <w:color w:val="auto"/>
          <w:vertAlign w:val="subscript"/>
        </w:rPr>
        <w:t>max</w:t>
      </w:r>
      <w:r>
        <w:rPr>
          <w:rFonts w:hint="default" w:ascii="Times New Roman" w:hAnsi="Times New Roman" w:eastAsia="宋体" w:cs="Times New Roman"/>
          <w:color w:val="auto"/>
        </w:rPr>
        <w:t>及D</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的确定</w:t>
      </w:r>
    </w:p>
    <w:p w14:paraId="4E6EF18B">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依据《环境影响评价技术导则 大气环境》(HJ2.2-2018)中最大地面浓度占标率P</w:t>
      </w:r>
      <w:r>
        <w:rPr>
          <w:rFonts w:hint="default" w:ascii="Times New Roman" w:hAnsi="Times New Roman" w:eastAsia="宋体" w:cs="Times New Roman"/>
          <w:i/>
          <w:color w:val="auto"/>
        </w:rPr>
        <w:t>i</w:t>
      </w:r>
      <w:r>
        <w:rPr>
          <w:rFonts w:hint="default" w:ascii="Times New Roman" w:hAnsi="Times New Roman" w:eastAsia="宋体" w:cs="Times New Roman"/>
          <w:color w:val="auto"/>
        </w:rPr>
        <w:t>定义如下：</w:t>
      </w:r>
    </w:p>
    <w:p w14:paraId="062B7F26">
      <w:pPr>
        <w:ind w:firstLine="480" w:firstLineChars="20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0" distR="0">
            <wp:extent cx="1133475" cy="419100"/>
            <wp:effectExtent l="0" t="0" r="9525" b="0"/>
            <wp:docPr id="8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
                    <pic:cNvPicPr>
                      <a:picLocks noChangeAspect="1" noChangeArrowheads="1"/>
                    </pic:cNvPicPr>
                  </pic:nvPicPr>
                  <pic:blipFill>
                    <a:blip r:embed="rId17" cstate="print"/>
                    <a:srcRect/>
                    <a:stretch>
                      <a:fillRect/>
                    </a:stretch>
                  </pic:blipFill>
                  <pic:spPr>
                    <a:xfrm>
                      <a:off x="0" y="0"/>
                      <a:ext cx="1133475" cy="419100"/>
                    </a:xfrm>
                    <a:prstGeom prst="rect">
                      <a:avLst/>
                    </a:prstGeom>
                    <a:noFill/>
                    <a:ln w="9525">
                      <a:noFill/>
                      <a:miter lim="800000"/>
                      <a:headEnd/>
                      <a:tailEnd/>
                    </a:ln>
                  </pic:spPr>
                </pic:pic>
              </a:graphicData>
            </a:graphic>
          </wp:inline>
        </w:drawing>
      </w:r>
    </w:p>
    <w:p w14:paraId="2B4240F1">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——第i个污染物的最大地面空气质量浓度 占标率，%；</w:t>
      </w:r>
    </w:p>
    <w:p w14:paraId="55507424">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——采用估算模型计算出的第i个污染物的最大1h地面空气质量浓度，μg/m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14:paraId="3C39D762">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——第i个污染物的环境空气质量浓度标准，μg/m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14:paraId="29422F33">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②评价等级判别表</w:t>
      </w:r>
    </w:p>
    <w:p w14:paraId="4F2E87D6">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评价等级按下表的分级判据进行划分。</w:t>
      </w:r>
    </w:p>
    <w:p w14:paraId="128FAE3F">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eastAsia" w:ascii="Times New Roman" w:hAnsi="Times New Roman" w:cs="Times New Roman"/>
          <w:b/>
          <w:bCs/>
          <w:color w:val="auto"/>
          <w:lang w:val="en-US" w:eastAsia="zh-CN"/>
        </w:rPr>
        <w:t>9</w:t>
      </w:r>
      <w:r>
        <w:rPr>
          <w:rFonts w:hint="default" w:ascii="Times New Roman" w:hAnsi="Times New Roman" w:eastAsia="宋体" w:cs="Times New Roman"/>
          <w:b/>
          <w:bCs/>
          <w:color w:val="auto"/>
        </w:rPr>
        <w:t xml:space="preserve"> 评价等级判别表</w:t>
      </w:r>
    </w:p>
    <w:tbl>
      <w:tblPr>
        <w:tblStyle w:val="67"/>
        <w:tblW w:w="88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433"/>
        <w:gridCol w:w="4432"/>
      </w:tblGrid>
      <w:tr w14:paraId="1959A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4433" w:type="dxa"/>
            <w:tcBorders>
              <w:top w:val="single" w:color="auto" w:sz="4" w:space="0"/>
              <w:left w:val="single" w:color="auto" w:sz="4" w:space="0"/>
              <w:bottom w:val="single" w:color="auto" w:sz="4" w:space="0"/>
              <w:right w:val="single" w:color="auto" w:sz="4" w:space="0"/>
            </w:tcBorders>
            <w:vAlign w:val="center"/>
          </w:tcPr>
          <w:p w14:paraId="16E4B403">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评价工作等级</w:t>
            </w:r>
          </w:p>
        </w:tc>
        <w:tc>
          <w:tcPr>
            <w:tcW w:w="4432" w:type="dxa"/>
            <w:tcBorders>
              <w:top w:val="single" w:color="auto" w:sz="4" w:space="0"/>
              <w:left w:val="single" w:color="auto" w:sz="4" w:space="0"/>
              <w:bottom w:val="single" w:color="auto" w:sz="4" w:space="0"/>
              <w:right w:val="single" w:color="auto" w:sz="4" w:space="0"/>
            </w:tcBorders>
            <w:vAlign w:val="center"/>
          </w:tcPr>
          <w:p w14:paraId="6DA24C8D">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评价工作分级判据</w:t>
            </w:r>
          </w:p>
        </w:tc>
      </w:tr>
      <w:tr w14:paraId="5628A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4433" w:type="dxa"/>
            <w:tcBorders>
              <w:top w:val="single" w:color="auto" w:sz="4" w:space="0"/>
              <w:left w:val="single" w:color="auto" w:sz="4" w:space="0"/>
              <w:bottom w:val="single" w:color="auto" w:sz="4" w:space="0"/>
              <w:right w:val="single" w:color="auto" w:sz="4" w:space="0"/>
            </w:tcBorders>
            <w:vAlign w:val="center"/>
          </w:tcPr>
          <w:p w14:paraId="0D3ED3DC">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一级评价</w:t>
            </w:r>
          </w:p>
        </w:tc>
        <w:tc>
          <w:tcPr>
            <w:tcW w:w="4432" w:type="dxa"/>
            <w:tcBorders>
              <w:top w:val="single" w:color="auto" w:sz="4" w:space="0"/>
              <w:left w:val="single" w:color="auto" w:sz="4" w:space="0"/>
              <w:bottom w:val="single" w:color="auto" w:sz="4" w:space="0"/>
              <w:right w:val="single" w:color="auto" w:sz="4" w:space="0"/>
            </w:tcBorders>
            <w:vAlign w:val="center"/>
          </w:tcPr>
          <w:p w14:paraId="1A00BDDC">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Pmax≧10%</w:t>
            </w:r>
          </w:p>
        </w:tc>
      </w:tr>
      <w:tr w14:paraId="747AD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4433" w:type="dxa"/>
            <w:tcBorders>
              <w:top w:val="single" w:color="auto" w:sz="4" w:space="0"/>
              <w:left w:val="single" w:color="auto" w:sz="4" w:space="0"/>
              <w:bottom w:val="single" w:color="auto" w:sz="4" w:space="0"/>
              <w:right w:val="single" w:color="auto" w:sz="4" w:space="0"/>
            </w:tcBorders>
            <w:vAlign w:val="center"/>
          </w:tcPr>
          <w:p w14:paraId="61B39C87">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二级评价</w:t>
            </w:r>
          </w:p>
        </w:tc>
        <w:tc>
          <w:tcPr>
            <w:tcW w:w="4432" w:type="dxa"/>
            <w:tcBorders>
              <w:top w:val="single" w:color="auto" w:sz="4" w:space="0"/>
              <w:left w:val="single" w:color="auto" w:sz="4" w:space="0"/>
              <w:bottom w:val="single" w:color="auto" w:sz="4" w:space="0"/>
              <w:right w:val="single" w:color="auto" w:sz="4" w:space="0"/>
            </w:tcBorders>
            <w:vAlign w:val="center"/>
          </w:tcPr>
          <w:p w14:paraId="64064D31">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1%≦Pmax&lt;10%</w:t>
            </w:r>
          </w:p>
        </w:tc>
      </w:tr>
      <w:tr w14:paraId="1AD92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trPr>
        <w:tc>
          <w:tcPr>
            <w:tcW w:w="4433" w:type="dxa"/>
            <w:tcBorders>
              <w:top w:val="single" w:color="auto" w:sz="4" w:space="0"/>
              <w:left w:val="single" w:color="auto" w:sz="4" w:space="0"/>
              <w:bottom w:val="single" w:color="auto" w:sz="4" w:space="0"/>
              <w:right w:val="single" w:color="auto" w:sz="4" w:space="0"/>
            </w:tcBorders>
            <w:vAlign w:val="center"/>
          </w:tcPr>
          <w:p w14:paraId="7C1A7AB1">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三级评价</w:t>
            </w:r>
          </w:p>
        </w:tc>
        <w:tc>
          <w:tcPr>
            <w:tcW w:w="4432" w:type="dxa"/>
            <w:tcBorders>
              <w:top w:val="single" w:color="auto" w:sz="4" w:space="0"/>
              <w:left w:val="single" w:color="auto" w:sz="4" w:space="0"/>
              <w:bottom w:val="single" w:color="auto" w:sz="4" w:space="0"/>
              <w:right w:val="single" w:color="auto" w:sz="4" w:space="0"/>
            </w:tcBorders>
            <w:vAlign w:val="center"/>
          </w:tcPr>
          <w:p w14:paraId="6FD599D3">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Pmax&lt;1%</w:t>
            </w:r>
          </w:p>
        </w:tc>
      </w:tr>
    </w:tbl>
    <w:p w14:paraId="60BF4978">
      <w:pPr>
        <w:ind w:firstLine="422" w:firstLineChars="176"/>
        <w:rPr>
          <w:rFonts w:hint="default" w:ascii="Times New Roman" w:hAnsi="Times New Roman" w:eastAsia="宋体" w:cs="Times New Roman"/>
          <w:color w:val="auto"/>
        </w:rPr>
      </w:pPr>
      <w:r>
        <w:rPr>
          <w:rFonts w:hint="default" w:ascii="Times New Roman" w:hAnsi="Times New Roman" w:eastAsia="宋体" w:cs="Times New Roman"/>
          <w:color w:val="auto"/>
        </w:rPr>
        <w:t>③污染物评价标准</w:t>
      </w:r>
    </w:p>
    <w:p w14:paraId="0BA6CC12">
      <w:pPr>
        <w:ind w:firstLine="422" w:firstLineChars="176"/>
        <w:rPr>
          <w:rFonts w:hint="default" w:ascii="Times New Roman" w:hAnsi="Times New Roman" w:eastAsia="宋体" w:cs="Times New Roman"/>
          <w:color w:val="auto"/>
        </w:rPr>
      </w:pPr>
      <w:r>
        <w:rPr>
          <w:rFonts w:hint="default" w:ascii="Times New Roman" w:hAnsi="Times New Roman" w:eastAsia="宋体" w:cs="Times New Roman"/>
          <w:color w:val="auto"/>
        </w:rPr>
        <w:t>污染物评价标准和来源见下表。</w:t>
      </w:r>
    </w:p>
    <w:p w14:paraId="7E94FCE5">
      <w:pPr>
        <w:jc w:val="center"/>
        <w:rPr>
          <w:rFonts w:hint="default" w:ascii="Times New Roman" w:hAnsi="Times New Roman" w:eastAsia="宋体" w:cs="Times New Roman"/>
          <w:b/>
          <w:bCs/>
          <w:color w:val="auto"/>
        </w:rPr>
      </w:pPr>
    </w:p>
    <w:p w14:paraId="79841806">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eastAsia" w:ascii="Times New Roman" w:hAnsi="Times New Roman" w:cs="Times New Roman"/>
          <w:b/>
          <w:bCs/>
          <w:color w:val="auto"/>
          <w:lang w:val="en-US" w:eastAsia="zh-CN"/>
        </w:rPr>
        <w:t>10</w:t>
      </w:r>
      <w:r>
        <w:rPr>
          <w:rFonts w:hint="default" w:ascii="Times New Roman" w:hAnsi="Times New Roman" w:eastAsia="宋体" w:cs="Times New Roman"/>
          <w:b/>
          <w:bCs/>
          <w:color w:val="auto"/>
        </w:rPr>
        <w:t xml:space="preserve">  污染物评价标准</w:t>
      </w:r>
    </w:p>
    <w:tbl>
      <w:tblPr>
        <w:tblStyle w:val="67"/>
        <w:tblW w:w="88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4"/>
        <w:gridCol w:w="1239"/>
        <w:gridCol w:w="1799"/>
        <w:gridCol w:w="1467"/>
        <w:gridCol w:w="2966"/>
      </w:tblGrid>
      <w:tr w14:paraId="55ABA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94" w:type="dxa"/>
            <w:tcBorders>
              <w:top w:val="single" w:color="auto" w:sz="4" w:space="0"/>
              <w:left w:val="single" w:color="auto" w:sz="4" w:space="0"/>
              <w:bottom w:val="single" w:color="auto" w:sz="4" w:space="0"/>
              <w:right w:val="single" w:color="auto" w:sz="4" w:space="0"/>
            </w:tcBorders>
            <w:vAlign w:val="center"/>
          </w:tcPr>
          <w:p w14:paraId="73AAB2EC">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污染物名称</w:t>
            </w:r>
          </w:p>
        </w:tc>
        <w:tc>
          <w:tcPr>
            <w:tcW w:w="1239" w:type="dxa"/>
            <w:tcBorders>
              <w:top w:val="single" w:color="auto" w:sz="4" w:space="0"/>
              <w:left w:val="single" w:color="auto" w:sz="4" w:space="0"/>
              <w:bottom w:val="single" w:color="auto" w:sz="4" w:space="0"/>
              <w:right w:val="single" w:color="auto" w:sz="4" w:space="0"/>
            </w:tcBorders>
            <w:vAlign w:val="center"/>
          </w:tcPr>
          <w:p w14:paraId="2F6AC87A">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功能区</w:t>
            </w:r>
          </w:p>
        </w:tc>
        <w:tc>
          <w:tcPr>
            <w:tcW w:w="1799" w:type="dxa"/>
            <w:tcBorders>
              <w:top w:val="single" w:color="auto" w:sz="4" w:space="0"/>
              <w:left w:val="single" w:color="auto" w:sz="4" w:space="0"/>
              <w:bottom w:val="single" w:color="auto" w:sz="4" w:space="0"/>
              <w:right w:val="single" w:color="auto" w:sz="4" w:space="0"/>
            </w:tcBorders>
            <w:vAlign w:val="center"/>
          </w:tcPr>
          <w:p w14:paraId="79CB68D1">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取值时间</w:t>
            </w:r>
          </w:p>
        </w:tc>
        <w:tc>
          <w:tcPr>
            <w:tcW w:w="1467" w:type="dxa"/>
            <w:tcBorders>
              <w:top w:val="single" w:color="auto" w:sz="4" w:space="0"/>
              <w:left w:val="single" w:color="auto" w:sz="4" w:space="0"/>
              <w:bottom w:val="single" w:color="auto" w:sz="4" w:space="0"/>
              <w:right w:val="single" w:color="auto" w:sz="4" w:space="0"/>
            </w:tcBorders>
            <w:vAlign w:val="center"/>
          </w:tcPr>
          <w:p w14:paraId="72FF245A">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标准值</w:t>
            </w:r>
          </w:p>
          <w:p w14:paraId="18A8F5C5">
            <w:pPr>
              <w:spacing w:line="240" w:lineRule="auto"/>
              <w:jc w:val="center"/>
              <w:rPr>
                <w:rFonts w:hint="default" w:ascii="Times New Roman" w:hAnsi="Times New Roman" w:eastAsia="宋体" w:cs="Times New Roman"/>
                <w:b/>
                <w:bCs/>
                <w:color w:val="auto"/>
                <w:kern w:val="2"/>
                <w:sz w:val="21"/>
              </w:rPr>
            </w:pPr>
            <w:bookmarkStart w:id="329" w:name="OLE_LINK14"/>
            <w:bookmarkStart w:id="330" w:name="OLE_LINK15"/>
            <w:r>
              <w:rPr>
                <w:rFonts w:hint="default" w:ascii="Times New Roman" w:hAnsi="Times New Roman" w:eastAsia="宋体" w:cs="Times New Roman"/>
                <w:b/>
                <w:bCs/>
                <w:color w:val="auto"/>
                <w:kern w:val="0"/>
                <w:sz w:val="21"/>
              </w:rPr>
              <w:t>(μg/m</w:t>
            </w:r>
            <w:r>
              <w:rPr>
                <w:rFonts w:hint="default" w:ascii="Times New Roman" w:hAnsi="Times New Roman" w:eastAsia="宋体" w:cs="Times New Roman"/>
                <w:b/>
                <w:bCs/>
                <w:color w:val="auto"/>
                <w:kern w:val="0"/>
                <w:sz w:val="21"/>
                <w:vertAlign w:val="superscript"/>
              </w:rPr>
              <w:t>3</w:t>
            </w:r>
            <w:r>
              <w:rPr>
                <w:rFonts w:hint="default" w:ascii="Times New Roman" w:hAnsi="Times New Roman" w:eastAsia="宋体" w:cs="Times New Roman"/>
                <w:b/>
                <w:bCs/>
                <w:color w:val="auto"/>
                <w:kern w:val="0"/>
                <w:sz w:val="21"/>
              </w:rPr>
              <w:t>)</w:t>
            </w:r>
            <w:bookmarkEnd w:id="329"/>
            <w:bookmarkEnd w:id="330"/>
          </w:p>
        </w:tc>
        <w:tc>
          <w:tcPr>
            <w:tcW w:w="2966" w:type="dxa"/>
            <w:tcBorders>
              <w:top w:val="single" w:color="auto" w:sz="4" w:space="0"/>
              <w:left w:val="single" w:color="auto" w:sz="4" w:space="0"/>
              <w:bottom w:val="single" w:color="auto" w:sz="4" w:space="0"/>
              <w:right w:val="single" w:color="auto" w:sz="4" w:space="0"/>
            </w:tcBorders>
            <w:vAlign w:val="center"/>
          </w:tcPr>
          <w:p w14:paraId="59384258">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标准来源</w:t>
            </w:r>
          </w:p>
        </w:tc>
      </w:tr>
      <w:tr w14:paraId="2811D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94" w:type="dxa"/>
            <w:tcBorders>
              <w:top w:val="single" w:color="auto" w:sz="4" w:space="0"/>
              <w:left w:val="single" w:color="auto" w:sz="4" w:space="0"/>
              <w:bottom w:val="single" w:color="auto" w:sz="4" w:space="0"/>
              <w:right w:val="single" w:color="auto" w:sz="4" w:space="0"/>
            </w:tcBorders>
            <w:vAlign w:val="center"/>
          </w:tcPr>
          <w:p w14:paraId="327F5762">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粉尘</w:t>
            </w:r>
          </w:p>
        </w:tc>
        <w:tc>
          <w:tcPr>
            <w:tcW w:w="1239" w:type="dxa"/>
            <w:vMerge w:val="restart"/>
            <w:tcBorders>
              <w:top w:val="single" w:color="auto" w:sz="4" w:space="0"/>
              <w:left w:val="single" w:color="auto" w:sz="4" w:space="0"/>
              <w:right w:val="single" w:color="auto" w:sz="4" w:space="0"/>
            </w:tcBorders>
            <w:vAlign w:val="center"/>
          </w:tcPr>
          <w:p w14:paraId="766309BB">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二类限区</w:t>
            </w:r>
          </w:p>
        </w:tc>
        <w:tc>
          <w:tcPr>
            <w:tcW w:w="1799" w:type="dxa"/>
            <w:tcBorders>
              <w:top w:val="single" w:color="auto" w:sz="4" w:space="0"/>
              <w:left w:val="single" w:color="auto" w:sz="4" w:space="0"/>
              <w:bottom w:val="single" w:color="auto" w:sz="4" w:space="0"/>
              <w:right w:val="single" w:color="auto" w:sz="4" w:space="0"/>
            </w:tcBorders>
            <w:vAlign w:val="center"/>
          </w:tcPr>
          <w:p w14:paraId="6657F955">
            <w:pPr>
              <w:pStyle w:val="223"/>
              <w:spacing w:beforeLines="0"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rPr>
              <w:t>1小时平均</w:t>
            </w:r>
          </w:p>
        </w:tc>
        <w:tc>
          <w:tcPr>
            <w:tcW w:w="1467" w:type="dxa"/>
            <w:tcBorders>
              <w:top w:val="single" w:color="auto" w:sz="4" w:space="0"/>
              <w:left w:val="single" w:color="auto" w:sz="4" w:space="0"/>
              <w:bottom w:val="single" w:color="auto" w:sz="4" w:space="0"/>
              <w:right w:val="single" w:color="auto" w:sz="4" w:space="0"/>
            </w:tcBorders>
            <w:vAlign w:val="center"/>
          </w:tcPr>
          <w:p w14:paraId="1E9167E4">
            <w:pPr>
              <w:pStyle w:val="223"/>
              <w:spacing w:beforeLines="0" w:line="240" w:lineRule="auto"/>
              <w:ind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0"/>
                <w:sz w:val="21"/>
                <w:szCs w:val="21"/>
              </w:rPr>
              <w:t>900</w:t>
            </w:r>
          </w:p>
        </w:tc>
        <w:tc>
          <w:tcPr>
            <w:tcW w:w="2966" w:type="dxa"/>
            <w:tcBorders>
              <w:top w:val="single" w:color="auto" w:sz="4" w:space="0"/>
              <w:left w:val="single" w:color="auto" w:sz="4" w:space="0"/>
              <w:bottom w:val="single" w:color="auto" w:sz="4" w:space="0"/>
              <w:right w:val="single" w:color="auto" w:sz="4" w:space="0"/>
            </w:tcBorders>
            <w:vAlign w:val="center"/>
          </w:tcPr>
          <w:p w14:paraId="6601D0FF">
            <w:pPr>
              <w:spacing w:line="240" w:lineRule="auto"/>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0"/>
                <w:sz w:val="21"/>
              </w:rPr>
              <w:t>GB 3095-2012</w:t>
            </w:r>
            <w:r>
              <w:rPr>
                <w:rFonts w:hint="default" w:ascii="Times New Roman" w:hAnsi="Times New Roman" w:eastAsia="宋体" w:cs="Times New Roman"/>
                <w:color w:val="auto"/>
                <w:kern w:val="0"/>
                <w:sz w:val="21"/>
                <w:lang w:eastAsia="zh-CN"/>
              </w:rPr>
              <w:t>《环境空气质量标准》</w:t>
            </w:r>
          </w:p>
        </w:tc>
      </w:tr>
      <w:tr w14:paraId="74239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94" w:type="dxa"/>
            <w:tcBorders>
              <w:top w:val="single" w:color="auto" w:sz="4" w:space="0"/>
              <w:left w:val="single" w:color="auto" w:sz="4" w:space="0"/>
              <w:bottom w:val="single" w:color="auto" w:sz="4" w:space="0"/>
              <w:right w:val="single" w:color="auto" w:sz="4" w:space="0"/>
            </w:tcBorders>
            <w:vAlign w:val="center"/>
          </w:tcPr>
          <w:p w14:paraId="0C0D8E68">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氨气</w:t>
            </w:r>
          </w:p>
        </w:tc>
        <w:tc>
          <w:tcPr>
            <w:tcW w:w="1239" w:type="dxa"/>
            <w:vMerge w:val="continue"/>
            <w:tcBorders>
              <w:left w:val="single" w:color="auto" w:sz="4" w:space="0"/>
              <w:right w:val="single" w:color="auto" w:sz="4" w:space="0"/>
            </w:tcBorders>
            <w:vAlign w:val="center"/>
          </w:tcPr>
          <w:p w14:paraId="011BE13B">
            <w:pPr>
              <w:spacing w:line="240" w:lineRule="auto"/>
              <w:jc w:val="center"/>
              <w:rPr>
                <w:rFonts w:hint="default" w:ascii="Times New Roman" w:hAnsi="Times New Roman" w:eastAsia="宋体" w:cs="Times New Roman"/>
                <w:color w:val="auto"/>
                <w:kern w:val="0"/>
                <w:sz w:val="21"/>
              </w:rPr>
            </w:pPr>
          </w:p>
        </w:tc>
        <w:tc>
          <w:tcPr>
            <w:tcW w:w="1799" w:type="dxa"/>
            <w:vMerge w:val="restart"/>
            <w:tcBorders>
              <w:top w:val="single" w:color="auto" w:sz="4" w:space="0"/>
              <w:left w:val="single" w:color="auto" w:sz="4" w:space="0"/>
              <w:right w:val="single" w:color="auto" w:sz="4" w:space="0"/>
            </w:tcBorders>
            <w:vAlign w:val="center"/>
          </w:tcPr>
          <w:p w14:paraId="14D49A12">
            <w:pPr>
              <w:pStyle w:val="223"/>
              <w:spacing w:beforeLines="0"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一次值</w:t>
            </w:r>
          </w:p>
        </w:tc>
        <w:tc>
          <w:tcPr>
            <w:tcW w:w="1467" w:type="dxa"/>
            <w:tcBorders>
              <w:top w:val="single" w:color="auto" w:sz="4" w:space="0"/>
              <w:left w:val="single" w:color="auto" w:sz="4" w:space="0"/>
              <w:bottom w:val="single" w:color="auto" w:sz="4" w:space="0"/>
              <w:right w:val="single" w:color="auto" w:sz="4" w:space="0"/>
            </w:tcBorders>
            <w:vAlign w:val="center"/>
          </w:tcPr>
          <w:p w14:paraId="5C9B5389">
            <w:pPr>
              <w:pStyle w:val="223"/>
              <w:spacing w:beforeLines="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200</w:t>
            </w:r>
          </w:p>
        </w:tc>
        <w:tc>
          <w:tcPr>
            <w:tcW w:w="2966" w:type="dxa"/>
            <w:vMerge w:val="restart"/>
            <w:tcBorders>
              <w:top w:val="single" w:color="auto" w:sz="4" w:space="0"/>
              <w:left w:val="single" w:color="auto" w:sz="4" w:space="0"/>
              <w:right w:val="single" w:color="auto" w:sz="4" w:space="0"/>
            </w:tcBorders>
            <w:vAlign w:val="center"/>
          </w:tcPr>
          <w:p w14:paraId="537E0AD4">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《环境影响评价技术导则-大气环境》 HJ 2.2-2018 附录D</w:t>
            </w:r>
          </w:p>
        </w:tc>
      </w:tr>
      <w:tr w14:paraId="22AF0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94" w:type="dxa"/>
            <w:tcBorders>
              <w:top w:val="single" w:color="auto" w:sz="4" w:space="0"/>
              <w:left w:val="single" w:color="auto" w:sz="4" w:space="0"/>
              <w:bottom w:val="single" w:color="auto" w:sz="4" w:space="0"/>
              <w:right w:val="single" w:color="auto" w:sz="4" w:space="0"/>
            </w:tcBorders>
            <w:vAlign w:val="center"/>
          </w:tcPr>
          <w:p w14:paraId="6FCAEA7F">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硫化氢</w:t>
            </w:r>
          </w:p>
        </w:tc>
        <w:tc>
          <w:tcPr>
            <w:tcW w:w="1239" w:type="dxa"/>
            <w:vMerge w:val="continue"/>
            <w:tcBorders>
              <w:left w:val="single" w:color="auto" w:sz="4" w:space="0"/>
              <w:bottom w:val="single" w:color="auto" w:sz="4" w:space="0"/>
              <w:right w:val="single" w:color="auto" w:sz="4" w:space="0"/>
            </w:tcBorders>
            <w:vAlign w:val="center"/>
          </w:tcPr>
          <w:p w14:paraId="60A32787">
            <w:pPr>
              <w:spacing w:line="240" w:lineRule="auto"/>
              <w:jc w:val="center"/>
              <w:rPr>
                <w:rFonts w:hint="default" w:ascii="Times New Roman" w:hAnsi="Times New Roman" w:eastAsia="宋体" w:cs="Times New Roman"/>
                <w:color w:val="auto"/>
                <w:kern w:val="0"/>
                <w:sz w:val="21"/>
              </w:rPr>
            </w:pPr>
          </w:p>
        </w:tc>
        <w:tc>
          <w:tcPr>
            <w:tcW w:w="1799" w:type="dxa"/>
            <w:vMerge w:val="continue"/>
            <w:tcBorders>
              <w:left w:val="single" w:color="auto" w:sz="4" w:space="0"/>
              <w:bottom w:val="single" w:color="auto" w:sz="4" w:space="0"/>
              <w:right w:val="single" w:color="auto" w:sz="4" w:space="0"/>
            </w:tcBorders>
            <w:vAlign w:val="center"/>
          </w:tcPr>
          <w:p w14:paraId="55A1913E">
            <w:pPr>
              <w:pStyle w:val="223"/>
              <w:spacing w:beforeLines="0" w:line="240" w:lineRule="auto"/>
              <w:ind w:firstLine="0" w:firstLineChars="0"/>
              <w:jc w:val="center"/>
              <w:rPr>
                <w:rFonts w:hint="default" w:ascii="Times New Roman" w:hAnsi="Times New Roman" w:eastAsia="宋体" w:cs="Times New Roman"/>
                <w:color w:val="auto"/>
                <w:kern w:val="0"/>
                <w:sz w:val="21"/>
                <w:szCs w:val="21"/>
              </w:rPr>
            </w:pPr>
          </w:p>
        </w:tc>
        <w:tc>
          <w:tcPr>
            <w:tcW w:w="1467" w:type="dxa"/>
            <w:tcBorders>
              <w:top w:val="single" w:color="auto" w:sz="4" w:space="0"/>
              <w:left w:val="single" w:color="auto" w:sz="4" w:space="0"/>
              <w:bottom w:val="single" w:color="auto" w:sz="4" w:space="0"/>
              <w:right w:val="single" w:color="auto" w:sz="4" w:space="0"/>
            </w:tcBorders>
            <w:vAlign w:val="center"/>
          </w:tcPr>
          <w:p w14:paraId="45E1E4CB">
            <w:pPr>
              <w:pStyle w:val="223"/>
              <w:spacing w:beforeLines="0"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w:t>
            </w:r>
          </w:p>
        </w:tc>
        <w:tc>
          <w:tcPr>
            <w:tcW w:w="2966" w:type="dxa"/>
            <w:vMerge w:val="continue"/>
            <w:tcBorders>
              <w:left w:val="single" w:color="auto" w:sz="4" w:space="0"/>
              <w:bottom w:val="single" w:color="auto" w:sz="4" w:space="0"/>
              <w:right w:val="single" w:color="auto" w:sz="4" w:space="0"/>
            </w:tcBorders>
            <w:vAlign w:val="center"/>
          </w:tcPr>
          <w:p w14:paraId="6C4A61F1">
            <w:pPr>
              <w:spacing w:line="240" w:lineRule="auto"/>
              <w:jc w:val="center"/>
              <w:rPr>
                <w:rFonts w:hint="default" w:ascii="Times New Roman" w:hAnsi="Times New Roman" w:eastAsia="宋体" w:cs="Times New Roman"/>
                <w:color w:val="auto"/>
                <w:kern w:val="0"/>
                <w:sz w:val="21"/>
              </w:rPr>
            </w:pPr>
          </w:p>
        </w:tc>
      </w:tr>
    </w:tbl>
    <w:p w14:paraId="4E4E2E42">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④污染源参数</w:t>
      </w:r>
    </w:p>
    <w:p w14:paraId="0770C468">
      <w:pPr>
        <w:tabs>
          <w:tab w:val="center" w:pos="4026"/>
        </w:tabs>
        <w:ind w:firstLine="480" w:firstLineChars="200"/>
        <w:rPr>
          <w:rFonts w:hint="default" w:ascii="Times New Roman" w:hAnsi="Times New Roman" w:eastAsia="宋体" w:cs="Times New Roman"/>
          <w:b/>
          <w:bCs/>
          <w:color w:val="auto"/>
        </w:rPr>
      </w:pPr>
      <w:r>
        <w:rPr>
          <w:rFonts w:hint="default" w:ascii="Times New Roman" w:hAnsi="Times New Roman" w:eastAsia="宋体" w:cs="Times New Roman"/>
          <w:color w:val="auto"/>
        </w:rPr>
        <w:t>根据工程分析，项目主要废气污染源排放参数见下表：</w:t>
      </w:r>
    </w:p>
    <w:p w14:paraId="4733E52C">
      <w:pPr>
        <w:spacing w:line="480" w:lineRule="exact"/>
        <w:ind w:firstLine="424" w:firstLineChars="176"/>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表5.2-</w:t>
      </w:r>
      <w:r>
        <w:rPr>
          <w:rFonts w:hint="default" w:ascii="Times New Roman" w:hAnsi="Times New Roman" w:eastAsia="宋体" w:cs="Times New Roman"/>
          <w:b/>
          <w:bCs/>
          <w:color w:val="auto"/>
          <w:lang w:val="en-US" w:eastAsia="zh-CN"/>
        </w:rPr>
        <w:t>11</w:t>
      </w:r>
      <w:r>
        <w:rPr>
          <w:rFonts w:hint="default" w:ascii="Times New Roman" w:hAnsi="Times New Roman" w:eastAsia="宋体" w:cs="Times New Roman"/>
          <w:b/>
          <w:bCs/>
          <w:color w:val="auto"/>
        </w:rPr>
        <w:t xml:space="preserve"> 主要废气污染源参数一览表(矩形面源)</w:t>
      </w:r>
    </w:p>
    <w:tbl>
      <w:tblPr>
        <w:tblStyle w:val="67"/>
        <w:tblW w:w="90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7"/>
        <w:gridCol w:w="1308"/>
        <w:gridCol w:w="1129"/>
        <w:gridCol w:w="879"/>
        <w:gridCol w:w="799"/>
        <w:gridCol w:w="729"/>
        <w:gridCol w:w="640"/>
        <w:gridCol w:w="849"/>
        <w:gridCol w:w="988"/>
        <w:gridCol w:w="705"/>
      </w:tblGrid>
      <w:tr w14:paraId="6F8CF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17" w:type="dxa"/>
            <w:vMerge w:val="restart"/>
            <w:tcBorders>
              <w:top w:val="single" w:color="auto" w:sz="4" w:space="0"/>
              <w:left w:val="single" w:color="auto" w:sz="4" w:space="0"/>
              <w:bottom w:val="single" w:color="auto" w:sz="4" w:space="0"/>
              <w:right w:val="single" w:color="auto" w:sz="4" w:space="0"/>
            </w:tcBorders>
            <w:vAlign w:val="center"/>
          </w:tcPr>
          <w:p w14:paraId="6AFD4D3D">
            <w:pPr>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污染源名称</w:t>
            </w:r>
          </w:p>
        </w:tc>
        <w:tc>
          <w:tcPr>
            <w:tcW w:w="2437" w:type="dxa"/>
            <w:gridSpan w:val="2"/>
            <w:tcBorders>
              <w:top w:val="single" w:color="auto" w:sz="4" w:space="0"/>
              <w:left w:val="single" w:color="auto" w:sz="4" w:space="0"/>
              <w:bottom w:val="single" w:color="auto" w:sz="4" w:space="0"/>
              <w:right w:val="single" w:color="auto" w:sz="4" w:space="0"/>
            </w:tcBorders>
            <w:vAlign w:val="center"/>
          </w:tcPr>
          <w:p w14:paraId="0F3E7EDA">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坐标</w:t>
            </w:r>
          </w:p>
        </w:tc>
        <w:tc>
          <w:tcPr>
            <w:tcW w:w="879" w:type="dxa"/>
            <w:vMerge w:val="restart"/>
            <w:tcBorders>
              <w:top w:val="single" w:color="auto" w:sz="4" w:space="0"/>
              <w:left w:val="single" w:color="auto" w:sz="4" w:space="0"/>
              <w:bottom w:val="single" w:color="auto" w:sz="4" w:space="0"/>
              <w:right w:val="single" w:color="auto" w:sz="4" w:space="0"/>
            </w:tcBorders>
            <w:vAlign w:val="center"/>
          </w:tcPr>
          <w:p w14:paraId="7C40341E">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海拔高度/m</w:t>
            </w:r>
          </w:p>
        </w:tc>
        <w:tc>
          <w:tcPr>
            <w:tcW w:w="2168" w:type="dxa"/>
            <w:gridSpan w:val="3"/>
            <w:tcBorders>
              <w:top w:val="single" w:color="auto" w:sz="4" w:space="0"/>
              <w:left w:val="single" w:color="auto" w:sz="4" w:space="0"/>
              <w:bottom w:val="single" w:color="auto" w:sz="4" w:space="0"/>
              <w:right w:val="single" w:color="auto" w:sz="4" w:space="0"/>
            </w:tcBorders>
            <w:vAlign w:val="center"/>
          </w:tcPr>
          <w:p w14:paraId="676734CF">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矩形面源</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14:paraId="75F674D7">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污染物</w:t>
            </w:r>
          </w:p>
        </w:tc>
        <w:tc>
          <w:tcPr>
            <w:tcW w:w="988" w:type="dxa"/>
            <w:vMerge w:val="restart"/>
            <w:tcBorders>
              <w:top w:val="single" w:color="auto" w:sz="4" w:space="0"/>
              <w:left w:val="single" w:color="auto" w:sz="4" w:space="0"/>
              <w:bottom w:val="single" w:color="auto" w:sz="4" w:space="0"/>
              <w:right w:val="single" w:color="auto" w:sz="4" w:space="0"/>
            </w:tcBorders>
            <w:vAlign w:val="center"/>
          </w:tcPr>
          <w:p w14:paraId="632F4A76">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排放速率</w:t>
            </w:r>
          </w:p>
        </w:tc>
        <w:tc>
          <w:tcPr>
            <w:tcW w:w="705" w:type="dxa"/>
            <w:vMerge w:val="restart"/>
            <w:tcBorders>
              <w:top w:val="single" w:color="auto" w:sz="4" w:space="0"/>
              <w:left w:val="single" w:color="auto" w:sz="4" w:space="0"/>
              <w:bottom w:val="single" w:color="auto" w:sz="4" w:space="0"/>
              <w:right w:val="single" w:color="auto" w:sz="4" w:space="0"/>
            </w:tcBorders>
            <w:vAlign w:val="center"/>
          </w:tcPr>
          <w:p w14:paraId="3044BA64">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单位</w:t>
            </w:r>
          </w:p>
        </w:tc>
      </w:tr>
      <w:tr w14:paraId="65B82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1017" w:type="dxa"/>
            <w:vMerge w:val="continue"/>
            <w:tcBorders>
              <w:top w:val="single" w:color="auto" w:sz="4" w:space="0"/>
              <w:left w:val="single" w:color="auto" w:sz="4" w:space="0"/>
              <w:bottom w:val="single" w:color="auto" w:sz="4" w:space="0"/>
              <w:right w:val="single" w:color="auto" w:sz="4" w:space="0"/>
            </w:tcBorders>
            <w:vAlign w:val="center"/>
          </w:tcPr>
          <w:p w14:paraId="5749BF7B">
            <w:pPr>
              <w:widowControl/>
              <w:spacing w:line="240" w:lineRule="auto"/>
              <w:jc w:val="left"/>
              <w:rPr>
                <w:rFonts w:hint="default" w:ascii="Times New Roman" w:hAnsi="Times New Roman" w:eastAsia="宋体" w:cs="Times New Roman"/>
                <w:color w:val="auto"/>
                <w:kern w:val="2"/>
                <w:sz w:val="21"/>
              </w:rPr>
            </w:pPr>
          </w:p>
        </w:tc>
        <w:tc>
          <w:tcPr>
            <w:tcW w:w="1308" w:type="dxa"/>
            <w:tcBorders>
              <w:top w:val="single" w:color="auto" w:sz="4" w:space="0"/>
              <w:left w:val="single" w:color="auto" w:sz="4" w:space="0"/>
              <w:bottom w:val="single" w:color="auto" w:sz="4" w:space="0"/>
              <w:right w:val="single" w:color="auto" w:sz="4" w:space="0"/>
            </w:tcBorders>
            <w:vAlign w:val="center"/>
          </w:tcPr>
          <w:p w14:paraId="5D95B40D">
            <w:pPr>
              <w:snapToGrid w:val="0"/>
              <w:spacing w:line="240" w:lineRule="auto"/>
              <w:jc w:val="center"/>
              <w:rPr>
                <w:rFonts w:hint="default" w:ascii="Times New Roman" w:hAnsi="Times New Roman" w:eastAsia="宋体" w:cs="Times New Roman"/>
                <w:b/>
                <w:bCs/>
                <w:color w:val="auto"/>
                <w:kern w:val="2"/>
                <w:sz w:val="21"/>
                <w:lang w:eastAsia="zh-CN"/>
              </w:rPr>
            </w:pPr>
            <w:r>
              <w:rPr>
                <w:rFonts w:hint="default" w:ascii="Times New Roman" w:hAnsi="Times New Roman" w:eastAsia="宋体" w:cs="Times New Roman"/>
                <w:b/>
                <w:bCs/>
                <w:color w:val="auto"/>
                <w:kern w:val="0"/>
                <w:sz w:val="21"/>
                <w:lang w:eastAsia="zh-CN"/>
              </w:rPr>
              <w:t>经度</w:t>
            </w:r>
          </w:p>
        </w:tc>
        <w:tc>
          <w:tcPr>
            <w:tcW w:w="1129" w:type="dxa"/>
            <w:tcBorders>
              <w:top w:val="single" w:color="auto" w:sz="4" w:space="0"/>
              <w:left w:val="single" w:color="auto" w:sz="4" w:space="0"/>
              <w:bottom w:val="single" w:color="auto" w:sz="4" w:space="0"/>
              <w:right w:val="single" w:color="auto" w:sz="4" w:space="0"/>
            </w:tcBorders>
            <w:vAlign w:val="center"/>
          </w:tcPr>
          <w:p w14:paraId="1A3B8F55">
            <w:pPr>
              <w:snapToGrid w:val="0"/>
              <w:spacing w:line="240" w:lineRule="auto"/>
              <w:jc w:val="center"/>
              <w:rPr>
                <w:rFonts w:hint="default" w:ascii="Times New Roman" w:hAnsi="Times New Roman" w:eastAsia="宋体" w:cs="Times New Roman"/>
                <w:b/>
                <w:bCs/>
                <w:color w:val="auto"/>
                <w:kern w:val="2"/>
                <w:sz w:val="21"/>
                <w:lang w:eastAsia="zh-CN"/>
              </w:rPr>
            </w:pPr>
            <w:r>
              <w:rPr>
                <w:rFonts w:hint="default" w:ascii="Times New Roman" w:hAnsi="Times New Roman" w:eastAsia="宋体" w:cs="Times New Roman"/>
                <w:b/>
                <w:bCs/>
                <w:color w:val="auto"/>
                <w:kern w:val="0"/>
                <w:sz w:val="21"/>
                <w:lang w:eastAsia="zh-CN"/>
              </w:rPr>
              <w:t>纬度</w:t>
            </w:r>
          </w:p>
        </w:tc>
        <w:tc>
          <w:tcPr>
            <w:tcW w:w="879" w:type="dxa"/>
            <w:vMerge w:val="continue"/>
            <w:tcBorders>
              <w:top w:val="single" w:color="auto" w:sz="4" w:space="0"/>
              <w:left w:val="single" w:color="auto" w:sz="4" w:space="0"/>
              <w:bottom w:val="single" w:color="auto" w:sz="4" w:space="0"/>
              <w:right w:val="single" w:color="auto" w:sz="4" w:space="0"/>
            </w:tcBorders>
            <w:vAlign w:val="center"/>
          </w:tcPr>
          <w:p w14:paraId="6278CBFA">
            <w:pPr>
              <w:widowControl/>
              <w:spacing w:line="240" w:lineRule="auto"/>
              <w:jc w:val="left"/>
              <w:rPr>
                <w:rFonts w:hint="default" w:ascii="Times New Roman" w:hAnsi="Times New Roman" w:eastAsia="宋体" w:cs="Times New Roman"/>
                <w:color w:val="auto"/>
                <w:kern w:val="2"/>
                <w:sz w:val="21"/>
              </w:rPr>
            </w:pPr>
          </w:p>
        </w:tc>
        <w:tc>
          <w:tcPr>
            <w:tcW w:w="799" w:type="dxa"/>
            <w:tcBorders>
              <w:top w:val="single" w:color="auto" w:sz="4" w:space="0"/>
              <w:left w:val="single" w:color="auto" w:sz="4" w:space="0"/>
              <w:bottom w:val="single" w:color="auto" w:sz="4" w:space="0"/>
              <w:right w:val="single" w:color="auto" w:sz="4" w:space="0"/>
            </w:tcBorders>
            <w:vAlign w:val="center"/>
          </w:tcPr>
          <w:p w14:paraId="499B4F07">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长度</w:t>
            </w:r>
          </w:p>
        </w:tc>
        <w:tc>
          <w:tcPr>
            <w:tcW w:w="729" w:type="dxa"/>
            <w:tcBorders>
              <w:top w:val="single" w:color="auto" w:sz="4" w:space="0"/>
              <w:left w:val="single" w:color="auto" w:sz="4" w:space="0"/>
              <w:bottom w:val="single" w:color="auto" w:sz="4" w:space="0"/>
              <w:right w:val="single" w:color="auto" w:sz="4" w:space="0"/>
            </w:tcBorders>
            <w:vAlign w:val="center"/>
          </w:tcPr>
          <w:p w14:paraId="34F4D3A5">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宽度</w:t>
            </w:r>
          </w:p>
        </w:tc>
        <w:tc>
          <w:tcPr>
            <w:tcW w:w="640" w:type="dxa"/>
            <w:tcBorders>
              <w:top w:val="single" w:color="auto" w:sz="4" w:space="0"/>
              <w:left w:val="single" w:color="auto" w:sz="4" w:space="0"/>
              <w:bottom w:val="single" w:color="auto" w:sz="4" w:space="0"/>
              <w:right w:val="single" w:color="auto" w:sz="4" w:space="0"/>
            </w:tcBorders>
            <w:vAlign w:val="center"/>
          </w:tcPr>
          <w:p w14:paraId="58088E70">
            <w:pPr>
              <w:snapToGrid w:val="0"/>
              <w:spacing w:line="240" w:lineRule="auto"/>
              <w:jc w:val="center"/>
              <w:rPr>
                <w:rFonts w:hint="default" w:ascii="Times New Roman" w:hAnsi="Times New Roman" w:eastAsia="宋体" w:cs="Times New Roman"/>
                <w:b/>
                <w:bCs/>
                <w:color w:val="auto"/>
                <w:kern w:val="2"/>
                <w:sz w:val="21"/>
              </w:rPr>
            </w:pPr>
            <w:r>
              <w:rPr>
                <w:rFonts w:hint="default" w:ascii="Times New Roman" w:hAnsi="Times New Roman" w:eastAsia="宋体" w:cs="Times New Roman"/>
                <w:b/>
                <w:bCs/>
                <w:color w:val="auto"/>
                <w:kern w:val="0"/>
                <w:sz w:val="21"/>
              </w:rPr>
              <w:t>有效高度</w:t>
            </w:r>
          </w:p>
        </w:tc>
        <w:tc>
          <w:tcPr>
            <w:tcW w:w="849" w:type="dxa"/>
            <w:vMerge w:val="continue"/>
            <w:tcBorders>
              <w:top w:val="single" w:color="auto" w:sz="4" w:space="0"/>
              <w:left w:val="single" w:color="auto" w:sz="4" w:space="0"/>
              <w:bottom w:val="single" w:color="auto" w:sz="4" w:space="0"/>
              <w:right w:val="single" w:color="auto" w:sz="4" w:space="0"/>
            </w:tcBorders>
            <w:vAlign w:val="center"/>
          </w:tcPr>
          <w:p w14:paraId="40F2DC66">
            <w:pPr>
              <w:widowControl/>
              <w:spacing w:line="240" w:lineRule="auto"/>
              <w:jc w:val="left"/>
              <w:rPr>
                <w:rFonts w:hint="default" w:ascii="Times New Roman" w:hAnsi="Times New Roman" w:eastAsia="宋体" w:cs="Times New Roman"/>
                <w:color w:val="auto"/>
                <w:kern w:val="2"/>
                <w:sz w:val="21"/>
              </w:rPr>
            </w:pPr>
          </w:p>
        </w:tc>
        <w:tc>
          <w:tcPr>
            <w:tcW w:w="988" w:type="dxa"/>
            <w:vMerge w:val="continue"/>
            <w:tcBorders>
              <w:top w:val="single" w:color="auto" w:sz="4" w:space="0"/>
              <w:left w:val="single" w:color="auto" w:sz="4" w:space="0"/>
              <w:bottom w:val="single" w:color="auto" w:sz="4" w:space="0"/>
              <w:right w:val="single" w:color="auto" w:sz="4" w:space="0"/>
            </w:tcBorders>
            <w:vAlign w:val="center"/>
          </w:tcPr>
          <w:p w14:paraId="4868BA0F">
            <w:pPr>
              <w:widowControl/>
              <w:spacing w:line="240" w:lineRule="auto"/>
              <w:jc w:val="left"/>
              <w:rPr>
                <w:rFonts w:hint="default" w:ascii="Times New Roman" w:hAnsi="Times New Roman" w:eastAsia="宋体" w:cs="Times New Roman"/>
                <w:color w:val="auto"/>
                <w:kern w:val="2"/>
                <w:sz w:val="21"/>
              </w:rPr>
            </w:pPr>
          </w:p>
        </w:tc>
        <w:tc>
          <w:tcPr>
            <w:tcW w:w="705" w:type="dxa"/>
            <w:vMerge w:val="continue"/>
            <w:tcBorders>
              <w:top w:val="single" w:color="auto" w:sz="4" w:space="0"/>
              <w:left w:val="single" w:color="auto" w:sz="4" w:space="0"/>
              <w:bottom w:val="single" w:color="auto" w:sz="4" w:space="0"/>
              <w:right w:val="single" w:color="auto" w:sz="4" w:space="0"/>
            </w:tcBorders>
            <w:vAlign w:val="center"/>
          </w:tcPr>
          <w:p w14:paraId="06105795">
            <w:pPr>
              <w:widowControl/>
              <w:spacing w:line="240" w:lineRule="auto"/>
              <w:jc w:val="left"/>
              <w:rPr>
                <w:rFonts w:hint="default" w:ascii="Times New Roman" w:hAnsi="Times New Roman" w:eastAsia="宋体" w:cs="Times New Roman"/>
                <w:color w:val="auto"/>
                <w:kern w:val="2"/>
                <w:sz w:val="21"/>
              </w:rPr>
            </w:pPr>
          </w:p>
        </w:tc>
      </w:tr>
      <w:tr w14:paraId="5DAC4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4" w:hRule="atLeast"/>
          <w:jc w:val="center"/>
        </w:trPr>
        <w:tc>
          <w:tcPr>
            <w:tcW w:w="1017" w:type="dxa"/>
            <w:tcBorders>
              <w:top w:val="single" w:color="auto" w:sz="4" w:space="0"/>
              <w:left w:val="single" w:color="auto" w:sz="4" w:space="0"/>
              <w:bottom w:val="single" w:color="auto" w:sz="4" w:space="0"/>
              <w:right w:val="single" w:color="auto" w:sz="4" w:space="0"/>
            </w:tcBorders>
            <w:vAlign w:val="center"/>
          </w:tcPr>
          <w:p w14:paraId="6644B37F">
            <w:pPr>
              <w:spacing w:line="240" w:lineRule="auto"/>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0"/>
                <w:sz w:val="21"/>
                <w:lang w:eastAsia="zh-CN"/>
              </w:rPr>
              <w:t>项目生产车间</w:t>
            </w:r>
          </w:p>
        </w:tc>
        <w:tc>
          <w:tcPr>
            <w:tcW w:w="1308" w:type="dxa"/>
            <w:tcBorders>
              <w:top w:val="single" w:color="auto" w:sz="4" w:space="0"/>
              <w:left w:val="single" w:color="auto" w:sz="4" w:space="0"/>
              <w:bottom w:val="single" w:color="auto" w:sz="4" w:space="0"/>
              <w:right w:val="single" w:color="auto" w:sz="4" w:space="0"/>
            </w:tcBorders>
            <w:vAlign w:val="center"/>
          </w:tcPr>
          <w:p w14:paraId="7E329EDE">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98.473215</w:t>
            </w:r>
          </w:p>
        </w:tc>
        <w:tc>
          <w:tcPr>
            <w:tcW w:w="1129" w:type="dxa"/>
            <w:tcBorders>
              <w:top w:val="single" w:color="auto" w:sz="4" w:space="0"/>
              <w:left w:val="single" w:color="auto" w:sz="4" w:space="0"/>
              <w:bottom w:val="single" w:color="auto" w:sz="4" w:space="0"/>
              <w:right w:val="single" w:color="auto" w:sz="4" w:space="0"/>
            </w:tcBorders>
            <w:vAlign w:val="center"/>
          </w:tcPr>
          <w:p w14:paraId="160F7212">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24.359272</w:t>
            </w:r>
          </w:p>
        </w:tc>
        <w:tc>
          <w:tcPr>
            <w:tcW w:w="879" w:type="dxa"/>
            <w:tcBorders>
              <w:top w:val="single" w:color="auto" w:sz="4" w:space="0"/>
              <w:left w:val="single" w:color="auto" w:sz="4" w:space="0"/>
              <w:bottom w:val="single" w:color="auto" w:sz="4" w:space="0"/>
              <w:right w:val="single" w:color="auto" w:sz="4" w:space="0"/>
            </w:tcBorders>
            <w:vAlign w:val="center"/>
          </w:tcPr>
          <w:p w14:paraId="449A5428">
            <w:pPr>
              <w:spacing w:line="240" w:lineRule="auto"/>
              <w:jc w:val="center"/>
              <w:rPr>
                <w:rFonts w:hint="default" w:ascii="Times New Roman" w:hAnsi="Times New Roman" w:eastAsia="宋体" w:cs="Times New Roman"/>
                <w:color w:val="auto"/>
                <w:kern w:val="2"/>
                <w:sz w:val="21"/>
                <w:lang w:val="en-US" w:eastAsia="zh-CN"/>
              </w:rPr>
            </w:pPr>
            <w:r>
              <w:rPr>
                <w:rFonts w:hint="eastAsia" w:ascii="Times New Roman" w:hAnsi="Times New Roman" w:cs="Times New Roman"/>
                <w:color w:val="auto"/>
                <w:kern w:val="2"/>
                <w:sz w:val="21"/>
                <w:lang w:val="en-US" w:eastAsia="zh-CN"/>
              </w:rPr>
              <w:t>885</w:t>
            </w:r>
          </w:p>
        </w:tc>
        <w:tc>
          <w:tcPr>
            <w:tcW w:w="799" w:type="dxa"/>
            <w:tcBorders>
              <w:top w:val="single" w:color="auto" w:sz="4" w:space="0"/>
              <w:left w:val="single" w:color="auto" w:sz="4" w:space="0"/>
              <w:bottom w:val="single" w:color="auto" w:sz="4" w:space="0"/>
              <w:right w:val="single" w:color="auto" w:sz="4" w:space="0"/>
            </w:tcBorders>
            <w:vAlign w:val="center"/>
          </w:tcPr>
          <w:p w14:paraId="72CEB953">
            <w:pPr>
              <w:spacing w:line="240" w:lineRule="auto"/>
              <w:jc w:val="center"/>
              <w:rPr>
                <w:rFonts w:hint="default" w:ascii="Times New Roman" w:hAnsi="Times New Roman" w:eastAsia="宋体" w:cs="Times New Roman"/>
                <w:color w:val="auto"/>
                <w:kern w:val="2"/>
                <w:sz w:val="21"/>
                <w:lang w:val="en-US" w:eastAsia="zh-CN"/>
              </w:rPr>
            </w:pPr>
            <w:r>
              <w:rPr>
                <w:rFonts w:hint="eastAsia" w:ascii="Times New Roman" w:hAnsi="Times New Roman" w:cs="Times New Roman"/>
                <w:color w:val="auto"/>
                <w:kern w:val="2"/>
                <w:sz w:val="21"/>
                <w:lang w:val="en-US" w:eastAsia="zh-CN"/>
              </w:rPr>
              <w:t>100</w:t>
            </w:r>
          </w:p>
        </w:tc>
        <w:tc>
          <w:tcPr>
            <w:tcW w:w="729" w:type="dxa"/>
            <w:tcBorders>
              <w:top w:val="single" w:color="auto" w:sz="4" w:space="0"/>
              <w:left w:val="single" w:color="auto" w:sz="4" w:space="0"/>
              <w:bottom w:val="single" w:color="auto" w:sz="4" w:space="0"/>
              <w:right w:val="single" w:color="auto" w:sz="4" w:space="0"/>
            </w:tcBorders>
            <w:vAlign w:val="center"/>
          </w:tcPr>
          <w:p w14:paraId="572C5CED">
            <w:pPr>
              <w:spacing w:line="240" w:lineRule="auto"/>
              <w:jc w:val="center"/>
              <w:rPr>
                <w:rFonts w:hint="default" w:ascii="Times New Roman" w:hAnsi="Times New Roman" w:eastAsia="宋体" w:cs="Times New Roman"/>
                <w:color w:val="auto"/>
                <w:kern w:val="2"/>
                <w:sz w:val="21"/>
                <w:lang w:val="en-US" w:eastAsia="zh-CN"/>
              </w:rPr>
            </w:pPr>
            <w:r>
              <w:rPr>
                <w:rFonts w:hint="eastAsia" w:ascii="Times New Roman" w:hAnsi="Times New Roman" w:cs="Times New Roman"/>
                <w:color w:val="auto"/>
                <w:kern w:val="2"/>
                <w:sz w:val="21"/>
                <w:lang w:val="en-US" w:eastAsia="zh-CN"/>
              </w:rPr>
              <w:t>45</w:t>
            </w:r>
          </w:p>
        </w:tc>
        <w:tc>
          <w:tcPr>
            <w:tcW w:w="640" w:type="dxa"/>
            <w:tcBorders>
              <w:top w:val="single" w:color="auto" w:sz="4" w:space="0"/>
              <w:left w:val="single" w:color="auto" w:sz="4" w:space="0"/>
              <w:bottom w:val="single" w:color="auto" w:sz="4" w:space="0"/>
              <w:right w:val="single" w:color="auto" w:sz="4" w:space="0"/>
            </w:tcBorders>
            <w:vAlign w:val="center"/>
          </w:tcPr>
          <w:p w14:paraId="5F3FB067">
            <w:pPr>
              <w:spacing w:line="240" w:lineRule="auto"/>
              <w:jc w:val="center"/>
              <w:rPr>
                <w:rFonts w:hint="eastAsia" w:ascii="Times New Roman" w:hAnsi="Times New Roman" w:eastAsia="宋体" w:cs="Times New Roman"/>
                <w:color w:val="auto"/>
                <w:kern w:val="2"/>
                <w:sz w:val="21"/>
                <w:lang w:val="en-US" w:eastAsia="zh-CN"/>
              </w:rPr>
            </w:pPr>
            <w:r>
              <w:rPr>
                <w:rFonts w:hint="eastAsia" w:ascii="Times New Roman" w:hAnsi="Times New Roman" w:cs="Times New Roman"/>
                <w:color w:val="auto"/>
                <w:kern w:val="2"/>
                <w:sz w:val="21"/>
                <w:lang w:val="en-US" w:eastAsia="zh-CN"/>
              </w:rPr>
              <w:t>8</w:t>
            </w:r>
          </w:p>
        </w:tc>
        <w:tc>
          <w:tcPr>
            <w:tcW w:w="849" w:type="dxa"/>
            <w:tcBorders>
              <w:top w:val="single" w:color="auto" w:sz="4" w:space="0"/>
              <w:left w:val="single" w:color="auto" w:sz="4" w:space="0"/>
              <w:bottom w:val="single" w:color="auto" w:sz="4" w:space="0"/>
              <w:right w:val="single" w:color="auto" w:sz="4" w:space="0"/>
            </w:tcBorders>
            <w:vAlign w:val="center"/>
          </w:tcPr>
          <w:p w14:paraId="5AF9E4F6">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粉尘</w:t>
            </w:r>
          </w:p>
        </w:tc>
        <w:tc>
          <w:tcPr>
            <w:tcW w:w="988" w:type="dxa"/>
            <w:tcBorders>
              <w:top w:val="single" w:color="auto" w:sz="4" w:space="0"/>
              <w:left w:val="single" w:color="auto" w:sz="4" w:space="0"/>
              <w:bottom w:val="single" w:color="auto" w:sz="4" w:space="0"/>
              <w:right w:val="single" w:color="auto" w:sz="4" w:space="0"/>
            </w:tcBorders>
            <w:vAlign w:val="center"/>
          </w:tcPr>
          <w:p w14:paraId="1B537C33">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0.0033</w:t>
            </w:r>
          </w:p>
        </w:tc>
        <w:tc>
          <w:tcPr>
            <w:tcW w:w="705" w:type="dxa"/>
            <w:vMerge w:val="restart"/>
            <w:tcBorders>
              <w:top w:val="single" w:color="auto" w:sz="4" w:space="0"/>
              <w:left w:val="single" w:color="auto" w:sz="4" w:space="0"/>
              <w:right w:val="single" w:color="auto" w:sz="4" w:space="0"/>
            </w:tcBorders>
            <w:vAlign w:val="center"/>
          </w:tcPr>
          <w:p w14:paraId="16CD08C9">
            <w:pPr>
              <w:spacing w:line="240" w:lineRule="auto"/>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0"/>
                <w:sz w:val="21"/>
              </w:rPr>
              <w:t>kg/h</w:t>
            </w:r>
          </w:p>
        </w:tc>
      </w:tr>
      <w:tr w14:paraId="22C90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1017" w:type="dxa"/>
            <w:vMerge w:val="restart"/>
            <w:tcBorders>
              <w:top w:val="single" w:color="auto" w:sz="4" w:space="0"/>
              <w:left w:val="single" w:color="auto" w:sz="4" w:space="0"/>
              <w:right w:val="single" w:color="auto" w:sz="4" w:space="0"/>
            </w:tcBorders>
            <w:vAlign w:val="center"/>
          </w:tcPr>
          <w:p w14:paraId="7A181D84">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污水处理站</w:t>
            </w:r>
          </w:p>
        </w:tc>
        <w:tc>
          <w:tcPr>
            <w:tcW w:w="1308" w:type="dxa"/>
            <w:vMerge w:val="restart"/>
            <w:tcBorders>
              <w:top w:val="single" w:color="auto" w:sz="4" w:space="0"/>
              <w:left w:val="single" w:color="auto" w:sz="4" w:space="0"/>
              <w:right w:val="single" w:color="auto" w:sz="4" w:space="0"/>
            </w:tcBorders>
            <w:vAlign w:val="center"/>
          </w:tcPr>
          <w:p w14:paraId="189B35C2">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98.474774</w:t>
            </w:r>
          </w:p>
        </w:tc>
        <w:tc>
          <w:tcPr>
            <w:tcW w:w="1129" w:type="dxa"/>
            <w:vMerge w:val="restart"/>
            <w:tcBorders>
              <w:top w:val="single" w:color="auto" w:sz="4" w:space="0"/>
              <w:left w:val="single" w:color="auto" w:sz="4" w:space="0"/>
              <w:right w:val="single" w:color="auto" w:sz="4" w:space="0"/>
            </w:tcBorders>
            <w:vAlign w:val="center"/>
          </w:tcPr>
          <w:p w14:paraId="59C8B3E1">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24.359149</w:t>
            </w:r>
          </w:p>
        </w:tc>
        <w:tc>
          <w:tcPr>
            <w:tcW w:w="879" w:type="dxa"/>
            <w:vMerge w:val="restart"/>
            <w:tcBorders>
              <w:top w:val="single" w:color="auto" w:sz="4" w:space="0"/>
              <w:left w:val="single" w:color="auto" w:sz="4" w:space="0"/>
              <w:right w:val="single" w:color="auto" w:sz="4" w:space="0"/>
            </w:tcBorders>
            <w:vAlign w:val="center"/>
          </w:tcPr>
          <w:p w14:paraId="729249EF">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878.0</w:t>
            </w:r>
          </w:p>
        </w:tc>
        <w:tc>
          <w:tcPr>
            <w:tcW w:w="799" w:type="dxa"/>
            <w:vMerge w:val="restart"/>
            <w:tcBorders>
              <w:top w:val="single" w:color="auto" w:sz="4" w:space="0"/>
              <w:left w:val="single" w:color="auto" w:sz="4" w:space="0"/>
              <w:right w:val="single" w:color="auto" w:sz="4" w:space="0"/>
            </w:tcBorders>
            <w:vAlign w:val="center"/>
          </w:tcPr>
          <w:p w14:paraId="27821136">
            <w:pPr>
              <w:spacing w:line="240" w:lineRule="auto"/>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10</w:t>
            </w:r>
          </w:p>
        </w:tc>
        <w:tc>
          <w:tcPr>
            <w:tcW w:w="729" w:type="dxa"/>
            <w:vMerge w:val="restart"/>
            <w:tcBorders>
              <w:top w:val="single" w:color="auto" w:sz="4" w:space="0"/>
              <w:left w:val="single" w:color="auto" w:sz="4" w:space="0"/>
              <w:right w:val="single" w:color="auto" w:sz="4" w:space="0"/>
            </w:tcBorders>
            <w:vAlign w:val="center"/>
          </w:tcPr>
          <w:p w14:paraId="21131918">
            <w:pPr>
              <w:spacing w:line="240" w:lineRule="auto"/>
              <w:jc w:val="center"/>
              <w:rPr>
                <w:rFonts w:hint="default"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5</w:t>
            </w:r>
          </w:p>
        </w:tc>
        <w:tc>
          <w:tcPr>
            <w:tcW w:w="640" w:type="dxa"/>
            <w:vMerge w:val="restart"/>
            <w:tcBorders>
              <w:top w:val="single" w:color="auto" w:sz="4" w:space="0"/>
              <w:left w:val="single" w:color="auto" w:sz="4" w:space="0"/>
              <w:right w:val="single" w:color="auto" w:sz="4" w:space="0"/>
            </w:tcBorders>
            <w:vAlign w:val="center"/>
          </w:tcPr>
          <w:p w14:paraId="2775A57D">
            <w:pPr>
              <w:spacing w:line="240" w:lineRule="auto"/>
              <w:jc w:val="center"/>
              <w:rPr>
                <w:rFonts w:hint="eastAsia" w:ascii="Times New Roman" w:hAnsi="Times New Roman" w:eastAsia="宋体" w:cs="Times New Roman"/>
                <w:color w:val="auto"/>
                <w:kern w:val="0"/>
                <w:sz w:val="21"/>
                <w:lang w:val="en-US" w:eastAsia="zh-CN"/>
              </w:rPr>
            </w:pPr>
            <w:r>
              <w:rPr>
                <w:rFonts w:hint="eastAsia" w:ascii="Times New Roman" w:hAnsi="Times New Roman" w:cs="Times New Roman"/>
                <w:color w:val="auto"/>
                <w:kern w:val="0"/>
                <w:sz w:val="21"/>
                <w:lang w:val="en-US" w:eastAsia="zh-CN"/>
              </w:rPr>
              <w:t>2</w:t>
            </w:r>
          </w:p>
        </w:tc>
        <w:tc>
          <w:tcPr>
            <w:tcW w:w="849" w:type="dxa"/>
            <w:tcBorders>
              <w:top w:val="single" w:color="auto" w:sz="4" w:space="0"/>
              <w:left w:val="single" w:color="auto" w:sz="4" w:space="0"/>
              <w:right w:val="single" w:color="auto" w:sz="4" w:space="0"/>
            </w:tcBorders>
            <w:vAlign w:val="center"/>
          </w:tcPr>
          <w:p w14:paraId="415D3672">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氨气</w:t>
            </w:r>
          </w:p>
        </w:tc>
        <w:tc>
          <w:tcPr>
            <w:tcW w:w="988" w:type="dxa"/>
            <w:tcBorders>
              <w:top w:val="single" w:color="auto" w:sz="4" w:space="0"/>
              <w:left w:val="single" w:color="auto" w:sz="4" w:space="0"/>
              <w:right w:val="single" w:color="auto" w:sz="4" w:space="0"/>
            </w:tcBorders>
            <w:vAlign w:val="center"/>
          </w:tcPr>
          <w:p w14:paraId="7FAAA18E">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0.00075</w:t>
            </w:r>
          </w:p>
        </w:tc>
        <w:tc>
          <w:tcPr>
            <w:tcW w:w="705" w:type="dxa"/>
            <w:vMerge w:val="continue"/>
            <w:tcBorders>
              <w:left w:val="single" w:color="auto" w:sz="4" w:space="0"/>
              <w:right w:val="single" w:color="auto" w:sz="4" w:space="0"/>
            </w:tcBorders>
            <w:vAlign w:val="center"/>
          </w:tcPr>
          <w:p w14:paraId="4295D36C">
            <w:pPr>
              <w:spacing w:line="240" w:lineRule="auto"/>
              <w:jc w:val="center"/>
              <w:rPr>
                <w:rFonts w:hint="default" w:ascii="Times New Roman" w:hAnsi="Times New Roman" w:eastAsia="宋体" w:cs="Times New Roman"/>
                <w:color w:val="auto"/>
                <w:kern w:val="0"/>
                <w:sz w:val="21"/>
              </w:rPr>
            </w:pPr>
          </w:p>
        </w:tc>
      </w:tr>
      <w:tr w14:paraId="3D7EA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1017" w:type="dxa"/>
            <w:vMerge w:val="continue"/>
            <w:tcBorders>
              <w:left w:val="single" w:color="auto" w:sz="4" w:space="0"/>
              <w:right w:val="single" w:color="auto" w:sz="4" w:space="0"/>
            </w:tcBorders>
            <w:vAlign w:val="center"/>
          </w:tcPr>
          <w:p w14:paraId="04AD5781">
            <w:pPr>
              <w:spacing w:line="240" w:lineRule="auto"/>
              <w:jc w:val="center"/>
              <w:rPr>
                <w:rFonts w:hint="default" w:ascii="Times New Roman" w:hAnsi="Times New Roman" w:eastAsia="宋体" w:cs="Times New Roman"/>
                <w:color w:val="auto"/>
              </w:rPr>
            </w:pPr>
          </w:p>
        </w:tc>
        <w:tc>
          <w:tcPr>
            <w:tcW w:w="1308" w:type="dxa"/>
            <w:vMerge w:val="continue"/>
            <w:tcBorders>
              <w:left w:val="single" w:color="auto" w:sz="4" w:space="0"/>
              <w:right w:val="single" w:color="auto" w:sz="4" w:space="0"/>
            </w:tcBorders>
            <w:vAlign w:val="center"/>
          </w:tcPr>
          <w:p w14:paraId="70555740">
            <w:pPr>
              <w:spacing w:line="240" w:lineRule="auto"/>
              <w:jc w:val="center"/>
              <w:rPr>
                <w:rFonts w:hint="default" w:ascii="Times New Roman" w:hAnsi="Times New Roman" w:eastAsia="宋体" w:cs="Times New Roman"/>
                <w:color w:val="auto"/>
              </w:rPr>
            </w:pPr>
          </w:p>
        </w:tc>
        <w:tc>
          <w:tcPr>
            <w:tcW w:w="1129" w:type="dxa"/>
            <w:vMerge w:val="continue"/>
            <w:tcBorders>
              <w:left w:val="single" w:color="auto" w:sz="4" w:space="0"/>
              <w:right w:val="single" w:color="auto" w:sz="4" w:space="0"/>
            </w:tcBorders>
            <w:vAlign w:val="center"/>
          </w:tcPr>
          <w:p w14:paraId="2D5F1010">
            <w:pPr>
              <w:spacing w:line="240" w:lineRule="auto"/>
              <w:jc w:val="center"/>
              <w:rPr>
                <w:rFonts w:hint="default" w:ascii="Times New Roman" w:hAnsi="Times New Roman" w:eastAsia="宋体" w:cs="Times New Roman"/>
                <w:color w:val="auto"/>
              </w:rPr>
            </w:pPr>
          </w:p>
        </w:tc>
        <w:tc>
          <w:tcPr>
            <w:tcW w:w="879" w:type="dxa"/>
            <w:vMerge w:val="continue"/>
            <w:tcBorders>
              <w:left w:val="single" w:color="auto" w:sz="4" w:space="0"/>
              <w:right w:val="single" w:color="auto" w:sz="4" w:space="0"/>
            </w:tcBorders>
            <w:vAlign w:val="center"/>
          </w:tcPr>
          <w:p w14:paraId="08487CD0">
            <w:pPr>
              <w:spacing w:line="240" w:lineRule="auto"/>
              <w:jc w:val="center"/>
              <w:rPr>
                <w:rFonts w:hint="default" w:ascii="Times New Roman" w:hAnsi="Times New Roman" w:eastAsia="宋体" w:cs="Times New Roman"/>
                <w:color w:val="auto"/>
              </w:rPr>
            </w:pPr>
          </w:p>
        </w:tc>
        <w:tc>
          <w:tcPr>
            <w:tcW w:w="799" w:type="dxa"/>
            <w:vMerge w:val="continue"/>
            <w:tcBorders>
              <w:left w:val="single" w:color="auto" w:sz="4" w:space="0"/>
              <w:right w:val="single" w:color="auto" w:sz="4" w:space="0"/>
            </w:tcBorders>
            <w:vAlign w:val="center"/>
          </w:tcPr>
          <w:p w14:paraId="34029DC5">
            <w:pPr>
              <w:spacing w:line="240" w:lineRule="auto"/>
              <w:jc w:val="center"/>
              <w:rPr>
                <w:rFonts w:hint="default" w:ascii="Times New Roman" w:hAnsi="Times New Roman" w:eastAsia="宋体" w:cs="Times New Roman"/>
                <w:color w:val="auto"/>
              </w:rPr>
            </w:pPr>
          </w:p>
        </w:tc>
        <w:tc>
          <w:tcPr>
            <w:tcW w:w="729" w:type="dxa"/>
            <w:vMerge w:val="continue"/>
            <w:tcBorders>
              <w:left w:val="single" w:color="auto" w:sz="4" w:space="0"/>
              <w:right w:val="single" w:color="auto" w:sz="4" w:space="0"/>
            </w:tcBorders>
            <w:vAlign w:val="center"/>
          </w:tcPr>
          <w:p w14:paraId="208A8F4F">
            <w:pPr>
              <w:spacing w:line="240" w:lineRule="auto"/>
              <w:jc w:val="center"/>
              <w:rPr>
                <w:rFonts w:hint="default" w:ascii="Times New Roman" w:hAnsi="Times New Roman" w:eastAsia="宋体" w:cs="Times New Roman"/>
                <w:color w:val="auto"/>
              </w:rPr>
            </w:pPr>
          </w:p>
        </w:tc>
        <w:tc>
          <w:tcPr>
            <w:tcW w:w="640" w:type="dxa"/>
            <w:vMerge w:val="continue"/>
            <w:tcBorders>
              <w:left w:val="single" w:color="auto" w:sz="4" w:space="0"/>
              <w:right w:val="single" w:color="auto" w:sz="4" w:space="0"/>
            </w:tcBorders>
            <w:vAlign w:val="center"/>
          </w:tcPr>
          <w:p w14:paraId="25FB05B8">
            <w:pPr>
              <w:spacing w:line="240" w:lineRule="auto"/>
              <w:jc w:val="center"/>
              <w:rPr>
                <w:rFonts w:hint="default" w:ascii="Times New Roman" w:hAnsi="Times New Roman" w:eastAsia="宋体" w:cs="Times New Roman"/>
                <w:color w:val="auto"/>
              </w:rPr>
            </w:pPr>
          </w:p>
        </w:tc>
        <w:tc>
          <w:tcPr>
            <w:tcW w:w="849" w:type="dxa"/>
            <w:tcBorders>
              <w:top w:val="single" w:color="auto" w:sz="4" w:space="0"/>
              <w:left w:val="single" w:color="auto" w:sz="4" w:space="0"/>
              <w:right w:val="single" w:color="auto" w:sz="4" w:space="0"/>
            </w:tcBorders>
            <w:vAlign w:val="center"/>
          </w:tcPr>
          <w:p w14:paraId="35961AA4">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硫化氢</w:t>
            </w:r>
          </w:p>
        </w:tc>
        <w:tc>
          <w:tcPr>
            <w:tcW w:w="988" w:type="dxa"/>
            <w:tcBorders>
              <w:left w:val="single" w:color="auto" w:sz="4" w:space="0"/>
              <w:bottom w:val="single" w:color="auto" w:sz="4" w:space="0"/>
              <w:right w:val="single" w:color="auto" w:sz="4" w:space="0"/>
            </w:tcBorders>
            <w:vAlign w:val="center"/>
          </w:tcPr>
          <w:p w14:paraId="32F9B666">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0.00007</w:t>
            </w:r>
          </w:p>
        </w:tc>
        <w:tc>
          <w:tcPr>
            <w:tcW w:w="705" w:type="dxa"/>
            <w:vMerge w:val="continue"/>
            <w:tcBorders>
              <w:left w:val="single" w:color="auto" w:sz="4" w:space="0"/>
              <w:right w:val="single" w:color="auto" w:sz="4" w:space="0"/>
            </w:tcBorders>
            <w:vAlign w:val="center"/>
          </w:tcPr>
          <w:p w14:paraId="708B4393">
            <w:pPr>
              <w:spacing w:line="240" w:lineRule="auto"/>
              <w:jc w:val="center"/>
              <w:rPr>
                <w:rFonts w:hint="default" w:ascii="Times New Roman" w:hAnsi="Times New Roman" w:eastAsia="宋体" w:cs="Times New Roman"/>
                <w:color w:val="auto"/>
                <w:kern w:val="0"/>
                <w:sz w:val="21"/>
                <w:lang w:eastAsia="zh-CN"/>
              </w:rPr>
            </w:pPr>
          </w:p>
        </w:tc>
      </w:tr>
    </w:tbl>
    <w:p w14:paraId="53BFECDC">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⑤估算模型参数</w:t>
      </w:r>
    </w:p>
    <w:p w14:paraId="614A8B9D">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本项目估算模型参数见下表：</w:t>
      </w:r>
    </w:p>
    <w:p w14:paraId="56365909">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表5.2-</w:t>
      </w:r>
      <w:r>
        <w:rPr>
          <w:rFonts w:hint="default" w:ascii="Times New Roman" w:hAnsi="Times New Roman" w:eastAsia="宋体" w:cs="Times New Roman"/>
          <w:b/>
          <w:color w:val="auto"/>
          <w:lang w:val="en-US" w:eastAsia="zh-CN"/>
        </w:rPr>
        <w:t>12</w:t>
      </w:r>
      <w:r>
        <w:rPr>
          <w:rFonts w:hint="default" w:ascii="Times New Roman" w:hAnsi="Times New Roman" w:eastAsia="宋体" w:cs="Times New Roman"/>
          <w:b/>
          <w:color w:val="auto"/>
        </w:rPr>
        <w:t xml:space="preserve"> 估算模型参数表</w:t>
      </w:r>
    </w:p>
    <w:tbl>
      <w:tblPr>
        <w:tblStyle w:val="67"/>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7"/>
        <w:gridCol w:w="2957"/>
        <w:gridCol w:w="2958"/>
      </w:tblGrid>
      <w:tr w14:paraId="6B04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7A8D0ABF">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eastAsia="zh-CN"/>
              </w:rPr>
              <w:t>参数</w:t>
            </w:r>
          </w:p>
        </w:tc>
        <w:tc>
          <w:tcPr>
            <w:tcW w:w="2958" w:type="dxa"/>
            <w:noWrap w:val="0"/>
            <w:vAlign w:val="top"/>
          </w:tcPr>
          <w:p w14:paraId="1BCC2758">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eastAsia="zh-CN"/>
              </w:rPr>
              <w:t>取值</w:t>
            </w:r>
          </w:p>
        </w:tc>
      </w:tr>
      <w:tr w14:paraId="3274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restart"/>
            <w:noWrap w:val="0"/>
            <w:vAlign w:val="center"/>
          </w:tcPr>
          <w:p w14:paraId="394B7878">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城市</w:t>
            </w:r>
            <w:r>
              <w:rPr>
                <w:rFonts w:hint="default" w:ascii="Times New Roman" w:hAnsi="Times New Roman" w:eastAsia="宋体" w:cs="Times New Roman"/>
                <w:b w:val="0"/>
                <w:bCs/>
                <w:color w:val="auto"/>
                <w:sz w:val="21"/>
                <w:szCs w:val="21"/>
                <w:highlight w:val="none"/>
                <w:vertAlign w:val="baseline"/>
                <w:lang w:val="en-US" w:eastAsia="zh-CN"/>
              </w:rPr>
              <w:t>/农村选项</w:t>
            </w:r>
          </w:p>
        </w:tc>
        <w:tc>
          <w:tcPr>
            <w:tcW w:w="2957" w:type="dxa"/>
            <w:noWrap w:val="0"/>
            <w:vAlign w:val="top"/>
          </w:tcPr>
          <w:p w14:paraId="0CE2C5C4">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城市</w:t>
            </w:r>
            <w:r>
              <w:rPr>
                <w:rFonts w:hint="default" w:ascii="Times New Roman" w:hAnsi="Times New Roman" w:eastAsia="宋体" w:cs="Times New Roman"/>
                <w:b w:val="0"/>
                <w:bCs/>
                <w:color w:val="auto"/>
                <w:sz w:val="21"/>
                <w:szCs w:val="21"/>
                <w:highlight w:val="none"/>
                <w:vertAlign w:val="baseline"/>
                <w:lang w:val="en-US" w:eastAsia="zh-CN"/>
              </w:rPr>
              <w:t>/农村</w:t>
            </w:r>
          </w:p>
        </w:tc>
        <w:tc>
          <w:tcPr>
            <w:tcW w:w="2958" w:type="dxa"/>
            <w:noWrap w:val="0"/>
            <w:vAlign w:val="center"/>
          </w:tcPr>
          <w:p w14:paraId="174ACDBD">
            <w:pPr>
              <w:shd w:val="clear" w:color="auto" w:fill="auto"/>
              <w:jc w:val="center"/>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农村</w:t>
            </w:r>
          </w:p>
        </w:tc>
      </w:tr>
      <w:tr w14:paraId="4494A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continue"/>
            <w:noWrap w:val="0"/>
            <w:vAlign w:val="top"/>
          </w:tcPr>
          <w:p w14:paraId="7A017706">
            <w:pPr>
              <w:shd w:val="clear" w:color="auto" w:fill="auto"/>
              <w:jc w:val="center"/>
              <w:rPr>
                <w:rFonts w:hint="default" w:ascii="Times New Roman" w:hAnsi="Times New Roman" w:eastAsia="宋体" w:cs="Times New Roman"/>
                <w:color w:val="auto"/>
                <w:sz w:val="21"/>
                <w:szCs w:val="21"/>
                <w:highlight w:val="none"/>
                <w:vertAlign w:val="baseline"/>
              </w:rPr>
            </w:pPr>
          </w:p>
        </w:tc>
        <w:tc>
          <w:tcPr>
            <w:tcW w:w="2957" w:type="dxa"/>
            <w:noWrap w:val="0"/>
            <w:vAlign w:val="top"/>
          </w:tcPr>
          <w:p w14:paraId="58616822">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人口数（城市选项时）</w:t>
            </w:r>
          </w:p>
        </w:tc>
        <w:tc>
          <w:tcPr>
            <w:tcW w:w="2958" w:type="dxa"/>
            <w:noWrap w:val="0"/>
            <w:vAlign w:val="center"/>
          </w:tcPr>
          <w:p w14:paraId="197E5E16">
            <w:pPr>
              <w:shd w:val="clear" w:color="auto" w:fill="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eastAsia" w:ascii="Times New Roman" w:hAnsi="Times New Roman" w:eastAsia="宋体" w:cs="Times New Roman"/>
                <w:b w:val="0"/>
                <w:bCs/>
                <w:color w:val="auto"/>
                <w:sz w:val="21"/>
                <w:szCs w:val="21"/>
                <w:highlight w:val="none"/>
                <w:vertAlign w:val="baseline"/>
                <w:lang w:val="en-US" w:eastAsia="zh-CN"/>
              </w:rPr>
              <w:t>/</w:t>
            </w:r>
          </w:p>
        </w:tc>
      </w:tr>
      <w:tr w14:paraId="39F85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1A012A2D">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最高环境温度</w:t>
            </w:r>
            <w:r>
              <w:rPr>
                <w:rFonts w:hint="default" w:ascii="Times New Roman" w:hAnsi="Times New Roman" w:eastAsia="宋体" w:cs="Times New Roman"/>
                <w:b w:val="0"/>
                <w:bCs/>
                <w:color w:val="auto"/>
                <w:sz w:val="21"/>
                <w:szCs w:val="21"/>
                <w:highlight w:val="none"/>
                <w:vertAlign w:val="baseline"/>
                <w:lang w:val="en-US" w:eastAsia="zh-CN"/>
              </w:rPr>
              <w:t>/℃</w:t>
            </w:r>
          </w:p>
        </w:tc>
        <w:tc>
          <w:tcPr>
            <w:tcW w:w="2958" w:type="dxa"/>
            <w:noWrap w:val="0"/>
            <w:vAlign w:val="center"/>
          </w:tcPr>
          <w:p w14:paraId="6C1F88BE">
            <w:pPr>
              <w:shd w:val="clear" w:color="auto" w:fill="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35.7</w:t>
            </w:r>
          </w:p>
        </w:tc>
      </w:tr>
      <w:tr w14:paraId="5D80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33231687">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最低环境温度</w:t>
            </w:r>
            <w:r>
              <w:rPr>
                <w:rFonts w:hint="default" w:ascii="Times New Roman" w:hAnsi="Times New Roman" w:eastAsia="宋体" w:cs="Times New Roman"/>
                <w:b w:val="0"/>
                <w:bCs/>
                <w:color w:val="auto"/>
                <w:sz w:val="21"/>
                <w:szCs w:val="21"/>
                <w:highlight w:val="none"/>
                <w:vertAlign w:val="baseline"/>
                <w:lang w:val="en-US" w:eastAsia="zh-CN"/>
              </w:rPr>
              <w:t>/℃</w:t>
            </w:r>
          </w:p>
        </w:tc>
        <w:tc>
          <w:tcPr>
            <w:tcW w:w="2958" w:type="dxa"/>
            <w:noWrap w:val="0"/>
            <w:vAlign w:val="center"/>
          </w:tcPr>
          <w:p w14:paraId="7F60F68F">
            <w:pPr>
              <w:shd w:val="clear" w:color="auto" w:fill="auto"/>
              <w:jc w:val="center"/>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w:t>
            </w:r>
          </w:p>
        </w:tc>
      </w:tr>
      <w:tr w14:paraId="4E6CF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16A6AFE3">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土地利用类型</w:t>
            </w:r>
          </w:p>
        </w:tc>
        <w:tc>
          <w:tcPr>
            <w:tcW w:w="2958" w:type="dxa"/>
            <w:noWrap w:val="0"/>
            <w:vAlign w:val="center"/>
          </w:tcPr>
          <w:p w14:paraId="3F5D6184">
            <w:pPr>
              <w:shd w:val="clear" w:color="auto" w:fill="auto"/>
              <w:jc w:val="center"/>
              <w:rPr>
                <w:rFonts w:hint="default" w:ascii="Times New Roman" w:hAnsi="Times New Roman" w:eastAsia="宋体" w:cs="Times New Roman"/>
                <w:b w:val="0"/>
                <w:bCs/>
                <w:color w:val="auto"/>
                <w:sz w:val="21"/>
                <w:szCs w:val="21"/>
                <w:highlight w:val="none"/>
                <w:vertAlign w:val="baseline"/>
                <w:lang w:eastAsia="zh-CN"/>
              </w:rPr>
            </w:pPr>
            <w:r>
              <w:rPr>
                <w:rFonts w:hint="eastAsia" w:ascii="Times New Roman" w:hAnsi="Times New Roman" w:eastAsia="宋体" w:cs="Times New Roman"/>
                <w:b w:val="0"/>
                <w:bCs/>
                <w:color w:val="auto"/>
                <w:sz w:val="21"/>
                <w:szCs w:val="21"/>
                <w:highlight w:val="none"/>
                <w:vertAlign w:val="baseline"/>
                <w:lang w:eastAsia="zh-CN"/>
              </w:rPr>
              <w:t>工业用地</w:t>
            </w:r>
          </w:p>
        </w:tc>
      </w:tr>
      <w:tr w14:paraId="12A8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14" w:type="dxa"/>
            <w:gridSpan w:val="2"/>
            <w:noWrap w:val="0"/>
            <w:vAlign w:val="top"/>
          </w:tcPr>
          <w:p w14:paraId="1A73C166">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区域湿度条件</w:t>
            </w:r>
          </w:p>
        </w:tc>
        <w:tc>
          <w:tcPr>
            <w:tcW w:w="2958" w:type="dxa"/>
            <w:noWrap w:val="0"/>
            <w:vAlign w:val="center"/>
          </w:tcPr>
          <w:p w14:paraId="5AEFDF55">
            <w:pPr>
              <w:shd w:val="clear" w:color="auto" w:fill="auto"/>
              <w:jc w:val="center"/>
              <w:rPr>
                <w:rFonts w:hint="default" w:ascii="Times New Roman" w:hAnsi="Times New Roman" w:eastAsia="宋体" w:cs="Times New Roman"/>
                <w:b w:val="0"/>
                <w:bCs/>
                <w:color w:val="auto"/>
                <w:sz w:val="21"/>
                <w:szCs w:val="21"/>
                <w:highlight w:val="none"/>
                <w:vertAlign w:val="baseline"/>
                <w:lang w:eastAsia="zh-CN"/>
              </w:rPr>
            </w:pPr>
            <w:r>
              <w:rPr>
                <w:rFonts w:hint="default" w:ascii="Times New Roman" w:hAnsi="Times New Roman" w:eastAsia="宋体" w:cs="Times New Roman"/>
                <w:b w:val="0"/>
                <w:bCs/>
                <w:color w:val="auto"/>
                <w:sz w:val="21"/>
                <w:szCs w:val="21"/>
                <w:highlight w:val="none"/>
                <w:vertAlign w:val="baseline"/>
                <w:lang w:eastAsia="zh-CN"/>
              </w:rPr>
              <w:t>潮湿气候</w:t>
            </w:r>
          </w:p>
        </w:tc>
      </w:tr>
      <w:tr w14:paraId="4BAE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restart"/>
            <w:noWrap w:val="0"/>
            <w:vAlign w:val="center"/>
          </w:tcPr>
          <w:p w14:paraId="10DD9256">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是否考虑地形</w:t>
            </w:r>
          </w:p>
        </w:tc>
        <w:tc>
          <w:tcPr>
            <w:tcW w:w="2957" w:type="dxa"/>
            <w:noWrap w:val="0"/>
            <w:vAlign w:val="top"/>
          </w:tcPr>
          <w:p w14:paraId="4B26F0F6">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考虑地形</w:t>
            </w:r>
          </w:p>
        </w:tc>
        <w:tc>
          <w:tcPr>
            <w:tcW w:w="2958" w:type="dxa"/>
            <w:noWrap w:val="0"/>
            <w:vAlign w:val="top"/>
          </w:tcPr>
          <w:p w14:paraId="2EC02F9B">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lang w:eastAsia="zh-CN"/>
              </w:rPr>
              <w:t>是</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eastAsia="zh-CN"/>
              </w:rPr>
              <w:t>否</w:t>
            </w:r>
          </w:p>
        </w:tc>
      </w:tr>
      <w:tr w14:paraId="0418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continue"/>
            <w:noWrap w:val="0"/>
            <w:vAlign w:val="top"/>
          </w:tcPr>
          <w:p w14:paraId="08146A5A">
            <w:pPr>
              <w:shd w:val="clear" w:color="auto" w:fill="auto"/>
              <w:jc w:val="center"/>
              <w:rPr>
                <w:rFonts w:hint="default" w:ascii="Times New Roman" w:hAnsi="Times New Roman" w:eastAsia="宋体" w:cs="Times New Roman"/>
                <w:color w:val="auto"/>
                <w:sz w:val="21"/>
                <w:szCs w:val="21"/>
                <w:highlight w:val="none"/>
                <w:vertAlign w:val="baseline"/>
              </w:rPr>
            </w:pPr>
          </w:p>
        </w:tc>
        <w:tc>
          <w:tcPr>
            <w:tcW w:w="2957" w:type="dxa"/>
            <w:noWrap w:val="0"/>
            <w:vAlign w:val="top"/>
          </w:tcPr>
          <w:p w14:paraId="7F49EB2A">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地形数据分辨率</w:t>
            </w:r>
            <w:r>
              <w:rPr>
                <w:rFonts w:hint="default" w:ascii="Times New Roman" w:hAnsi="Times New Roman" w:eastAsia="宋体" w:cs="Times New Roman"/>
                <w:b w:val="0"/>
                <w:bCs/>
                <w:color w:val="auto"/>
                <w:sz w:val="21"/>
                <w:szCs w:val="21"/>
                <w:highlight w:val="none"/>
                <w:vertAlign w:val="baseline"/>
                <w:lang w:val="en-US" w:eastAsia="zh-CN"/>
              </w:rPr>
              <w:t>/m</w:t>
            </w:r>
          </w:p>
        </w:tc>
        <w:tc>
          <w:tcPr>
            <w:tcW w:w="2958" w:type="dxa"/>
            <w:noWrap w:val="0"/>
            <w:vAlign w:val="top"/>
          </w:tcPr>
          <w:p w14:paraId="3850CAA6">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val="en-US" w:eastAsia="zh-CN"/>
              </w:rPr>
              <w:t>90</w:t>
            </w:r>
          </w:p>
        </w:tc>
      </w:tr>
      <w:tr w14:paraId="2356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restart"/>
            <w:noWrap w:val="0"/>
            <w:vAlign w:val="center"/>
          </w:tcPr>
          <w:p w14:paraId="57CCE76B">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是否考虑岸线熏烟</w:t>
            </w:r>
          </w:p>
        </w:tc>
        <w:tc>
          <w:tcPr>
            <w:tcW w:w="2957" w:type="dxa"/>
            <w:noWrap w:val="0"/>
            <w:vAlign w:val="top"/>
          </w:tcPr>
          <w:p w14:paraId="2708A99C">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考虑岸线熏烟</w:t>
            </w:r>
          </w:p>
        </w:tc>
        <w:tc>
          <w:tcPr>
            <w:tcW w:w="2958" w:type="dxa"/>
            <w:noWrap w:val="0"/>
            <w:vAlign w:val="top"/>
          </w:tcPr>
          <w:p w14:paraId="1BC042D3">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lang w:eastAsia="zh-CN"/>
              </w:rPr>
              <w:t>是</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sym w:font="Wingdings 2" w:char="0052"/>
            </w:r>
            <w:r>
              <w:rPr>
                <w:rFonts w:hint="default" w:ascii="Times New Roman" w:hAnsi="Times New Roman" w:eastAsia="宋体" w:cs="Times New Roman"/>
                <w:color w:val="auto"/>
                <w:sz w:val="21"/>
                <w:szCs w:val="21"/>
                <w:highlight w:val="none"/>
                <w:lang w:eastAsia="zh-CN"/>
              </w:rPr>
              <w:t>否</w:t>
            </w:r>
          </w:p>
        </w:tc>
      </w:tr>
      <w:tr w14:paraId="7014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dxa"/>
            <w:vMerge w:val="continue"/>
            <w:noWrap w:val="0"/>
            <w:vAlign w:val="top"/>
          </w:tcPr>
          <w:p w14:paraId="0020C58F">
            <w:pPr>
              <w:shd w:val="clear" w:color="auto" w:fill="auto"/>
              <w:jc w:val="center"/>
              <w:rPr>
                <w:rFonts w:hint="default" w:ascii="Times New Roman" w:hAnsi="Times New Roman" w:eastAsia="宋体" w:cs="Times New Roman"/>
                <w:color w:val="auto"/>
                <w:sz w:val="21"/>
                <w:szCs w:val="21"/>
                <w:highlight w:val="none"/>
                <w:vertAlign w:val="baseline"/>
              </w:rPr>
            </w:pPr>
          </w:p>
        </w:tc>
        <w:tc>
          <w:tcPr>
            <w:tcW w:w="2957" w:type="dxa"/>
            <w:noWrap w:val="0"/>
            <w:vAlign w:val="top"/>
          </w:tcPr>
          <w:p w14:paraId="43012B30">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岸线距离</w:t>
            </w:r>
            <w:r>
              <w:rPr>
                <w:rFonts w:hint="default" w:ascii="Times New Roman" w:hAnsi="Times New Roman" w:eastAsia="宋体" w:cs="Times New Roman"/>
                <w:b w:val="0"/>
                <w:bCs/>
                <w:color w:val="auto"/>
                <w:sz w:val="21"/>
                <w:szCs w:val="21"/>
                <w:highlight w:val="none"/>
                <w:vertAlign w:val="baseline"/>
                <w:lang w:val="en-US" w:eastAsia="zh-CN"/>
              </w:rPr>
              <w:t>/m</w:t>
            </w:r>
          </w:p>
        </w:tc>
        <w:tc>
          <w:tcPr>
            <w:tcW w:w="2958" w:type="dxa"/>
            <w:noWrap w:val="0"/>
            <w:vAlign w:val="top"/>
          </w:tcPr>
          <w:p w14:paraId="2EE2B4AD">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val="en-US" w:eastAsia="zh-CN"/>
              </w:rPr>
              <w:t>/</w:t>
            </w:r>
          </w:p>
        </w:tc>
      </w:tr>
      <w:tr w14:paraId="1F62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7" w:type="dxa"/>
            <w:vMerge w:val="continue"/>
            <w:noWrap w:val="0"/>
            <w:vAlign w:val="top"/>
          </w:tcPr>
          <w:p w14:paraId="72C02FD1">
            <w:pPr>
              <w:shd w:val="clear" w:color="auto" w:fill="auto"/>
              <w:jc w:val="center"/>
              <w:rPr>
                <w:rFonts w:hint="default" w:ascii="Times New Roman" w:hAnsi="Times New Roman" w:eastAsia="宋体" w:cs="Times New Roman"/>
                <w:color w:val="auto"/>
                <w:sz w:val="21"/>
                <w:szCs w:val="21"/>
                <w:highlight w:val="none"/>
                <w:vertAlign w:val="baseline"/>
              </w:rPr>
            </w:pPr>
          </w:p>
        </w:tc>
        <w:tc>
          <w:tcPr>
            <w:tcW w:w="2957" w:type="dxa"/>
            <w:noWrap w:val="0"/>
            <w:vAlign w:val="top"/>
          </w:tcPr>
          <w:p w14:paraId="7B988F7D">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val="0"/>
                <w:bCs/>
                <w:color w:val="auto"/>
                <w:sz w:val="21"/>
                <w:szCs w:val="21"/>
                <w:highlight w:val="none"/>
                <w:vertAlign w:val="baseline"/>
                <w:lang w:eastAsia="zh-CN"/>
              </w:rPr>
              <w:t>岸方向线</w:t>
            </w:r>
            <w:r>
              <w:rPr>
                <w:rFonts w:hint="default" w:ascii="Times New Roman" w:hAnsi="Times New Roman" w:eastAsia="宋体" w:cs="Times New Roman"/>
                <w:b w:val="0"/>
                <w:bCs/>
                <w:color w:val="auto"/>
                <w:sz w:val="21"/>
                <w:szCs w:val="21"/>
                <w:highlight w:val="none"/>
                <w:vertAlign w:val="baseline"/>
                <w:lang w:val="en-US" w:eastAsia="zh-CN"/>
              </w:rPr>
              <w:t>/º</w:t>
            </w:r>
          </w:p>
        </w:tc>
        <w:tc>
          <w:tcPr>
            <w:tcW w:w="2958" w:type="dxa"/>
            <w:noWrap w:val="0"/>
            <w:vAlign w:val="top"/>
          </w:tcPr>
          <w:p w14:paraId="22025F4F">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b/>
                <w:color w:val="auto"/>
                <w:sz w:val="21"/>
                <w:szCs w:val="21"/>
                <w:highlight w:val="none"/>
                <w:vertAlign w:val="baseline"/>
                <w:lang w:val="en-US" w:eastAsia="zh-CN"/>
              </w:rPr>
              <w:t>/</w:t>
            </w:r>
          </w:p>
        </w:tc>
      </w:tr>
    </w:tbl>
    <w:p w14:paraId="67FD208A">
      <w:pPr>
        <w:spacing w:line="480" w:lineRule="exact"/>
        <w:jc w:val="left"/>
        <w:rPr>
          <w:rFonts w:hint="default" w:ascii="Times New Roman" w:hAnsi="Times New Roman" w:eastAsia="宋体" w:cs="Times New Roman"/>
          <w:b/>
          <w:color w:val="auto"/>
        </w:rPr>
      </w:pPr>
      <w:r>
        <w:rPr>
          <w:rFonts w:hint="default" w:ascii="Times New Roman" w:hAnsi="Times New Roman" w:eastAsia="宋体" w:cs="Times New Roman"/>
          <w:color w:val="auto"/>
        </w:rPr>
        <w:t>本项目所有污染源的正常排放的污染物的P</w:t>
      </w:r>
      <w:r>
        <w:rPr>
          <w:rFonts w:hint="default" w:ascii="Times New Roman" w:hAnsi="Times New Roman" w:eastAsia="宋体" w:cs="Times New Roman"/>
          <w:color w:val="auto"/>
          <w:vertAlign w:val="subscript"/>
        </w:rPr>
        <w:t>max</w:t>
      </w:r>
      <w:r>
        <w:rPr>
          <w:rFonts w:hint="default" w:ascii="Times New Roman" w:hAnsi="Times New Roman" w:eastAsia="宋体" w:cs="Times New Roman"/>
          <w:color w:val="auto"/>
        </w:rPr>
        <w:t>和D</w:t>
      </w:r>
      <w:r>
        <w:rPr>
          <w:rFonts w:hint="default" w:ascii="Times New Roman" w:hAnsi="Times New Roman" w:eastAsia="宋体" w:cs="Times New Roman"/>
          <w:color w:val="auto"/>
          <w:vertAlign w:val="subscript"/>
        </w:rPr>
        <w:t>10%</w:t>
      </w:r>
      <w:r>
        <w:rPr>
          <w:rFonts w:hint="default" w:ascii="Times New Roman" w:hAnsi="Times New Roman" w:eastAsia="宋体" w:cs="Times New Roman"/>
          <w:color w:val="auto"/>
        </w:rPr>
        <w:t>预测结果如下：</w:t>
      </w:r>
    </w:p>
    <w:p w14:paraId="28643605">
      <w:pPr>
        <w:spacing w:line="480" w:lineRule="exact"/>
        <w:ind w:firstLine="424" w:firstLineChars="176"/>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表5.2-1</w:t>
      </w:r>
      <w:r>
        <w:rPr>
          <w:rFonts w:hint="default" w:ascii="Times New Roman" w:hAnsi="Times New Roman" w:eastAsia="宋体" w:cs="Times New Roman"/>
          <w:b/>
          <w:color w:val="auto"/>
          <w:lang w:val="en-US" w:eastAsia="zh-CN"/>
        </w:rPr>
        <w:t>3</w:t>
      </w:r>
      <w:r>
        <w:rPr>
          <w:rFonts w:hint="default" w:ascii="Times New Roman" w:hAnsi="Times New Roman" w:eastAsia="宋体" w:cs="Times New Roman"/>
          <w:b/>
          <w:color w:val="auto"/>
        </w:rPr>
        <w:t xml:space="preserve">  P</w:t>
      </w:r>
      <w:r>
        <w:rPr>
          <w:rFonts w:hint="default" w:ascii="Times New Roman" w:hAnsi="Times New Roman" w:eastAsia="宋体" w:cs="Times New Roman"/>
          <w:b/>
          <w:color w:val="auto"/>
          <w:vertAlign w:val="subscript"/>
        </w:rPr>
        <w:t>max</w:t>
      </w:r>
      <w:r>
        <w:rPr>
          <w:rFonts w:hint="default" w:ascii="Times New Roman" w:hAnsi="Times New Roman" w:eastAsia="宋体" w:cs="Times New Roman"/>
          <w:b/>
          <w:color w:val="auto"/>
        </w:rPr>
        <w:t>和D</w:t>
      </w:r>
      <w:r>
        <w:rPr>
          <w:rFonts w:hint="default" w:ascii="Times New Roman" w:hAnsi="Times New Roman" w:eastAsia="宋体" w:cs="Times New Roman"/>
          <w:b/>
          <w:color w:val="auto"/>
          <w:vertAlign w:val="subscript"/>
        </w:rPr>
        <w:t>10%</w:t>
      </w:r>
      <w:r>
        <w:rPr>
          <w:rFonts w:hint="default" w:ascii="Times New Roman" w:hAnsi="Times New Roman" w:eastAsia="宋体" w:cs="Times New Roman"/>
          <w:b/>
          <w:color w:val="auto"/>
        </w:rPr>
        <w:t>预测和计算结果一览表</w:t>
      </w:r>
    </w:p>
    <w:tbl>
      <w:tblPr>
        <w:tblStyle w:val="6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49"/>
        <w:gridCol w:w="1549"/>
        <w:gridCol w:w="1547"/>
        <w:gridCol w:w="1549"/>
        <w:gridCol w:w="1545"/>
      </w:tblGrid>
      <w:tr w14:paraId="178DA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547" w:type="dxa"/>
            <w:vAlign w:val="center"/>
          </w:tcPr>
          <w:p w14:paraId="5A8916D4">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污染源名称</w:t>
            </w:r>
          </w:p>
        </w:tc>
        <w:tc>
          <w:tcPr>
            <w:tcW w:w="1549" w:type="dxa"/>
            <w:vAlign w:val="center"/>
          </w:tcPr>
          <w:p w14:paraId="74C88758">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评价因子</w:t>
            </w:r>
          </w:p>
        </w:tc>
        <w:tc>
          <w:tcPr>
            <w:tcW w:w="1549" w:type="dxa"/>
            <w:vAlign w:val="center"/>
          </w:tcPr>
          <w:p w14:paraId="02CCDA3F">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评价标准</w:t>
            </w:r>
            <w:r>
              <w:rPr>
                <w:rFonts w:hint="eastAsia" w:ascii="Times New Roman" w:hAnsi="Times New Roman" w:eastAsia="宋体" w:cs="Times New Roman"/>
                <w:b/>
                <w:bCs/>
                <w:color w:val="auto"/>
                <w:sz w:val="21"/>
                <w:szCs w:val="21"/>
                <w:highlight w:val="none"/>
                <w:vertAlign w:val="baseline"/>
              </w:rPr>
              <w:t>(</w:t>
            </w:r>
            <w:r>
              <w:rPr>
                <w:rFonts w:hint="default" w:ascii="Times New Roman" w:hAnsi="Times New Roman" w:eastAsia="宋体" w:cs="Times New Roman"/>
                <w:b/>
                <w:bCs/>
                <w:color w:val="auto"/>
                <w:sz w:val="21"/>
                <w:szCs w:val="21"/>
                <w:highlight w:val="none"/>
                <w:vertAlign w:val="baseline"/>
              </w:rPr>
              <w:t>μg/m3</w:t>
            </w:r>
            <w:r>
              <w:rPr>
                <w:rFonts w:hint="eastAsia" w:ascii="Times New Roman" w:hAnsi="Times New Roman" w:eastAsia="宋体" w:cs="Times New Roman"/>
                <w:b/>
                <w:bCs/>
                <w:color w:val="auto"/>
                <w:sz w:val="21"/>
                <w:szCs w:val="21"/>
                <w:highlight w:val="none"/>
                <w:vertAlign w:val="baseline"/>
              </w:rPr>
              <w:t>)</w:t>
            </w:r>
          </w:p>
        </w:tc>
        <w:tc>
          <w:tcPr>
            <w:tcW w:w="1547" w:type="dxa"/>
            <w:vAlign w:val="center"/>
          </w:tcPr>
          <w:p w14:paraId="0773A723">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C</w:t>
            </w:r>
            <w:r>
              <w:rPr>
                <w:rFonts w:hint="eastAsia" w:ascii="Times New Roman" w:hAnsi="Times New Roman" w:eastAsia="宋体" w:cs="Times New Roman"/>
                <w:b/>
                <w:bCs/>
                <w:color w:val="auto"/>
                <w:sz w:val="21"/>
                <w:szCs w:val="21"/>
                <w:highlight w:val="none"/>
                <w:vertAlign w:val="baseline"/>
              </w:rPr>
              <w:t>max</w:t>
            </w:r>
          </w:p>
          <w:p w14:paraId="4C009548">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(μg/m3)</w:t>
            </w:r>
          </w:p>
        </w:tc>
        <w:tc>
          <w:tcPr>
            <w:tcW w:w="1549" w:type="dxa"/>
            <w:vAlign w:val="center"/>
          </w:tcPr>
          <w:p w14:paraId="461E5FB3">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P</w:t>
            </w:r>
            <w:r>
              <w:rPr>
                <w:rFonts w:hint="eastAsia" w:ascii="Times New Roman" w:hAnsi="Times New Roman" w:eastAsia="宋体" w:cs="Times New Roman"/>
                <w:b/>
                <w:bCs/>
                <w:color w:val="auto"/>
                <w:sz w:val="21"/>
                <w:szCs w:val="21"/>
                <w:highlight w:val="none"/>
                <w:vertAlign w:val="baseline"/>
              </w:rPr>
              <w:t>max</w:t>
            </w:r>
          </w:p>
          <w:p w14:paraId="30E403C6">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w:t>
            </w:r>
          </w:p>
        </w:tc>
        <w:tc>
          <w:tcPr>
            <w:tcW w:w="1545" w:type="dxa"/>
            <w:vAlign w:val="center"/>
          </w:tcPr>
          <w:p w14:paraId="3B34F307">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D10%</w:t>
            </w:r>
          </w:p>
          <w:p w14:paraId="41076890">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(m)</w:t>
            </w:r>
          </w:p>
        </w:tc>
      </w:tr>
      <w:tr w14:paraId="0ED1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14:paraId="3577E4FD">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矩形面源</w:t>
            </w:r>
          </w:p>
        </w:tc>
        <w:tc>
          <w:tcPr>
            <w:tcW w:w="1549" w:type="dxa"/>
            <w:vAlign w:val="center"/>
          </w:tcPr>
          <w:p w14:paraId="7D1E9F1A">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TSP</w:t>
            </w:r>
          </w:p>
        </w:tc>
        <w:tc>
          <w:tcPr>
            <w:tcW w:w="1549" w:type="dxa"/>
            <w:vAlign w:val="center"/>
          </w:tcPr>
          <w:p w14:paraId="7F603404">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900.0</w:t>
            </w:r>
          </w:p>
        </w:tc>
        <w:tc>
          <w:tcPr>
            <w:tcW w:w="1547" w:type="dxa"/>
            <w:vAlign w:val="center"/>
          </w:tcPr>
          <w:p w14:paraId="0A7FB14B">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0.0613</w:t>
            </w:r>
          </w:p>
        </w:tc>
        <w:tc>
          <w:tcPr>
            <w:tcW w:w="1549" w:type="dxa"/>
            <w:vAlign w:val="center"/>
          </w:tcPr>
          <w:p w14:paraId="3B71BC1E">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0.007</w:t>
            </w:r>
          </w:p>
        </w:tc>
        <w:tc>
          <w:tcPr>
            <w:tcW w:w="1545" w:type="dxa"/>
            <w:vAlign w:val="center"/>
          </w:tcPr>
          <w:p w14:paraId="52C94728">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w:t>
            </w:r>
          </w:p>
        </w:tc>
      </w:tr>
      <w:tr w14:paraId="61D26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14:paraId="2ABC2480">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矩形面源</w:t>
            </w:r>
          </w:p>
        </w:tc>
        <w:tc>
          <w:tcPr>
            <w:tcW w:w="1549" w:type="dxa"/>
            <w:vAlign w:val="center"/>
          </w:tcPr>
          <w:p w14:paraId="6B0E7531">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H</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vertAlign w:val="baseline"/>
              </w:rPr>
              <w:t>S</w:t>
            </w:r>
          </w:p>
        </w:tc>
        <w:tc>
          <w:tcPr>
            <w:tcW w:w="1549" w:type="dxa"/>
            <w:vAlign w:val="center"/>
          </w:tcPr>
          <w:p w14:paraId="1EA8A2D2">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10.0</w:t>
            </w:r>
          </w:p>
        </w:tc>
        <w:tc>
          <w:tcPr>
            <w:tcW w:w="1547" w:type="dxa"/>
            <w:vAlign w:val="center"/>
          </w:tcPr>
          <w:p w14:paraId="6A2A8AFB">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0.0753</w:t>
            </w:r>
          </w:p>
        </w:tc>
        <w:tc>
          <w:tcPr>
            <w:tcW w:w="1549" w:type="dxa"/>
            <w:vAlign w:val="center"/>
          </w:tcPr>
          <w:p w14:paraId="0F8C601C">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0.753</w:t>
            </w:r>
          </w:p>
        </w:tc>
        <w:tc>
          <w:tcPr>
            <w:tcW w:w="1545" w:type="dxa"/>
            <w:vAlign w:val="center"/>
          </w:tcPr>
          <w:p w14:paraId="7F5D492D">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w:t>
            </w:r>
          </w:p>
        </w:tc>
      </w:tr>
      <w:tr w14:paraId="798F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47" w:type="dxa"/>
            <w:vAlign w:val="center"/>
          </w:tcPr>
          <w:p w14:paraId="4B74BF9F">
            <w:pPr>
              <w:shd w:val="clear" w:color="auto" w:fill="auto"/>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rPr>
              <w:t>矩形面源</w:t>
            </w:r>
          </w:p>
        </w:tc>
        <w:tc>
          <w:tcPr>
            <w:tcW w:w="1549" w:type="dxa"/>
            <w:vAlign w:val="center"/>
          </w:tcPr>
          <w:p w14:paraId="3FF63907">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NH</w:t>
            </w:r>
            <w:r>
              <w:rPr>
                <w:rFonts w:hint="default" w:ascii="Times New Roman" w:hAnsi="Times New Roman" w:eastAsia="宋体" w:cs="Times New Roman"/>
                <w:color w:val="auto"/>
                <w:sz w:val="21"/>
                <w:szCs w:val="21"/>
                <w:highlight w:val="none"/>
                <w:vertAlign w:val="subscript"/>
              </w:rPr>
              <w:t>3</w:t>
            </w:r>
          </w:p>
        </w:tc>
        <w:tc>
          <w:tcPr>
            <w:tcW w:w="1549" w:type="dxa"/>
            <w:vAlign w:val="center"/>
          </w:tcPr>
          <w:p w14:paraId="290C2EFF">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200.0</w:t>
            </w:r>
          </w:p>
        </w:tc>
        <w:tc>
          <w:tcPr>
            <w:tcW w:w="1547" w:type="dxa"/>
            <w:vAlign w:val="center"/>
          </w:tcPr>
          <w:p w14:paraId="1ABECEAE">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0.8063</w:t>
            </w:r>
          </w:p>
        </w:tc>
        <w:tc>
          <w:tcPr>
            <w:tcW w:w="1549" w:type="dxa"/>
            <w:vAlign w:val="center"/>
          </w:tcPr>
          <w:p w14:paraId="10F47399">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0.403</w:t>
            </w:r>
          </w:p>
        </w:tc>
        <w:tc>
          <w:tcPr>
            <w:tcW w:w="1545" w:type="dxa"/>
            <w:vAlign w:val="center"/>
          </w:tcPr>
          <w:p w14:paraId="04EAF7AE">
            <w:pPr>
              <w:shd w:val="clear" w:color="auto" w:fill="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w:t>
            </w:r>
          </w:p>
        </w:tc>
      </w:tr>
    </w:tbl>
    <w:p w14:paraId="1EC81DC4">
      <w:pPr>
        <w:spacing w:line="48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评价等级判定：根据《环境影响评价技术导则 大气环境》(HJ2.2-2018)分级判据，确定本项目大气环境影响评价工作等级为</w:t>
      </w:r>
      <w:r>
        <w:rPr>
          <w:rFonts w:hint="eastAsia" w:ascii="Times New Roman" w:hAnsi="Times New Roman" w:cs="Times New Roman"/>
          <w:color w:val="auto"/>
          <w:lang w:eastAsia="zh-CN"/>
        </w:rPr>
        <w:t>三</w:t>
      </w:r>
      <w:r>
        <w:rPr>
          <w:rFonts w:hint="default" w:ascii="Times New Roman" w:hAnsi="Times New Roman" w:eastAsia="宋体" w:cs="Times New Roman"/>
          <w:color w:val="auto"/>
        </w:rPr>
        <w:t>级。</w:t>
      </w:r>
    </w:p>
    <w:p w14:paraId="02F33B59">
      <w:pPr>
        <w:tabs>
          <w:tab w:val="center" w:pos="4026"/>
        </w:tabs>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无组织排放废气影响分析</w:t>
      </w:r>
    </w:p>
    <w:p w14:paraId="628B6AE7">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根据《环境影响评价技术导则—大气环境》（HJ2.2-2018）中推荐的估算模式即AERSCREEN模式，计算相应浓度占标率，项目无组织废气预测结果</w:t>
      </w:r>
      <w:r>
        <w:rPr>
          <w:rFonts w:hint="default" w:ascii="Times New Roman" w:hAnsi="Times New Roman" w:eastAsia="宋体" w:cs="Times New Roman"/>
          <w:color w:val="auto"/>
          <w:lang w:eastAsia="zh-CN"/>
        </w:rPr>
        <w:t>下</w:t>
      </w:r>
      <w:r>
        <w:rPr>
          <w:rFonts w:hint="default" w:ascii="Times New Roman" w:hAnsi="Times New Roman" w:eastAsia="宋体" w:cs="Times New Roman"/>
          <w:color w:val="auto"/>
        </w:rPr>
        <w:t>表。</w:t>
      </w:r>
    </w:p>
    <w:p w14:paraId="10FE84F3">
      <w:pPr>
        <w:pStyle w:val="72"/>
        <w:ind w:firstLine="472"/>
        <w:rPr>
          <w:rFonts w:hint="default" w:ascii="Times New Roman" w:hAnsi="Times New Roman" w:eastAsia="宋体" w:cs="Times New Roman"/>
          <w:color w:val="auto"/>
        </w:rPr>
      </w:pPr>
      <w:r>
        <w:rPr>
          <w:rFonts w:hint="default" w:ascii="Times New Roman" w:hAnsi="Times New Roman" w:eastAsia="宋体" w:cs="Times New Roman"/>
          <w:b/>
          <w:color w:val="auto"/>
          <w:sz w:val="24"/>
          <w:szCs w:val="24"/>
        </w:rPr>
        <w:t>表5.2-</w:t>
      </w:r>
      <w:r>
        <w:rPr>
          <w:rFonts w:hint="eastAsia" w:eastAsia="宋体" w:cs="Times New Roman"/>
          <w:b/>
          <w:color w:val="auto"/>
          <w:sz w:val="24"/>
          <w:szCs w:val="24"/>
          <w:lang w:val="en-US" w:eastAsia="zh-CN"/>
        </w:rPr>
        <w:t>14</w:t>
      </w:r>
      <w:r>
        <w:rPr>
          <w:rFonts w:hint="default" w:ascii="Times New Roman" w:hAnsi="Times New Roman" w:eastAsia="宋体" w:cs="Times New Roman"/>
          <w:b/>
          <w:color w:val="auto"/>
          <w:sz w:val="24"/>
          <w:szCs w:val="24"/>
        </w:rPr>
        <w:t xml:space="preserve"> 项目无组织</w:t>
      </w:r>
      <w:r>
        <w:rPr>
          <w:rFonts w:hint="eastAsia" w:ascii="Times New Roman" w:hAnsi="Times New Roman" w:eastAsia="宋体" w:cs="Times New Roman"/>
          <w:b/>
          <w:color w:val="auto"/>
          <w:sz w:val="24"/>
          <w:szCs w:val="24"/>
          <w:lang w:eastAsia="zh-CN"/>
        </w:rPr>
        <w:t>粉尘</w:t>
      </w:r>
      <w:r>
        <w:rPr>
          <w:rFonts w:hint="default" w:ascii="Times New Roman" w:hAnsi="Times New Roman" w:eastAsia="宋体" w:cs="Times New Roman"/>
          <w:b/>
          <w:color w:val="auto"/>
          <w:sz w:val="24"/>
          <w:szCs w:val="24"/>
        </w:rPr>
        <w:t>排放污染物估算模式预测结果</w:t>
      </w:r>
    </w:p>
    <w:tbl>
      <w:tblPr>
        <w:tblStyle w:val="6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8"/>
        <w:gridCol w:w="3049"/>
        <w:gridCol w:w="3049"/>
      </w:tblGrid>
      <w:tr w14:paraId="1000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3188" w:type="dxa"/>
            <w:vMerge w:val="restart"/>
            <w:vAlign w:val="center"/>
          </w:tcPr>
          <w:p w14:paraId="4FDA8B6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下方向距离(m)</w:t>
            </w:r>
          </w:p>
        </w:tc>
        <w:tc>
          <w:tcPr>
            <w:tcW w:w="6098" w:type="dxa"/>
            <w:gridSpan w:val="2"/>
            <w:vAlign w:val="center"/>
          </w:tcPr>
          <w:p w14:paraId="445D928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矩形面源</w:t>
            </w:r>
          </w:p>
        </w:tc>
      </w:tr>
      <w:tr w14:paraId="62B6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3188" w:type="dxa"/>
            <w:vMerge w:val="continue"/>
            <w:vAlign w:val="center"/>
          </w:tcPr>
          <w:p w14:paraId="5917D990">
            <w:pPr>
              <w:jc w:val="center"/>
              <w:rPr>
                <w:rFonts w:hint="default" w:ascii="Times New Roman" w:hAnsi="Times New Roman" w:eastAsia="宋体" w:cs="Times New Roman"/>
                <w:b/>
                <w:bCs/>
                <w:color w:val="auto"/>
                <w:sz w:val="21"/>
                <w:szCs w:val="21"/>
              </w:rPr>
            </w:pPr>
          </w:p>
        </w:tc>
        <w:tc>
          <w:tcPr>
            <w:tcW w:w="3049" w:type="dxa"/>
            <w:vAlign w:val="center"/>
          </w:tcPr>
          <w:p w14:paraId="01975A4E">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TSP浓度（ug/m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3049" w:type="dxa"/>
            <w:vAlign w:val="center"/>
          </w:tcPr>
          <w:p w14:paraId="166DAAD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TSP占标率（%）</w:t>
            </w:r>
          </w:p>
        </w:tc>
      </w:tr>
      <w:tr w14:paraId="1761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3796BD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049" w:type="dxa"/>
            <w:vAlign w:val="center"/>
          </w:tcPr>
          <w:p w14:paraId="5B1019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0.0291</w:t>
            </w:r>
          </w:p>
        </w:tc>
        <w:tc>
          <w:tcPr>
            <w:tcW w:w="3049" w:type="dxa"/>
            <w:vAlign w:val="center"/>
          </w:tcPr>
          <w:p w14:paraId="4F90D48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r>
      <w:tr w14:paraId="433C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676911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3049" w:type="dxa"/>
            <w:vAlign w:val="center"/>
          </w:tcPr>
          <w:p w14:paraId="7FD1D3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0.0435</w:t>
            </w:r>
          </w:p>
        </w:tc>
        <w:tc>
          <w:tcPr>
            <w:tcW w:w="3049" w:type="dxa"/>
            <w:vAlign w:val="center"/>
          </w:tcPr>
          <w:p w14:paraId="1A8A23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7962B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3C260F1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049" w:type="dxa"/>
            <w:vAlign w:val="center"/>
          </w:tcPr>
          <w:p w14:paraId="5CCEBF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0.0565</w:t>
            </w:r>
          </w:p>
        </w:tc>
        <w:tc>
          <w:tcPr>
            <w:tcW w:w="3049" w:type="dxa"/>
            <w:vAlign w:val="center"/>
          </w:tcPr>
          <w:p w14:paraId="4C70BF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14:paraId="7CBB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6BC4A3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75.0</w:t>
            </w:r>
          </w:p>
        </w:tc>
        <w:tc>
          <w:tcPr>
            <w:tcW w:w="3049" w:type="dxa"/>
            <w:vAlign w:val="center"/>
          </w:tcPr>
          <w:p w14:paraId="1903693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0.0610</w:t>
            </w:r>
          </w:p>
        </w:tc>
        <w:tc>
          <w:tcPr>
            <w:tcW w:w="3049" w:type="dxa"/>
            <w:vAlign w:val="center"/>
          </w:tcPr>
          <w:p w14:paraId="573490C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r>
      <w:tr w14:paraId="081B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shd w:val="clear" w:color="auto" w:fill="auto"/>
            <w:vAlign w:val="center"/>
          </w:tcPr>
          <w:p w14:paraId="7ACB9F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83.0</w:t>
            </w:r>
          </w:p>
        </w:tc>
        <w:tc>
          <w:tcPr>
            <w:tcW w:w="3049" w:type="dxa"/>
            <w:shd w:val="clear" w:color="auto" w:fill="auto"/>
            <w:vAlign w:val="center"/>
          </w:tcPr>
          <w:p w14:paraId="61FDA5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0.0613</w:t>
            </w:r>
          </w:p>
        </w:tc>
        <w:tc>
          <w:tcPr>
            <w:tcW w:w="3049" w:type="dxa"/>
            <w:shd w:val="clear" w:color="auto" w:fill="auto"/>
            <w:vAlign w:val="center"/>
          </w:tcPr>
          <w:p w14:paraId="300709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r>
      <w:tr w14:paraId="7AAA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7BC033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3049" w:type="dxa"/>
            <w:vAlign w:val="center"/>
          </w:tcPr>
          <w:p w14:paraId="11DC870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0.0601</w:t>
            </w:r>
          </w:p>
        </w:tc>
        <w:tc>
          <w:tcPr>
            <w:tcW w:w="3049" w:type="dxa"/>
            <w:vAlign w:val="center"/>
          </w:tcPr>
          <w:p w14:paraId="60B797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r>
      <w:tr w14:paraId="30CC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23F590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3049" w:type="dxa"/>
            <w:vAlign w:val="center"/>
          </w:tcPr>
          <w:p w14:paraId="4F8684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0.0508</w:t>
            </w:r>
          </w:p>
        </w:tc>
        <w:tc>
          <w:tcPr>
            <w:tcW w:w="3049" w:type="dxa"/>
            <w:vAlign w:val="center"/>
          </w:tcPr>
          <w:p w14:paraId="25749C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w:t>
            </w:r>
          </w:p>
        </w:tc>
      </w:tr>
      <w:tr w14:paraId="6DD1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4C0DE06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w:t>
            </w:r>
          </w:p>
        </w:tc>
        <w:tc>
          <w:tcPr>
            <w:tcW w:w="3049" w:type="dxa"/>
            <w:vAlign w:val="center"/>
          </w:tcPr>
          <w:p w14:paraId="7C4A5B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0.0439</w:t>
            </w:r>
          </w:p>
        </w:tc>
        <w:tc>
          <w:tcPr>
            <w:tcW w:w="3049" w:type="dxa"/>
            <w:vAlign w:val="center"/>
          </w:tcPr>
          <w:p w14:paraId="1A55E29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753D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640A50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325.0</w:t>
            </w:r>
          </w:p>
        </w:tc>
        <w:tc>
          <w:tcPr>
            <w:tcW w:w="3049" w:type="dxa"/>
            <w:vAlign w:val="center"/>
          </w:tcPr>
          <w:p w14:paraId="4E2DE2B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0.0422</w:t>
            </w:r>
          </w:p>
        </w:tc>
        <w:tc>
          <w:tcPr>
            <w:tcW w:w="3049" w:type="dxa"/>
            <w:vAlign w:val="center"/>
          </w:tcPr>
          <w:p w14:paraId="50A674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w:t>
            </w:r>
          </w:p>
        </w:tc>
      </w:tr>
      <w:tr w14:paraId="3DC4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0B5959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3049" w:type="dxa"/>
            <w:vAlign w:val="center"/>
          </w:tcPr>
          <w:p w14:paraId="452CE1A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0.0376</w:t>
            </w:r>
          </w:p>
        </w:tc>
        <w:tc>
          <w:tcPr>
            <w:tcW w:w="3049" w:type="dxa"/>
            <w:vAlign w:val="center"/>
          </w:tcPr>
          <w:p w14:paraId="1CB5584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r>
      <w:tr w14:paraId="3530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506FC02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3049" w:type="dxa"/>
            <w:vAlign w:val="center"/>
          </w:tcPr>
          <w:p w14:paraId="42F9C7A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0.0326</w:t>
            </w:r>
          </w:p>
        </w:tc>
        <w:tc>
          <w:tcPr>
            <w:tcW w:w="3049" w:type="dxa"/>
            <w:vAlign w:val="center"/>
          </w:tcPr>
          <w:p w14:paraId="33553E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w:t>
            </w:r>
          </w:p>
        </w:tc>
      </w:tr>
      <w:tr w14:paraId="34CD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7D5EC1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600.0</w:t>
            </w:r>
          </w:p>
        </w:tc>
        <w:tc>
          <w:tcPr>
            <w:tcW w:w="3049" w:type="dxa"/>
            <w:vAlign w:val="center"/>
          </w:tcPr>
          <w:p w14:paraId="7749AA6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0.0299</w:t>
            </w:r>
          </w:p>
        </w:tc>
        <w:tc>
          <w:tcPr>
            <w:tcW w:w="3049" w:type="dxa"/>
            <w:vAlign w:val="center"/>
          </w:tcPr>
          <w:p w14:paraId="746324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r>
      <w:tr w14:paraId="0D907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3A6223D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700.0</w:t>
            </w:r>
          </w:p>
        </w:tc>
        <w:tc>
          <w:tcPr>
            <w:tcW w:w="3049" w:type="dxa"/>
            <w:vAlign w:val="center"/>
          </w:tcPr>
          <w:p w14:paraId="43DC5D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0.0277</w:t>
            </w:r>
          </w:p>
        </w:tc>
        <w:tc>
          <w:tcPr>
            <w:tcW w:w="3049" w:type="dxa"/>
            <w:vAlign w:val="center"/>
          </w:tcPr>
          <w:p w14:paraId="5EBF14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r>
      <w:tr w14:paraId="3E64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13729B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w:t>
            </w:r>
          </w:p>
        </w:tc>
        <w:tc>
          <w:tcPr>
            <w:tcW w:w="3049" w:type="dxa"/>
            <w:vAlign w:val="center"/>
          </w:tcPr>
          <w:p w14:paraId="0F2A70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0.0258</w:t>
            </w:r>
          </w:p>
        </w:tc>
        <w:tc>
          <w:tcPr>
            <w:tcW w:w="3049" w:type="dxa"/>
            <w:vAlign w:val="center"/>
          </w:tcPr>
          <w:p w14:paraId="4906AD5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r>
      <w:tr w14:paraId="0303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49797E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p>
        </w:tc>
        <w:tc>
          <w:tcPr>
            <w:tcW w:w="3049" w:type="dxa"/>
            <w:vAlign w:val="center"/>
          </w:tcPr>
          <w:p w14:paraId="0FA9B5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0.0242</w:t>
            </w:r>
          </w:p>
        </w:tc>
        <w:tc>
          <w:tcPr>
            <w:tcW w:w="3049" w:type="dxa"/>
            <w:vAlign w:val="center"/>
          </w:tcPr>
          <w:p w14:paraId="44E6E5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r>
      <w:tr w14:paraId="32E9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38BA97B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w:t>
            </w:r>
          </w:p>
        </w:tc>
        <w:tc>
          <w:tcPr>
            <w:tcW w:w="3049" w:type="dxa"/>
            <w:vAlign w:val="center"/>
          </w:tcPr>
          <w:p w14:paraId="59C078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0.0228</w:t>
            </w:r>
          </w:p>
        </w:tc>
        <w:tc>
          <w:tcPr>
            <w:tcW w:w="3049" w:type="dxa"/>
            <w:vAlign w:val="center"/>
          </w:tcPr>
          <w:p w14:paraId="6CAFCF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w:t>
            </w:r>
          </w:p>
        </w:tc>
      </w:tr>
      <w:tr w14:paraId="611B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685F6B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1100.0</w:t>
            </w:r>
          </w:p>
        </w:tc>
        <w:tc>
          <w:tcPr>
            <w:tcW w:w="3049" w:type="dxa"/>
            <w:vAlign w:val="center"/>
          </w:tcPr>
          <w:p w14:paraId="5D24D6D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0.0215</w:t>
            </w:r>
          </w:p>
        </w:tc>
        <w:tc>
          <w:tcPr>
            <w:tcW w:w="3049" w:type="dxa"/>
            <w:vAlign w:val="center"/>
          </w:tcPr>
          <w:p w14:paraId="08CAB8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0E0E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0996B2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1200.0</w:t>
            </w:r>
          </w:p>
        </w:tc>
        <w:tc>
          <w:tcPr>
            <w:tcW w:w="3049" w:type="dxa"/>
            <w:vAlign w:val="center"/>
          </w:tcPr>
          <w:p w14:paraId="0EDB83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0.0204</w:t>
            </w:r>
          </w:p>
        </w:tc>
        <w:tc>
          <w:tcPr>
            <w:tcW w:w="3049" w:type="dxa"/>
            <w:vAlign w:val="center"/>
          </w:tcPr>
          <w:p w14:paraId="122C4B3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5D1B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21AC77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1300.0</w:t>
            </w:r>
          </w:p>
        </w:tc>
        <w:tc>
          <w:tcPr>
            <w:tcW w:w="3049" w:type="dxa"/>
            <w:vAlign w:val="center"/>
          </w:tcPr>
          <w:p w14:paraId="44F2D2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0.0196</w:t>
            </w:r>
          </w:p>
        </w:tc>
        <w:tc>
          <w:tcPr>
            <w:tcW w:w="3049" w:type="dxa"/>
            <w:vAlign w:val="center"/>
          </w:tcPr>
          <w:p w14:paraId="2B6AE1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4429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572328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1400.0</w:t>
            </w:r>
          </w:p>
        </w:tc>
        <w:tc>
          <w:tcPr>
            <w:tcW w:w="3049" w:type="dxa"/>
            <w:vAlign w:val="center"/>
          </w:tcPr>
          <w:p w14:paraId="34539E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0.0189</w:t>
            </w:r>
          </w:p>
        </w:tc>
        <w:tc>
          <w:tcPr>
            <w:tcW w:w="3049" w:type="dxa"/>
            <w:vAlign w:val="center"/>
          </w:tcPr>
          <w:p w14:paraId="6D61A04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6ED1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1702E9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1500.0</w:t>
            </w:r>
          </w:p>
        </w:tc>
        <w:tc>
          <w:tcPr>
            <w:tcW w:w="3049" w:type="dxa"/>
            <w:vAlign w:val="center"/>
          </w:tcPr>
          <w:p w14:paraId="59F294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0.0185</w:t>
            </w:r>
          </w:p>
        </w:tc>
        <w:tc>
          <w:tcPr>
            <w:tcW w:w="3049" w:type="dxa"/>
            <w:vAlign w:val="center"/>
          </w:tcPr>
          <w:p w14:paraId="0EBF26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2CA42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04D3F9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1600.0</w:t>
            </w:r>
          </w:p>
        </w:tc>
        <w:tc>
          <w:tcPr>
            <w:tcW w:w="3049" w:type="dxa"/>
            <w:vAlign w:val="center"/>
          </w:tcPr>
          <w:p w14:paraId="570683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0.0178</w:t>
            </w:r>
          </w:p>
        </w:tc>
        <w:tc>
          <w:tcPr>
            <w:tcW w:w="3049" w:type="dxa"/>
            <w:vAlign w:val="center"/>
          </w:tcPr>
          <w:p w14:paraId="6940F1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12F4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6E9357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1700.0</w:t>
            </w:r>
          </w:p>
        </w:tc>
        <w:tc>
          <w:tcPr>
            <w:tcW w:w="3049" w:type="dxa"/>
            <w:vAlign w:val="center"/>
          </w:tcPr>
          <w:p w14:paraId="6A6D73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0.0171</w:t>
            </w:r>
          </w:p>
        </w:tc>
        <w:tc>
          <w:tcPr>
            <w:tcW w:w="3049" w:type="dxa"/>
            <w:vAlign w:val="center"/>
          </w:tcPr>
          <w:p w14:paraId="36B9C9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34D0C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422BA47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3049" w:type="dxa"/>
            <w:vAlign w:val="center"/>
          </w:tcPr>
          <w:p w14:paraId="53B53A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0.0165</w:t>
            </w:r>
          </w:p>
        </w:tc>
        <w:tc>
          <w:tcPr>
            <w:tcW w:w="3049" w:type="dxa"/>
            <w:vAlign w:val="center"/>
          </w:tcPr>
          <w:p w14:paraId="5A5391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48467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73E456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1900.0</w:t>
            </w:r>
          </w:p>
        </w:tc>
        <w:tc>
          <w:tcPr>
            <w:tcW w:w="3049" w:type="dxa"/>
            <w:vAlign w:val="center"/>
          </w:tcPr>
          <w:p w14:paraId="62372AB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0.0160</w:t>
            </w:r>
          </w:p>
        </w:tc>
        <w:tc>
          <w:tcPr>
            <w:tcW w:w="3049" w:type="dxa"/>
            <w:vAlign w:val="center"/>
          </w:tcPr>
          <w:p w14:paraId="09A6C3F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1A12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5EBDAE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2000.0</w:t>
            </w:r>
          </w:p>
        </w:tc>
        <w:tc>
          <w:tcPr>
            <w:tcW w:w="3049" w:type="dxa"/>
            <w:vAlign w:val="center"/>
          </w:tcPr>
          <w:p w14:paraId="333D9A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0.0154</w:t>
            </w:r>
          </w:p>
        </w:tc>
        <w:tc>
          <w:tcPr>
            <w:tcW w:w="3049" w:type="dxa"/>
            <w:vAlign w:val="center"/>
          </w:tcPr>
          <w:p w14:paraId="588CC16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0DDB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53C63C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2100.0</w:t>
            </w:r>
          </w:p>
        </w:tc>
        <w:tc>
          <w:tcPr>
            <w:tcW w:w="3049" w:type="dxa"/>
            <w:vAlign w:val="center"/>
          </w:tcPr>
          <w:p w14:paraId="0680F3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0.0149</w:t>
            </w:r>
          </w:p>
        </w:tc>
        <w:tc>
          <w:tcPr>
            <w:tcW w:w="3049" w:type="dxa"/>
            <w:vAlign w:val="center"/>
          </w:tcPr>
          <w:p w14:paraId="1FEE04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0EDA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0FC6A9A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2200.0</w:t>
            </w:r>
          </w:p>
        </w:tc>
        <w:tc>
          <w:tcPr>
            <w:tcW w:w="3049" w:type="dxa"/>
            <w:vAlign w:val="center"/>
          </w:tcPr>
          <w:p w14:paraId="221DFF5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0.0145</w:t>
            </w:r>
          </w:p>
        </w:tc>
        <w:tc>
          <w:tcPr>
            <w:tcW w:w="3049" w:type="dxa"/>
            <w:vAlign w:val="center"/>
          </w:tcPr>
          <w:p w14:paraId="14DAE4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w:t>
            </w:r>
          </w:p>
        </w:tc>
      </w:tr>
      <w:tr w14:paraId="4D19C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1C726DC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2500.0</w:t>
            </w:r>
          </w:p>
        </w:tc>
        <w:tc>
          <w:tcPr>
            <w:tcW w:w="3049" w:type="dxa"/>
            <w:vAlign w:val="center"/>
          </w:tcPr>
          <w:p w14:paraId="576EED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0.0132</w:t>
            </w:r>
          </w:p>
        </w:tc>
        <w:tc>
          <w:tcPr>
            <w:tcW w:w="3049" w:type="dxa"/>
            <w:vAlign w:val="center"/>
          </w:tcPr>
          <w:p w14:paraId="2D981F5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4A71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11A21D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3000.0</w:t>
            </w:r>
          </w:p>
        </w:tc>
        <w:tc>
          <w:tcPr>
            <w:tcW w:w="3049" w:type="dxa"/>
            <w:vAlign w:val="center"/>
          </w:tcPr>
          <w:p w14:paraId="6B468B4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0.0116</w:t>
            </w:r>
          </w:p>
        </w:tc>
        <w:tc>
          <w:tcPr>
            <w:tcW w:w="3049" w:type="dxa"/>
            <w:vAlign w:val="center"/>
          </w:tcPr>
          <w:p w14:paraId="128CA87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70C6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2A6A882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3500.0</w:t>
            </w:r>
          </w:p>
        </w:tc>
        <w:tc>
          <w:tcPr>
            <w:tcW w:w="3049" w:type="dxa"/>
            <w:vAlign w:val="center"/>
          </w:tcPr>
          <w:p w14:paraId="7F24BAF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0.0103</w:t>
            </w:r>
          </w:p>
        </w:tc>
        <w:tc>
          <w:tcPr>
            <w:tcW w:w="3049" w:type="dxa"/>
            <w:vAlign w:val="center"/>
          </w:tcPr>
          <w:p w14:paraId="2A4C52E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7B982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08FB1E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4000.0</w:t>
            </w:r>
          </w:p>
        </w:tc>
        <w:tc>
          <w:tcPr>
            <w:tcW w:w="3049" w:type="dxa"/>
            <w:vAlign w:val="center"/>
          </w:tcPr>
          <w:p w14:paraId="5C4D09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0.0093</w:t>
            </w:r>
          </w:p>
        </w:tc>
        <w:tc>
          <w:tcPr>
            <w:tcW w:w="3049" w:type="dxa"/>
            <w:vAlign w:val="center"/>
          </w:tcPr>
          <w:p w14:paraId="1C6B81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7A96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55ED01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4500.0</w:t>
            </w:r>
          </w:p>
        </w:tc>
        <w:tc>
          <w:tcPr>
            <w:tcW w:w="3049" w:type="dxa"/>
            <w:vAlign w:val="center"/>
          </w:tcPr>
          <w:p w14:paraId="39D02BF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0.0083</w:t>
            </w:r>
          </w:p>
        </w:tc>
        <w:tc>
          <w:tcPr>
            <w:tcW w:w="3049" w:type="dxa"/>
            <w:vAlign w:val="center"/>
          </w:tcPr>
          <w:p w14:paraId="5706037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5E98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047221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5000.0</w:t>
            </w:r>
          </w:p>
        </w:tc>
        <w:tc>
          <w:tcPr>
            <w:tcW w:w="3049" w:type="dxa"/>
            <w:vAlign w:val="center"/>
          </w:tcPr>
          <w:p w14:paraId="27CE4D6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0.0076</w:t>
            </w:r>
          </w:p>
        </w:tc>
        <w:tc>
          <w:tcPr>
            <w:tcW w:w="3049" w:type="dxa"/>
            <w:vAlign w:val="center"/>
          </w:tcPr>
          <w:p w14:paraId="20AD3B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w:t>
            </w:r>
          </w:p>
        </w:tc>
      </w:tr>
      <w:tr w14:paraId="5C237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23C733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下风向最大浓度</w:t>
            </w:r>
          </w:p>
        </w:tc>
        <w:tc>
          <w:tcPr>
            <w:tcW w:w="3049" w:type="dxa"/>
            <w:vAlign w:val="center"/>
          </w:tcPr>
          <w:p w14:paraId="3931869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0.0613</w:t>
            </w:r>
          </w:p>
        </w:tc>
        <w:tc>
          <w:tcPr>
            <w:tcW w:w="3049" w:type="dxa"/>
            <w:vAlign w:val="center"/>
          </w:tcPr>
          <w:p w14:paraId="07BFBE2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w:t>
            </w:r>
          </w:p>
        </w:tc>
      </w:tr>
      <w:tr w14:paraId="7087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693756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下风向最大浓度出现距离</w:t>
            </w:r>
          </w:p>
        </w:tc>
        <w:tc>
          <w:tcPr>
            <w:tcW w:w="3049" w:type="dxa"/>
            <w:vAlign w:val="center"/>
          </w:tcPr>
          <w:p w14:paraId="2E2771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83.0</w:t>
            </w:r>
          </w:p>
        </w:tc>
        <w:tc>
          <w:tcPr>
            <w:tcW w:w="3049" w:type="dxa"/>
            <w:vAlign w:val="center"/>
          </w:tcPr>
          <w:p w14:paraId="0744585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83.0</w:t>
            </w:r>
          </w:p>
        </w:tc>
      </w:tr>
      <w:tr w14:paraId="3910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188" w:type="dxa"/>
            <w:vAlign w:val="center"/>
          </w:tcPr>
          <w:p w14:paraId="60BED7C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D10%最远距离</w:t>
            </w:r>
          </w:p>
        </w:tc>
        <w:tc>
          <w:tcPr>
            <w:tcW w:w="3049" w:type="dxa"/>
            <w:vAlign w:val="center"/>
          </w:tcPr>
          <w:p w14:paraId="5FF6871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049" w:type="dxa"/>
            <w:vAlign w:val="center"/>
          </w:tcPr>
          <w:p w14:paraId="32453A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44788089">
      <w:pPr>
        <w:pStyle w:val="74"/>
        <w:rPr>
          <w:rFonts w:hint="default" w:ascii="Times New Roman" w:hAnsi="Times New Roman" w:eastAsia="宋体" w:cs="Times New Roman"/>
          <w:color w:val="auto"/>
        </w:rPr>
      </w:pPr>
    </w:p>
    <w:p w14:paraId="4E567190">
      <w:pPr>
        <w:pStyle w:val="72"/>
        <w:ind w:firstLine="472"/>
        <w:rPr>
          <w:rFonts w:hint="default" w:ascii="Times New Roman" w:hAnsi="Times New Roman" w:eastAsia="宋体" w:cs="Times New Roman"/>
          <w:color w:val="auto"/>
        </w:rPr>
      </w:pPr>
      <w:r>
        <w:rPr>
          <w:rFonts w:hint="default" w:ascii="Times New Roman" w:hAnsi="Times New Roman" w:eastAsia="宋体" w:cs="Times New Roman"/>
          <w:b/>
          <w:color w:val="auto"/>
          <w:sz w:val="24"/>
          <w:szCs w:val="24"/>
        </w:rPr>
        <w:t>表5.2-</w:t>
      </w:r>
      <w:r>
        <w:rPr>
          <w:rFonts w:hint="eastAsia" w:eastAsia="宋体" w:cs="Times New Roman"/>
          <w:b/>
          <w:color w:val="auto"/>
          <w:sz w:val="24"/>
          <w:szCs w:val="24"/>
          <w:lang w:val="en-US" w:eastAsia="zh-CN"/>
        </w:rPr>
        <w:t>15</w:t>
      </w:r>
      <w:r>
        <w:rPr>
          <w:rFonts w:hint="default" w:ascii="Times New Roman" w:hAnsi="Times New Roman" w:eastAsia="宋体" w:cs="Times New Roman"/>
          <w:b/>
          <w:color w:val="auto"/>
          <w:sz w:val="24"/>
          <w:szCs w:val="24"/>
        </w:rPr>
        <w:t xml:space="preserve"> 项目</w:t>
      </w:r>
      <w:r>
        <w:rPr>
          <w:rFonts w:hint="eastAsia" w:ascii="Times New Roman" w:hAnsi="Times New Roman" w:eastAsia="宋体" w:cs="Times New Roman"/>
          <w:b/>
          <w:color w:val="auto"/>
          <w:sz w:val="24"/>
          <w:szCs w:val="24"/>
          <w:lang w:val="en-US" w:eastAsia="zh-CN"/>
        </w:rPr>
        <w:t>H</w:t>
      </w:r>
      <w:r>
        <w:rPr>
          <w:rFonts w:hint="eastAsia" w:ascii="Times New Roman" w:hAnsi="Times New Roman" w:eastAsia="宋体" w:cs="Times New Roman"/>
          <w:b/>
          <w:color w:val="auto"/>
          <w:sz w:val="24"/>
          <w:szCs w:val="24"/>
          <w:vertAlign w:val="subscript"/>
          <w:lang w:val="en-US" w:eastAsia="zh-CN"/>
        </w:rPr>
        <w:t>2</w:t>
      </w:r>
      <w:r>
        <w:rPr>
          <w:rFonts w:hint="eastAsia" w:ascii="Times New Roman" w:hAnsi="Times New Roman" w:eastAsia="宋体" w:cs="Times New Roman"/>
          <w:b/>
          <w:color w:val="auto"/>
          <w:sz w:val="24"/>
          <w:szCs w:val="24"/>
          <w:lang w:val="en-US" w:eastAsia="zh-CN"/>
        </w:rPr>
        <w:t>S、NH</w:t>
      </w:r>
      <w:r>
        <w:rPr>
          <w:rFonts w:hint="eastAsia" w:ascii="Times New Roman" w:hAnsi="Times New Roman" w:eastAsia="宋体" w:cs="Times New Roman"/>
          <w:b/>
          <w:color w:val="auto"/>
          <w:sz w:val="24"/>
          <w:szCs w:val="24"/>
          <w:vertAlign w:val="subscript"/>
          <w:lang w:val="en-US" w:eastAsia="zh-CN"/>
        </w:rPr>
        <w:t>3</w:t>
      </w:r>
      <w:r>
        <w:rPr>
          <w:rFonts w:hint="default" w:ascii="Times New Roman" w:hAnsi="Times New Roman" w:eastAsia="宋体" w:cs="Times New Roman"/>
          <w:b/>
          <w:color w:val="auto"/>
          <w:sz w:val="24"/>
          <w:szCs w:val="24"/>
        </w:rPr>
        <w:t>估算模式预测结果</w:t>
      </w:r>
    </w:p>
    <w:p w14:paraId="63175590">
      <w:pPr>
        <w:pStyle w:val="74"/>
        <w:rPr>
          <w:rFonts w:hint="default" w:ascii="Times New Roman" w:hAnsi="Times New Roman" w:eastAsia="宋体" w:cs="Times New Roman"/>
          <w:color w:val="auto"/>
        </w:rPr>
      </w:pPr>
    </w:p>
    <w:tbl>
      <w:tblPr>
        <w:tblStyle w:val="66"/>
        <w:tblW w:w="8528"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769"/>
        <w:gridCol w:w="1690"/>
        <w:gridCol w:w="1690"/>
        <w:gridCol w:w="1689"/>
        <w:gridCol w:w="1690"/>
      </w:tblGrid>
      <w:tr w14:paraId="65354A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83" w:hRule="atLeast"/>
        </w:trPr>
        <w:tc>
          <w:tcPr>
            <w:tcW w:w="1769" w:type="dxa"/>
            <w:vMerge w:val="restart"/>
            <w:vAlign w:val="center"/>
          </w:tcPr>
          <w:p w14:paraId="192C845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下方向距离(m)</w:t>
            </w:r>
          </w:p>
        </w:tc>
        <w:tc>
          <w:tcPr>
            <w:tcW w:w="6759" w:type="dxa"/>
            <w:gridSpan w:val="4"/>
            <w:vAlign w:val="center"/>
          </w:tcPr>
          <w:p w14:paraId="197B96F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矩形面源</w:t>
            </w:r>
          </w:p>
        </w:tc>
      </w:tr>
      <w:tr w14:paraId="2BC924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71" w:hRule="atLeast"/>
        </w:trPr>
        <w:tc>
          <w:tcPr>
            <w:tcW w:w="1769" w:type="dxa"/>
            <w:vMerge w:val="continue"/>
            <w:vAlign w:val="center"/>
          </w:tcPr>
          <w:p w14:paraId="6E5D307A">
            <w:pPr>
              <w:rPr>
                <w:rFonts w:hint="default" w:ascii="Times New Roman" w:hAnsi="Times New Roman" w:eastAsia="宋体" w:cs="Times New Roman"/>
                <w:b/>
                <w:bCs/>
                <w:color w:val="auto"/>
                <w:sz w:val="21"/>
                <w:szCs w:val="21"/>
              </w:rPr>
            </w:pPr>
          </w:p>
        </w:tc>
        <w:tc>
          <w:tcPr>
            <w:tcW w:w="1690" w:type="dxa"/>
            <w:vAlign w:val="center"/>
          </w:tcPr>
          <w:p w14:paraId="18CDB36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S浓度（ug/m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690" w:type="dxa"/>
            <w:vAlign w:val="center"/>
          </w:tcPr>
          <w:p w14:paraId="0C39A67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H</w:t>
            </w:r>
            <w:r>
              <w:rPr>
                <w:rFonts w:hint="default" w:ascii="Times New Roman" w:hAnsi="Times New Roman" w:eastAsia="宋体" w:cs="Times New Roman"/>
                <w:b/>
                <w:bCs/>
                <w:color w:val="auto"/>
                <w:sz w:val="21"/>
                <w:szCs w:val="21"/>
                <w:vertAlign w:val="subscript"/>
              </w:rPr>
              <w:t>2</w:t>
            </w:r>
            <w:r>
              <w:rPr>
                <w:rFonts w:hint="default" w:ascii="Times New Roman" w:hAnsi="Times New Roman" w:eastAsia="宋体" w:cs="Times New Roman"/>
                <w:b/>
                <w:bCs/>
                <w:color w:val="auto"/>
                <w:sz w:val="21"/>
                <w:szCs w:val="21"/>
              </w:rPr>
              <w:t>S占标率（%）</w:t>
            </w:r>
          </w:p>
        </w:tc>
        <w:tc>
          <w:tcPr>
            <w:tcW w:w="1689" w:type="dxa"/>
            <w:vAlign w:val="center"/>
          </w:tcPr>
          <w:p w14:paraId="61AA6ADF">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浓度（ug/m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690" w:type="dxa"/>
            <w:vAlign w:val="center"/>
          </w:tcPr>
          <w:p w14:paraId="4ED2CDB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占标率（%）</w:t>
            </w:r>
          </w:p>
        </w:tc>
      </w:tr>
      <w:tr w14:paraId="78BA89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1F5FFBF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690" w:type="dxa"/>
            <w:vAlign w:val="center"/>
          </w:tcPr>
          <w:p w14:paraId="76893F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0.0434</w:t>
            </w:r>
          </w:p>
        </w:tc>
        <w:tc>
          <w:tcPr>
            <w:tcW w:w="1690" w:type="dxa"/>
            <w:vAlign w:val="center"/>
          </w:tcPr>
          <w:p w14:paraId="09E959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0.434</w:t>
            </w:r>
          </w:p>
        </w:tc>
        <w:tc>
          <w:tcPr>
            <w:tcW w:w="1689" w:type="dxa"/>
            <w:vAlign w:val="center"/>
          </w:tcPr>
          <w:p w14:paraId="4DEA3E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0.4653</w:t>
            </w:r>
          </w:p>
        </w:tc>
        <w:tc>
          <w:tcPr>
            <w:tcW w:w="1690" w:type="dxa"/>
            <w:vAlign w:val="center"/>
          </w:tcPr>
          <w:p w14:paraId="4C1A3AF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0.233</w:t>
            </w:r>
          </w:p>
        </w:tc>
      </w:tr>
      <w:tr w14:paraId="14A77C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58F315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690" w:type="dxa"/>
            <w:vAlign w:val="center"/>
          </w:tcPr>
          <w:p w14:paraId="35C3DB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0.0753</w:t>
            </w:r>
          </w:p>
        </w:tc>
        <w:tc>
          <w:tcPr>
            <w:tcW w:w="1690" w:type="dxa"/>
            <w:vAlign w:val="center"/>
          </w:tcPr>
          <w:p w14:paraId="0FA8DF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0.753</w:t>
            </w:r>
          </w:p>
        </w:tc>
        <w:tc>
          <w:tcPr>
            <w:tcW w:w="1689" w:type="dxa"/>
            <w:vAlign w:val="center"/>
          </w:tcPr>
          <w:p w14:paraId="1BE561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0.8063</w:t>
            </w:r>
          </w:p>
        </w:tc>
        <w:tc>
          <w:tcPr>
            <w:tcW w:w="1690" w:type="dxa"/>
            <w:vAlign w:val="center"/>
          </w:tcPr>
          <w:p w14:paraId="7C7111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0.403</w:t>
            </w:r>
          </w:p>
        </w:tc>
      </w:tr>
      <w:tr w14:paraId="664AC1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49C6DE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c>
          <w:tcPr>
            <w:tcW w:w="1690" w:type="dxa"/>
            <w:vAlign w:val="center"/>
          </w:tcPr>
          <w:p w14:paraId="2C19B03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0.0435</w:t>
            </w:r>
          </w:p>
        </w:tc>
        <w:tc>
          <w:tcPr>
            <w:tcW w:w="1690" w:type="dxa"/>
            <w:vAlign w:val="center"/>
          </w:tcPr>
          <w:p w14:paraId="0B44F39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0.435</w:t>
            </w:r>
          </w:p>
        </w:tc>
        <w:tc>
          <w:tcPr>
            <w:tcW w:w="1689" w:type="dxa"/>
            <w:vAlign w:val="center"/>
          </w:tcPr>
          <w:p w14:paraId="15201B9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0.4661</w:t>
            </w:r>
          </w:p>
        </w:tc>
        <w:tc>
          <w:tcPr>
            <w:tcW w:w="1690" w:type="dxa"/>
            <w:vAlign w:val="center"/>
          </w:tcPr>
          <w:p w14:paraId="24C6658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0.233</w:t>
            </w:r>
          </w:p>
        </w:tc>
      </w:tr>
      <w:tr w14:paraId="475D72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1D7A8DB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690" w:type="dxa"/>
            <w:vAlign w:val="center"/>
          </w:tcPr>
          <w:p w14:paraId="479EFBC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0.0347</w:t>
            </w:r>
          </w:p>
        </w:tc>
        <w:tc>
          <w:tcPr>
            <w:tcW w:w="1690" w:type="dxa"/>
            <w:vAlign w:val="center"/>
          </w:tcPr>
          <w:p w14:paraId="1AF5E8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0.347</w:t>
            </w:r>
          </w:p>
        </w:tc>
        <w:tc>
          <w:tcPr>
            <w:tcW w:w="1689" w:type="dxa"/>
            <w:vAlign w:val="center"/>
          </w:tcPr>
          <w:p w14:paraId="41ECEC9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0.3716</w:t>
            </w:r>
          </w:p>
        </w:tc>
        <w:tc>
          <w:tcPr>
            <w:tcW w:w="1690" w:type="dxa"/>
            <w:vAlign w:val="center"/>
          </w:tcPr>
          <w:p w14:paraId="65458B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0.186</w:t>
            </w:r>
          </w:p>
        </w:tc>
      </w:tr>
      <w:tr w14:paraId="032A11E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75743F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w:t>
            </w:r>
          </w:p>
        </w:tc>
        <w:tc>
          <w:tcPr>
            <w:tcW w:w="1690" w:type="dxa"/>
            <w:vAlign w:val="center"/>
          </w:tcPr>
          <w:p w14:paraId="0826A5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0.0230</w:t>
            </w:r>
          </w:p>
        </w:tc>
        <w:tc>
          <w:tcPr>
            <w:tcW w:w="1690" w:type="dxa"/>
            <w:vAlign w:val="center"/>
          </w:tcPr>
          <w:p w14:paraId="457C58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0.230</w:t>
            </w:r>
          </w:p>
        </w:tc>
        <w:tc>
          <w:tcPr>
            <w:tcW w:w="1689" w:type="dxa"/>
            <w:vAlign w:val="center"/>
          </w:tcPr>
          <w:p w14:paraId="1860853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0.2462</w:t>
            </w:r>
          </w:p>
        </w:tc>
        <w:tc>
          <w:tcPr>
            <w:tcW w:w="1690" w:type="dxa"/>
            <w:vAlign w:val="center"/>
          </w:tcPr>
          <w:p w14:paraId="256C42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0.123</w:t>
            </w:r>
          </w:p>
        </w:tc>
      </w:tr>
      <w:tr w14:paraId="55A02F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07EF399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w:t>
            </w:r>
          </w:p>
        </w:tc>
        <w:tc>
          <w:tcPr>
            <w:tcW w:w="1690" w:type="dxa"/>
            <w:vAlign w:val="center"/>
          </w:tcPr>
          <w:p w14:paraId="265BE8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0.0130</w:t>
            </w:r>
          </w:p>
        </w:tc>
        <w:tc>
          <w:tcPr>
            <w:tcW w:w="1690" w:type="dxa"/>
            <w:vAlign w:val="center"/>
          </w:tcPr>
          <w:p w14:paraId="1DFE57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0.130</w:t>
            </w:r>
          </w:p>
        </w:tc>
        <w:tc>
          <w:tcPr>
            <w:tcW w:w="1689" w:type="dxa"/>
            <w:vAlign w:val="center"/>
          </w:tcPr>
          <w:p w14:paraId="5D147C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0.1396</w:t>
            </w:r>
          </w:p>
        </w:tc>
        <w:tc>
          <w:tcPr>
            <w:tcW w:w="1690" w:type="dxa"/>
            <w:vAlign w:val="center"/>
          </w:tcPr>
          <w:p w14:paraId="474F59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0.070</w:t>
            </w:r>
          </w:p>
        </w:tc>
      </w:tr>
      <w:tr w14:paraId="63BFA43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7A8F1B2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w:t>
            </w:r>
          </w:p>
        </w:tc>
        <w:tc>
          <w:tcPr>
            <w:tcW w:w="1690" w:type="dxa"/>
            <w:vAlign w:val="center"/>
          </w:tcPr>
          <w:p w14:paraId="55E541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0.0100</w:t>
            </w:r>
          </w:p>
        </w:tc>
        <w:tc>
          <w:tcPr>
            <w:tcW w:w="1690" w:type="dxa"/>
            <w:vAlign w:val="center"/>
          </w:tcPr>
          <w:p w14:paraId="74B324E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0.100</w:t>
            </w:r>
          </w:p>
        </w:tc>
        <w:tc>
          <w:tcPr>
            <w:tcW w:w="1689" w:type="dxa"/>
            <w:vAlign w:val="center"/>
          </w:tcPr>
          <w:p w14:paraId="055D07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0.1076</w:t>
            </w:r>
          </w:p>
        </w:tc>
        <w:tc>
          <w:tcPr>
            <w:tcW w:w="1690" w:type="dxa"/>
            <w:vAlign w:val="center"/>
          </w:tcPr>
          <w:p w14:paraId="35F647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0.054</w:t>
            </w:r>
          </w:p>
        </w:tc>
      </w:tr>
      <w:tr w14:paraId="3BA0272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669610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690" w:type="dxa"/>
            <w:vAlign w:val="center"/>
          </w:tcPr>
          <w:p w14:paraId="757657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0.0084</w:t>
            </w:r>
          </w:p>
        </w:tc>
        <w:tc>
          <w:tcPr>
            <w:tcW w:w="1690" w:type="dxa"/>
            <w:vAlign w:val="center"/>
          </w:tcPr>
          <w:p w14:paraId="01FB1C3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0.084</w:t>
            </w:r>
          </w:p>
        </w:tc>
        <w:tc>
          <w:tcPr>
            <w:tcW w:w="1689" w:type="dxa"/>
            <w:vAlign w:val="center"/>
          </w:tcPr>
          <w:p w14:paraId="701C7F8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0.0897</w:t>
            </w:r>
          </w:p>
        </w:tc>
        <w:tc>
          <w:tcPr>
            <w:tcW w:w="1690" w:type="dxa"/>
            <w:vAlign w:val="center"/>
          </w:tcPr>
          <w:p w14:paraId="00F58A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0.045</w:t>
            </w:r>
          </w:p>
        </w:tc>
      </w:tr>
      <w:tr w14:paraId="7C90AC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1D8BA8D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w:t>
            </w:r>
          </w:p>
        </w:tc>
        <w:tc>
          <w:tcPr>
            <w:tcW w:w="1690" w:type="dxa"/>
            <w:vAlign w:val="center"/>
          </w:tcPr>
          <w:p w14:paraId="6B1BC1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0.0072</w:t>
            </w:r>
          </w:p>
        </w:tc>
        <w:tc>
          <w:tcPr>
            <w:tcW w:w="1690" w:type="dxa"/>
            <w:vAlign w:val="center"/>
          </w:tcPr>
          <w:p w14:paraId="6E0D9A6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0.072</w:t>
            </w:r>
          </w:p>
        </w:tc>
        <w:tc>
          <w:tcPr>
            <w:tcW w:w="1689" w:type="dxa"/>
            <w:vAlign w:val="center"/>
          </w:tcPr>
          <w:p w14:paraId="3F243DF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0.0771</w:t>
            </w:r>
          </w:p>
        </w:tc>
        <w:tc>
          <w:tcPr>
            <w:tcW w:w="1690" w:type="dxa"/>
            <w:vAlign w:val="center"/>
          </w:tcPr>
          <w:p w14:paraId="2E3098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0.039</w:t>
            </w:r>
          </w:p>
        </w:tc>
      </w:tr>
      <w:tr w14:paraId="18E62A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62A1EF4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600.0</w:t>
            </w:r>
          </w:p>
        </w:tc>
        <w:tc>
          <w:tcPr>
            <w:tcW w:w="1690" w:type="dxa"/>
            <w:vAlign w:val="center"/>
          </w:tcPr>
          <w:p w14:paraId="7B13D0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0.0066</w:t>
            </w:r>
          </w:p>
        </w:tc>
        <w:tc>
          <w:tcPr>
            <w:tcW w:w="1690" w:type="dxa"/>
            <w:vAlign w:val="center"/>
          </w:tcPr>
          <w:p w14:paraId="795C951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0.066</w:t>
            </w:r>
          </w:p>
        </w:tc>
        <w:tc>
          <w:tcPr>
            <w:tcW w:w="1689" w:type="dxa"/>
            <w:vAlign w:val="center"/>
          </w:tcPr>
          <w:p w14:paraId="57285C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0.0706</w:t>
            </w:r>
          </w:p>
        </w:tc>
        <w:tc>
          <w:tcPr>
            <w:tcW w:w="1690" w:type="dxa"/>
            <w:vAlign w:val="center"/>
          </w:tcPr>
          <w:p w14:paraId="6EBC719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0.035</w:t>
            </w:r>
          </w:p>
        </w:tc>
      </w:tr>
      <w:tr w14:paraId="3AC157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5A53A52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700.0</w:t>
            </w:r>
          </w:p>
        </w:tc>
        <w:tc>
          <w:tcPr>
            <w:tcW w:w="1690" w:type="dxa"/>
            <w:vAlign w:val="center"/>
          </w:tcPr>
          <w:p w14:paraId="1CD5AC6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0.0061</w:t>
            </w:r>
          </w:p>
        </w:tc>
        <w:tc>
          <w:tcPr>
            <w:tcW w:w="1690" w:type="dxa"/>
            <w:vAlign w:val="center"/>
          </w:tcPr>
          <w:p w14:paraId="365E22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0.061</w:t>
            </w:r>
          </w:p>
        </w:tc>
        <w:tc>
          <w:tcPr>
            <w:tcW w:w="1689" w:type="dxa"/>
            <w:vAlign w:val="center"/>
          </w:tcPr>
          <w:p w14:paraId="55E32D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0.0650</w:t>
            </w:r>
          </w:p>
        </w:tc>
        <w:tc>
          <w:tcPr>
            <w:tcW w:w="1690" w:type="dxa"/>
            <w:vAlign w:val="center"/>
          </w:tcPr>
          <w:p w14:paraId="508F985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0.032</w:t>
            </w:r>
          </w:p>
        </w:tc>
      </w:tr>
      <w:tr w14:paraId="04CDC6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1376B0D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800.0</w:t>
            </w:r>
          </w:p>
        </w:tc>
        <w:tc>
          <w:tcPr>
            <w:tcW w:w="1690" w:type="dxa"/>
            <w:vAlign w:val="center"/>
          </w:tcPr>
          <w:p w14:paraId="4C6DF1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0.0056</w:t>
            </w:r>
          </w:p>
        </w:tc>
        <w:tc>
          <w:tcPr>
            <w:tcW w:w="1690" w:type="dxa"/>
            <w:vAlign w:val="center"/>
          </w:tcPr>
          <w:p w14:paraId="352FA3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0.056</w:t>
            </w:r>
          </w:p>
        </w:tc>
        <w:tc>
          <w:tcPr>
            <w:tcW w:w="1689" w:type="dxa"/>
            <w:vAlign w:val="center"/>
          </w:tcPr>
          <w:p w14:paraId="77544BA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0.0600</w:t>
            </w:r>
          </w:p>
        </w:tc>
        <w:tc>
          <w:tcPr>
            <w:tcW w:w="1690" w:type="dxa"/>
            <w:vAlign w:val="center"/>
          </w:tcPr>
          <w:p w14:paraId="79E1564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w:t>
            </w:r>
          </w:p>
        </w:tc>
      </w:tr>
      <w:tr w14:paraId="27F6F8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332FDA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p>
        </w:tc>
        <w:tc>
          <w:tcPr>
            <w:tcW w:w="1690" w:type="dxa"/>
            <w:vAlign w:val="center"/>
          </w:tcPr>
          <w:p w14:paraId="4A1489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0.0053</w:t>
            </w:r>
          </w:p>
        </w:tc>
        <w:tc>
          <w:tcPr>
            <w:tcW w:w="1690" w:type="dxa"/>
            <w:vAlign w:val="center"/>
          </w:tcPr>
          <w:p w14:paraId="2F54270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0.053</w:t>
            </w:r>
          </w:p>
        </w:tc>
        <w:tc>
          <w:tcPr>
            <w:tcW w:w="1689" w:type="dxa"/>
            <w:vAlign w:val="center"/>
          </w:tcPr>
          <w:p w14:paraId="590F1E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0.0563</w:t>
            </w:r>
          </w:p>
        </w:tc>
        <w:tc>
          <w:tcPr>
            <w:tcW w:w="1690" w:type="dxa"/>
            <w:vAlign w:val="center"/>
          </w:tcPr>
          <w:p w14:paraId="004A9CD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0.028</w:t>
            </w:r>
          </w:p>
        </w:tc>
      </w:tr>
      <w:tr w14:paraId="0798CE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0E1995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1000.0</w:t>
            </w:r>
          </w:p>
        </w:tc>
        <w:tc>
          <w:tcPr>
            <w:tcW w:w="1690" w:type="dxa"/>
            <w:vAlign w:val="center"/>
          </w:tcPr>
          <w:p w14:paraId="76EF43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0.0049</w:t>
            </w:r>
          </w:p>
        </w:tc>
        <w:tc>
          <w:tcPr>
            <w:tcW w:w="1690" w:type="dxa"/>
            <w:vAlign w:val="center"/>
          </w:tcPr>
          <w:p w14:paraId="695552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0.049</w:t>
            </w:r>
          </w:p>
        </w:tc>
        <w:tc>
          <w:tcPr>
            <w:tcW w:w="1689" w:type="dxa"/>
            <w:vAlign w:val="center"/>
          </w:tcPr>
          <w:p w14:paraId="5C1DFF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0.0529</w:t>
            </w:r>
          </w:p>
        </w:tc>
        <w:tc>
          <w:tcPr>
            <w:tcW w:w="1690" w:type="dxa"/>
            <w:vAlign w:val="center"/>
          </w:tcPr>
          <w:p w14:paraId="66B63A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0.026</w:t>
            </w:r>
          </w:p>
        </w:tc>
      </w:tr>
      <w:tr w14:paraId="1DF0EBA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2E242E5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1100.0</w:t>
            </w:r>
          </w:p>
        </w:tc>
        <w:tc>
          <w:tcPr>
            <w:tcW w:w="1690" w:type="dxa"/>
            <w:vAlign w:val="center"/>
          </w:tcPr>
          <w:p w14:paraId="664A05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0.0047</w:t>
            </w:r>
          </w:p>
        </w:tc>
        <w:tc>
          <w:tcPr>
            <w:tcW w:w="1690" w:type="dxa"/>
            <w:vAlign w:val="center"/>
          </w:tcPr>
          <w:p w14:paraId="4B1F4F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0.047</w:t>
            </w:r>
          </w:p>
        </w:tc>
        <w:tc>
          <w:tcPr>
            <w:tcW w:w="1689" w:type="dxa"/>
            <w:vAlign w:val="center"/>
          </w:tcPr>
          <w:p w14:paraId="622488E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0.0499</w:t>
            </w:r>
          </w:p>
        </w:tc>
        <w:tc>
          <w:tcPr>
            <w:tcW w:w="1690" w:type="dxa"/>
            <w:vAlign w:val="center"/>
          </w:tcPr>
          <w:p w14:paraId="32C9941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w:t>
            </w:r>
          </w:p>
        </w:tc>
      </w:tr>
      <w:tr w14:paraId="54EC3B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005A0AB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1200.0</w:t>
            </w:r>
          </w:p>
        </w:tc>
        <w:tc>
          <w:tcPr>
            <w:tcW w:w="1690" w:type="dxa"/>
            <w:vAlign w:val="center"/>
          </w:tcPr>
          <w:p w14:paraId="27C8B3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0.0044</w:t>
            </w:r>
          </w:p>
        </w:tc>
        <w:tc>
          <w:tcPr>
            <w:tcW w:w="1690" w:type="dxa"/>
            <w:vAlign w:val="center"/>
          </w:tcPr>
          <w:p w14:paraId="4F8E378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0.044</w:t>
            </w:r>
          </w:p>
        </w:tc>
        <w:tc>
          <w:tcPr>
            <w:tcW w:w="1689" w:type="dxa"/>
            <w:vAlign w:val="center"/>
          </w:tcPr>
          <w:p w14:paraId="728A04A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0.0472</w:t>
            </w:r>
          </w:p>
        </w:tc>
        <w:tc>
          <w:tcPr>
            <w:tcW w:w="1690" w:type="dxa"/>
            <w:vAlign w:val="center"/>
          </w:tcPr>
          <w:p w14:paraId="5128BAF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0.024</w:t>
            </w:r>
          </w:p>
        </w:tc>
      </w:tr>
      <w:tr w14:paraId="73E6576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595EE6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1300.0</w:t>
            </w:r>
          </w:p>
        </w:tc>
        <w:tc>
          <w:tcPr>
            <w:tcW w:w="1690" w:type="dxa"/>
            <w:vAlign w:val="center"/>
          </w:tcPr>
          <w:p w14:paraId="3C300A7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0.0042</w:t>
            </w:r>
          </w:p>
        </w:tc>
        <w:tc>
          <w:tcPr>
            <w:tcW w:w="1690" w:type="dxa"/>
            <w:vAlign w:val="center"/>
          </w:tcPr>
          <w:p w14:paraId="679A80F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0.042</w:t>
            </w:r>
          </w:p>
        </w:tc>
        <w:tc>
          <w:tcPr>
            <w:tcW w:w="1689" w:type="dxa"/>
            <w:vAlign w:val="center"/>
          </w:tcPr>
          <w:p w14:paraId="08F51E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0.0453</w:t>
            </w:r>
          </w:p>
        </w:tc>
        <w:tc>
          <w:tcPr>
            <w:tcW w:w="1690" w:type="dxa"/>
            <w:vAlign w:val="center"/>
          </w:tcPr>
          <w:p w14:paraId="292B449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0.023</w:t>
            </w:r>
          </w:p>
        </w:tc>
      </w:tr>
      <w:tr w14:paraId="32A61D4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34A958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1400.0</w:t>
            </w:r>
          </w:p>
        </w:tc>
        <w:tc>
          <w:tcPr>
            <w:tcW w:w="1690" w:type="dxa"/>
            <w:vAlign w:val="center"/>
          </w:tcPr>
          <w:p w14:paraId="117F77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0.0041</w:t>
            </w:r>
          </w:p>
        </w:tc>
        <w:tc>
          <w:tcPr>
            <w:tcW w:w="1690" w:type="dxa"/>
            <w:vAlign w:val="center"/>
          </w:tcPr>
          <w:p w14:paraId="138241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0.041</w:t>
            </w:r>
          </w:p>
        </w:tc>
        <w:tc>
          <w:tcPr>
            <w:tcW w:w="1689" w:type="dxa"/>
            <w:vAlign w:val="center"/>
          </w:tcPr>
          <w:p w14:paraId="1EDB14C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0.0436</w:t>
            </w:r>
          </w:p>
        </w:tc>
        <w:tc>
          <w:tcPr>
            <w:tcW w:w="1690" w:type="dxa"/>
            <w:vAlign w:val="center"/>
          </w:tcPr>
          <w:p w14:paraId="560CCA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0.022</w:t>
            </w:r>
          </w:p>
        </w:tc>
      </w:tr>
      <w:tr w14:paraId="7DBC83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4C244D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1500.0</w:t>
            </w:r>
          </w:p>
        </w:tc>
        <w:tc>
          <w:tcPr>
            <w:tcW w:w="1690" w:type="dxa"/>
            <w:vAlign w:val="center"/>
          </w:tcPr>
          <w:p w14:paraId="210067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0.0039</w:t>
            </w:r>
          </w:p>
        </w:tc>
        <w:tc>
          <w:tcPr>
            <w:tcW w:w="1690" w:type="dxa"/>
            <w:vAlign w:val="center"/>
          </w:tcPr>
          <w:p w14:paraId="7AA614C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0.039</w:t>
            </w:r>
          </w:p>
        </w:tc>
        <w:tc>
          <w:tcPr>
            <w:tcW w:w="1689" w:type="dxa"/>
            <w:vAlign w:val="center"/>
          </w:tcPr>
          <w:p w14:paraId="5EA9C6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0.0419</w:t>
            </w:r>
          </w:p>
        </w:tc>
        <w:tc>
          <w:tcPr>
            <w:tcW w:w="1690" w:type="dxa"/>
            <w:vAlign w:val="center"/>
          </w:tcPr>
          <w:p w14:paraId="73F7D82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0.021</w:t>
            </w:r>
          </w:p>
        </w:tc>
      </w:tr>
      <w:tr w14:paraId="501B3D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2A4B80C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1600.0</w:t>
            </w:r>
          </w:p>
        </w:tc>
        <w:tc>
          <w:tcPr>
            <w:tcW w:w="1690" w:type="dxa"/>
            <w:vAlign w:val="center"/>
          </w:tcPr>
          <w:p w14:paraId="0E98C6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0.0038</w:t>
            </w:r>
          </w:p>
        </w:tc>
        <w:tc>
          <w:tcPr>
            <w:tcW w:w="1690" w:type="dxa"/>
            <w:vAlign w:val="center"/>
          </w:tcPr>
          <w:p w14:paraId="0959D77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0.038</w:t>
            </w:r>
          </w:p>
        </w:tc>
        <w:tc>
          <w:tcPr>
            <w:tcW w:w="1689" w:type="dxa"/>
            <w:vAlign w:val="center"/>
          </w:tcPr>
          <w:p w14:paraId="25A8FF3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0.0404</w:t>
            </w:r>
          </w:p>
        </w:tc>
        <w:tc>
          <w:tcPr>
            <w:tcW w:w="1690" w:type="dxa"/>
            <w:vAlign w:val="center"/>
          </w:tcPr>
          <w:p w14:paraId="5964B5D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r>
      <w:tr w14:paraId="091D135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272C441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1700.0</w:t>
            </w:r>
          </w:p>
        </w:tc>
        <w:tc>
          <w:tcPr>
            <w:tcW w:w="1690" w:type="dxa"/>
            <w:vAlign w:val="center"/>
          </w:tcPr>
          <w:p w14:paraId="310723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0.0036</w:t>
            </w:r>
          </w:p>
        </w:tc>
        <w:tc>
          <w:tcPr>
            <w:tcW w:w="1690" w:type="dxa"/>
            <w:vAlign w:val="center"/>
          </w:tcPr>
          <w:p w14:paraId="32BB1B3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0.036</w:t>
            </w:r>
          </w:p>
        </w:tc>
        <w:tc>
          <w:tcPr>
            <w:tcW w:w="1689" w:type="dxa"/>
            <w:vAlign w:val="center"/>
          </w:tcPr>
          <w:p w14:paraId="7DCAB6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0.0390</w:t>
            </w:r>
          </w:p>
        </w:tc>
        <w:tc>
          <w:tcPr>
            <w:tcW w:w="1690" w:type="dxa"/>
            <w:vAlign w:val="center"/>
          </w:tcPr>
          <w:p w14:paraId="2ACDCF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w:t>
            </w:r>
          </w:p>
        </w:tc>
      </w:tr>
      <w:tr w14:paraId="0A26651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1517979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1800.0</w:t>
            </w:r>
          </w:p>
        </w:tc>
        <w:tc>
          <w:tcPr>
            <w:tcW w:w="1690" w:type="dxa"/>
            <w:vAlign w:val="center"/>
          </w:tcPr>
          <w:p w14:paraId="00929B4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0.0035</w:t>
            </w:r>
          </w:p>
        </w:tc>
        <w:tc>
          <w:tcPr>
            <w:tcW w:w="1690" w:type="dxa"/>
            <w:vAlign w:val="center"/>
          </w:tcPr>
          <w:p w14:paraId="2590C28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0.035</w:t>
            </w:r>
          </w:p>
        </w:tc>
        <w:tc>
          <w:tcPr>
            <w:tcW w:w="1689" w:type="dxa"/>
            <w:vAlign w:val="center"/>
          </w:tcPr>
          <w:p w14:paraId="79E208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0.0376</w:t>
            </w:r>
          </w:p>
        </w:tc>
        <w:tc>
          <w:tcPr>
            <w:tcW w:w="1690" w:type="dxa"/>
            <w:vAlign w:val="center"/>
          </w:tcPr>
          <w:p w14:paraId="43ED4E5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w:t>
            </w:r>
          </w:p>
        </w:tc>
      </w:tr>
      <w:tr w14:paraId="0E5EF2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739CF4D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1900.0</w:t>
            </w:r>
          </w:p>
        </w:tc>
        <w:tc>
          <w:tcPr>
            <w:tcW w:w="1690" w:type="dxa"/>
            <w:vAlign w:val="center"/>
          </w:tcPr>
          <w:p w14:paraId="7BBD782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0.0034</w:t>
            </w:r>
          </w:p>
        </w:tc>
        <w:tc>
          <w:tcPr>
            <w:tcW w:w="1690" w:type="dxa"/>
            <w:vAlign w:val="center"/>
          </w:tcPr>
          <w:p w14:paraId="2783D38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0.034</w:t>
            </w:r>
          </w:p>
        </w:tc>
        <w:tc>
          <w:tcPr>
            <w:tcW w:w="1689" w:type="dxa"/>
            <w:vAlign w:val="center"/>
          </w:tcPr>
          <w:p w14:paraId="17B8E1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0.0363</w:t>
            </w:r>
          </w:p>
        </w:tc>
        <w:tc>
          <w:tcPr>
            <w:tcW w:w="1690" w:type="dxa"/>
            <w:vAlign w:val="center"/>
          </w:tcPr>
          <w:p w14:paraId="20F34E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w:t>
            </w:r>
          </w:p>
        </w:tc>
      </w:tr>
      <w:tr w14:paraId="714ECB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42F7E2D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2000.0</w:t>
            </w:r>
          </w:p>
        </w:tc>
        <w:tc>
          <w:tcPr>
            <w:tcW w:w="1690" w:type="dxa"/>
            <w:vAlign w:val="center"/>
          </w:tcPr>
          <w:p w14:paraId="0F53DD5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0.0033</w:t>
            </w:r>
          </w:p>
        </w:tc>
        <w:tc>
          <w:tcPr>
            <w:tcW w:w="1690" w:type="dxa"/>
            <w:vAlign w:val="center"/>
          </w:tcPr>
          <w:p w14:paraId="7668E31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0.033</w:t>
            </w:r>
          </w:p>
        </w:tc>
        <w:tc>
          <w:tcPr>
            <w:tcW w:w="1689" w:type="dxa"/>
            <w:vAlign w:val="center"/>
          </w:tcPr>
          <w:p w14:paraId="42D5824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0.0351</w:t>
            </w:r>
          </w:p>
        </w:tc>
        <w:tc>
          <w:tcPr>
            <w:tcW w:w="1690" w:type="dxa"/>
            <w:vAlign w:val="center"/>
          </w:tcPr>
          <w:p w14:paraId="0EF22F5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w:t>
            </w:r>
          </w:p>
        </w:tc>
      </w:tr>
      <w:tr w14:paraId="0A6335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3F28566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2500.0</w:t>
            </w:r>
          </w:p>
        </w:tc>
        <w:tc>
          <w:tcPr>
            <w:tcW w:w="1690" w:type="dxa"/>
            <w:vAlign w:val="center"/>
          </w:tcPr>
          <w:p w14:paraId="6EF038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0.0028</w:t>
            </w:r>
          </w:p>
        </w:tc>
        <w:tc>
          <w:tcPr>
            <w:tcW w:w="1690" w:type="dxa"/>
            <w:vAlign w:val="center"/>
          </w:tcPr>
          <w:p w14:paraId="450DC1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0.028</w:t>
            </w:r>
          </w:p>
        </w:tc>
        <w:tc>
          <w:tcPr>
            <w:tcW w:w="1689" w:type="dxa"/>
            <w:vAlign w:val="center"/>
          </w:tcPr>
          <w:p w14:paraId="76FE0DD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0.0301</w:t>
            </w:r>
          </w:p>
        </w:tc>
        <w:tc>
          <w:tcPr>
            <w:tcW w:w="1690" w:type="dxa"/>
            <w:vAlign w:val="center"/>
          </w:tcPr>
          <w:p w14:paraId="69A490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0.015</w:t>
            </w:r>
          </w:p>
        </w:tc>
      </w:tr>
      <w:tr w14:paraId="18BD14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588475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3000.0</w:t>
            </w:r>
          </w:p>
        </w:tc>
        <w:tc>
          <w:tcPr>
            <w:tcW w:w="1690" w:type="dxa"/>
            <w:vAlign w:val="center"/>
          </w:tcPr>
          <w:p w14:paraId="2234700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0.0025</w:t>
            </w:r>
          </w:p>
        </w:tc>
        <w:tc>
          <w:tcPr>
            <w:tcW w:w="1690" w:type="dxa"/>
            <w:vAlign w:val="center"/>
          </w:tcPr>
          <w:p w14:paraId="178506E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w:t>
            </w:r>
          </w:p>
        </w:tc>
        <w:tc>
          <w:tcPr>
            <w:tcW w:w="1689" w:type="dxa"/>
            <w:vAlign w:val="center"/>
          </w:tcPr>
          <w:p w14:paraId="52B2CAB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0.0265</w:t>
            </w:r>
          </w:p>
        </w:tc>
        <w:tc>
          <w:tcPr>
            <w:tcW w:w="1690" w:type="dxa"/>
            <w:vAlign w:val="center"/>
          </w:tcPr>
          <w:p w14:paraId="29FF63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0.013</w:t>
            </w:r>
          </w:p>
        </w:tc>
      </w:tr>
      <w:tr w14:paraId="143674B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704CCA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3500.0</w:t>
            </w:r>
          </w:p>
        </w:tc>
        <w:tc>
          <w:tcPr>
            <w:tcW w:w="1690" w:type="dxa"/>
            <w:vAlign w:val="center"/>
          </w:tcPr>
          <w:p w14:paraId="2D3F256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0.0022</w:t>
            </w:r>
          </w:p>
        </w:tc>
        <w:tc>
          <w:tcPr>
            <w:tcW w:w="1690" w:type="dxa"/>
            <w:vAlign w:val="center"/>
          </w:tcPr>
          <w:p w14:paraId="2A2327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0.022</w:t>
            </w:r>
          </w:p>
        </w:tc>
        <w:tc>
          <w:tcPr>
            <w:tcW w:w="1689" w:type="dxa"/>
            <w:vAlign w:val="center"/>
          </w:tcPr>
          <w:p w14:paraId="47FBEE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0.0235</w:t>
            </w:r>
          </w:p>
        </w:tc>
        <w:tc>
          <w:tcPr>
            <w:tcW w:w="1690" w:type="dxa"/>
            <w:vAlign w:val="center"/>
          </w:tcPr>
          <w:p w14:paraId="1FAEC58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0.012</w:t>
            </w:r>
          </w:p>
        </w:tc>
      </w:tr>
      <w:tr w14:paraId="0533A02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1EAAC78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4000.0</w:t>
            </w:r>
          </w:p>
        </w:tc>
        <w:tc>
          <w:tcPr>
            <w:tcW w:w="1690" w:type="dxa"/>
            <w:vAlign w:val="center"/>
          </w:tcPr>
          <w:p w14:paraId="5747A4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0.0020</w:t>
            </w:r>
          </w:p>
        </w:tc>
        <w:tc>
          <w:tcPr>
            <w:tcW w:w="1690" w:type="dxa"/>
            <w:vAlign w:val="center"/>
          </w:tcPr>
          <w:p w14:paraId="5E91BC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0.020</w:t>
            </w:r>
          </w:p>
        </w:tc>
        <w:tc>
          <w:tcPr>
            <w:tcW w:w="1689" w:type="dxa"/>
            <w:vAlign w:val="center"/>
          </w:tcPr>
          <w:p w14:paraId="72BE911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0.0210</w:t>
            </w:r>
          </w:p>
        </w:tc>
        <w:tc>
          <w:tcPr>
            <w:tcW w:w="1690" w:type="dxa"/>
            <w:vAlign w:val="center"/>
          </w:tcPr>
          <w:p w14:paraId="011DEF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0.011</w:t>
            </w:r>
          </w:p>
        </w:tc>
      </w:tr>
      <w:tr w14:paraId="6F66A4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7C29B31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4500.0</w:t>
            </w:r>
          </w:p>
        </w:tc>
        <w:tc>
          <w:tcPr>
            <w:tcW w:w="1690" w:type="dxa"/>
            <w:vAlign w:val="center"/>
          </w:tcPr>
          <w:p w14:paraId="3278A69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0.0018</w:t>
            </w:r>
          </w:p>
        </w:tc>
        <w:tc>
          <w:tcPr>
            <w:tcW w:w="1690" w:type="dxa"/>
            <w:vAlign w:val="center"/>
          </w:tcPr>
          <w:p w14:paraId="23CAB3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0.018</w:t>
            </w:r>
          </w:p>
        </w:tc>
        <w:tc>
          <w:tcPr>
            <w:tcW w:w="1689" w:type="dxa"/>
            <w:vAlign w:val="center"/>
          </w:tcPr>
          <w:p w14:paraId="01F9D4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0.0190</w:t>
            </w:r>
          </w:p>
        </w:tc>
        <w:tc>
          <w:tcPr>
            <w:tcW w:w="1690" w:type="dxa"/>
            <w:vAlign w:val="center"/>
          </w:tcPr>
          <w:p w14:paraId="2D1D7C5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r>
      <w:tr w14:paraId="3BD01E3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71D6203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5000.0</w:t>
            </w:r>
          </w:p>
        </w:tc>
        <w:tc>
          <w:tcPr>
            <w:tcW w:w="1690" w:type="dxa"/>
            <w:vAlign w:val="center"/>
          </w:tcPr>
          <w:p w14:paraId="682C31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0.0016</w:t>
            </w:r>
          </w:p>
        </w:tc>
        <w:tc>
          <w:tcPr>
            <w:tcW w:w="1690" w:type="dxa"/>
            <w:vAlign w:val="center"/>
          </w:tcPr>
          <w:p w14:paraId="7FABAB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0.016</w:t>
            </w:r>
          </w:p>
        </w:tc>
        <w:tc>
          <w:tcPr>
            <w:tcW w:w="1689" w:type="dxa"/>
            <w:vAlign w:val="center"/>
          </w:tcPr>
          <w:p w14:paraId="65DA6C0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0.0172</w:t>
            </w:r>
          </w:p>
        </w:tc>
        <w:tc>
          <w:tcPr>
            <w:tcW w:w="1690" w:type="dxa"/>
            <w:vAlign w:val="center"/>
          </w:tcPr>
          <w:p w14:paraId="0F161A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0.009</w:t>
            </w:r>
          </w:p>
        </w:tc>
      </w:tr>
      <w:tr w14:paraId="3AC817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32E657C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下风向最大浓度</w:t>
            </w:r>
          </w:p>
        </w:tc>
        <w:tc>
          <w:tcPr>
            <w:tcW w:w="1690" w:type="dxa"/>
            <w:vAlign w:val="center"/>
          </w:tcPr>
          <w:p w14:paraId="5D95D63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0.0753</w:t>
            </w:r>
          </w:p>
        </w:tc>
        <w:tc>
          <w:tcPr>
            <w:tcW w:w="1690" w:type="dxa"/>
            <w:vAlign w:val="center"/>
          </w:tcPr>
          <w:p w14:paraId="5DE8F9A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0.753</w:t>
            </w:r>
          </w:p>
        </w:tc>
        <w:tc>
          <w:tcPr>
            <w:tcW w:w="1689" w:type="dxa"/>
            <w:vAlign w:val="center"/>
          </w:tcPr>
          <w:p w14:paraId="6EBD1FA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0.8063</w:t>
            </w:r>
          </w:p>
        </w:tc>
        <w:tc>
          <w:tcPr>
            <w:tcW w:w="1690" w:type="dxa"/>
            <w:vAlign w:val="center"/>
          </w:tcPr>
          <w:p w14:paraId="208E19B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0.403</w:t>
            </w:r>
          </w:p>
        </w:tc>
      </w:tr>
      <w:tr w14:paraId="6FFD5A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39B50BD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下风向最大浓度出现距离</w:t>
            </w:r>
          </w:p>
        </w:tc>
        <w:tc>
          <w:tcPr>
            <w:tcW w:w="1690" w:type="dxa"/>
            <w:vAlign w:val="center"/>
          </w:tcPr>
          <w:p w14:paraId="1D1B36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690" w:type="dxa"/>
            <w:vAlign w:val="center"/>
          </w:tcPr>
          <w:p w14:paraId="637B555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689" w:type="dxa"/>
            <w:vAlign w:val="center"/>
          </w:tcPr>
          <w:p w14:paraId="3D860B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c>
          <w:tcPr>
            <w:tcW w:w="1690" w:type="dxa"/>
            <w:vAlign w:val="center"/>
          </w:tcPr>
          <w:p w14:paraId="7546BFA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14:paraId="764543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0" w:hRule="atLeast"/>
        </w:trPr>
        <w:tc>
          <w:tcPr>
            <w:tcW w:w="1769" w:type="dxa"/>
            <w:vAlign w:val="center"/>
          </w:tcPr>
          <w:p w14:paraId="728A1E5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D10%最远距离</w:t>
            </w:r>
          </w:p>
        </w:tc>
        <w:tc>
          <w:tcPr>
            <w:tcW w:w="1690" w:type="dxa"/>
            <w:vAlign w:val="center"/>
          </w:tcPr>
          <w:p w14:paraId="7CA0B7B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90" w:type="dxa"/>
            <w:vAlign w:val="center"/>
          </w:tcPr>
          <w:p w14:paraId="343E939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89" w:type="dxa"/>
            <w:vAlign w:val="center"/>
          </w:tcPr>
          <w:p w14:paraId="073A23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90" w:type="dxa"/>
            <w:vAlign w:val="center"/>
          </w:tcPr>
          <w:p w14:paraId="629D29E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14:paraId="520CBA31">
      <w:pPr>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rPr>
        <w:t>由表5.2-1</w:t>
      </w:r>
      <w:r>
        <w:rPr>
          <w:rFonts w:hint="default" w:ascii="Times New Roman" w:hAnsi="Times New Roman" w:eastAsia="宋体" w:cs="Times New Roman"/>
          <w:color w:val="auto"/>
          <w:lang w:val="en-US" w:eastAsia="zh-CN"/>
        </w:rPr>
        <w:t>9</w:t>
      </w:r>
      <w:r>
        <w:rPr>
          <w:rFonts w:hint="eastAsia" w:ascii="Times New Roman" w:hAnsi="Times New Roman" w:cs="Times New Roman"/>
          <w:color w:val="auto"/>
          <w:lang w:val="en-US" w:eastAsia="zh-CN"/>
        </w:rPr>
        <w:t>、5.2-20</w:t>
      </w:r>
      <w:r>
        <w:rPr>
          <w:rFonts w:hint="default" w:ascii="Times New Roman" w:hAnsi="Times New Roman" w:eastAsia="宋体" w:cs="Times New Roman"/>
          <w:color w:val="auto"/>
        </w:rPr>
        <w:t>可知，评价范围内无组织排放粉尘（TSP）最大地面浓度0.0613ug/m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，能达到《环境空气质量标准》（GB3095-2012）二级标准限值；无组织排放</w:t>
      </w:r>
      <w:r>
        <w:rPr>
          <w:rFonts w:hint="eastAsia" w:ascii="Times New Roman" w:hAnsi="Times New Roman" w:cs="Times New Roman"/>
          <w:color w:val="auto"/>
          <w:lang w:eastAsia="zh-CN"/>
        </w:rPr>
        <w:t>硫化氢</w:t>
      </w:r>
      <w:r>
        <w:rPr>
          <w:rFonts w:hint="default" w:ascii="Times New Roman" w:hAnsi="Times New Roman" w:eastAsia="宋体" w:cs="Times New Roman"/>
          <w:color w:val="auto"/>
        </w:rPr>
        <w:t>最大落地浓度为0.0753ug/m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，无组织排放</w:t>
      </w:r>
      <w:r>
        <w:rPr>
          <w:rFonts w:hint="eastAsia" w:ascii="Times New Roman" w:hAnsi="Times New Roman" w:cs="Times New Roman"/>
          <w:color w:val="auto"/>
          <w:lang w:eastAsia="zh-CN"/>
        </w:rPr>
        <w:t>氨气</w:t>
      </w:r>
      <w:r>
        <w:rPr>
          <w:rFonts w:hint="default" w:ascii="Times New Roman" w:hAnsi="Times New Roman" w:eastAsia="宋体" w:cs="Times New Roman"/>
          <w:color w:val="auto"/>
        </w:rPr>
        <w:t>最大落地浓度为</w:t>
      </w:r>
      <w:r>
        <w:rPr>
          <w:rFonts w:hint="eastAsia" w:ascii="Times New Roman" w:hAnsi="Times New Roman" w:cs="Times New Roman"/>
          <w:color w:val="auto"/>
          <w:lang w:val="en-US" w:eastAsia="zh-CN"/>
        </w:rPr>
        <w:t>0.8063</w:t>
      </w:r>
      <w:r>
        <w:rPr>
          <w:rFonts w:hint="default" w:ascii="Times New Roman" w:hAnsi="Times New Roman" w:eastAsia="宋体" w:cs="Times New Roman"/>
          <w:color w:val="auto"/>
        </w:rPr>
        <w:t>ug/m</w:t>
      </w:r>
      <w:r>
        <w:rPr>
          <w:rFonts w:hint="default" w:ascii="Times New Roman" w:hAnsi="Times New Roman" w:eastAsia="宋体" w:cs="Times New Roman"/>
          <w:color w:val="auto"/>
          <w:vertAlign w:val="superscript"/>
        </w:rPr>
        <w:t>3</w:t>
      </w:r>
      <w:r>
        <w:rPr>
          <w:rFonts w:hint="eastAsia" w:ascii="Times New Roman" w:hAnsi="Times New Roman" w:cs="Times New Roman"/>
          <w:color w:val="auto"/>
          <w:lang w:eastAsia="zh-CN"/>
        </w:rPr>
        <w:t>，</w:t>
      </w:r>
      <w:r>
        <w:rPr>
          <w:rFonts w:hint="default" w:ascii="Times New Roman" w:hAnsi="Times New Roman" w:eastAsia="宋体" w:cs="Times New Roman"/>
          <w:color w:val="auto"/>
        </w:rPr>
        <w:t>满足《工业企业设计卫生标准》（TJ36-79）表4最高允许浓度</w:t>
      </w:r>
      <w:r>
        <w:rPr>
          <w:rFonts w:hint="default" w:ascii="Times New Roman" w:hAnsi="Times New Roman" w:eastAsia="宋体" w:cs="Times New Roman"/>
          <w:color w:val="auto"/>
          <w:szCs w:val="24"/>
          <w:lang w:eastAsia="zh-CN"/>
        </w:rPr>
        <w:t>。</w:t>
      </w:r>
    </w:p>
    <w:p w14:paraId="564AC1A0">
      <w:pPr>
        <w:ind w:firstLine="482" w:firstLineChars="200"/>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w:t>
      </w:r>
      <w:r>
        <w:rPr>
          <w:rFonts w:hint="eastAsia" w:ascii="Times New Roman" w:hAnsi="Times New Roman" w:cs="Times New Roman"/>
          <w:b/>
          <w:bCs/>
          <w:color w:val="auto"/>
          <w:szCs w:val="24"/>
          <w:lang w:val="en-US" w:eastAsia="zh-CN"/>
        </w:rPr>
        <w:t>5</w:t>
      </w:r>
      <w:r>
        <w:rPr>
          <w:rFonts w:hint="default" w:ascii="Times New Roman" w:hAnsi="Times New Roman" w:eastAsia="宋体" w:cs="Times New Roman"/>
          <w:b/>
          <w:bCs/>
          <w:color w:val="auto"/>
          <w:szCs w:val="24"/>
        </w:rPr>
        <w:t>）油烟</w:t>
      </w:r>
    </w:p>
    <w:p w14:paraId="55C131D7">
      <w:pPr>
        <w:ind w:firstLine="420"/>
        <w:rPr>
          <w:rFonts w:hint="default" w:ascii="Times New Roman" w:hAnsi="Times New Roman" w:eastAsia="宋体" w:cs="Times New Roman"/>
          <w:color w:val="auto"/>
        </w:rPr>
      </w:pPr>
      <w:r>
        <w:rPr>
          <w:rFonts w:hint="default" w:ascii="Times New Roman" w:hAnsi="Times New Roman" w:eastAsia="宋体" w:cs="Times New Roman"/>
          <w:color w:val="auto"/>
          <w:szCs w:val="24"/>
        </w:rPr>
        <w:t>本项目有</w:t>
      </w:r>
      <w:r>
        <w:rPr>
          <w:rFonts w:hint="default" w:ascii="Times New Roman" w:hAnsi="Times New Roman" w:eastAsia="宋体" w:cs="Times New Roman"/>
          <w:color w:val="auto"/>
          <w:szCs w:val="24"/>
          <w:lang w:val="en-US" w:eastAsia="zh-CN"/>
        </w:rPr>
        <w:t>580</w:t>
      </w:r>
      <w:r>
        <w:rPr>
          <w:rFonts w:hint="default" w:ascii="Times New Roman" w:hAnsi="Times New Roman" w:eastAsia="宋体" w:cs="Times New Roman"/>
          <w:color w:val="auto"/>
          <w:szCs w:val="24"/>
        </w:rPr>
        <w:t>名员工在项目内</w:t>
      </w:r>
      <w:r>
        <w:rPr>
          <w:rFonts w:hint="default" w:ascii="Times New Roman" w:hAnsi="Times New Roman" w:eastAsia="宋体" w:cs="Times New Roman"/>
          <w:color w:val="auto"/>
          <w:szCs w:val="24"/>
          <w:lang w:eastAsia="zh-CN"/>
        </w:rPr>
        <w:t>用餐</w:t>
      </w:r>
      <w:r>
        <w:rPr>
          <w:rFonts w:hint="default" w:ascii="Times New Roman" w:hAnsi="Times New Roman" w:eastAsia="宋体" w:cs="Times New Roman"/>
          <w:color w:val="auto"/>
          <w:szCs w:val="24"/>
        </w:rPr>
        <w:t>，食堂运行时会产生一定油烟。</w:t>
      </w:r>
      <w:r>
        <w:rPr>
          <w:rFonts w:hint="default" w:ascii="Times New Roman" w:hAnsi="Times New Roman" w:eastAsia="宋体" w:cs="Times New Roman"/>
          <w:color w:val="auto"/>
        </w:rPr>
        <w:t>根据《饮食业油烟排放标准》</w:t>
      </w:r>
      <w:r>
        <w:rPr>
          <w:rFonts w:hint="default" w:ascii="Times New Roman" w:hAnsi="Times New Roman" w:eastAsia="宋体" w:cs="Times New Roman"/>
          <w:bCs/>
          <w:color w:val="auto"/>
          <w:kern w:val="0"/>
        </w:rPr>
        <w:t>(GB 18483-2001)，食堂需要油烟净化器</w:t>
      </w:r>
      <w:r>
        <w:rPr>
          <w:rFonts w:hint="default" w:ascii="Times New Roman" w:hAnsi="Times New Roman" w:eastAsia="宋体" w:cs="Times New Roman"/>
          <w:color w:val="auto"/>
        </w:rPr>
        <w:t>，油烟净化器的净化效率≥</w:t>
      </w:r>
      <w:r>
        <w:rPr>
          <w:rFonts w:hint="default" w:ascii="Times New Roman" w:hAnsi="Times New Roman" w:eastAsia="宋体" w:cs="Times New Roman"/>
          <w:color w:val="auto"/>
          <w:lang w:val="en-US" w:eastAsia="zh-CN"/>
        </w:rPr>
        <w:t>75</w:t>
      </w:r>
      <w:r>
        <w:rPr>
          <w:rFonts w:hint="default" w:ascii="Times New Roman" w:hAnsi="Times New Roman" w:eastAsia="宋体" w:cs="Times New Roman"/>
          <w:color w:val="auto"/>
        </w:rPr>
        <w:t>％，则</w:t>
      </w:r>
      <w:r>
        <w:rPr>
          <w:rFonts w:hint="default" w:ascii="Times New Roman" w:hAnsi="Times New Roman" w:eastAsia="宋体" w:cs="Times New Roman"/>
          <w:color w:val="auto"/>
          <w:lang w:eastAsia="zh-CN"/>
        </w:rPr>
        <w:t>食堂油烟</w:t>
      </w:r>
      <w:r>
        <w:rPr>
          <w:rFonts w:hint="default" w:ascii="Times New Roman" w:hAnsi="Times New Roman" w:eastAsia="宋体" w:cs="Times New Roman"/>
          <w:color w:val="auto"/>
        </w:rPr>
        <w:t>排放浓度为：</w:t>
      </w:r>
      <w:r>
        <w:rPr>
          <w:rFonts w:hint="default" w:ascii="Times New Roman" w:hAnsi="Times New Roman" w:eastAsia="宋体" w:cs="Times New Roman"/>
          <w:color w:val="auto"/>
          <w:lang w:val="en-US" w:eastAsia="zh-CN"/>
        </w:rPr>
        <w:t>0.94</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，能够达到标准排放浓度≤2.0mg/m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的要求</w:t>
      </w:r>
      <w:r>
        <w:rPr>
          <w:rFonts w:hint="default" w:ascii="Times New Roman" w:hAnsi="Times New Roman" w:eastAsia="宋体" w:cs="Times New Roman"/>
          <w:color w:val="auto"/>
          <w:szCs w:val="24"/>
        </w:rPr>
        <w:t>，项目油烟达标排放后对周围环境影响较小。</w:t>
      </w:r>
    </w:p>
    <w:p w14:paraId="5EBE52BA">
      <w:pPr>
        <w:adjustRightInd w:val="0"/>
        <w:snapToGrid w:val="0"/>
        <w:outlineLvl w:val="3"/>
        <w:rPr>
          <w:rFonts w:hint="default" w:ascii="Times New Roman" w:hAnsi="Times New Roman" w:eastAsia="宋体" w:cs="Times New Roman"/>
          <w:b/>
          <w:color w:val="auto"/>
        </w:rPr>
      </w:pPr>
      <w:r>
        <w:rPr>
          <w:rFonts w:hint="default" w:ascii="Times New Roman" w:hAnsi="Times New Roman" w:eastAsia="宋体" w:cs="Times New Roman"/>
          <w:b/>
          <w:color w:val="auto"/>
        </w:rPr>
        <w:t>5.2.1.3小结</w:t>
      </w:r>
    </w:p>
    <w:p w14:paraId="17CE74E7">
      <w:pPr>
        <w:adjustRightInd w:val="0"/>
        <w:ind w:firstLine="480" w:firstLineChars="200"/>
        <w:textAlignment w:val="baseline"/>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综上</w:t>
      </w:r>
      <w:r>
        <w:rPr>
          <w:rFonts w:hint="default" w:ascii="Times New Roman" w:hAnsi="Times New Roman" w:eastAsia="宋体" w:cs="Times New Roman"/>
          <w:color w:val="auto"/>
          <w:szCs w:val="24"/>
          <w:lang w:eastAsia="zh-CN"/>
        </w:rPr>
        <w:t>所述，根据</w:t>
      </w:r>
      <w:r>
        <w:rPr>
          <w:rFonts w:hint="default" w:ascii="Times New Roman" w:hAnsi="Times New Roman" w:eastAsia="宋体" w:cs="Times New Roman"/>
          <w:color w:val="auto"/>
          <w:szCs w:val="24"/>
        </w:rPr>
        <w:t>影响预测分析，本项目实施后各污染物的贡献浓度满足相应质量标准要求，没有出现超标现象，对周围环境空气质量</w:t>
      </w:r>
      <w:r>
        <w:rPr>
          <w:rFonts w:hint="default" w:ascii="Times New Roman" w:hAnsi="Times New Roman" w:eastAsia="宋体" w:cs="Times New Roman"/>
          <w:color w:val="auto"/>
          <w:szCs w:val="24"/>
          <w:lang w:eastAsia="zh-CN"/>
        </w:rPr>
        <w:t>和敏感点的环境</w:t>
      </w:r>
      <w:r>
        <w:rPr>
          <w:rFonts w:hint="default" w:ascii="Times New Roman" w:hAnsi="Times New Roman" w:eastAsia="宋体" w:cs="Times New Roman"/>
          <w:color w:val="auto"/>
          <w:szCs w:val="24"/>
        </w:rPr>
        <w:t>影响</w:t>
      </w:r>
      <w:r>
        <w:rPr>
          <w:rFonts w:hint="default" w:ascii="Times New Roman" w:hAnsi="Times New Roman" w:eastAsia="宋体" w:cs="Times New Roman"/>
          <w:color w:val="auto"/>
          <w:szCs w:val="24"/>
          <w:lang w:eastAsia="zh-CN"/>
        </w:rPr>
        <w:t>较小</w:t>
      </w:r>
      <w:r>
        <w:rPr>
          <w:rFonts w:hint="default" w:ascii="Times New Roman" w:hAnsi="Times New Roman" w:eastAsia="宋体" w:cs="Times New Roman"/>
          <w:bCs/>
          <w:color w:val="auto"/>
          <w:szCs w:val="24"/>
        </w:rPr>
        <w:t>。少量的异味及粉尘无组织排放，通过车间设置的排风扇强制</w:t>
      </w:r>
      <w:r>
        <w:rPr>
          <w:rFonts w:hint="default" w:ascii="Times New Roman" w:hAnsi="Times New Roman" w:eastAsia="宋体" w:cs="Times New Roman"/>
          <w:color w:val="auto"/>
          <w:szCs w:val="24"/>
        </w:rPr>
        <w:t>通风换气，经大气稀释、扩散后，</w:t>
      </w:r>
      <w:r>
        <w:rPr>
          <w:rFonts w:hint="default" w:ascii="Times New Roman" w:hAnsi="Times New Roman" w:eastAsia="宋体" w:cs="Times New Roman"/>
          <w:color w:val="auto"/>
          <w:szCs w:val="24"/>
          <w:lang w:eastAsia="zh-CN"/>
        </w:rPr>
        <w:t>对周围环境和敏感点影响较小</w:t>
      </w:r>
      <w:r>
        <w:rPr>
          <w:rFonts w:hint="default" w:ascii="Times New Roman" w:hAnsi="Times New Roman" w:eastAsia="宋体" w:cs="Times New Roman"/>
          <w:color w:val="auto"/>
          <w:szCs w:val="24"/>
        </w:rPr>
        <w:t>。</w:t>
      </w:r>
    </w:p>
    <w:p w14:paraId="3599C05F">
      <w:pPr>
        <w:keepNext/>
        <w:keepLines/>
        <w:widowControl w:val="0"/>
        <w:adjustRightInd w:val="0"/>
        <w:snapToGrid w:val="0"/>
        <w:spacing w:before="120" w:beforeLines="50" w:after="0" w:line="360" w:lineRule="auto"/>
        <w:jc w:val="both"/>
        <w:outlineLvl w:val="2"/>
        <w:rPr>
          <w:rFonts w:hint="default" w:ascii="Times New Roman" w:hAnsi="Times New Roman" w:eastAsia="宋体" w:cs="Times New Roman"/>
          <w:b/>
          <w:bCs/>
          <w:color w:val="auto"/>
          <w:kern w:val="2"/>
          <w:sz w:val="28"/>
          <w:szCs w:val="32"/>
          <w:lang w:val="en-US" w:eastAsia="zh-CN" w:bidi="ar-SA"/>
        </w:rPr>
      </w:pPr>
      <w:bookmarkStart w:id="331" w:name="_Toc12718"/>
      <w:bookmarkStart w:id="332" w:name="_Toc328725406"/>
      <w:r>
        <w:rPr>
          <w:rFonts w:hint="default" w:ascii="Times New Roman" w:hAnsi="Times New Roman" w:eastAsia="宋体" w:cs="Times New Roman"/>
          <w:b/>
          <w:bCs/>
          <w:color w:val="auto"/>
          <w:kern w:val="2"/>
          <w:sz w:val="28"/>
          <w:szCs w:val="32"/>
          <w:lang w:val="en-US" w:eastAsia="zh-CN" w:bidi="ar-SA"/>
        </w:rPr>
        <w:t>5.2.2地表水环境影响分析</w:t>
      </w:r>
      <w:bookmarkEnd w:id="331"/>
      <w:bookmarkEnd w:id="332"/>
    </w:p>
    <w:p w14:paraId="7CDB42D9">
      <w:pPr>
        <w:adjustRightInd w:val="0"/>
        <w:snapToGrid w:val="0"/>
        <w:spacing w:line="360" w:lineRule="auto"/>
        <w:outlineLvl w:val="3"/>
        <w:rPr>
          <w:rFonts w:hint="default" w:ascii="Times New Roman" w:hAnsi="Times New Roman" w:eastAsia="宋体" w:cs="Times New Roman"/>
          <w:b/>
          <w:color w:val="auto"/>
          <w:sz w:val="24"/>
          <w:szCs w:val="24"/>
          <w:lang w:eastAsia="zh-CN"/>
        </w:rPr>
      </w:pPr>
      <w:bookmarkStart w:id="333" w:name="_Toc307819563"/>
      <w:bookmarkStart w:id="334" w:name="_Toc328725407"/>
      <w:r>
        <w:rPr>
          <w:rFonts w:hint="default" w:ascii="Times New Roman" w:hAnsi="Times New Roman" w:eastAsia="宋体" w:cs="Times New Roman"/>
          <w:b/>
          <w:color w:val="auto"/>
          <w:sz w:val="24"/>
          <w:szCs w:val="24"/>
        </w:rPr>
        <w:t>5.2.2.1</w:t>
      </w:r>
      <w:r>
        <w:rPr>
          <w:rFonts w:hint="default" w:ascii="Times New Roman" w:hAnsi="Times New Roman" w:eastAsia="宋体" w:cs="Times New Roman"/>
          <w:b/>
          <w:color w:val="auto"/>
          <w:sz w:val="24"/>
          <w:szCs w:val="24"/>
          <w:lang w:eastAsia="zh-CN"/>
        </w:rPr>
        <w:t>评价等级判定</w:t>
      </w:r>
    </w:p>
    <w:p w14:paraId="20B807B5">
      <w:pPr>
        <w:adjustRightInd w:val="0"/>
        <w:snapToGrid w:val="0"/>
        <w:spacing w:line="360" w:lineRule="auto"/>
        <w:ind w:firstLine="480" w:firstLineChars="200"/>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根据《环境影响评价技术导则地表水环境》（HJ2.3-2018）的规定，地表水评价工作等级的划分是按照影响类型、排放方式、排放量或影响情况、受纳水体环境质量现状、水环境保护目标等综合确定。</w:t>
      </w:r>
    </w:p>
    <w:p w14:paraId="0F9F18DE">
      <w:pPr>
        <w:adjustRightInd w:val="0"/>
        <w:snapToGrid w:val="0"/>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8"/>
        </w:rPr>
        <w:t>本项目</w:t>
      </w:r>
      <w:r>
        <w:rPr>
          <w:rFonts w:hint="default" w:ascii="Times New Roman" w:hAnsi="Times New Roman" w:eastAsia="宋体" w:cs="Times New Roman"/>
          <w:color w:val="auto"/>
          <w:sz w:val="24"/>
          <w:szCs w:val="28"/>
          <w:lang w:eastAsia="zh-CN"/>
        </w:rPr>
        <w:t>建成后</w:t>
      </w:r>
      <w:r>
        <w:rPr>
          <w:rFonts w:hint="default" w:ascii="Times New Roman" w:hAnsi="Times New Roman" w:eastAsia="宋体" w:cs="Times New Roman"/>
          <w:color w:val="auto"/>
          <w:sz w:val="24"/>
          <w:szCs w:val="28"/>
        </w:rPr>
        <w:t>生产</w:t>
      </w:r>
      <w:r>
        <w:rPr>
          <w:rFonts w:hint="default" w:ascii="Times New Roman" w:hAnsi="Times New Roman" w:eastAsia="宋体" w:cs="Times New Roman"/>
          <w:color w:val="auto"/>
          <w:sz w:val="24"/>
          <w:szCs w:val="28"/>
          <w:lang w:eastAsia="zh-CN"/>
        </w:rPr>
        <w:t>过程生产废水间接排放，</w:t>
      </w:r>
      <w:r>
        <w:rPr>
          <w:rFonts w:hint="default" w:ascii="Times New Roman" w:hAnsi="Times New Roman" w:eastAsia="宋体" w:cs="Times New Roman"/>
          <w:color w:val="auto"/>
          <w:sz w:val="24"/>
          <w:szCs w:val="28"/>
        </w:rPr>
        <w:t>生活</w:t>
      </w:r>
      <w:r>
        <w:rPr>
          <w:rFonts w:hint="default" w:ascii="Times New Roman" w:hAnsi="Times New Roman" w:eastAsia="宋体" w:cs="Times New Roman"/>
          <w:color w:val="auto"/>
          <w:sz w:val="24"/>
          <w:szCs w:val="28"/>
          <w:lang w:eastAsia="zh-CN"/>
        </w:rPr>
        <w:t>污水间接排放</w:t>
      </w:r>
      <w:r>
        <w:rPr>
          <w:rFonts w:hint="default" w:ascii="Times New Roman" w:hAnsi="Times New Roman" w:eastAsia="宋体" w:cs="Times New Roman"/>
          <w:color w:val="auto"/>
          <w:sz w:val="24"/>
          <w:szCs w:val="28"/>
        </w:rPr>
        <w:t>，故地表水评价等级为三级B</w:t>
      </w:r>
      <w:r>
        <w:rPr>
          <w:rFonts w:hint="default" w:ascii="Times New Roman" w:hAnsi="Times New Roman" w:eastAsia="宋体" w:cs="Times New Roman"/>
          <w:color w:val="auto"/>
          <w:sz w:val="24"/>
          <w:szCs w:val="24"/>
        </w:rPr>
        <w:t>。</w:t>
      </w:r>
    </w:p>
    <w:p w14:paraId="3B20A308">
      <w:pPr>
        <w:adjustRightInd w:val="0"/>
        <w:snapToGrid w:val="0"/>
        <w:spacing w:line="360" w:lineRule="auto"/>
        <w:outlineLvl w:val="3"/>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5.2.2.</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项目废水特征及处置方式</w:t>
      </w:r>
      <w:bookmarkEnd w:id="333"/>
      <w:bookmarkEnd w:id="334"/>
    </w:p>
    <w:p w14:paraId="72CE95FC">
      <w:pPr>
        <w:adjustRightInd w:val="0"/>
        <w:snapToGrid w:val="0"/>
        <w:spacing w:line="360" w:lineRule="auto"/>
        <w:ind w:firstLine="482" w:firstLineChars="200"/>
        <w:rPr>
          <w:rFonts w:hint="default" w:ascii="Times New Roman" w:hAnsi="Times New Roman" w:eastAsia="宋体" w:cs="Times New Roman"/>
          <w:b/>
          <w:bCs/>
          <w:color w:val="auto"/>
          <w:sz w:val="24"/>
          <w:szCs w:val="28"/>
        </w:rPr>
      </w:pPr>
      <w:r>
        <w:rPr>
          <w:rFonts w:hint="default" w:ascii="Times New Roman" w:hAnsi="Times New Roman" w:eastAsia="宋体" w:cs="Times New Roman"/>
          <w:b/>
          <w:bCs/>
          <w:color w:val="auto"/>
          <w:sz w:val="24"/>
          <w:szCs w:val="28"/>
        </w:rPr>
        <w:t>（1）废水特征</w:t>
      </w:r>
    </w:p>
    <w:p w14:paraId="5465392A">
      <w:pPr>
        <w:adjustRightInd w:val="0"/>
        <w:snapToGrid w:val="0"/>
        <w:spacing w:line="360" w:lineRule="auto"/>
        <w:ind w:firstLine="480" w:firstLineChars="200"/>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项目废水主要为生活污水</w:t>
      </w:r>
      <w:r>
        <w:rPr>
          <w:rFonts w:hint="default" w:ascii="Times New Roman" w:hAnsi="Times New Roman" w:eastAsia="宋体" w:cs="Times New Roman"/>
          <w:color w:val="auto"/>
          <w:sz w:val="24"/>
          <w:szCs w:val="28"/>
          <w:lang w:eastAsia="zh-CN"/>
        </w:rPr>
        <w:t>、生产废水</w:t>
      </w:r>
      <w:r>
        <w:rPr>
          <w:rFonts w:hint="default" w:ascii="Times New Roman" w:hAnsi="Times New Roman" w:eastAsia="宋体" w:cs="Times New Roman"/>
          <w:color w:val="auto"/>
          <w:sz w:val="24"/>
          <w:szCs w:val="28"/>
        </w:rPr>
        <w:t>，</w:t>
      </w:r>
      <w:r>
        <w:rPr>
          <w:rFonts w:hint="default" w:ascii="Times New Roman" w:hAnsi="Times New Roman" w:eastAsia="宋体" w:cs="Times New Roman"/>
          <w:color w:val="auto"/>
          <w:sz w:val="24"/>
          <w:szCs w:val="28"/>
          <w:lang w:eastAsia="zh-CN"/>
        </w:rPr>
        <w:t>生产废水</w:t>
      </w:r>
      <w:r>
        <w:rPr>
          <w:rFonts w:hint="default" w:ascii="Times New Roman" w:hAnsi="Times New Roman" w:eastAsia="宋体" w:cs="Times New Roman"/>
          <w:color w:val="auto"/>
          <w:sz w:val="24"/>
          <w:szCs w:val="28"/>
        </w:rPr>
        <w:t>中污染物主要为COD</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BOD</w:t>
      </w:r>
      <w:r>
        <w:rPr>
          <w:rFonts w:hint="default" w:ascii="Times New Roman" w:hAnsi="Times New Roman" w:eastAsia="宋体" w:cs="Times New Roman"/>
          <w:color w:val="auto"/>
          <w:sz w:val="24"/>
          <w:szCs w:val="28"/>
          <w:vertAlign w:val="subscript"/>
        </w:rPr>
        <w:t>5</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SS</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LAS</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色度</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TP</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NH3-N等</w:t>
      </w:r>
      <w:r>
        <w:rPr>
          <w:rFonts w:hint="default" w:ascii="Times New Roman" w:hAnsi="Times New Roman" w:eastAsia="宋体" w:cs="Times New Roman"/>
          <w:color w:val="auto"/>
          <w:sz w:val="24"/>
          <w:szCs w:val="28"/>
          <w:lang w:eastAsia="zh-CN"/>
        </w:rPr>
        <w:t>，生活污水</w:t>
      </w:r>
      <w:r>
        <w:rPr>
          <w:rFonts w:hint="default" w:ascii="Times New Roman" w:hAnsi="Times New Roman" w:eastAsia="宋体" w:cs="Times New Roman"/>
          <w:color w:val="auto"/>
          <w:sz w:val="24"/>
          <w:szCs w:val="28"/>
        </w:rPr>
        <w:t>中污染物主要为COD</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BOD</w:t>
      </w:r>
      <w:r>
        <w:rPr>
          <w:rFonts w:hint="default" w:ascii="Times New Roman" w:hAnsi="Times New Roman" w:eastAsia="宋体" w:cs="Times New Roman"/>
          <w:color w:val="auto"/>
          <w:sz w:val="24"/>
          <w:szCs w:val="28"/>
          <w:vertAlign w:val="subscript"/>
        </w:rPr>
        <w:t>5</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SS</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TP</w:t>
      </w:r>
      <w:r>
        <w:rPr>
          <w:rFonts w:hint="default" w:ascii="Times New Roman" w:hAnsi="Times New Roman" w:eastAsia="宋体" w:cs="Times New Roman"/>
          <w:color w:val="auto"/>
          <w:sz w:val="24"/>
          <w:szCs w:val="28"/>
          <w:lang w:eastAsia="zh-CN"/>
        </w:rPr>
        <w:t>、</w:t>
      </w:r>
      <w:r>
        <w:rPr>
          <w:rFonts w:hint="default" w:ascii="Times New Roman" w:hAnsi="Times New Roman" w:eastAsia="宋体" w:cs="Times New Roman"/>
          <w:color w:val="auto"/>
          <w:sz w:val="24"/>
          <w:szCs w:val="28"/>
        </w:rPr>
        <w:t>NH3-N等，废水中不含有毒有害或难降解的污染物，项目各类型废水</w:t>
      </w:r>
      <w:r>
        <w:rPr>
          <w:rFonts w:hint="default" w:ascii="Times New Roman" w:hAnsi="Times New Roman" w:eastAsia="宋体" w:cs="Times New Roman"/>
          <w:color w:val="auto"/>
          <w:sz w:val="24"/>
          <w:szCs w:val="24"/>
        </w:rPr>
        <w:t>水质情况见表3.4-</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p>
    <w:p w14:paraId="097056D1">
      <w:pPr>
        <w:adjustRightInd w:val="0"/>
        <w:snapToGrid w:val="0"/>
        <w:spacing w:line="360" w:lineRule="auto"/>
        <w:ind w:firstLine="482" w:firstLineChars="200"/>
        <w:rPr>
          <w:rFonts w:hint="default" w:ascii="Times New Roman" w:hAnsi="Times New Roman" w:eastAsia="宋体" w:cs="Times New Roman"/>
          <w:b/>
          <w:bCs/>
          <w:color w:val="auto"/>
          <w:sz w:val="24"/>
          <w:szCs w:val="28"/>
        </w:rPr>
      </w:pPr>
      <w:r>
        <w:rPr>
          <w:rFonts w:hint="default" w:ascii="Times New Roman" w:hAnsi="Times New Roman" w:eastAsia="宋体" w:cs="Times New Roman"/>
          <w:b/>
          <w:bCs/>
          <w:color w:val="auto"/>
          <w:sz w:val="24"/>
          <w:szCs w:val="28"/>
        </w:rPr>
        <w:t>（2）废水处置方式</w:t>
      </w:r>
    </w:p>
    <w:p w14:paraId="4930CF27">
      <w:pPr>
        <w:ind w:firstLine="480"/>
        <w:rPr>
          <w:rFonts w:hint="default" w:ascii="Times New Roman" w:hAnsi="Times New Roman" w:eastAsia="宋体" w:cs="Times New Roman"/>
          <w:color w:val="auto"/>
        </w:rPr>
      </w:pPr>
      <w:bookmarkStart w:id="335" w:name="_Toc380672415"/>
      <w:bookmarkStart w:id="336" w:name="_Toc372269264"/>
      <w:bookmarkStart w:id="337" w:name="_Toc376781237"/>
      <w:r>
        <w:rPr>
          <w:rFonts w:hint="default" w:ascii="Times New Roman" w:hAnsi="Times New Roman" w:eastAsia="宋体" w:cs="Times New Roman"/>
          <w:color w:val="auto"/>
          <w:sz w:val="24"/>
          <w:szCs w:val="24"/>
          <w:lang w:eastAsia="zh-CN"/>
        </w:rPr>
        <w:t>本项目生产废水</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4"/>
          <w:sz w:val="24"/>
          <w:szCs w:val="24"/>
          <w:lang w:val="en-US" w:eastAsia="zh-CN" w:bidi="ar-SA"/>
        </w:rPr>
        <w:t>生活污水经隔油池/化粪池处理后排入园区污水管网</w:t>
      </w:r>
      <w:r>
        <w:rPr>
          <w:rFonts w:hint="default" w:ascii="Times New Roman" w:hAnsi="Times New Roman" w:eastAsia="宋体" w:cs="Times New Roman"/>
          <w:color w:val="auto"/>
          <w:sz w:val="24"/>
          <w:szCs w:val="24"/>
        </w:rPr>
        <w:t>。</w:t>
      </w:r>
    </w:p>
    <w:p w14:paraId="132045FB">
      <w:pPr>
        <w:pStyle w:val="603"/>
        <w:outlineLvl w:val="3"/>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5.2.2.</w:t>
      </w:r>
      <w:r>
        <w:rPr>
          <w:rFonts w:hint="default" w:ascii="Times New Roman" w:hAnsi="Times New Roman" w:eastAsia="宋体" w:cs="Times New Roman"/>
          <w:b/>
          <w:color w:val="auto"/>
          <w:sz w:val="24"/>
          <w:szCs w:val="24"/>
          <w:lang w:val="en-US" w:eastAsia="zh-CN"/>
        </w:rPr>
        <w:t>3</w:t>
      </w:r>
      <w:bookmarkEnd w:id="335"/>
      <w:bookmarkEnd w:id="336"/>
      <w:bookmarkEnd w:id="337"/>
      <w:r>
        <w:rPr>
          <w:rFonts w:hint="default" w:ascii="Times New Roman" w:hAnsi="Times New Roman" w:eastAsia="宋体" w:cs="Times New Roman"/>
          <w:b/>
          <w:color w:val="auto"/>
          <w:sz w:val="24"/>
          <w:szCs w:val="24"/>
          <w:lang w:eastAsia="zh-CN"/>
        </w:rPr>
        <w:t>处理后的废水接管可行性</w:t>
      </w:r>
    </w:p>
    <w:p w14:paraId="1F3707E6">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本项目污废水经自建污水处理系统处理后排放至片区污水管网，目前所在片区咖啡大道污水管网已经接通，污水可以接入咖啡大道污水管网，进入芒市工业园帕底片区的接管水质需要达到</w:t>
      </w:r>
      <w:r>
        <w:rPr>
          <w:rFonts w:hint="default" w:ascii="Times New Roman" w:hAnsi="Times New Roman" w:eastAsia="宋体" w:cs="Times New Roman"/>
          <w:color w:val="auto"/>
          <w:kern w:val="10"/>
          <w:sz w:val="24"/>
        </w:rPr>
        <w:t>《污水综合排放标准》（GB8978-1996）中三级标准和《污水排入城镇下水道水质标准》（GB/T31962-2015）表1中B级标准后排入</w:t>
      </w:r>
      <w:r>
        <w:rPr>
          <w:rFonts w:hint="eastAsia" w:ascii="Times New Roman" w:hAnsi="Times New Roman" w:cs="Times New Roman"/>
          <w:color w:val="auto"/>
          <w:kern w:val="10"/>
          <w:sz w:val="24"/>
          <w:lang w:eastAsia="zh-CN"/>
        </w:rPr>
        <w:t>园区</w:t>
      </w:r>
      <w:r>
        <w:rPr>
          <w:rFonts w:hint="default" w:ascii="Times New Roman" w:hAnsi="Times New Roman" w:eastAsia="宋体" w:cs="Times New Roman"/>
          <w:color w:val="auto"/>
          <w:kern w:val="10"/>
          <w:sz w:val="24"/>
        </w:rPr>
        <w:t>污水管道。本项目</w:t>
      </w:r>
      <w:r>
        <w:rPr>
          <w:rFonts w:hint="default" w:ascii="Times New Roman" w:hAnsi="Times New Roman" w:eastAsia="宋体" w:cs="Times New Roman"/>
          <w:color w:val="auto"/>
          <w:kern w:val="10"/>
          <w:sz w:val="24"/>
          <w:lang w:eastAsia="zh-CN"/>
        </w:rPr>
        <w:t>生活</w:t>
      </w:r>
      <w:r>
        <w:rPr>
          <w:rFonts w:hint="default" w:ascii="Times New Roman" w:hAnsi="Times New Roman" w:eastAsia="宋体" w:cs="Times New Roman"/>
          <w:color w:val="auto"/>
          <w:kern w:val="10"/>
          <w:sz w:val="24"/>
        </w:rPr>
        <w:t>废水</w:t>
      </w:r>
      <w:r>
        <w:rPr>
          <w:rFonts w:hint="default" w:ascii="Times New Roman" w:hAnsi="Times New Roman" w:eastAsia="宋体" w:cs="Times New Roman"/>
          <w:bCs/>
          <w:color w:val="auto"/>
          <w:sz w:val="24"/>
        </w:rPr>
        <w:t>经隔油池、化粪池处理后的生活污水排水水质达到接管要求</w:t>
      </w:r>
      <w:r>
        <w:rPr>
          <w:rFonts w:hint="default" w:ascii="Times New Roman" w:hAnsi="Times New Roman" w:eastAsia="宋体" w:cs="Times New Roman"/>
          <w:bCs/>
          <w:color w:val="auto"/>
          <w:sz w:val="24"/>
          <w:lang w:eastAsia="zh-CN"/>
        </w:rPr>
        <w:t>，生产废水经三级沉淀池、污水处理站处理后</w:t>
      </w:r>
      <w:r>
        <w:rPr>
          <w:rFonts w:hint="default" w:ascii="Times New Roman" w:hAnsi="Times New Roman" w:eastAsia="宋体" w:cs="Times New Roman"/>
          <w:bCs/>
          <w:color w:val="auto"/>
          <w:sz w:val="24"/>
        </w:rPr>
        <w:t>排水水质达到接管要求</w:t>
      </w:r>
      <w:r>
        <w:rPr>
          <w:rFonts w:hint="default" w:ascii="Times New Roman" w:hAnsi="Times New Roman" w:eastAsia="宋体" w:cs="Times New Roman"/>
          <w:bCs/>
          <w:color w:val="auto"/>
          <w:sz w:val="24"/>
          <w:lang w:eastAsia="zh-CN"/>
        </w:rPr>
        <w:t>。</w:t>
      </w:r>
    </w:p>
    <w:p w14:paraId="48304B8E">
      <w:pPr>
        <w:adjustRightInd w:val="0"/>
        <w:snapToGrid w:val="0"/>
        <w:spacing w:line="360" w:lineRule="auto"/>
        <w:outlineLvl w:val="3"/>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5.2.2.</w:t>
      </w:r>
      <w:r>
        <w:rPr>
          <w:rFonts w:hint="default"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废水处理工艺的可行性的分析 </w:t>
      </w:r>
    </w:p>
    <w:p w14:paraId="4E45E430">
      <w:pPr>
        <w:adjustRightInd w:val="0"/>
        <w:snapToGrid w:val="0"/>
        <w:spacing w:line="360" w:lineRule="auto"/>
        <w:ind w:firstLine="482" w:firstLineChars="200"/>
        <w:rPr>
          <w:rFonts w:hint="default" w:ascii="Times New Roman" w:hAnsi="Times New Roman" w:eastAsia="宋体" w:cs="Times New Roman"/>
          <w:b/>
          <w:color w:val="auto"/>
          <w:sz w:val="24"/>
          <w:szCs w:val="28"/>
          <w:lang w:eastAsia="zh-CN"/>
        </w:rPr>
      </w:pPr>
      <w:r>
        <w:rPr>
          <w:rFonts w:hint="default" w:ascii="Times New Roman" w:hAnsi="Times New Roman" w:eastAsia="宋体" w:cs="Times New Roman"/>
          <w:b/>
          <w:color w:val="auto"/>
          <w:sz w:val="24"/>
          <w:szCs w:val="28"/>
          <w:lang w:eastAsia="zh-CN"/>
        </w:rPr>
        <w:t>（</w:t>
      </w:r>
      <w:r>
        <w:rPr>
          <w:rFonts w:hint="default" w:ascii="Times New Roman" w:hAnsi="Times New Roman" w:eastAsia="宋体" w:cs="Times New Roman"/>
          <w:b/>
          <w:color w:val="auto"/>
          <w:sz w:val="24"/>
          <w:szCs w:val="28"/>
          <w:lang w:val="en-US" w:eastAsia="zh-CN"/>
        </w:rPr>
        <w:t>1</w:t>
      </w:r>
      <w:r>
        <w:rPr>
          <w:rFonts w:hint="default" w:ascii="Times New Roman" w:hAnsi="Times New Roman" w:eastAsia="宋体" w:cs="Times New Roman"/>
          <w:b/>
          <w:color w:val="auto"/>
          <w:sz w:val="24"/>
          <w:szCs w:val="28"/>
          <w:lang w:eastAsia="zh-CN"/>
        </w:rPr>
        <w:t>）</w:t>
      </w:r>
      <w:r>
        <w:rPr>
          <w:rFonts w:hint="default" w:ascii="Times New Roman" w:hAnsi="Times New Roman" w:eastAsia="宋体" w:cs="Times New Roman"/>
          <w:b/>
          <w:color w:val="auto"/>
          <w:sz w:val="24"/>
          <w:szCs w:val="28"/>
        </w:rPr>
        <w:t>污水处理</w:t>
      </w:r>
      <w:r>
        <w:rPr>
          <w:rFonts w:hint="default" w:ascii="Times New Roman" w:hAnsi="Times New Roman" w:eastAsia="宋体" w:cs="Times New Roman"/>
          <w:b/>
          <w:color w:val="auto"/>
          <w:sz w:val="24"/>
          <w:szCs w:val="28"/>
          <w:lang w:eastAsia="zh-CN"/>
        </w:rPr>
        <w:t>工艺</w:t>
      </w:r>
    </w:p>
    <w:p w14:paraId="5721BD9C">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eastAsia="zh-CN"/>
        </w:rPr>
        <w:t>本项目生产废水</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4"/>
          <w:sz w:val="24"/>
          <w:szCs w:val="24"/>
          <w:lang w:val="en-US" w:eastAsia="zh-CN" w:bidi="ar-SA"/>
        </w:rPr>
        <w:t>生活污水经隔油池/化粪池处理后排入园区污水管网</w:t>
      </w:r>
      <w:r>
        <w:rPr>
          <w:rFonts w:hint="default" w:ascii="Times New Roman" w:hAnsi="Times New Roman" w:eastAsia="宋体" w:cs="Times New Roman"/>
          <w:color w:val="auto"/>
          <w:sz w:val="24"/>
          <w:szCs w:val="24"/>
        </w:rPr>
        <w:t>。</w:t>
      </w:r>
    </w:p>
    <w:p w14:paraId="5D629B6B">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eastAsia="zh-CN"/>
        </w:rPr>
        <w:t>生活污水</w:t>
      </w:r>
      <w:r>
        <w:rPr>
          <w:rFonts w:hint="default" w:ascii="Times New Roman" w:hAnsi="Times New Roman" w:eastAsia="宋体" w:cs="Times New Roman"/>
          <w:b w:val="0"/>
          <w:bCs w:val="0"/>
          <w:color w:val="auto"/>
          <w:sz w:val="24"/>
          <w:szCs w:val="24"/>
          <w:lang w:eastAsia="zh-CN"/>
        </w:rPr>
        <w:t>产生总量约</w:t>
      </w:r>
      <w:r>
        <w:rPr>
          <w:rFonts w:hint="default" w:ascii="Times New Roman" w:hAnsi="Times New Roman" w:eastAsia="宋体" w:cs="Times New Roman"/>
          <w:b w:val="0"/>
          <w:bCs w:val="0"/>
          <w:color w:val="auto"/>
          <w:sz w:val="24"/>
          <w:szCs w:val="24"/>
          <w:lang w:val="en-US" w:eastAsia="zh-CN"/>
        </w:rPr>
        <w:t>23.2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6960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。本项目拟在食堂西侧设置一个</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的隔油池，</w:t>
      </w:r>
      <w:r>
        <w:rPr>
          <w:rFonts w:hint="default" w:ascii="Times New Roman" w:hAnsi="Times New Roman" w:eastAsia="宋体" w:cs="Times New Roman"/>
          <w:color w:val="auto"/>
          <w:sz w:val="24"/>
          <w:szCs w:val="24"/>
          <w:lang w:eastAsia="zh-CN"/>
        </w:rPr>
        <w:t>项目区</w:t>
      </w:r>
      <w:r>
        <w:rPr>
          <w:rFonts w:hint="eastAsia" w:ascii="Times New Roman" w:hAnsi="Times New Roman" w:cs="Times New Roman"/>
          <w:color w:val="auto"/>
          <w:sz w:val="24"/>
          <w:szCs w:val="24"/>
          <w:lang w:eastAsia="zh-CN"/>
        </w:rPr>
        <w:t>卫生间</w:t>
      </w:r>
      <w:r>
        <w:rPr>
          <w:rFonts w:hint="default" w:ascii="Times New Roman" w:hAnsi="Times New Roman" w:eastAsia="宋体" w:cs="Times New Roman"/>
          <w:color w:val="auto"/>
          <w:sz w:val="24"/>
          <w:szCs w:val="24"/>
          <w:lang w:eastAsia="zh-CN"/>
        </w:rPr>
        <w:t>南侧</w:t>
      </w:r>
      <w:r>
        <w:rPr>
          <w:rFonts w:hint="default" w:ascii="Times New Roman" w:hAnsi="Times New Roman" w:eastAsia="宋体" w:cs="Times New Roman"/>
          <w:color w:val="auto"/>
          <w:sz w:val="24"/>
          <w:szCs w:val="24"/>
        </w:rPr>
        <w:t>设置1个</w:t>
      </w:r>
      <w:r>
        <w:rPr>
          <w:rFonts w:hint="eastAsia" w:ascii="Times New Roman" w:hAnsi="Times New Roman" w:cs="Times New Roman"/>
          <w:color w:val="auto"/>
          <w:sz w:val="24"/>
          <w:szCs w:val="24"/>
          <w:lang w:val="en-US" w:eastAsia="zh-CN"/>
        </w:rPr>
        <w:t>50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的化粪池</w:t>
      </w:r>
      <w:r>
        <w:rPr>
          <w:rFonts w:hint="default" w:ascii="Times New Roman" w:hAnsi="Times New Roman" w:eastAsia="宋体" w:cs="Times New Roman"/>
          <w:color w:val="auto"/>
          <w:sz w:val="24"/>
          <w:szCs w:val="24"/>
          <w:lang w:val="en-US" w:eastAsia="zh-CN"/>
        </w:rPr>
        <w:t>对生活污水进行预处理，化粪池可容纳约</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天的废水，保证水力停留时间在24h以上。</w:t>
      </w:r>
    </w:p>
    <w:p w14:paraId="7D6E8ABA">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生产废水产生量</w:t>
      </w:r>
      <w:r>
        <w:rPr>
          <w:rFonts w:hint="default" w:ascii="Times New Roman" w:hAnsi="Times New Roman" w:eastAsia="宋体" w:cs="Times New Roman"/>
          <w:b w:val="0"/>
          <w:bCs w:val="0"/>
          <w:color w:val="auto"/>
          <w:sz w:val="24"/>
          <w:szCs w:val="24"/>
          <w:lang w:eastAsia="zh-CN"/>
        </w:rPr>
        <w:t>约</w:t>
      </w:r>
      <w:r>
        <w:rPr>
          <w:rFonts w:hint="default" w:ascii="Times New Roman" w:hAnsi="Times New Roman" w:eastAsia="宋体" w:cs="Times New Roman"/>
          <w:b w:val="0"/>
          <w:bCs w:val="0"/>
          <w:color w:val="auto"/>
          <w:sz w:val="24"/>
          <w:szCs w:val="24"/>
          <w:lang w:val="en-US" w:eastAsia="zh-CN"/>
        </w:rPr>
        <w:t>14.775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val="en-US" w:eastAsia="zh-CN"/>
        </w:rPr>
        <w:t>4432.5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lang w:val="en-US" w:eastAsia="zh-CN"/>
        </w:rPr>
        <w:t>一体化污水处理设备环评建议采用</w:t>
      </w:r>
      <w:r>
        <w:rPr>
          <w:rFonts w:hint="eastAsia" w:ascii="Times New Roman" w:hAnsi="Times New Roman" w:cs="Times New Roman"/>
          <w:color w:val="auto"/>
          <w:sz w:val="24"/>
          <w:szCs w:val="24"/>
          <w:highlight w:val="none"/>
          <w:lang w:val="en-US" w:eastAsia="zh-CN"/>
        </w:rPr>
        <w:t>以下</w:t>
      </w:r>
      <w:r>
        <w:rPr>
          <w:rFonts w:hint="default" w:ascii="Times New Roman" w:hAnsi="Times New Roman" w:eastAsia="宋体" w:cs="Times New Roman"/>
          <w:color w:val="auto"/>
          <w:sz w:val="24"/>
          <w:szCs w:val="24"/>
          <w:highlight w:val="none"/>
          <w:lang w:val="en-US" w:eastAsia="zh-CN"/>
        </w:rPr>
        <w:t>工艺处理，</w:t>
      </w:r>
      <w:r>
        <w:rPr>
          <w:rFonts w:hint="default" w:ascii="Times New Roman" w:hAnsi="Times New Roman" w:eastAsia="宋体" w:cs="Times New Roman"/>
          <w:color w:val="auto"/>
          <w:sz w:val="24"/>
          <w:szCs w:val="24"/>
          <w:lang w:val="en-US" w:eastAsia="zh-CN"/>
        </w:rPr>
        <w:t>可保证生产废水经三级沉淀池预处理后再经一体化污水处理设备处理，处理后水质可达到</w:t>
      </w:r>
      <w:r>
        <w:rPr>
          <w:rFonts w:hint="default" w:ascii="Times New Roman" w:hAnsi="Times New Roman" w:eastAsia="宋体" w:cs="Times New Roman"/>
          <w:color w:val="auto"/>
          <w:kern w:val="10"/>
          <w:sz w:val="24"/>
        </w:rPr>
        <w:t>《污水综合排放标准》（GB8978-1996）中三级标准和《污水排入城镇下水道水质标准》（GB/T31962-2015）表1中B级标准后排入</w:t>
      </w:r>
      <w:r>
        <w:rPr>
          <w:rFonts w:hint="default" w:ascii="Times New Roman" w:hAnsi="Times New Roman" w:eastAsia="宋体" w:cs="Times New Roman"/>
          <w:color w:val="auto"/>
          <w:kern w:val="10"/>
          <w:sz w:val="24"/>
          <w:lang w:eastAsia="zh-CN"/>
        </w:rPr>
        <w:t>园区</w:t>
      </w:r>
      <w:r>
        <w:rPr>
          <w:rFonts w:hint="default" w:ascii="Times New Roman" w:hAnsi="Times New Roman" w:eastAsia="宋体" w:cs="Times New Roman"/>
          <w:color w:val="auto"/>
          <w:kern w:val="10"/>
          <w:sz w:val="24"/>
        </w:rPr>
        <w:t>污水管道</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生活污水处理设备处理工艺如下：</w:t>
      </w:r>
    </w:p>
    <w:p w14:paraId="19A89A50">
      <w:pPr>
        <w:adjustRightInd w:val="0"/>
        <w:snapToGrid w:val="0"/>
        <w:spacing w:line="360" w:lineRule="auto"/>
        <w:jc w:val="center"/>
        <w:rPr>
          <w:color w:val="auto"/>
        </w:rPr>
      </w:pPr>
      <w:r>
        <w:rPr>
          <w:color w:val="auto"/>
        </w:rPr>
        <w:drawing>
          <wp:inline distT="0" distB="0" distL="114300" distR="114300">
            <wp:extent cx="5124450" cy="4933950"/>
            <wp:effectExtent l="0" t="0" r="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58"/>
                    <a:stretch>
                      <a:fillRect/>
                    </a:stretch>
                  </pic:blipFill>
                  <pic:spPr>
                    <a:xfrm>
                      <a:off x="0" y="0"/>
                      <a:ext cx="5124450" cy="4933950"/>
                    </a:xfrm>
                    <a:prstGeom prst="rect">
                      <a:avLst/>
                    </a:prstGeom>
                    <a:noFill/>
                    <a:ln>
                      <a:noFill/>
                    </a:ln>
                  </pic:spPr>
                </pic:pic>
              </a:graphicData>
            </a:graphic>
          </wp:inline>
        </w:drawing>
      </w:r>
    </w:p>
    <w:p w14:paraId="7DE4F80A">
      <w:pPr>
        <w:adjustRightInd w:val="0"/>
        <w:snapToGrid w:val="0"/>
        <w:spacing w:line="36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图5.2-</w:t>
      </w:r>
      <w:r>
        <w:rPr>
          <w:rFonts w:hint="eastAsia" w:ascii="Times New Roman" w:hAnsi="Times New Roman"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项目</w:t>
      </w:r>
      <w:r>
        <w:rPr>
          <w:rFonts w:hint="default" w:ascii="Times New Roman" w:hAnsi="Times New Roman" w:eastAsia="宋体" w:cs="Times New Roman"/>
          <w:b/>
          <w:color w:val="auto"/>
          <w:sz w:val="24"/>
          <w:szCs w:val="24"/>
          <w:lang w:eastAsia="zh-CN"/>
        </w:rPr>
        <w:t>生产污水</w:t>
      </w:r>
      <w:r>
        <w:rPr>
          <w:rFonts w:hint="default" w:ascii="Times New Roman" w:hAnsi="Times New Roman" w:eastAsia="宋体" w:cs="Times New Roman"/>
          <w:b/>
          <w:color w:val="auto"/>
          <w:sz w:val="24"/>
          <w:szCs w:val="24"/>
        </w:rPr>
        <w:t>处理工艺流程</w:t>
      </w:r>
    </w:p>
    <w:p w14:paraId="52C2CB7B">
      <w:pPr>
        <w:adjustRightInd w:val="0"/>
        <w:snapToGrid w:val="0"/>
        <w:spacing w:line="360" w:lineRule="auto"/>
        <w:ind w:firstLine="480" w:firstLineChars="200"/>
        <w:rPr>
          <w:rFonts w:hint="default" w:ascii="Times New Roman" w:hAnsi="Times New Roman" w:eastAsia="宋体" w:cs="Times New Roman"/>
          <w:color w:val="auto"/>
          <w:sz w:val="24"/>
          <w:szCs w:val="28"/>
        </w:rPr>
      </w:pPr>
      <w:r>
        <w:rPr>
          <w:rFonts w:hint="default" w:ascii="Times New Roman" w:hAnsi="Times New Roman" w:eastAsia="宋体" w:cs="Times New Roman"/>
          <w:color w:val="auto"/>
          <w:sz w:val="24"/>
          <w:szCs w:val="28"/>
        </w:rPr>
        <w:t>工艺流程说明：</w:t>
      </w:r>
    </w:p>
    <w:p w14:paraId="51997FEE">
      <w:pPr>
        <w:adjustRightInd w:val="0"/>
        <w:snapToGrid w:val="0"/>
        <w:spacing w:line="360" w:lineRule="auto"/>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8"/>
        </w:rPr>
        <w:t>洗衣污水汇集进入调节池，经格栅除去飘浮和大颗粒悬浮杂质后进入调节池。污水在调节池内经过缓冲、稳定，由提升泵提升进入</w:t>
      </w:r>
      <w:r>
        <w:rPr>
          <w:rFonts w:hint="eastAsia" w:ascii="Times New Roman" w:hAnsi="Times New Roman" w:eastAsia="宋体" w:cs="Times New Roman"/>
          <w:color w:val="auto"/>
          <w:sz w:val="24"/>
          <w:szCs w:val="28"/>
          <w:lang w:eastAsia="zh-CN"/>
        </w:rPr>
        <w:t>气浮机</w:t>
      </w:r>
      <w:r>
        <w:rPr>
          <w:rFonts w:hint="eastAsia" w:ascii="Times New Roman" w:hAnsi="Times New Roman" w:eastAsia="宋体" w:cs="Times New Roman"/>
          <w:color w:val="auto"/>
          <w:sz w:val="24"/>
          <w:szCs w:val="28"/>
        </w:rPr>
        <w:t>设备并进行加药处理。然后污水经中间水池调节后，</w:t>
      </w:r>
      <w:r>
        <w:rPr>
          <w:rFonts w:hint="eastAsia" w:ascii="Times New Roman" w:hAnsi="Times New Roman" w:eastAsia="宋体" w:cs="Times New Roman"/>
          <w:color w:val="auto"/>
          <w:sz w:val="24"/>
          <w:szCs w:val="28"/>
          <w:lang w:eastAsia="zh-CN"/>
        </w:rPr>
        <w:t>进入</w:t>
      </w:r>
      <w:r>
        <w:rPr>
          <w:rFonts w:hint="eastAsia" w:ascii="Times New Roman" w:hAnsi="Times New Roman" w:eastAsia="宋体" w:cs="Times New Roman"/>
          <w:color w:val="auto"/>
          <w:sz w:val="24"/>
          <w:szCs w:val="28"/>
        </w:rPr>
        <w:t>滤器过滤、出水排放。</w:t>
      </w:r>
    </w:p>
    <w:p w14:paraId="7D35E530">
      <w:pPr>
        <w:adjustRightInd w:val="0"/>
        <w:snapToGrid w:val="0"/>
        <w:spacing w:line="360" w:lineRule="auto"/>
        <w:ind w:firstLine="480" w:firstLineChars="200"/>
        <w:rPr>
          <w:rFonts w:hint="default"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rPr>
        <w:t>气浮系统简介：</w:t>
      </w:r>
    </w:p>
    <w:p w14:paraId="43CC2FA7">
      <w:pPr>
        <w:adjustRightInd w:val="0"/>
        <w:snapToGrid w:val="0"/>
        <w:spacing w:line="360" w:lineRule="auto"/>
        <w:ind w:firstLine="480" w:firstLineChars="200"/>
        <w:jc w:val="both"/>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rPr>
        <w:t>（1）用途：</w:t>
      </w:r>
      <w:r>
        <w:rPr>
          <w:rFonts w:hint="eastAsia" w:ascii="Times New Roman" w:hAnsi="Times New Roman" w:eastAsia="宋体" w:cs="Times New Roman"/>
          <w:color w:val="auto"/>
          <w:sz w:val="24"/>
          <w:szCs w:val="28"/>
          <w:lang w:val="en-US" w:eastAsia="zh-CN"/>
        </w:rPr>
        <w:t>GY</w:t>
      </w:r>
      <w:r>
        <w:rPr>
          <w:rFonts w:hint="eastAsia" w:ascii="Times New Roman" w:hAnsi="Times New Roman" w:eastAsia="宋体" w:cs="Times New Roman"/>
          <w:color w:val="auto"/>
          <w:sz w:val="24"/>
          <w:szCs w:val="28"/>
        </w:rPr>
        <w:t>PF-</w:t>
      </w:r>
      <w:r>
        <w:rPr>
          <w:rFonts w:hint="default" w:ascii="Times New Roman" w:hAnsi="Times New Roman" w:eastAsia="宋体" w:cs="Times New Roman"/>
          <w:color w:val="auto"/>
          <w:sz w:val="24"/>
          <w:szCs w:val="28"/>
          <w:lang w:eastAsia="zh-CN"/>
        </w:rPr>
        <w:t>2</w:t>
      </w:r>
      <w:r>
        <w:rPr>
          <w:rFonts w:hint="eastAsia" w:ascii="Times New Roman" w:hAnsi="Times New Roman" w:eastAsia="宋体" w:cs="Times New Roman"/>
          <w:color w:val="auto"/>
          <w:sz w:val="24"/>
          <w:szCs w:val="28"/>
        </w:rPr>
        <w:t>型气浮装置集凝聚、浮选、撇渣、刮泥于一体，是一种高效节能的水质净化设备。广泛用于工业污水处理系统中，如：</w:t>
      </w:r>
      <w:r>
        <w:rPr>
          <w:rFonts w:hint="eastAsia" w:ascii="Times New Roman" w:hAnsi="Times New Roman" w:eastAsia="宋体" w:cs="Times New Roman"/>
          <w:color w:val="auto"/>
          <w:sz w:val="24"/>
          <w:szCs w:val="28"/>
          <w:lang w:eastAsia="zh-CN"/>
        </w:rPr>
        <w:t>清洗、</w:t>
      </w:r>
      <w:r>
        <w:rPr>
          <w:rFonts w:hint="eastAsia" w:ascii="Times New Roman" w:hAnsi="Times New Roman" w:eastAsia="宋体" w:cs="Times New Roman"/>
          <w:color w:val="auto"/>
          <w:sz w:val="24"/>
          <w:szCs w:val="28"/>
        </w:rPr>
        <w:t>造纸、食品、养殖、涂装、酸洗磷化、制革、针织、印染、毛纺、屠宰、石油、化工等。</w:t>
      </w:r>
    </w:p>
    <w:p w14:paraId="7A631140">
      <w:pPr>
        <w:adjustRightInd w:val="0"/>
        <w:snapToGrid w:val="0"/>
        <w:spacing w:line="360" w:lineRule="auto"/>
        <w:ind w:firstLine="480" w:firstLineChars="200"/>
        <w:jc w:val="both"/>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rPr>
        <w:t>（2）工作原理：利用溶气系统向水中溶入大量的空气，形成溶气水，进入待处理水中，减压释放后在水中形成大量的微细气泡，气泡将水中的杂质、油脂相互粘附，形成比重小于水的浮体，从而快速浮出水面，经刮渣装置撇除后，完成固液两相分离，使水质得到净化。主要有池体、撇渣装置、工作桥与行走装置、布水布气装置、集水装置、集电装置组成。</w:t>
      </w:r>
    </w:p>
    <w:p w14:paraId="110F57C9">
      <w:pPr>
        <w:adjustRightInd w:val="0"/>
        <w:snapToGrid w:val="0"/>
        <w:spacing w:line="360" w:lineRule="auto"/>
        <w:jc w:val="both"/>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rPr>
        <w:t xml:space="preserve">    设备参数</w:t>
      </w:r>
    </w:p>
    <w:p w14:paraId="593B29BD">
      <w:pPr>
        <w:adjustRightInd w:val="0"/>
        <w:snapToGrid w:val="0"/>
        <w:spacing w:line="360" w:lineRule="auto"/>
        <w:ind w:firstLine="480" w:firstLineChars="200"/>
        <w:jc w:val="both"/>
        <w:rPr>
          <w:rFonts w:hint="eastAsia" w:ascii="Times New Roman" w:hAnsi="Times New Roman" w:eastAsia="宋体" w:cs="Times New Roman"/>
          <w:color w:val="auto"/>
          <w:sz w:val="24"/>
          <w:szCs w:val="28"/>
        </w:rPr>
      </w:pPr>
      <w:r>
        <w:rPr>
          <w:rFonts w:hint="eastAsia" w:ascii="Times New Roman" w:hAnsi="Times New Roman" w:eastAsia="宋体" w:cs="Times New Roman"/>
          <w:color w:val="auto"/>
          <w:sz w:val="24"/>
          <w:szCs w:val="28"/>
        </w:rPr>
        <w:t>气浮沉淀系统型号：</w:t>
      </w:r>
      <w:r>
        <w:rPr>
          <w:rFonts w:hint="eastAsia" w:ascii="Times New Roman" w:hAnsi="Times New Roman" w:eastAsia="宋体" w:cs="Times New Roman"/>
          <w:color w:val="auto"/>
          <w:sz w:val="24"/>
          <w:szCs w:val="28"/>
          <w:lang w:val="en-US" w:eastAsia="zh-CN"/>
        </w:rPr>
        <w:t>GY</w:t>
      </w:r>
      <w:r>
        <w:rPr>
          <w:rFonts w:hint="eastAsia" w:ascii="Times New Roman" w:hAnsi="Times New Roman" w:eastAsia="宋体" w:cs="Times New Roman"/>
          <w:color w:val="auto"/>
          <w:sz w:val="24"/>
          <w:szCs w:val="28"/>
        </w:rPr>
        <w:t>PF-</w:t>
      </w:r>
      <w:r>
        <w:rPr>
          <w:rFonts w:hint="default" w:ascii="Times New Roman" w:hAnsi="Times New Roman" w:eastAsia="宋体" w:cs="Times New Roman"/>
          <w:color w:val="auto"/>
          <w:sz w:val="24"/>
          <w:szCs w:val="28"/>
          <w:lang w:eastAsia="zh-CN"/>
        </w:rPr>
        <w:t>2</w:t>
      </w:r>
      <w:r>
        <w:rPr>
          <w:rFonts w:hint="eastAsia" w:ascii="Times New Roman" w:hAnsi="Times New Roman" w:eastAsia="宋体" w:cs="Times New Roman"/>
          <w:color w:val="auto"/>
          <w:sz w:val="24"/>
          <w:szCs w:val="28"/>
        </w:rPr>
        <w:t>处理量</w:t>
      </w:r>
      <w:r>
        <w:rPr>
          <w:rFonts w:hint="default" w:ascii="Times New Roman" w:hAnsi="Times New Roman" w:eastAsia="宋体" w:cs="Times New Roman"/>
          <w:color w:val="auto"/>
          <w:sz w:val="24"/>
          <w:szCs w:val="28"/>
          <w:lang w:eastAsia="zh-CN"/>
        </w:rPr>
        <w:t>2</w:t>
      </w:r>
      <w:r>
        <w:rPr>
          <w:rFonts w:hint="eastAsia" w:ascii="Times New Roman" w:hAnsi="Times New Roman" w:eastAsia="宋体" w:cs="Times New Roman"/>
          <w:color w:val="auto"/>
          <w:sz w:val="24"/>
          <w:szCs w:val="28"/>
        </w:rPr>
        <w:t>m</w:t>
      </w:r>
      <w:r>
        <w:rPr>
          <w:rFonts w:hint="eastAsia" w:ascii="Times New Roman" w:hAnsi="Times New Roman" w:eastAsia="宋体" w:cs="Times New Roman"/>
          <w:color w:val="auto"/>
          <w:sz w:val="24"/>
          <w:szCs w:val="28"/>
          <w:vertAlign w:val="superscript"/>
        </w:rPr>
        <w:t>3</w:t>
      </w:r>
      <w:r>
        <w:rPr>
          <w:rFonts w:hint="eastAsia" w:ascii="Times New Roman" w:hAnsi="Times New Roman" w:eastAsia="宋体" w:cs="Times New Roman"/>
          <w:color w:val="auto"/>
          <w:sz w:val="24"/>
          <w:szCs w:val="28"/>
        </w:rPr>
        <w:t>/h</w:t>
      </w:r>
      <w:r>
        <w:rPr>
          <w:rFonts w:hint="eastAsia" w:ascii="Times New Roman" w:hAnsi="Times New Roman" w:cs="Times New Roman"/>
          <w:color w:val="auto"/>
          <w:sz w:val="24"/>
          <w:szCs w:val="28"/>
          <w:lang w:eastAsia="zh-CN"/>
        </w:rPr>
        <w:t>；</w:t>
      </w:r>
      <w:r>
        <w:rPr>
          <w:rFonts w:hint="eastAsia" w:ascii="Times New Roman" w:hAnsi="Times New Roman" w:eastAsia="宋体" w:cs="Times New Roman"/>
          <w:color w:val="auto"/>
          <w:sz w:val="24"/>
          <w:szCs w:val="28"/>
        </w:rPr>
        <w:t xml:space="preserve">    </w:t>
      </w:r>
    </w:p>
    <w:p w14:paraId="68CBD6E2">
      <w:pPr>
        <w:adjustRightInd w:val="0"/>
        <w:snapToGrid w:val="0"/>
        <w:spacing w:line="360" w:lineRule="auto"/>
        <w:ind w:firstLine="480" w:firstLineChars="200"/>
        <w:jc w:val="both"/>
        <w:rPr>
          <w:rFonts w:hint="eastAsia" w:ascii="Times New Roman" w:hAnsi="Times New Roman" w:eastAsia="宋体" w:cs="Times New Roman"/>
          <w:color w:val="auto"/>
          <w:sz w:val="24"/>
          <w:szCs w:val="28"/>
          <w:lang w:eastAsia="zh-CN"/>
        </w:rPr>
      </w:pPr>
      <w:r>
        <w:rPr>
          <w:rFonts w:hint="eastAsia" w:ascii="Times New Roman" w:hAnsi="Times New Roman" w:eastAsia="宋体" w:cs="Times New Roman"/>
          <w:color w:val="auto"/>
          <w:sz w:val="24"/>
          <w:szCs w:val="28"/>
        </w:rPr>
        <w:t>主体材质：普通碳钢防腐  加药系统两套</w:t>
      </w:r>
      <w:r>
        <w:rPr>
          <w:rFonts w:hint="eastAsia" w:ascii="Times New Roman" w:hAnsi="Times New Roman" w:cs="Times New Roman"/>
          <w:color w:val="auto"/>
          <w:sz w:val="24"/>
          <w:szCs w:val="28"/>
          <w:lang w:eastAsia="zh-CN"/>
        </w:rPr>
        <w:t>。</w:t>
      </w:r>
    </w:p>
    <w:p w14:paraId="545E608E">
      <w:pPr>
        <w:adjustRightInd w:val="0"/>
        <w:snapToGrid w:val="0"/>
        <w:spacing w:line="360" w:lineRule="auto"/>
        <w:ind w:firstLine="482" w:firstLineChars="200"/>
        <w:rPr>
          <w:rFonts w:hint="default" w:ascii="Times New Roman" w:hAnsi="Times New Roman" w:eastAsia="宋体" w:cs="Times New Roman"/>
          <w:b/>
          <w:color w:val="auto"/>
          <w:sz w:val="24"/>
          <w:szCs w:val="28"/>
        </w:rPr>
      </w:pPr>
      <w:r>
        <w:rPr>
          <w:rFonts w:hint="default" w:ascii="Times New Roman" w:hAnsi="Times New Roman" w:eastAsia="宋体" w:cs="Times New Roman"/>
          <w:b/>
          <w:color w:val="auto"/>
          <w:sz w:val="24"/>
          <w:szCs w:val="28"/>
        </w:rPr>
        <w:t>（</w:t>
      </w:r>
      <w:r>
        <w:rPr>
          <w:rFonts w:hint="default" w:ascii="Times New Roman" w:hAnsi="Times New Roman" w:eastAsia="宋体" w:cs="Times New Roman"/>
          <w:b/>
          <w:color w:val="auto"/>
          <w:sz w:val="24"/>
          <w:szCs w:val="28"/>
          <w:lang w:val="en-US" w:eastAsia="zh-CN"/>
        </w:rPr>
        <w:t>2</w:t>
      </w:r>
      <w:r>
        <w:rPr>
          <w:rFonts w:hint="default" w:ascii="Times New Roman" w:hAnsi="Times New Roman" w:eastAsia="宋体" w:cs="Times New Roman"/>
          <w:b/>
          <w:color w:val="auto"/>
          <w:sz w:val="24"/>
          <w:szCs w:val="28"/>
        </w:rPr>
        <w:t>）污水处理技术可行性分析</w:t>
      </w:r>
    </w:p>
    <w:p w14:paraId="4AF15E9B">
      <w:pPr>
        <w:snapToGrid w:val="0"/>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洗涤废水中含有大量短纤维和洗衣粉泡沫，COD值较高，较浑浊。采用</w:t>
      </w:r>
      <w:r>
        <w:rPr>
          <w:rFonts w:hint="eastAsia" w:ascii="Times New Roman" w:hAnsi="Times New Roman" w:eastAsia="宋体" w:cs="Times New Roman"/>
          <w:color w:val="auto"/>
          <w:sz w:val="24"/>
          <w:szCs w:val="24"/>
          <w:lang w:eastAsia="zh-CN"/>
        </w:rPr>
        <w:t>溶气气浮机</w:t>
      </w:r>
      <w:r>
        <w:rPr>
          <w:rFonts w:hint="eastAsia" w:ascii="Times New Roman" w:hAnsi="Times New Roman" w:eastAsia="宋体" w:cs="Times New Roman"/>
          <w:color w:val="auto"/>
          <w:sz w:val="24"/>
          <w:szCs w:val="24"/>
        </w:rPr>
        <w:t>，该工艺COD去除率达到</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6%，色度去除率达到9</w:t>
      </w:r>
      <w:r>
        <w:rPr>
          <w:rFonts w:hint="eastAsia" w:ascii="Times New Roman" w:hAnsi="Times New Roman" w:cs="Times New Roman"/>
          <w:color w:val="auto"/>
          <w:sz w:val="24"/>
          <w:szCs w:val="24"/>
          <w:lang w:val="en-US" w:eastAsia="zh-CN"/>
        </w:rPr>
        <w:t>5</w:t>
      </w:r>
      <w:r>
        <w:rPr>
          <w:rFonts w:hint="eastAsia" w:ascii="Times New Roman" w:hAnsi="Times New Roman" w:eastAsia="宋体" w:cs="Times New Roman"/>
          <w:color w:val="auto"/>
          <w:sz w:val="24"/>
          <w:szCs w:val="24"/>
        </w:rPr>
        <w:t>%，BOD</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去除率达到</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2%，生成污泥量少，沉降性好</w:t>
      </w:r>
      <w:r>
        <w:rPr>
          <w:rFonts w:hint="default" w:ascii="Times New Roman" w:hAnsi="Times New Roman" w:eastAsia="宋体" w:cs="Times New Roman"/>
          <w:color w:val="auto"/>
          <w:sz w:val="24"/>
          <w:szCs w:val="24"/>
        </w:rPr>
        <w:t>，综上分析，本项目废水经处理后，出水水质如表所示。</w:t>
      </w:r>
    </w:p>
    <w:p w14:paraId="7DEF3B7F">
      <w:pPr>
        <w:snapToGrid w:val="0"/>
        <w:spacing w:line="24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5.2.</w:t>
      </w:r>
      <w:r>
        <w:rPr>
          <w:rFonts w:hint="default" w:ascii="Times New Roman" w:hAnsi="Times New Roman" w:eastAsia="宋体" w:cs="Times New Roman"/>
          <w:b/>
          <w:color w:val="auto"/>
          <w:sz w:val="24"/>
          <w:szCs w:val="24"/>
        </w:rPr>
        <w:t>-</w:t>
      </w:r>
      <w:r>
        <w:rPr>
          <w:rFonts w:hint="eastAsia" w:ascii="Times New Roman" w:hAnsi="Times New Roman" w:cs="Times New Roman"/>
          <w:b/>
          <w:color w:val="auto"/>
          <w:sz w:val="24"/>
          <w:szCs w:val="24"/>
          <w:lang w:val="en-US" w:eastAsia="zh-CN"/>
        </w:rPr>
        <w:t>16</w:t>
      </w:r>
      <w:r>
        <w:rPr>
          <w:rFonts w:hint="default" w:ascii="Times New Roman" w:hAnsi="Times New Roman" w:eastAsia="宋体" w:cs="Times New Roman"/>
          <w:b/>
          <w:color w:val="auto"/>
          <w:sz w:val="24"/>
          <w:szCs w:val="24"/>
        </w:rPr>
        <w:t xml:space="preserve">  污水处理工艺的出水水质 单位：mg/L</w:t>
      </w:r>
    </w:p>
    <w:tbl>
      <w:tblPr>
        <w:tblStyle w:val="66"/>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033"/>
        <w:gridCol w:w="1500"/>
        <w:gridCol w:w="1290"/>
        <w:gridCol w:w="1485"/>
        <w:gridCol w:w="1217"/>
      </w:tblGrid>
      <w:tr w14:paraId="5F8C9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78" w:type="pct"/>
            <w:vMerge w:val="restart"/>
            <w:tcBorders>
              <w:top w:val="single" w:color="auto" w:sz="6" w:space="0"/>
              <w:left w:val="single" w:color="auto" w:sz="6" w:space="0"/>
              <w:bottom w:val="single" w:color="auto" w:sz="6" w:space="0"/>
              <w:right w:val="single" w:color="auto" w:sz="6" w:space="0"/>
            </w:tcBorders>
            <w:noWrap w:val="0"/>
            <w:vAlign w:val="center"/>
          </w:tcPr>
          <w:p w14:paraId="463652C6">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污染源名称</w:t>
            </w:r>
          </w:p>
        </w:tc>
        <w:tc>
          <w:tcPr>
            <w:tcW w:w="3221" w:type="pct"/>
            <w:gridSpan w:val="4"/>
            <w:tcBorders>
              <w:top w:val="single" w:color="auto" w:sz="6" w:space="0"/>
              <w:left w:val="single" w:color="auto" w:sz="6" w:space="0"/>
              <w:bottom w:val="single" w:color="auto" w:sz="6" w:space="0"/>
              <w:right w:val="single" w:color="auto" w:sz="6" w:space="0"/>
            </w:tcBorders>
            <w:noWrap w:val="0"/>
            <w:vAlign w:val="center"/>
          </w:tcPr>
          <w:p w14:paraId="1F984CB7">
            <w:pPr>
              <w:adjustRightInd w:val="0"/>
              <w:snapToGrid w:val="0"/>
              <w:spacing w:line="240" w:lineRule="auto"/>
              <w:ind w:firstLine="1581" w:firstLineChars="75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主要水质指标（mg/L）</w:t>
            </w:r>
          </w:p>
        </w:tc>
      </w:tr>
      <w:tr w14:paraId="231AE9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78" w:type="pct"/>
            <w:vMerge w:val="continue"/>
            <w:tcBorders>
              <w:top w:val="single" w:color="auto" w:sz="6" w:space="0"/>
              <w:left w:val="single" w:color="auto" w:sz="6" w:space="0"/>
              <w:bottom w:val="single" w:color="auto" w:sz="6" w:space="0"/>
              <w:right w:val="single" w:color="auto" w:sz="6" w:space="0"/>
            </w:tcBorders>
            <w:noWrap w:val="0"/>
            <w:vAlign w:val="center"/>
          </w:tcPr>
          <w:p w14:paraId="3654699A">
            <w:pPr>
              <w:spacing w:line="240" w:lineRule="auto"/>
              <w:rPr>
                <w:rFonts w:hint="default" w:ascii="Times New Roman" w:hAnsi="Times New Roman" w:eastAsia="宋体" w:cs="Times New Roman"/>
                <w:b/>
                <w:bCs/>
                <w:color w:val="auto"/>
                <w:sz w:val="21"/>
                <w:szCs w:val="21"/>
              </w:rPr>
            </w:pPr>
          </w:p>
        </w:tc>
        <w:tc>
          <w:tcPr>
            <w:tcW w:w="879" w:type="pct"/>
            <w:tcBorders>
              <w:top w:val="single" w:color="auto" w:sz="6" w:space="0"/>
              <w:left w:val="single" w:color="auto" w:sz="6" w:space="0"/>
              <w:bottom w:val="single" w:color="auto" w:sz="6" w:space="0"/>
              <w:right w:val="single" w:color="auto" w:sz="6" w:space="0"/>
            </w:tcBorders>
            <w:noWrap w:val="0"/>
            <w:vAlign w:val="center"/>
          </w:tcPr>
          <w:p w14:paraId="227DB30A">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CODcr</w:t>
            </w:r>
          </w:p>
        </w:tc>
        <w:tc>
          <w:tcPr>
            <w:tcW w:w="756" w:type="pct"/>
            <w:tcBorders>
              <w:top w:val="single" w:color="auto" w:sz="6" w:space="0"/>
              <w:left w:val="single" w:color="auto" w:sz="6" w:space="0"/>
              <w:bottom w:val="single" w:color="auto" w:sz="6" w:space="0"/>
              <w:right w:val="single" w:color="auto" w:sz="6" w:space="0"/>
            </w:tcBorders>
            <w:noWrap w:val="0"/>
            <w:vAlign w:val="center"/>
          </w:tcPr>
          <w:p w14:paraId="1EE6ED3C">
            <w:pPr>
              <w:adjustRightInd w:val="0"/>
              <w:snapToGrid w:val="0"/>
              <w:spacing w:line="240" w:lineRule="auto"/>
              <w:ind w:firstLine="316" w:firstLineChars="15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BOD</w:t>
            </w:r>
            <w:r>
              <w:rPr>
                <w:rFonts w:hint="default" w:ascii="Times New Roman" w:hAnsi="Times New Roman" w:eastAsia="宋体" w:cs="Times New Roman"/>
                <w:b/>
                <w:bCs/>
                <w:color w:val="auto"/>
                <w:sz w:val="21"/>
                <w:szCs w:val="21"/>
                <w:vertAlign w:val="subscript"/>
              </w:rPr>
              <w:t>5</w:t>
            </w:r>
          </w:p>
        </w:tc>
        <w:tc>
          <w:tcPr>
            <w:tcW w:w="870" w:type="pct"/>
            <w:tcBorders>
              <w:top w:val="single" w:color="auto" w:sz="6" w:space="0"/>
              <w:left w:val="single" w:color="auto" w:sz="6" w:space="0"/>
              <w:bottom w:val="single" w:color="auto" w:sz="6" w:space="0"/>
              <w:right w:val="single" w:color="auto" w:sz="6" w:space="0"/>
            </w:tcBorders>
            <w:noWrap w:val="0"/>
            <w:vAlign w:val="center"/>
          </w:tcPr>
          <w:p w14:paraId="2BA58945">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713" w:type="pct"/>
            <w:tcBorders>
              <w:top w:val="single" w:color="auto" w:sz="6" w:space="0"/>
              <w:left w:val="single" w:color="auto" w:sz="6" w:space="0"/>
              <w:bottom w:val="single" w:color="auto" w:sz="6" w:space="0"/>
              <w:right w:val="single" w:color="auto" w:sz="6" w:space="0"/>
            </w:tcBorders>
            <w:noWrap w:val="0"/>
            <w:vAlign w:val="center"/>
          </w:tcPr>
          <w:p w14:paraId="550EC63C">
            <w:pPr>
              <w:adjustRightInd w:val="0"/>
              <w:snapToGrid w:val="0"/>
              <w:spacing w:line="24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cs="Times New Roman"/>
                <w:b/>
                <w:bCs/>
                <w:color w:val="auto"/>
                <w:sz w:val="21"/>
                <w:szCs w:val="21"/>
                <w:lang w:eastAsia="zh-CN"/>
              </w:rPr>
              <w:t>色度</w:t>
            </w:r>
          </w:p>
        </w:tc>
      </w:tr>
      <w:tr w14:paraId="02BAF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8" w:hRule="atLeast"/>
          <w:jc w:val="center"/>
        </w:trPr>
        <w:tc>
          <w:tcPr>
            <w:tcW w:w="1778" w:type="pct"/>
            <w:tcBorders>
              <w:top w:val="single" w:color="auto" w:sz="6" w:space="0"/>
              <w:left w:val="single" w:color="auto" w:sz="6" w:space="0"/>
              <w:bottom w:val="single" w:color="auto" w:sz="6" w:space="0"/>
              <w:right w:val="single" w:color="auto" w:sz="6" w:space="0"/>
            </w:tcBorders>
            <w:noWrap w:val="0"/>
            <w:vAlign w:val="center"/>
          </w:tcPr>
          <w:p w14:paraId="5BA7155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进水水质</w:t>
            </w:r>
          </w:p>
        </w:tc>
        <w:tc>
          <w:tcPr>
            <w:tcW w:w="879" w:type="pct"/>
            <w:tcBorders>
              <w:top w:val="single" w:color="auto" w:sz="6" w:space="0"/>
              <w:left w:val="single" w:color="auto" w:sz="6" w:space="0"/>
              <w:bottom w:val="single" w:color="auto" w:sz="6" w:space="0"/>
              <w:right w:val="single" w:color="auto" w:sz="6" w:space="0"/>
            </w:tcBorders>
            <w:noWrap w:val="0"/>
            <w:vAlign w:val="center"/>
          </w:tcPr>
          <w:p w14:paraId="331BD3E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668</w:t>
            </w:r>
          </w:p>
        </w:tc>
        <w:tc>
          <w:tcPr>
            <w:tcW w:w="756" w:type="pct"/>
            <w:tcBorders>
              <w:top w:val="single" w:color="auto" w:sz="6" w:space="0"/>
              <w:left w:val="single" w:color="auto" w:sz="6" w:space="0"/>
              <w:bottom w:val="single" w:color="auto" w:sz="6" w:space="0"/>
              <w:right w:val="single" w:color="auto" w:sz="6" w:space="0"/>
            </w:tcBorders>
            <w:noWrap w:val="0"/>
            <w:vAlign w:val="center"/>
          </w:tcPr>
          <w:p w14:paraId="55AF97BE">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349</w:t>
            </w:r>
          </w:p>
        </w:tc>
        <w:tc>
          <w:tcPr>
            <w:tcW w:w="870" w:type="pct"/>
            <w:tcBorders>
              <w:top w:val="single" w:color="auto" w:sz="6" w:space="0"/>
              <w:left w:val="single" w:color="auto" w:sz="6" w:space="0"/>
              <w:bottom w:val="single" w:color="auto" w:sz="6" w:space="0"/>
              <w:right w:val="single" w:color="auto" w:sz="6" w:space="0"/>
            </w:tcBorders>
            <w:noWrap w:val="0"/>
            <w:vAlign w:val="center"/>
          </w:tcPr>
          <w:p w14:paraId="29EF506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713" w:type="pct"/>
            <w:tcBorders>
              <w:top w:val="single" w:color="auto" w:sz="6" w:space="0"/>
              <w:left w:val="single" w:color="auto" w:sz="6" w:space="0"/>
              <w:bottom w:val="single" w:color="auto" w:sz="6" w:space="0"/>
              <w:right w:val="single" w:color="auto" w:sz="6" w:space="0"/>
            </w:tcBorders>
            <w:noWrap w:val="0"/>
            <w:vAlign w:val="center"/>
          </w:tcPr>
          <w:p w14:paraId="0A45C95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14:paraId="06DE0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78" w:type="pct"/>
            <w:tcBorders>
              <w:top w:val="single" w:color="auto" w:sz="6" w:space="0"/>
              <w:left w:val="single" w:color="auto" w:sz="6" w:space="0"/>
              <w:bottom w:val="single" w:color="auto" w:sz="6" w:space="0"/>
              <w:right w:val="single" w:color="auto" w:sz="6" w:space="0"/>
            </w:tcBorders>
            <w:noWrap w:val="0"/>
            <w:vAlign w:val="center"/>
          </w:tcPr>
          <w:p w14:paraId="02F4920F">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去除率</w:t>
            </w:r>
          </w:p>
        </w:tc>
        <w:tc>
          <w:tcPr>
            <w:tcW w:w="879" w:type="pct"/>
            <w:tcBorders>
              <w:top w:val="single" w:color="auto" w:sz="6" w:space="0"/>
              <w:left w:val="single" w:color="auto" w:sz="6" w:space="0"/>
              <w:bottom w:val="single" w:color="auto" w:sz="6" w:space="0"/>
              <w:right w:val="single" w:color="auto" w:sz="6" w:space="0"/>
            </w:tcBorders>
            <w:noWrap w:val="0"/>
            <w:vAlign w:val="center"/>
          </w:tcPr>
          <w:p w14:paraId="5BFE096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w:t>
            </w:r>
            <w:r>
              <w:rPr>
                <w:rFonts w:hint="eastAsia" w:ascii="Times New Roman" w:hAnsi="Times New Roman" w:cs="Times New Roman"/>
                <w:color w:val="auto"/>
                <w:sz w:val="21"/>
                <w:szCs w:val="21"/>
                <w:lang w:val="en-US" w:eastAsia="zh-CN"/>
              </w:rPr>
              <w:t>56</w:t>
            </w:r>
            <w:r>
              <w:rPr>
                <w:rFonts w:hint="default" w:ascii="Times New Roman" w:hAnsi="Times New Roman" w:eastAsia="宋体" w:cs="Times New Roman"/>
                <w:color w:val="auto"/>
                <w:sz w:val="21"/>
                <w:szCs w:val="21"/>
              </w:rPr>
              <w:t>%</w:t>
            </w:r>
          </w:p>
        </w:tc>
        <w:tc>
          <w:tcPr>
            <w:tcW w:w="756" w:type="pct"/>
            <w:tcBorders>
              <w:top w:val="single" w:color="auto" w:sz="6" w:space="0"/>
              <w:left w:val="single" w:color="auto" w:sz="6" w:space="0"/>
              <w:bottom w:val="single" w:color="auto" w:sz="6" w:space="0"/>
              <w:right w:val="single" w:color="auto" w:sz="6" w:space="0"/>
            </w:tcBorders>
            <w:noWrap w:val="0"/>
            <w:vAlign w:val="center"/>
          </w:tcPr>
          <w:p w14:paraId="3304BABF">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w:t>
            </w:r>
            <w:r>
              <w:rPr>
                <w:rFonts w:hint="eastAsia" w:ascii="Times New Roman" w:hAnsi="Times New Roman" w:cs="Times New Roman"/>
                <w:color w:val="auto"/>
                <w:sz w:val="21"/>
                <w:szCs w:val="21"/>
                <w:lang w:val="en-US" w:eastAsia="zh-CN"/>
              </w:rPr>
              <w:t>52</w:t>
            </w:r>
            <w:r>
              <w:rPr>
                <w:rFonts w:hint="default" w:ascii="Times New Roman" w:hAnsi="Times New Roman" w:eastAsia="宋体" w:cs="Times New Roman"/>
                <w:color w:val="auto"/>
                <w:sz w:val="21"/>
                <w:szCs w:val="21"/>
              </w:rPr>
              <w:t>%</w:t>
            </w:r>
          </w:p>
        </w:tc>
        <w:tc>
          <w:tcPr>
            <w:tcW w:w="870" w:type="pct"/>
            <w:tcBorders>
              <w:top w:val="single" w:color="auto" w:sz="6" w:space="0"/>
              <w:left w:val="single" w:color="auto" w:sz="6" w:space="0"/>
              <w:bottom w:val="single" w:color="auto" w:sz="6" w:space="0"/>
              <w:right w:val="single" w:color="auto" w:sz="6" w:space="0"/>
            </w:tcBorders>
            <w:noWrap w:val="0"/>
            <w:vAlign w:val="center"/>
          </w:tcPr>
          <w:p w14:paraId="6ECE429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w:t>
            </w:r>
            <w:r>
              <w:rPr>
                <w:rFonts w:hint="eastAsia" w:ascii="Times New Roman" w:hAnsi="Times New Roman" w:cs="Times New Roman"/>
                <w:color w:val="auto"/>
                <w:sz w:val="21"/>
                <w:szCs w:val="21"/>
                <w:lang w:val="en-US" w:eastAsia="zh-CN"/>
              </w:rPr>
              <w:t>60</w:t>
            </w:r>
            <w:r>
              <w:rPr>
                <w:rFonts w:hint="default" w:ascii="Times New Roman" w:hAnsi="Times New Roman" w:eastAsia="宋体" w:cs="Times New Roman"/>
                <w:color w:val="auto"/>
                <w:sz w:val="21"/>
                <w:szCs w:val="21"/>
              </w:rPr>
              <w:t>%</w:t>
            </w:r>
          </w:p>
        </w:tc>
        <w:tc>
          <w:tcPr>
            <w:tcW w:w="713" w:type="pct"/>
            <w:tcBorders>
              <w:top w:val="single" w:color="auto" w:sz="6" w:space="0"/>
              <w:left w:val="single" w:color="auto" w:sz="6" w:space="0"/>
              <w:bottom w:val="single" w:color="auto" w:sz="6" w:space="0"/>
              <w:right w:val="single" w:color="auto" w:sz="6" w:space="0"/>
            </w:tcBorders>
            <w:noWrap w:val="0"/>
            <w:vAlign w:val="center"/>
          </w:tcPr>
          <w:p w14:paraId="27709C4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&gt;</w:t>
            </w:r>
            <w:r>
              <w:rPr>
                <w:rFonts w:hint="eastAsia" w:ascii="Times New Roman" w:hAnsi="Times New Roman" w:cs="Times New Roman"/>
                <w:color w:val="auto"/>
                <w:sz w:val="21"/>
                <w:szCs w:val="21"/>
                <w:lang w:val="en-US" w:eastAsia="zh-CN"/>
              </w:rPr>
              <w:t>95</w:t>
            </w:r>
            <w:r>
              <w:rPr>
                <w:rFonts w:hint="default" w:ascii="Times New Roman" w:hAnsi="Times New Roman" w:eastAsia="宋体" w:cs="Times New Roman"/>
                <w:color w:val="auto"/>
                <w:sz w:val="21"/>
                <w:szCs w:val="21"/>
              </w:rPr>
              <w:t>%</w:t>
            </w:r>
          </w:p>
        </w:tc>
      </w:tr>
      <w:tr w14:paraId="298FA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78" w:type="pct"/>
            <w:tcBorders>
              <w:top w:val="single" w:color="auto" w:sz="6" w:space="0"/>
              <w:left w:val="single" w:color="auto" w:sz="6" w:space="0"/>
              <w:bottom w:val="single" w:color="auto" w:sz="6" w:space="0"/>
              <w:right w:val="single" w:color="auto" w:sz="6" w:space="0"/>
            </w:tcBorders>
            <w:noWrap w:val="0"/>
            <w:vAlign w:val="center"/>
          </w:tcPr>
          <w:p w14:paraId="33CE924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出水水质</w:t>
            </w:r>
          </w:p>
        </w:tc>
        <w:tc>
          <w:tcPr>
            <w:tcW w:w="879" w:type="pct"/>
            <w:tcBorders>
              <w:top w:val="single" w:color="auto" w:sz="6" w:space="0"/>
              <w:left w:val="single" w:color="auto" w:sz="6" w:space="0"/>
              <w:bottom w:val="single" w:color="auto" w:sz="6" w:space="0"/>
              <w:right w:val="single" w:color="auto" w:sz="6" w:space="0"/>
            </w:tcBorders>
            <w:noWrap w:val="0"/>
            <w:vAlign w:val="center"/>
          </w:tcPr>
          <w:p w14:paraId="5F30C96F">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&lt;</w:t>
            </w:r>
            <w:r>
              <w:rPr>
                <w:rFonts w:hint="eastAsia" w:ascii="Times New Roman" w:hAnsi="Times New Roman" w:cs="Times New Roman"/>
                <w:color w:val="auto"/>
                <w:sz w:val="21"/>
                <w:szCs w:val="21"/>
                <w:lang w:val="en-US" w:eastAsia="zh-CN"/>
              </w:rPr>
              <w:t>294</w:t>
            </w:r>
          </w:p>
        </w:tc>
        <w:tc>
          <w:tcPr>
            <w:tcW w:w="756" w:type="pct"/>
            <w:tcBorders>
              <w:top w:val="single" w:color="auto" w:sz="6" w:space="0"/>
              <w:left w:val="single" w:color="auto" w:sz="6" w:space="0"/>
              <w:bottom w:val="single" w:color="auto" w:sz="6" w:space="0"/>
              <w:right w:val="single" w:color="auto" w:sz="6" w:space="0"/>
            </w:tcBorders>
            <w:noWrap w:val="0"/>
            <w:vAlign w:val="center"/>
          </w:tcPr>
          <w:p w14:paraId="061474B0">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&lt;</w:t>
            </w:r>
            <w:r>
              <w:rPr>
                <w:rFonts w:hint="eastAsia" w:ascii="Times New Roman" w:hAnsi="Times New Roman" w:cs="Times New Roman"/>
                <w:color w:val="auto"/>
                <w:sz w:val="21"/>
                <w:szCs w:val="21"/>
                <w:lang w:val="en-US" w:eastAsia="zh-CN"/>
              </w:rPr>
              <w:t>168</w:t>
            </w:r>
          </w:p>
        </w:tc>
        <w:tc>
          <w:tcPr>
            <w:tcW w:w="870" w:type="pct"/>
            <w:tcBorders>
              <w:top w:val="single" w:color="auto" w:sz="6" w:space="0"/>
              <w:left w:val="single" w:color="auto" w:sz="6" w:space="0"/>
              <w:bottom w:val="single" w:color="auto" w:sz="6" w:space="0"/>
              <w:right w:val="single" w:color="auto" w:sz="6" w:space="0"/>
            </w:tcBorders>
            <w:noWrap w:val="0"/>
            <w:vAlign w:val="center"/>
          </w:tcPr>
          <w:p w14:paraId="06742154">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&lt;</w:t>
            </w:r>
            <w:r>
              <w:rPr>
                <w:rFonts w:hint="eastAsia" w:ascii="Times New Roman" w:hAnsi="Times New Roman" w:cs="Times New Roman"/>
                <w:color w:val="auto"/>
                <w:sz w:val="21"/>
                <w:szCs w:val="21"/>
                <w:lang w:val="en-US" w:eastAsia="zh-CN"/>
              </w:rPr>
              <w:t>12</w:t>
            </w:r>
          </w:p>
        </w:tc>
        <w:tc>
          <w:tcPr>
            <w:tcW w:w="713" w:type="pct"/>
            <w:tcBorders>
              <w:top w:val="single" w:color="auto" w:sz="6" w:space="0"/>
              <w:left w:val="single" w:color="auto" w:sz="6" w:space="0"/>
              <w:bottom w:val="single" w:color="auto" w:sz="6" w:space="0"/>
              <w:right w:val="single" w:color="auto" w:sz="6" w:space="0"/>
            </w:tcBorders>
            <w:noWrap w:val="0"/>
            <w:vAlign w:val="center"/>
          </w:tcPr>
          <w:p w14:paraId="7DBC7728">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&lt;</w:t>
            </w:r>
            <w:r>
              <w:rPr>
                <w:rFonts w:hint="eastAsia" w:ascii="Times New Roman" w:hAnsi="Times New Roman" w:cs="Times New Roman"/>
                <w:color w:val="auto"/>
                <w:sz w:val="21"/>
                <w:szCs w:val="21"/>
                <w:lang w:val="en-US" w:eastAsia="zh-CN"/>
              </w:rPr>
              <w:t>15</w:t>
            </w:r>
          </w:p>
        </w:tc>
      </w:tr>
      <w:tr w14:paraId="33E60A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778" w:type="pct"/>
            <w:tcBorders>
              <w:top w:val="single" w:color="auto" w:sz="6" w:space="0"/>
              <w:left w:val="single" w:color="auto" w:sz="6" w:space="0"/>
              <w:bottom w:val="single" w:color="auto" w:sz="6" w:space="0"/>
              <w:right w:val="single" w:color="auto" w:sz="6" w:space="0"/>
            </w:tcBorders>
            <w:noWrap w:val="0"/>
            <w:vAlign w:val="center"/>
          </w:tcPr>
          <w:p w14:paraId="023CC3B2">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《污水综合排放标准》（GB8978-1996）中三级标准和《污水排入城镇下水道水质标准》（GB/T31962-2015）表1中B级标准</w:t>
            </w:r>
          </w:p>
        </w:tc>
        <w:tc>
          <w:tcPr>
            <w:tcW w:w="879" w:type="pct"/>
            <w:tcBorders>
              <w:top w:val="single" w:color="auto" w:sz="6" w:space="0"/>
              <w:left w:val="single" w:color="auto" w:sz="6" w:space="0"/>
              <w:bottom w:val="single" w:color="auto" w:sz="6" w:space="0"/>
              <w:right w:val="single" w:color="auto" w:sz="6" w:space="0"/>
            </w:tcBorders>
            <w:noWrap w:val="0"/>
            <w:vAlign w:val="center"/>
          </w:tcPr>
          <w:p w14:paraId="4B1AEF97">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500</w:t>
            </w:r>
          </w:p>
        </w:tc>
        <w:tc>
          <w:tcPr>
            <w:tcW w:w="756" w:type="pct"/>
            <w:tcBorders>
              <w:top w:val="single" w:color="auto" w:sz="6" w:space="0"/>
              <w:left w:val="single" w:color="auto" w:sz="6" w:space="0"/>
              <w:bottom w:val="single" w:color="auto" w:sz="6" w:space="0"/>
              <w:right w:val="single" w:color="auto" w:sz="6" w:space="0"/>
            </w:tcBorders>
            <w:noWrap w:val="0"/>
            <w:vAlign w:val="center"/>
          </w:tcPr>
          <w:p w14:paraId="1A04B98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870" w:type="pct"/>
            <w:tcBorders>
              <w:top w:val="single" w:color="auto" w:sz="6" w:space="0"/>
              <w:left w:val="single" w:color="auto" w:sz="6" w:space="0"/>
              <w:bottom w:val="single" w:color="auto" w:sz="6" w:space="0"/>
              <w:right w:val="single" w:color="auto" w:sz="6" w:space="0"/>
            </w:tcBorders>
            <w:noWrap w:val="0"/>
            <w:vAlign w:val="center"/>
          </w:tcPr>
          <w:p w14:paraId="34D471E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713" w:type="pct"/>
            <w:tcBorders>
              <w:top w:val="single" w:color="auto" w:sz="6" w:space="0"/>
              <w:left w:val="single" w:color="auto" w:sz="6" w:space="0"/>
              <w:bottom w:val="single" w:color="auto" w:sz="6" w:space="0"/>
              <w:right w:val="single" w:color="auto" w:sz="6" w:space="0"/>
            </w:tcBorders>
            <w:noWrap w:val="0"/>
            <w:vAlign w:val="center"/>
          </w:tcPr>
          <w:p w14:paraId="24213575">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bl>
    <w:p w14:paraId="6F84CC0E">
      <w:pPr>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通过</w:t>
      </w:r>
      <w:r>
        <w:rPr>
          <w:rFonts w:hint="default" w:ascii="Times New Roman" w:hAnsi="Times New Roman" w:eastAsia="宋体" w:cs="Times New Roman"/>
          <w:color w:val="auto"/>
          <w:sz w:val="24"/>
          <w:szCs w:val="24"/>
          <w:lang w:eastAsia="zh-CN"/>
        </w:rPr>
        <w:t>上表</w:t>
      </w:r>
      <w:r>
        <w:rPr>
          <w:rFonts w:hint="default" w:ascii="Times New Roman" w:hAnsi="Times New Roman" w:eastAsia="宋体" w:cs="Times New Roman"/>
          <w:color w:val="auto"/>
          <w:sz w:val="24"/>
          <w:szCs w:val="24"/>
        </w:rPr>
        <w:t>可知，本项目废水经推荐工艺处理后，废水中的主要污染物浓度可达到《污水综合排放标准》（GB8978-1996）中三级标准和《污水排入城镇下水道水质标准》（GB/T31962-2015）表1中B级标准要求。</w:t>
      </w:r>
    </w:p>
    <w:p w14:paraId="2E660489">
      <w:pPr>
        <w:adjustRightInd w:val="0"/>
        <w:snapToGrid w:val="0"/>
        <w:spacing w:line="360" w:lineRule="auto"/>
        <w:outlineLvl w:val="3"/>
        <w:rPr>
          <w:rFonts w:hint="default" w:ascii="Times New Roman" w:hAnsi="Times New Roman" w:cs="Times New Roman"/>
          <w:b/>
          <w:color w:val="auto"/>
          <w:sz w:val="24"/>
          <w:szCs w:val="24"/>
        </w:rPr>
      </w:pPr>
      <w:bookmarkStart w:id="338" w:name="_Toc295681926"/>
      <w:bookmarkStart w:id="339" w:name="_Toc297286413"/>
      <w:bookmarkStart w:id="340" w:name="_Toc299348949"/>
      <w:bookmarkStart w:id="341" w:name="_Toc26204"/>
      <w:r>
        <w:rPr>
          <w:rFonts w:hint="default" w:ascii="Times New Roman" w:hAnsi="Times New Roman" w:cs="Times New Roman"/>
          <w:b/>
          <w:color w:val="auto"/>
          <w:sz w:val="24"/>
          <w:szCs w:val="24"/>
        </w:rPr>
        <w:t>5.2.2.</w:t>
      </w:r>
      <w:r>
        <w:rPr>
          <w:rFonts w:hint="eastAsia" w:ascii="Times New Roman" w:hAnsi="Times New Roman" w:cs="Times New Roman"/>
          <w:b/>
          <w:color w:val="auto"/>
          <w:sz w:val="24"/>
          <w:szCs w:val="24"/>
          <w:lang w:val="en-US" w:eastAsia="zh-CN"/>
        </w:rPr>
        <w:t>5</w:t>
      </w:r>
      <w:r>
        <w:rPr>
          <w:rFonts w:hint="default" w:ascii="Times New Roman" w:hAnsi="Times New Roman" w:cs="Times New Roman"/>
          <w:b/>
          <w:color w:val="auto"/>
          <w:sz w:val="24"/>
          <w:szCs w:val="24"/>
        </w:rPr>
        <w:t>废水事故处理分析</w:t>
      </w:r>
    </w:p>
    <w:p w14:paraId="2C36A042">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项目</w:t>
      </w:r>
      <w:r>
        <w:rPr>
          <w:rFonts w:hint="eastAsia" w:ascii="Times New Roman" w:hAnsi="Times New Roman" w:cs="Times New Roman"/>
          <w:color w:val="auto"/>
          <w:sz w:val="24"/>
          <w:szCs w:val="24"/>
          <w:lang w:eastAsia="zh-CN"/>
        </w:rPr>
        <w:t>污水处理设备</w:t>
      </w:r>
      <w:r>
        <w:rPr>
          <w:rFonts w:hint="default" w:ascii="Times New Roman" w:hAnsi="Times New Roman" w:cs="Times New Roman"/>
          <w:color w:val="auto"/>
          <w:sz w:val="24"/>
          <w:szCs w:val="24"/>
          <w:lang w:eastAsia="zh-CN"/>
        </w:rPr>
        <w:t>发生故障</w:t>
      </w:r>
      <w:r>
        <w:rPr>
          <w:rFonts w:hint="eastAsia" w:ascii="Times New Roman" w:hAnsi="Times New Roman" w:cs="Times New Roman"/>
          <w:color w:val="auto"/>
          <w:sz w:val="24"/>
          <w:szCs w:val="24"/>
          <w:lang w:eastAsia="zh-CN"/>
        </w:rPr>
        <w:t>时，生产废水无法达标处理排放</w:t>
      </w:r>
      <w:r>
        <w:rPr>
          <w:rFonts w:hint="default" w:ascii="Times New Roman" w:hAnsi="Times New Roman" w:cs="Times New Roman"/>
          <w:color w:val="auto"/>
          <w:sz w:val="24"/>
          <w:szCs w:val="24"/>
          <w:lang w:eastAsia="zh-CN"/>
        </w:rPr>
        <w:t>，故本次事故废水分析针对</w:t>
      </w:r>
      <w:r>
        <w:rPr>
          <w:rFonts w:hint="eastAsia" w:ascii="Times New Roman" w:hAnsi="Times New Roman" w:cs="Times New Roman"/>
          <w:color w:val="auto"/>
          <w:sz w:val="24"/>
          <w:szCs w:val="24"/>
          <w:lang w:eastAsia="zh-CN"/>
        </w:rPr>
        <w:t>生产废水、消防</w:t>
      </w:r>
      <w:r>
        <w:rPr>
          <w:rFonts w:hint="default" w:ascii="Times New Roman" w:hAnsi="Times New Roman" w:cs="Times New Roman"/>
          <w:color w:val="auto"/>
          <w:sz w:val="24"/>
          <w:szCs w:val="24"/>
          <w:lang w:eastAsia="zh-CN"/>
        </w:rPr>
        <w:t>废水，</w:t>
      </w:r>
      <w:r>
        <w:rPr>
          <w:rFonts w:hint="default" w:ascii="Times New Roman" w:hAnsi="Times New Roman" w:cs="Times New Roman"/>
          <w:color w:val="auto"/>
          <w:sz w:val="24"/>
          <w:szCs w:val="24"/>
        </w:rPr>
        <w:t>为防止项目</w:t>
      </w:r>
      <w:r>
        <w:rPr>
          <w:rFonts w:hint="eastAsia" w:ascii="Times New Roman" w:hAnsi="Times New Roman" w:cs="Times New Roman"/>
          <w:color w:val="auto"/>
          <w:sz w:val="24"/>
          <w:szCs w:val="24"/>
          <w:lang w:eastAsia="zh-CN"/>
        </w:rPr>
        <w:t>发生火灾时消防废水</w:t>
      </w:r>
      <w:r>
        <w:rPr>
          <w:rFonts w:hint="default" w:ascii="Times New Roman" w:hAnsi="Times New Roman" w:cs="Times New Roman"/>
          <w:color w:val="auto"/>
          <w:sz w:val="24"/>
          <w:szCs w:val="24"/>
        </w:rPr>
        <w:t>排放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建设单位拟设置</w:t>
      </w:r>
      <w:r>
        <w:rPr>
          <w:rFonts w:hint="eastAsia" w:ascii="Times New Roman" w:hAnsi="Times New Roman" w:cs="Times New Roman"/>
          <w:color w:val="auto"/>
          <w:sz w:val="24"/>
          <w:szCs w:val="24"/>
          <w:lang w:eastAsia="zh-CN"/>
        </w:rPr>
        <w:t>消防</w:t>
      </w:r>
      <w:r>
        <w:rPr>
          <w:rFonts w:hint="default" w:ascii="Times New Roman" w:hAnsi="Times New Roman" w:cs="Times New Roman"/>
          <w:color w:val="auto"/>
          <w:sz w:val="24"/>
          <w:szCs w:val="24"/>
        </w:rPr>
        <w:t>事故应急池，在</w:t>
      </w:r>
      <w:r>
        <w:rPr>
          <w:rFonts w:hint="eastAsia" w:ascii="Times New Roman" w:hAnsi="Times New Roman" w:cs="Times New Roman"/>
          <w:color w:val="auto"/>
          <w:sz w:val="24"/>
          <w:szCs w:val="24"/>
          <w:lang w:eastAsia="zh-CN"/>
        </w:rPr>
        <w:t>发生火灾时</w:t>
      </w:r>
      <w:r>
        <w:rPr>
          <w:rFonts w:hint="default" w:ascii="Times New Roman" w:hAnsi="Times New Roman" w:cs="Times New Roman"/>
          <w:color w:val="auto"/>
          <w:sz w:val="24"/>
          <w:szCs w:val="24"/>
        </w:rPr>
        <w:t>对项目</w:t>
      </w:r>
      <w:r>
        <w:rPr>
          <w:rFonts w:hint="eastAsia" w:ascii="Times New Roman" w:hAnsi="Times New Roman" w:cs="Times New Roman"/>
          <w:color w:val="auto"/>
          <w:sz w:val="24"/>
          <w:szCs w:val="24"/>
          <w:lang w:eastAsia="zh-CN"/>
        </w:rPr>
        <w:t>消防废水</w:t>
      </w:r>
      <w:r>
        <w:rPr>
          <w:rFonts w:hint="default" w:ascii="Times New Roman" w:hAnsi="Times New Roman" w:cs="Times New Roman"/>
          <w:color w:val="auto"/>
          <w:sz w:val="24"/>
          <w:szCs w:val="24"/>
        </w:rPr>
        <w:t>进行收集，</w:t>
      </w:r>
      <w:r>
        <w:rPr>
          <w:rFonts w:hint="eastAsia" w:ascii="Times New Roman" w:hAnsi="Times New Roman" w:cs="Times New Roman"/>
          <w:color w:val="auto"/>
          <w:sz w:val="24"/>
          <w:szCs w:val="24"/>
          <w:lang w:eastAsia="zh-CN"/>
        </w:rPr>
        <w:t>收集后的</w:t>
      </w:r>
      <w:r>
        <w:rPr>
          <w:rFonts w:hint="default" w:ascii="Times New Roman" w:hAnsi="Times New Roman" w:cs="Times New Roman"/>
          <w:color w:val="auto"/>
          <w:sz w:val="24"/>
          <w:szCs w:val="24"/>
        </w:rPr>
        <w:t>废水引进</w:t>
      </w:r>
      <w:r>
        <w:rPr>
          <w:rFonts w:hint="default" w:ascii="Times New Roman" w:hAnsi="Times New Roman" w:cs="Times New Roman"/>
          <w:color w:val="auto"/>
          <w:sz w:val="24"/>
          <w:szCs w:val="24"/>
          <w:lang w:eastAsia="zh-CN"/>
        </w:rPr>
        <w:t>废水处理系统</w:t>
      </w:r>
      <w:r>
        <w:rPr>
          <w:rFonts w:hint="default" w:ascii="Times New Roman" w:hAnsi="Times New Roman" w:cs="Times New Roman"/>
          <w:color w:val="auto"/>
          <w:sz w:val="24"/>
          <w:szCs w:val="24"/>
        </w:rPr>
        <w:t>进行处理，达标后</w:t>
      </w:r>
      <w:r>
        <w:rPr>
          <w:rFonts w:hint="eastAsia" w:ascii="Times New Roman" w:hAnsi="Times New Roman" w:cs="Times New Roman"/>
          <w:color w:val="auto"/>
          <w:sz w:val="24"/>
          <w:szCs w:val="24"/>
          <w:lang w:eastAsia="zh-CN"/>
        </w:rPr>
        <w:t>排入园区污水管网</w:t>
      </w:r>
      <w:r>
        <w:rPr>
          <w:rFonts w:hint="default" w:ascii="Times New Roman" w:hAnsi="Times New Roman" w:cs="Times New Roman"/>
          <w:color w:val="auto"/>
          <w:sz w:val="24"/>
          <w:szCs w:val="24"/>
        </w:rPr>
        <w:t>。</w:t>
      </w:r>
    </w:p>
    <w:p w14:paraId="059CB612">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环评要求单独设置</w:t>
      </w:r>
      <w:r>
        <w:rPr>
          <w:rFonts w:hint="eastAsia" w:ascii="Times New Roman" w:hAnsi="Times New Roman" w:cs="Times New Roman"/>
          <w:color w:val="auto"/>
          <w:sz w:val="24"/>
          <w:szCs w:val="24"/>
          <w:lang w:eastAsia="zh-CN"/>
        </w:rPr>
        <w:t>消防</w:t>
      </w:r>
      <w:r>
        <w:rPr>
          <w:rFonts w:hint="default" w:ascii="Times New Roman" w:hAnsi="Times New Roman" w:cs="Times New Roman"/>
          <w:color w:val="auto"/>
          <w:sz w:val="24"/>
          <w:szCs w:val="24"/>
        </w:rPr>
        <w:t>事故池，正常情况事故池处于空置状态，发生</w:t>
      </w:r>
      <w:r>
        <w:rPr>
          <w:rFonts w:hint="eastAsia" w:ascii="Times New Roman" w:hAnsi="Times New Roman" w:cs="Times New Roman"/>
          <w:color w:val="auto"/>
          <w:sz w:val="24"/>
          <w:szCs w:val="24"/>
          <w:lang w:eastAsia="zh-CN"/>
        </w:rPr>
        <w:t>火灾</w:t>
      </w:r>
      <w:r>
        <w:rPr>
          <w:rFonts w:hint="default" w:ascii="Times New Roman" w:hAnsi="Times New Roman" w:cs="Times New Roman"/>
          <w:color w:val="auto"/>
          <w:sz w:val="24"/>
          <w:szCs w:val="24"/>
        </w:rPr>
        <w:t>时，项目</w:t>
      </w:r>
      <w:r>
        <w:rPr>
          <w:rFonts w:hint="eastAsia" w:ascii="Times New Roman" w:hAnsi="Times New Roman" w:cs="Times New Roman"/>
          <w:color w:val="auto"/>
          <w:sz w:val="24"/>
          <w:szCs w:val="24"/>
          <w:lang w:eastAsia="zh-CN"/>
        </w:rPr>
        <w:t>消防</w:t>
      </w:r>
      <w:r>
        <w:rPr>
          <w:rFonts w:hint="default" w:ascii="Times New Roman" w:hAnsi="Times New Roman" w:cs="Times New Roman"/>
          <w:color w:val="auto"/>
          <w:sz w:val="24"/>
          <w:szCs w:val="24"/>
        </w:rPr>
        <w:t>废水排入事故池内暂存。根据</w:t>
      </w:r>
      <w:r>
        <w:rPr>
          <w:rFonts w:hint="default" w:ascii="Times New Roman" w:hAnsi="Times New Roman" w:cs="Times New Roman"/>
          <w:color w:val="auto"/>
          <w:sz w:val="24"/>
          <w:szCs w:val="24"/>
          <w:lang w:eastAsia="zh-CN"/>
        </w:rPr>
        <w:t>相关</w:t>
      </w:r>
      <w:r>
        <w:rPr>
          <w:rFonts w:hint="default" w:ascii="Times New Roman" w:hAnsi="Times New Roman" w:cs="Times New Roman"/>
          <w:color w:val="auto"/>
          <w:sz w:val="24"/>
          <w:szCs w:val="24"/>
        </w:rPr>
        <w:t>应急事故池设置的规定：事故池有效容积应能接纳最大一次事故排放的废水总量。本评价按事故状态最大废水量计算事故池容积。</w:t>
      </w:r>
    </w:p>
    <w:p w14:paraId="6271832F">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根据中石化建标[2006]43号文《关于印发“水体污染防控紧急措施设计导则”的通知》中指出，厂区事故储存设施总有效容积的核算考虑以下几个方面：</w:t>
      </w:r>
    </w:p>
    <w:p w14:paraId="19FCF5F6">
      <w:pPr>
        <w:adjustRightInd w:val="0"/>
        <w:snapToGrid w:val="0"/>
        <w:spacing w:line="36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总</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vertAlign w:val="subscript"/>
        </w:rPr>
        <w:t xml:space="preserve">max </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5</w:t>
      </w:r>
    </w:p>
    <w:p w14:paraId="1F842154">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注：（V</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vertAlign w:val="subscript"/>
        </w:rPr>
        <w:t xml:space="preserve">max </w:t>
      </w:r>
      <w:r>
        <w:rPr>
          <w:rFonts w:hint="default" w:ascii="Times New Roman" w:hAnsi="Times New Roman" w:cs="Times New Roman"/>
          <w:color w:val="auto"/>
          <w:sz w:val="24"/>
          <w:szCs w:val="24"/>
        </w:rPr>
        <w:t>是指对收集系统范围内不同仓库分别计算V</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，取其中最大值。</w:t>
      </w:r>
    </w:p>
    <w:p w14:paraId="68CD852E">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：收集系统范围内发生事故的仓库的物料量（注：储存相同物料的仓库按一个最大仓库计）；</w:t>
      </w:r>
    </w:p>
    <w:p w14:paraId="74B88AB0">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：发生事故的仓库的消防水量，m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7A8D1DA7">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：发生事故时可以临时转存到其他仓库的物料量，m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6B64C092">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：发生事故时仍必须进入该收集系统的生产废水量，m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5C97BF56">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：发生事故时可能进入该收集系统的降雨量，m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6B79770B">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①物料量</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1</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无液体储存原料</w:t>
      </w:r>
      <w:r>
        <w:rPr>
          <w:rFonts w:hint="eastAsia" w:ascii="Times New Roman" w:hAnsi="Times New Roman" w:cs="Times New Roman"/>
          <w:color w:val="auto"/>
          <w:sz w:val="24"/>
          <w:szCs w:val="24"/>
          <w:lang w:val="en-US" w:eastAsia="zh-CN"/>
        </w:rPr>
        <w:t>，因此V</w:t>
      </w:r>
      <w:r>
        <w:rPr>
          <w:rFonts w:hint="eastAsia" w:ascii="Times New Roman" w:hAnsi="Times New Roman" w:cs="Times New Roman"/>
          <w:color w:val="auto"/>
          <w:sz w:val="24"/>
          <w:szCs w:val="24"/>
          <w:vertAlign w:val="subscript"/>
          <w:lang w:val="en-US" w:eastAsia="zh-CN"/>
        </w:rPr>
        <w:t>1</w:t>
      </w:r>
      <w:r>
        <w:rPr>
          <w:rFonts w:hint="eastAsia" w:ascii="Times New Roman" w:hAnsi="Times New Roman" w:cs="Times New Roman"/>
          <w:color w:val="auto"/>
          <w:sz w:val="24"/>
          <w:szCs w:val="24"/>
          <w:lang w:val="en-US" w:eastAsia="zh-CN"/>
        </w:rPr>
        <w:t>为0</w:t>
      </w:r>
      <w:r>
        <w:rPr>
          <w:rFonts w:hint="default" w:ascii="Times New Roman" w:hAnsi="Times New Roman" w:cs="Times New Roman"/>
          <w:color w:val="auto"/>
          <w:sz w:val="24"/>
          <w:szCs w:val="24"/>
        </w:rPr>
        <w:t>。</w:t>
      </w:r>
    </w:p>
    <w:p w14:paraId="405EF5A9">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②发生事故的消防水量（V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）：根据《建筑设计防火规范》(GB50016-2006)规定，厂区按一次火灾进行设计，以</w:t>
      </w:r>
      <w:r>
        <w:rPr>
          <w:rFonts w:hint="eastAsia" w:ascii="Times New Roman" w:hAnsi="Times New Roman" w:cs="Times New Roman"/>
          <w:color w:val="auto"/>
          <w:sz w:val="24"/>
          <w:szCs w:val="24"/>
          <w:lang w:eastAsia="zh-CN"/>
        </w:rPr>
        <w:t>仓</w:t>
      </w:r>
      <w:r>
        <w:rPr>
          <w:rFonts w:hint="default" w:ascii="Times New Roman" w:hAnsi="Times New Roman" w:cs="Times New Roman"/>
          <w:color w:val="auto"/>
          <w:sz w:val="24"/>
          <w:szCs w:val="24"/>
          <w:lang w:eastAsia="zh-CN"/>
        </w:rPr>
        <w:t>库</w:t>
      </w:r>
      <w:r>
        <w:rPr>
          <w:rFonts w:hint="default" w:ascii="Times New Roman" w:hAnsi="Times New Roman" w:cs="Times New Roman"/>
          <w:color w:val="auto"/>
          <w:sz w:val="24"/>
          <w:szCs w:val="24"/>
        </w:rPr>
        <w:t>为最不利火灾点，消防用水量</w:t>
      </w:r>
      <w:r>
        <w:rPr>
          <w:rFonts w:hint="eastAsia" w:ascii="Times New Roman" w:hAnsi="Times New Roman" w:cs="Times New Roman"/>
          <w:color w:val="auto"/>
          <w:sz w:val="24"/>
          <w:szCs w:val="24"/>
          <w:lang w:eastAsia="zh-CN"/>
        </w:rPr>
        <w:t>按</w:t>
      </w:r>
      <w:r>
        <w:rPr>
          <w:rFonts w:hint="eastAsia" w:ascii="Times New Roman" w:hAnsi="Times New Roman" w:cs="Times New Roman"/>
          <w:color w:val="auto"/>
          <w:sz w:val="24"/>
          <w:szCs w:val="24"/>
          <w:lang w:val="en-US" w:eastAsia="zh-CN"/>
        </w:rPr>
        <w:t>20</w:t>
      </w:r>
      <w:r>
        <w:rPr>
          <w:rFonts w:hint="default" w:ascii="Times New Roman" w:hAnsi="Times New Roman" w:cs="Times New Roman"/>
          <w:color w:val="auto"/>
          <w:sz w:val="24"/>
          <w:szCs w:val="24"/>
        </w:rPr>
        <w:t>L/S，火灾延续时间按3小时计，所需用水量为</w:t>
      </w:r>
      <w:r>
        <w:rPr>
          <w:rFonts w:hint="eastAsia" w:ascii="Times New Roman" w:hAnsi="Times New Roman" w:cs="Times New Roman"/>
          <w:color w:val="auto"/>
          <w:sz w:val="24"/>
          <w:szCs w:val="24"/>
          <w:lang w:val="en-US" w:eastAsia="zh-CN"/>
        </w:rPr>
        <w:t>216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，即消防废水量V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216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1E210266">
      <w:pPr>
        <w:adjustRightInd w:val="0"/>
        <w:snapToGrid w:val="0"/>
        <w:spacing w:line="360" w:lineRule="auto"/>
        <w:ind w:firstLine="482"/>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③</w:t>
      </w:r>
      <w:r>
        <w:rPr>
          <w:rFonts w:hint="default" w:ascii="Times New Roman" w:hAnsi="Times New Roman" w:cs="Times New Roman"/>
          <w:color w:val="auto"/>
          <w:sz w:val="24"/>
          <w:szCs w:val="24"/>
        </w:rPr>
        <w:t>发生事故时可以临时转存到其他仓库的物料量</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V</w:t>
      </w:r>
      <w:r>
        <w:rPr>
          <w:rFonts w:hint="eastAsia" w:ascii="Times New Roman" w:hAnsi="Times New Roman" w:cs="Times New Roman"/>
          <w:color w:val="auto"/>
          <w:sz w:val="24"/>
          <w:szCs w:val="24"/>
          <w:vertAlign w:val="subscript"/>
          <w:lang w:val="en-US" w:eastAsia="zh-CN"/>
        </w:rPr>
        <w:t>3</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eastAsia="zh-CN"/>
        </w:rPr>
        <w:t>无液体储存原料，得 V</w:t>
      </w:r>
      <w:r>
        <w:rPr>
          <w:rFonts w:hint="eastAsia" w:ascii="Times New Roman" w:hAnsi="Times New Roman" w:cs="Times New Roman"/>
          <w:color w:val="auto"/>
          <w:sz w:val="24"/>
          <w:szCs w:val="24"/>
          <w:vertAlign w:val="subscript"/>
          <w:lang w:eastAsia="zh-CN"/>
        </w:rPr>
        <w:t>3</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0。</w:t>
      </w:r>
    </w:p>
    <w:p w14:paraId="25BD4D1F">
      <w:pPr>
        <w:adjustRightInd w:val="0"/>
        <w:snapToGrid w:val="0"/>
        <w:spacing w:line="360" w:lineRule="auto"/>
        <w:ind w:firstLine="482"/>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④</w:t>
      </w:r>
      <w:r>
        <w:rPr>
          <w:rFonts w:hint="default" w:ascii="Times New Roman" w:hAnsi="Times New Roman" w:cs="Times New Roman"/>
          <w:color w:val="auto"/>
          <w:sz w:val="24"/>
          <w:szCs w:val="24"/>
        </w:rPr>
        <w:t>发生事故时仍必须进入该收集系统的生产废水量（V</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w:t>
      </w:r>
    </w:p>
    <w:p w14:paraId="2C1C649C">
      <w:pPr>
        <w:adjustRightInd w:val="0"/>
        <w:snapToGrid w:val="0"/>
        <w:spacing w:line="360" w:lineRule="auto"/>
        <w:ind w:firstLine="482"/>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eastAsia="zh-CN"/>
        </w:rPr>
        <w:t>项目生产废水量为</w:t>
      </w:r>
      <w:r>
        <w:rPr>
          <w:rFonts w:hint="eastAsia" w:ascii="Times New Roman" w:hAnsi="Times New Roman" w:cs="Times New Roman"/>
          <w:color w:val="auto"/>
          <w:sz w:val="24"/>
          <w:szCs w:val="24"/>
          <w:lang w:val="en-US" w:eastAsia="zh-CN"/>
        </w:rPr>
        <w:t>15m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/d，按每天最大量计，因此</w:t>
      </w:r>
      <w:r>
        <w:rPr>
          <w:rFonts w:hint="default" w:ascii="Times New Roman" w:hAnsi="Times New Roman" w:cs="Times New Roman"/>
          <w:color w:val="auto"/>
          <w:sz w:val="24"/>
          <w:szCs w:val="24"/>
        </w:rPr>
        <w:t>V</w:t>
      </w:r>
      <w:r>
        <w:rPr>
          <w:rFonts w:hint="eastAsia" w:ascii="Times New Roman" w:hAnsi="Times New Roman" w:cs="Times New Roman"/>
          <w:color w:val="auto"/>
          <w:sz w:val="24"/>
          <w:szCs w:val="24"/>
          <w:vertAlign w:val="subscript"/>
          <w:lang w:val="en-US" w:eastAsia="zh-CN"/>
        </w:rPr>
        <w:t>4</w:t>
      </w:r>
      <w:r>
        <w:rPr>
          <w:rFonts w:hint="eastAsia" w:ascii="Times New Roman" w:hAnsi="Times New Roman" w:cs="Times New Roman"/>
          <w:color w:val="auto"/>
          <w:sz w:val="24"/>
          <w:szCs w:val="24"/>
          <w:lang w:val="en-US" w:eastAsia="zh-CN"/>
        </w:rPr>
        <w:t>为15</w:t>
      </w:r>
      <w:r>
        <w:rPr>
          <w:rFonts w:hint="default" w:ascii="Times New Roman" w:hAnsi="Times New Roman" w:cs="Times New Roman"/>
          <w:color w:val="auto"/>
          <w:sz w:val="24"/>
          <w:szCs w:val="24"/>
          <w:lang w:val="en-US" w:eastAsia="zh-CN"/>
        </w:rPr>
        <w:t>。</w:t>
      </w:r>
    </w:p>
    <w:p w14:paraId="7F647C91">
      <w:pPr>
        <w:adjustRightInd w:val="0"/>
        <w:snapToGrid w:val="0"/>
        <w:spacing w:line="360" w:lineRule="auto"/>
        <w:ind w:firstLine="482"/>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⑤</w:t>
      </w:r>
      <w:r>
        <w:rPr>
          <w:rFonts w:hint="default" w:ascii="Times New Roman" w:hAnsi="Times New Roman" w:cs="Times New Roman"/>
          <w:color w:val="auto"/>
          <w:sz w:val="24"/>
          <w:szCs w:val="24"/>
        </w:rPr>
        <w:t>发生事故时可能进入该收集系统的降雨量（V</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w:t>
      </w:r>
    </w:p>
    <w:p w14:paraId="29FFE2BB">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本项目生产车间、</w:t>
      </w:r>
      <w:r>
        <w:rPr>
          <w:rFonts w:hint="default" w:ascii="Times New Roman" w:hAnsi="Times New Roman" w:cs="Times New Roman"/>
          <w:color w:val="auto"/>
          <w:sz w:val="24"/>
          <w:szCs w:val="24"/>
          <w:lang w:eastAsia="zh-CN"/>
        </w:rPr>
        <w:t>成品库、原料库</w:t>
      </w:r>
      <w:r>
        <w:rPr>
          <w:rFonts w:hint="default" w:ascii="Times New Roman" w:hAnsi="Times New Roman" w:cs="Times New Roman"/>
          <w:color w:val="auto"/>
          <w:sz w:val="24"/>
          <w:szCs w:val="24"/>
        </w:rPr>
        <w:t>均位于厂房内，采用顶棚设置，项目内不存在露天堆放原辅材料</w:t>
      </w:r>
      <w:r>
        <w:rPr>
          <w:rFonts w:hint="default" w:ascii="Times New Roman" w:hAnsi="Times New Roman" w:cs="Times New Roman"/>
          <w:color w:val="auto"/>
          <w:sz w:val="24"/>
          <w:szCs w:val="24"/>
          <w:lang w:eastAsia="zh-CN"/>
        </w:rPr>
        <w:t>及成品</w:t>
      </w:r>
      <w:r>
        <w:rPr>
          <w:rFonts w:hint="default" w:ascii="Times New Roman" w:hAnsi="Times New Roman" w:cs="Times New Roman"/>
          <w:color w:val="auto"/>
          <w:sz w:val="24"/>
          <w:szCs w:val="24"/>
        </w:rPr>
        <w:t>等，故无需考虑事故降雨量。</w:t>
      </w:r>
    </w:p>
    <w:p w14:paraId="19BF8064">
      <w:pPr>
        <w:adjustRightInd w:val="0"/>
        <w:snapToGrid w:val="0"/>
        <w:spacing w:line="360" w:lineRule="auto"/>
        <w:ind w:firstLine="482"/>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⑥</w:t>
      </w:r>
      <w:r>
        <w:rPr>
          <w:rFonts w:hint="default" w:ascii="Times New Roman" w:hAnsi="Times New Roman" w:cs="Times New Roman"/>
          <w:color w:val="auto"/>
          <w:sz w:val="24"/>
          <w:szCs w:val="24"/>
        </w:rPr>
        <w:t>事故储存能力核算（V</w:t>
      </w:r>
      <w:r>
        <w:rPr>
          <w:rFonts w:hint="default" w:ascii="Times New Roman" w:hAnsi="Times New Roman" w:cs="Times New Roman"/>
          <w:color w:val="auto"/>
          <w:sz w:val="24"/>
          <w:szCs w:val="24"/>
          <w:vertAlign w:val="subscript"/>
        </w:rPr>
        <w:t>总</w:t>
      </w:r>
      <w:r>
        <w:rPr>
          <w:rFonts w:hint="default" w:ascii="Times New Roman" w:hAnsi="Times New Roman" w:cs="Times New Roman"/>
          <w:color w:val="auto"/>
          <w:sz w:val="24"/>
          <w:szCs w:val="24"/>
        </w:rPr>
        <w:t>）：</w:t>
      </w:r>
    </w:p>
    <w:p w14:paraId="3962EB7B">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总</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vertAlign w:val="subscript"/>
        </w:rPr>
        <w:t xml:space="preserve">max </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（216+15）</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+0＝</w:t>
      </w:r>
      <w:r>
        <w:rPr>
          <w:rFonts w:hint="eastAsia" w:ascii="Times New Roman" w:hAnsi="Times New Roman" w:cs="Times New Roman"/>
          <w:color w:val="auto"/>
          <w:sz w:val="24"/>
          <w:szCs w:val="24"/>
          <w:lang w:val="en-US" w:eastAsia="zh-CN"/>
        </w:rPr>
        <w:t>231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4E221CA3">
      <w:pPr>
        <w:adjustRightInd w:val="0"/>
        <w:snapToGrid w:val="0"/>
        <w:spacing w:line="360" w:lineRule="auto"/>
        <w:ind w:firstLine="482"/>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由于本项目运营过程中存在火灾风险和</w:t>
      </w:r>
      <w:r>
        <w:rPr>
          <w:rFonts w:hint="eastAsia" w:ascii="Times New Roman" w:hAnsi="Times New Roman" w:cs="Times New Roman"/>
          <w:color w:val="auto"/>
          <w:sz w:val="24"/>
          <w:szCs w:val="24"/>
          <w:lang w:eastAsia="zh-CN"/>
        </w:rPr>
        <w:t>生产设备</w:t>
      </w:r>
      <w:r>
        <w:rPr>
          <w:rFonts w:hint="default" w:ascii="Times New Roman" w:hAnsi="Times New Roman" w:cs="Times New Roman"/>
          <w:color w:val="auto"/>
          <w:sz w:val="24"/>
          <w:szCs w:val="24"/>
        </w:rPr>
        <w:t>停机事故，根据环境风险管理的要求，建设方拟</w:t>
      </w:r>
      <w:r>
        <w:rPr>
          <w:rFonts w:hint="eastAsia" w:ascii="Times New Roman" w:hAnsi="Times New Roman" w:cs="Times New Roman"/>
          <w:color w:val="auto"/>
          <w:sz w:val="24"/>
          <w:szCs w:val="24"/>
          <w:lang w:eastAsia="zh-CN"/>
        </w:rPr>
        <w:t>建设</w:t>
      </w:r>
      <w:r>
        <w:rPr>
          <w:rFonts w:hint="eastAsia" w:ascii="Times New Roman" w:hAnsi="Times New Roman" w:cs="Times New Roman"/>
          <w:color w:val="auto"/>
          <w:sz w:val="24"/>
          <w:szCs w:val="24"/>
          <w:lang w:val="en-US" w:eastAsia="zh-CN"/>
        </w:rPr>
        <w:t>1个</w:t>
      </w:r>
      <w:r>
        <w:rPr>
          <w:rFonts w:hint="default" w:ascii="Times New Roman" w:hAnsi="Times New Roman" w:cs="Times New Roman"/>
          <w:color w:val="auto"/>
          <w:sz w:val="24"/>
          <w:szCs w:val="24"/>
        </w:rPr>
        <w:t>容积不小于</w:t>
      </w:r>
      <w:r>
        <w:rPr>
          <w:rFonts w:hint="eastAsia" w:ascii="Times New Roman" w:hAnsi="Times New Roman" w:cs="Times New Roman"/>
          <w:color w:val="auto"/>
          <w:sz w:val="24"/>
          <w:szCs w:val="24"/>
          <w:lang w:val="en-US" w:eastAsia="zh-CN"/>
        </w:rPr>
        <w:t>231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eastAsia" w:ascii="Times New Roman" w:hAnsi="Times New Roman" w:cs="Times New Roman"/>
          <w:color w:val="auto"/>
          <w:sz w:val="24"/>
          <w:szCs w:val="24"/>
          <w:lang w:eastAsia="zh-CN"/>
        </w:rPr>
        <w:t>的消防事故水池。</w:t>
      </w:r>
      <w:r>
        <w:rPr>
          <w:rFonts w:hint="default" w:ascii="Times New Roman" w:hAnsi="Times New Roman" w:cs="Times New Roman"/>
          <w:color w:val="auto"/>
          <w:sz w:val="24"/>
          <w:szCs w:val="24"/>
        </w:rPr>
        <w:t>并采取防渗、防漏、防雨淋的“三防”处理，主要用途包括：如发生火灾产生的消防废水的暂时储存，以杜绝废水直接排入外环境。同时当发生事故时，应及时切断厂区雨水管网与外界的连通，关闭雨水排放口，将所有废水收集排入应急事故池，然后分批次排入</w:t>
      </w:r>
      <w:r>
        <w:rPr>
          <w:rFonts w:hint="default" w:ascii="Times New Roman" w:hAnsi="Times New Roman" w:cs="Times New Roman"/>
          <w:color w:val="auto"/>
          <w:sz w:val="24"/>
          <w:szCs w:val="24"/>
          <w:lang w:eastAsia="zh-CN"/>
        </w:rPr>
        <w:t>污水处理系统处理达标</w:t>
      </w:r>
      <w:r>
        <w:rPr>
          <w:rFonts w:hint="eastAsia" w:ascii="Times New Roman" w:hAnsi="Times New Roman" w:cs="Times New Roman"/>
          <w:color w:val="auto"/>
          <w:sz w:val="24"/>
          <w:szCs w:val="24"/>
          <w:lang w:eastAsia="zh-CN"/>
        </w:rPr>
        <w:t>后</w:t>
      </w:r>
      <w:r>
        <w:rPr>
          <w:rFonts w:hint="default" w:ascii="Times New Roman" w:hAnsi="Times New Roman" w:cs="Times New Roman"/>
          <w:color w:val="auto"/>
          <w:sz w:val="24"/>
          <w:szCs w:val="24"/>
          <w:lang w:eastAsia="zh-CN"/>
        </w:rPr>
        <w:t>回用</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对周围水环境影响较小</w:t>
      </w:r>
      <w:r>
        <w:rPr>
          <w:rFonts w:hint="default" w:ascii="Times New Roman" w:hAnsi="Times New Roman" w:cs="Times New Roman"/>
          <w:color w:val="auto"/>
          <w:sz w:val="24"/>
          <w:szCs w:val="24"/>
        </w:rPr>
        <w:t>。</w:t>
      </w:r>
    </w:p>
    <w:p w14:paraId="651BFA52">
      <w:pPr>
        <w:adjustRightInd w:val="0"/>
        <w:snapToGrid w:val="0"/>
        <w:spacing w:line="360" w:lineRule="auto"/>
        <w:ind w:firstLine="480" w:firstLineChars="200"/>
        <w:rPr>
          <w:rFonts w:hint="default" w:ascii="Times New Roman" w:hAnsi="Times New Roman" w:eastAsia="宋体" w:cs="Times New Roman"/>
          <w:b/>
          <w:bCs/>
          <w:color w:val="auto"/>
          <w:kern w:val="2"/>
          <w:sz w:val="28"/>
          <w:szCs w:val="32"/>
          <w:lang w:val="en-US" w:eastAsia="zh-CN" w:bidi="ar-SA"/>
        </w:rPr>
      </w:pPr>
      <w:r>
        <w:rPr>
          <w:rFonts w:hint="default" w:ascii="Times New Roman" w:hAnsi="Times New Roman" w:cs="Times New Roman"/>
          <w:color w:val="auto"/>
          <w:sz w:val="24"/>
          <w:szCs w:val="24"/>
        </w:rPr>
        <w:t>综上所述，本项目只要加强生产设备</w:t>
      </w:r>
      <w:r>
        <w:rPr>
          <w:rFonts w:hint="eastAsia" w:ascii="Times New Roman" w:hAnsi="Times New Roman" w:cs="Times New Roman"/>
          <w:color w:val="auto"/>
          <w:sz w:val="24"/>
          <w:szCs w:val="24"/>
          <w:lang w:eastAsia="zh-CN"/>
        </w:rPr>
        <w:t>的</w:t>
      </w:r>
      <w:r>
        <w:rPr>
          <w:rFonts w:hint="default" w:ascii="Times New Roman" w:hAnsi="Times New Roman" w:cs="Times New Roman"/>
          <w:color w:val="auto"/>
          <w:sz w:val="24"/>
          <w:szCs w:val="24"/>
        </w:rPr>
        <w:t>运行管理</w:t>
      </w:r>
      <w:r>
        <w:rPr>
          <w:rFonts w:hint="eastAsia" w:ascii="Times New Roman" w:hAnsi="Times New Roman" w:cs="Times New Roman"/>
          <w:color w:val="auto"/>
          <w:sz w:val="24"/>
          <w:szCs w:val="24"/>
          <w:lang w:eastAsia="zh-CN"/>
        </w:rPr>
        <w:t>、维护</w:t>
      </w:r>
      <w:r>
        <w:rPr>
          <w:rFonts w:hint="default" w:ascii="Times New Roman" w:hAnsi="Times New Roman" w:cs="Times New Roman"/>
          <w:color w:val="auto"/>
          <w:sz w:val="24"/>
          <w:szCs w:val="24"/>
        </w:rPr>
        <w:t>，加强对操作人员的岗位培训，</w:t>
      </w:r>
      <w:r>
        <w:rPr>
          <w:rFonts w:hint="eastAsia" w:ascii="Times New Roman" w:hAnsi="Times New Roman" w:cs="Times New Roman"/>
          <w:color w:val="auto"/>
          <w:sz w:val="24"/>
          <w:szCs w:val="24"/>
          <w:lang w:eastAsia="zh-CN"/>
        </w:rPr>
        <w:t>禁止在生产区、仓库吸烟，设置明显的禁火警示牌</w:t>
      </w:r>
      <w:r>
        <w:rPr>
          <w:rFonts w:hint="default" w:ascii="Times New Roman" w:hAnsi="Times New Roman" w:cs="Times New Roman"/>
          <w:color w:val="auto"/>
          <w:sz w:val="24"/>
          <w:szCs w:val="24"/>
        </w:rPr>
        <w:t>，杜绝事故性排放，建立健全环保管理机制和各项环保规章制度，落实岗位环保责任制，加强环境风险防范工作，防止事故排放导致环境问题。则项目废水不会对周围水环境造成不良影响。</w:t>
      </w:r>
    </w:p>
    <w:p w14:paraId="17606015">
      <w:pPr>
        <w:keepNext/>
        <w:keepLines/>
        <w:widowControl w:val="0"/>
        <w:adjustRightInd w:val="0"/>
        <w:snapToGrid w:val="0"/>
        <w:spacing w:before="120" w:beforeLines="50" w:after="0" w:line="360" w:lineRule="auto"/>
        <w:jc w:val="both"/>
        <w:outlineLvl w:val="2"/>
        <w:rPr>
          <w:rFonts w:hint="default" w:ascii="Times New Roman" w:hAnsi="Times New Roman" w:eastAsia="宋体" w:cs="Times New Roman"/>
          <w:b/>
          <w:bCs/>
          <w:color w:val="auto"/>
          <w:kern w:val="2"/>
          <w:sz w:val="28"/>
          <w:szCs w:val="32"/>
          <w:lang w:val="en-US" w:eastAsia="zh-CN" w:bidi="ar-SA"/>
        </w:rPr>
      </w:pPr>
      <w:r>
        <w:rPr>
          <w:rFonts w:hint="default" w:ascii="Times New Roman" w:hAnsi="Times New Roman" w:eastAsia="宋体" w:cs="Times New Roman"/>
          <w:b/>
          <w:bCs/>
          <w:color w:val="auto"/>
          <w:kern w:val="2"/>
          <w:sz w:val="28"/>
          <w:szCs w:val="32"/>
          <w:lang w:val="en-US" w:eastAsia="zh-CN" w:bidi="ar-SA"/>
        </w:rPr>
        <w:t>5.2.3地下水环境影响分析</w:t>
      </w:r>
      <w:bookmarkEnd w:id="338"/>
      <w:bookmarkEnd w:id="339"/>
      <w:bookmarkEnd w:id="340"/>
      <w:bookmarkEnd w:id="341"/>
    </w:p>
    <w:p w14:paraId="2E3F8C44">
      <w:pPr>
        <w:adjustRightInd w:val="0"/>
        <w:snapToGrid w:val="0"/>
        <w:spacing w:line="360" w:lineRule="auto"/>
        <w:outlineLvl w:val="3"/>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5.2.</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lang w:eastAsia="zh-CN"/>
        </w:rPr>
        <w:t>.1区域水文地质条件</w:t>
      </w:r>
    </w:p>
    <w:p w14:paraId="0223E57C">
      <w:pPr>
        <w:spacing w:line="360" w:lineRule="auto"/>
        <w:ind w:firstLine="560"/>
        <w:rPr>
          <w:rFonts w:hint="default" w:ascii="Times New Roman" w:hAnsi="Times New Roman" w:eastAsia="宋体" w:cs="Times New Roman"/>
          <w:color w:val="auto"/>
          <w:sz w:val="24"/>
        </w:rPr>
      </w:pPr>
      <w:bookmarkStart w:id="342" w:name="_Toc272095223"/>
      <w:r>
        <w:rPr>
          <w:rFonts w:hint="default" w:ascii="Times New Roman" w:hAnsi="Times New Roman" w:eastAsia="宋体" w:cs="Times New Roman"/>
          <w:color w:val="auto"/>
          <w:sz w:val="24"/>
        </w:rPr>
        <w:t>由于芒市水文地质研究程度较低，根据一些单体建筑和市政设施详勘钻孔资料显示，该地区地质构造复杂，地层岩性变化大，地下水埋深，且含水层不连续。芒市地处地下水水量丰富的怒江下侧面和伊洛瓦底江水系，孔隙水、裂隙水、岩溶水都较丰富。用枯季各河流实测值推算，市域地下水年均流量8.69亿立方米。</w:t>
      </w:r>
    </w:p>
    <w:p w14:paraId="086F08FC">
      <w:pPr>
        <w:spacing w:line="360" w:lineRule="auto"/>
        <w:ind w:firstLine="56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区域地下水补给以降水入渗、河流渗漏补给为主，以蒸发和侧向径流流出为主要排泄方式。拟建场地区域主要为第四系松散岩类孔隙含水层组。松散岩类孔隙含水层组主要分布于盆地底部，以及宽缓河谷区或河流阶地区。含水层组主要包括第四系冲积、洪积、冲洪积、冲湖积、湖积、沼湖积、残坡积层、新近系，岩性以卵砾石、砂砾石、砂土、粉土、黏性土为主。含水层厚度各地差异较大，由几米至几百米不等，含水层组以孔隙为赋水空间，均匀性较好。孔隙水以潜水为主，局部为承压水，水位年际变化大，埋深一般小于15m。</w:t>
      </w:r>
    </w:p>
    <w:bookmarkEnd w:id="342"/>
    <w:p w14:paraId="379DB004">
      <w:pPr>
        <w:adjustRightInd w:val="0"/>
        <w:snapToGrid w:val="0"/>
        <w:spacing w:line="360" w:lineRule="auto"/>
        <w:outlineLvl w:val="3"/>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t>5.2.</w:t>
      </w:r>
      <w:r>
        <w:rPr>
          <w:rFonts w:hint="default"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lang w:eastAsia="zh-CN"/>
        </w:rPr>
        <w:t>.2地下水开发利用现状</w:t>
      </w:r>
    </w:p>
    <w:p w14:paraId="777A0E3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评级区域内无地下水生活用水供水水源地，居民生活用水取自自来水管网统一供给，地下水开发利用活动较少。</w:t>
      </w:r>
    </w:p>
    <w:p w14:paraId="5E49ACBF">
      <w:pPr>
        <w:adjustRightInd w:val="0"/>
        <w:snapToGrid w:val="0"/>
        <w:spacing w:line="360" w:lineRule="auto"/>
        <w:outlineLvl w:val="3"/>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eastAsia="zh-CN"/>
        </w:rPr>
        <w:t>5.2.5.3地下水环境影响分析</w:t>
      </w:r>
    </w:p>
    <w:p w14:paraId="4606681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污染物对地下水的影响主要是由于降雨或废水排放等通过垂直渗透进入包气带，进入包气带的污染物在物理、化学和生物作用下经吸附、转化、迁移和分解后输入地下水。因此，包气带是连接地面污染物与地下含水层的主要通道和过渡带，既是污染物媒介体，又是污染物的净化产生和防护层。污染物从污染源进入地下水所经过路径称为地下水污染途径，地下水污染途径是多种多样的。一般而言，地下水污染后很难治理。因此，目前对地下水污染防治主要考虑源头治理，切断可能造成地下水污染的途径。本项目可能造成地下水污染的途径主要是</w:t>
      </w:r>
      <w:r>
        <w:rPr>
          <w:rFonts w:hint="default" w:ascii="Times New Roman" w:hAnsi="Times New Roman" w:eastAsia="宋体" w:cs="Times New Roman"/>
          <w:color w:val="auto"/>
          <w:sz w:val="24"/>
          <w:lang w:eastAsia="zh-CN"/>
        </w:rPr>
        <w:t>①</w:t>
      </w:r>
      <w:r>
        <w:rPr>
          <w:rFonts w:hint="default" w:ascii="Times New Roman" w:hAnsi="Times New Roman" w:eastAsia="宋体" w:cs="Times New Roman"/>
          <w:color w:val="auto"/>
          <w:sz w:val="24"/>
        </w:rPr>
        <w:t>项目自建的处理设施的废水下渗入地下水造成地下水污染。</w:t>
      </w:r>
      <w:r>
        <w:rPr>
          <w:rFonts w:hint="default" w:ascii="Times New Roman" w:hAnsi="Times New Roman" w:eastAsia="宋体" w:cs="Times New Roman"/>
          <w:color w:val="auto"/>
          <w:sz w:val="24"/>
          <w:lang w:eastAsia="zh-CN"/>
        </w:rPr>
        <w:t>②</w:t>
      </w:r>
      <w:r>
        <w:rPr>
          <w:rFonts w:hint="default" w:ascii="Times New Roman" w:hAnsi="Times New Roman" w:eastAsia="宋体" w:cs="Times New Roman"/>
          <w:color w:val="auto"/>
          <w:sz w:val="24"/>
        </w:rPr>
        <w:t>危险废物暂存场液态废物或渗滤液下渗可能造成地下水的污染。</w:t>
      </w:r>
    </w:p>
    <w:p w14:paraId="43ADBCE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项目厂内地面均为水泥硬化地面，</w:t>
      </w:r>
      <w:r>
        <w:rPr>
          <w:rFonts w:hint="default" w:ascii="Times New Roman" w:hAnsi="Times New Roman" w:eastAsia="宋体" w:cs="Times New Roman"/>
          <w:snapToGrid w:val="0"/>
          <w:color w:val="auto"/>
          <w:sz w:val="24"/>
        </w:rPr>
        <w:t>厂区污废水通过管道收集输送，</w:t>
      </w:r>
      <w:r>
        <w:rPr>
          <w:rFonts w:hint="default" w:ascii="Times New Roman" w:hAnsi="Times New Roman" w:eastAsia="宋体" w:cs="Times New Roman"/>
          <w:color w:val="auto"/>
          <w:sz w:val="24"/>
        </w:rPr>
        <w:t>各污废水收集池采取了防渗措施，</w:t>
      </w:r>
      <w:r>
        <w:rPr>
          <w:rFonts w:hint="default" w:ascii="Times New Roman" w:hAnsi="Times New Roman" w:eastAsia="宋体" w:cs="Times New Roman"/>
          <w:snapToGrid w:val="0"/>
          <w:color w:val="auto"/>
          <w:sz w:val="24"/>
        </w:rPr>
        <w:t>防渗层为至少1米厚粘土层（渗透系数≤10</w:t>
      </w:r>
      <w:r>
        <w:rPr>
          <w:rFonts w:hint="default" w:ascii="Times New Roman" w:hAnsi="Times New Roman" w:eastAsia="宋体" w:cs="Times New Roman"/>
          <w:snapToGrid w:val="0"/>
          <w:color w:val="auto"/>
          <w:sz w:val="24"/>
          <w:vertAlign w:val="superscript"/>
        </w:rPr>
        <w:t>-7</w:t>
      </w:r>
      <w:r>
        <w:rPr>
          <w:rFonts w:hint="default" w:ascii="Times New Roman" w:hAnsi="Times New Roman" w:eastAsia="宋体" w:cs="Times New Roman"/>
          <w:snapToGrid w:val="0"/>
          <w:color w:val="auto"/>
          <w:sz w:val="24"/>
        </w:rPr>
        <w:t>厘米/秒）或2毫米厚</w:t>
      </w:r>
      <w:r>
        <w:rPr>
          <w:rFonts w:hint="default" w:ascii="Times New Roman" w:hAnsi="Times New Roman" w:eastAsia="宋体" w:cs="Times New Roman"/>
          <w:snapToGrid w:val="0"/>
          <w:color w:val="auto"/>
          <w:sz w:val="24"/>
        </w:rPr>
        <w:fldChar w:fldCharType="begin"/>
      </w:r>
      <w:r>
        <w:rPr>
          <w:rFonts w:hint="default" w:ascii="Times New Roman" w:hAnsi="Times New Roman" w:eastAsia="宋体" w:cs="Times New Roman"/>
          <w:snapToGrid w:val="0"/>
          <w:color w:val="auto"/>
          <w:sz w:val="24"/>
        </w:rPr>
        <w:instrText xml:space="preserve"> HYPERLINK "http://baike.baidu.com/view/1012701.htm" \t "_blank" </w:instrText>
      </w:r>
      <w:r>
        <w:rPr>
          <w:rFonts w:hint="default" w:ascii="Times New Roman" w:hAnsi="Times New Roman" w:eastAsia="宋体" w:cs="Times New Roman"/>
          <w:snapToGrid w:val="0"/>
          <w:color w:val="auto"/>
          <w:sz w:val="24"/>
        </w:rPr>
        <w:fldChar w:fldCharType="separate"/>
      </w:r>
      <w:r>
        <w:rPr>
          <w:rStyle w:val="70"/>
          <w:rFonts w:hint="default" w:ascii="Times New Roman" w:hAnsi="Times New Roman" w:eastAsia="宋体" w:cs="Times New Roman"/>
          <w:bCs/>
          <w:snapToGrid w:val="0"/>
          <w:color w:val="auto"/>
          <w:sz w:val="24"/>
          <w:u w:val="none"/>
        </w:rPr>
        <w:t>高密度聚乙烯</w:t>
      </w:r>
      <w:r>
        <w:rPr>
          <w:rFonts w:hint="default" w:ascii="Times New Roman" w:hAnsi="Times New Roman" w:eastAsia="宋体" w:cs="Times New Roman"/>
          <w:snapToGrid w:val="0"/>
          <w:color w:val="auto"/>
          <w:sz w:val="24"/>
        </w:rPr>
        <w:fldChar w:fldCharType="end"/>
      </w:r>
      <w:r>
        <w:rPr>
          <w:rFonts w:hint="default" w:ascii="Times New Roman" w:hAnsi="Times New Roman" w:eastAsia="宋体" w:cs="Times New Roman"/>
          <w:snapToGrid w:val="0"/>
          <w:color w:val="auto"/>
          <w:sz w:val="24"/>
        </w:rPr>
        <w:t>，或至少2毫米厚的其它人工材料，渗透系数≤10</w:t>
      </w:r>
      <w:r>
        <w:rPr>
          <w:rFonts w:hint="default" w:ascii="Times New Roman" w:hAnsi="Times New Roman" w:eastAsia="宋体" w:cs="Times New Roman"/>
          <w:snapToGrid w:val="0"/>
          <w:color w:val="auto"/>
          <w:sz w:val="24"/>
          <w:vertAlign w:val="superscript"/>
        </w:rPr>
        <w:t>-10</w:t>
      </w:r>
      <w:r>
        <w:rPr>
          <w:rFonts w:hint="default" w:ascii="Times New Roman" w:hAnsi="Times New Roman" w:eastAsia="宋体" w:cs="Times New Roman"/>
          <w:snapToGrid w:val="0"/>
          <w:color w:val="auto"/>
          <w:sz w:val="24"/>
        </w:rPr>
        <w:t>厘米/秒，确保</w:t>
      </w:r>
      <w:r>
        <w:rPr>
          <w:rFonts w:hint="default" w:ascii="Times New Roman" w:hAnsi="Times New Roman" w:eastAsia="宋体" w:cs="Times New Roman"/>
          <w:color w:val="auto"/>
          <w:sz w:val="24"/>
        </w:rPr>
        <w:t>处理的废水不会下渗入地下水造成地下水污染。危险废物暂存场严格按照《危险废物贮存污染控制标准》（GB18597-2001）</w:t>
      </w:r>
      <w:r>
        <w:rPr>
          <w:rFonts w:hint="default" w:ascii="Times New Roman" w:hAnsi="Times New Roman" w:eastAsia="宋体" w:cs="Times New Roman"/>
          <w:snapToGrid w:val="0"/>
          <w:color w:val="auto"/>
          <w:sz w:val="24"/>
        </w:rPr>
        <w:t>的规定设计建造，并由专人管理，</w:t>
      </w:r>
      <w:r>
        <w:rPr>
          <w:rFonts w:hint="default" w:ascii="Times New Roman" w:hAnsi="Times New Roman" w:eastAsia="宋体" w:cs="Times New Roman"/>
          <w:color w:val="auto"/>
          <w:sz w:val="24"/>
        </w:rPr>
        <w:t>正常情况不会对地下水质造成污染影响。</w:t>
      </w:r>
    </w:p>
    <w:p w14:paraId="347317C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加强项目运营期间的过程管理，从原料产品储存、生产、运输、污染处理设施等全过程控制，定期检查污染源项，及时消除污染隐患；发现有污染物泄漏或渗漏，采取清理污染物和修补漏洞（缝）等补救措施。</w:t>
      </w:r>
    </w:p>
    <w:p w14:paraId="35258D94">
      <w:pPr>
        <w:pStyle w:val="11"/>
        <w:adjustRightInd w:val="0"/>
        <w:snapToGrid w:val="0"/>
        <w:spacing w:before="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rPr>
        <w:t>5.2.4声环境影响预测与分析</w:t>
      </w:r>
    </w:p>
    <w:p w14:paraId="673BEAE9">
      <w:pPr>
        <w:adjustRightInd w:val="0"/>
        <w:snapToGrid w:val="0"/>
        <w:ind w:firstLine="482" w:firstLineChars="200"/>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（1）噪声源及源强</w:t>
      </w:r>
    </w:p>
    <w:p w14:paraId="4705AB40">
      <w:pPr>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项目主要噪声源为洗衣机、脱水机、烘干机、空压机等以及生产过程中的一些机械传动设备，噪声源强约70～85dB（A），噪声设备声压级见表</w:t>
      </w:r>
      <w:r>
        <w:rPr>
          <w:rFonts w:hint="eastAsia" w:ascii="Times New Roman" w:hAnsi="Times New Roman" w:cs="Times New Roman"/>
          <w:color w:val="auto"/>
          <w:lang w:val="en-US" w:eastAsia="zh-CN"/>
        </w:rPr>
        <w:t>5.2-16</w:t>
      </w:r>
      <w:r>
        <w:rPr>
          <w:rFonts w:hint="default" w:ascii="Times New Roman" w:hAnsi="Times New Roman" w:eastAsia="宋体" w:cs="Times New Roman"/>
          <w:color w:val="auto"/>
        </w:rPr>
        <w:t>。建设方拟采取隔声、减震等措施减少对周围环境干扰。</w:t>
      </w:r>
    </w:p>
    <w:p w14:paraId="5148479D">
      <w:pPr>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表5.2-</w:t>
      </w:r>
      <w:r>
        <w:rPr>
          <w:rFonts w:hint="eastAsia" w:ascii="Times New Roman" w:hAnsi="Times New Roman" w:cs="Times New Roman"/>
          <w:b/>
          <w:color w:val="auto"/>
          <w:szCs w:val="24"/>
          <w:lang w:val="en-US" w:eastAsia="zh-CN"/>
        </w:rPr>
        <w:t>16</w:t>
      </w:r>
      <w:r>
        <w:rPr>
          <w:rFonts w:hint="default" w:ascii="Times New Roman" w:hAnsi="Times New Roman" w:eastAsia="宋体" w:cs="Times New Roman"/>
          <w:b/>
          <w:color w:val="auto"/>
          <w:szCs w:val="24"/>
        </w:rPr>
        <w:t xml:space="preserve">  主要生产设备噪声源一览表</w:t>
      </w:r>
    </w:p>
    <w:tbl>
      <w:tblPr>
        <w:tblStyle w:val="67"/>
        <w:tblW w:w="85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97"/>
        <w:gridCol w:w="2078"/>
        <w:gridCol w:w="1576"/>
        <w:gridCol w:w="1419"/>
        <w:gridCol w:w="1351"/>
        <w:gridCol w:w="1407"/>
      </w:tblGrid>
      <w:tr w14:paraId="369B5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97" w:type="dxa"/>
            <w:vAlign w:val="center"/>
          </w:tcPr>
          <w:p w14:paraId="6E000BC0">
            <w:pPr>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序号</w:t>
            </w:r>
          </w:p>
        </w:tc>
        <w:tc>
          <w:tcPr>
            <w:tcW w:w="2078" w:type="dxa"/>
            <w:vAlign w:val="center"/>
          </w:tcPr>
          <w:p w14:paraId="579EAA43">
            <w:pPr>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声源</w:t>
            </w:r>
          </w:p>
        </w:tc>
        <w:tc>
          <w:tcPr>
            <w:tcW w:w="1576" w:type="dxa"/>
            <w:vAlign w:val="center"/>
          </w:tcPr>
          <w:p w14:paraId="6F65B5C8">
            <w:pPr>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数量（台/套）</w:t>
            </w:r>
          </w:p>
        </w:tc>
        <w:tc>
          <w:tcPr>
            <w:tcW w:w="1419" w:type="dxa"/>
            <w:vAlign w:val="center"/>
          </w:tcPr>
          <w:p w14:paraId="08A2C61D">
            <w:pPr>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噪声源强dB（A）</w:t>
            </w:r>
          </w:p>
        </w:tc>
        <w:tc>
          <w:tcPr>
            <w:tcW w:w="1351" w:type="dxa"/>
            <w:vAlign w:val="center"/>
          </w:tcPr>
          <w:p w14:paraId="561D07CF">
            <w:pPr>
              <w:pStyle w:val="1240"/>
              <w:spacing w:line="240" w:lineRule="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采取的治理措施</w:t>
            </w:r>
          </w:p>
        </w:tc>
        <w:tc>
          <w:tcPr>
            <w:tcW w:w="1407" w:type="dxa"/>
            <w:vAlign w:val="center"/>
          </w:tcPr>
          <w:p w14:paraId="3815EA32">
            <w:pPr>
              <w:pStyle w:val="1240"/>
              <w:spacing w:line="240" w:lineRule="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处理后声级dB(A)</w:t>
            </w:r>
          </w:p>
        </w:tc>
      </w:tr>
      <w:tr w14:paraId="3D7B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19D69D99">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1</w:t>
            </w:r>
          </w:p>
        </w:tc>
        <w:tc>
          <w:tcPr>
            <w:tcW w:w="2078" w:type="dxa"/>
            <w:vAlign w:val="center"/>
          </w:tcPr>
          <w:p w14:paraId="01A29577">
            <w:pPr>
              <w:spacing w:beforeLines="0" w:afterLines="0"/>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sz w:val="21"/>
                <w:szCs w:val="21"/>
              </w:rPr>
              <w:t>电脑平缝机</w:t>
            </w:r>
          </w:p>
        </w:tc>
        <w:tc>
          <w:tcPr>
            <w:tcW w:w="1576" w:type="dxa"/>
            <w:vAlign w:val="center"/>
          </w:tcPr>
          <w:p w14:paraId="1C3D8214">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lang w:val="en-US" w:eastAsia="zh-CN"/>
              </w:rPr>
              <w:t>160</w:t>
            </w:r>
          </w:p>
        </w:tc>
        <w:tc>
          <w:tcPr>
            <w:tcW w:w="1419" w:type="dxa"/>
            <w:vAlign w:val="center"/>
          </w:tcPr>
          <w:p w14:paraId="5379FB2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70</w:t>
            </w:r>
          </w:p>
        </w:tc>
        <w:tc>
          <w:tcPr>
            <w:tcW w:w="1351" w:type="dxa"/>
            <w:vMerge w:val="restart"/>
            <w:vAlign w:val="center"/>
          </w:tcPr>
          <w:p w14:paraId="04A8B4D0">
            <w:pPr>
              <w:spacing w:line="240" w:lineRule="auto"/>
              <w:jc w:val="center"/>
              <w:rPr>
                <w:rFonts w:hint="default" w:ascii="Times New Roman" w:hAnsi="Times New Roman" w:eastAsia="宋体" w:cs="Times New Roman"/>
                <w:color w:val="auto"/>
                <w:kern w:val="0"/>
                <w:sz w:val="21"/>
                <w:lang w:eastAsia="zh-CN"/>
              </w:rPr>
            </w:pPr>
          </w:p>
          <w:p w14:paraId="1E47C92C">
            <w:pPr>
              <w:spacing w:line="240" w:lineRule="auto"/>
              <w:jc w:val="center"/>
              <w:rPr>
                <w:rFonts w:hint="default" w:ascii="Times New Roman" w:hAnsi="Times New Roman" w:eastAsia="宋体" w:cs="Times New Roman"/>
                <w:color w:val="auto"/>
                <w:kern w:val="0"/>
                <w:sz w:val="21"/>
                <w:lang w:eastAsia="zh-CN"/>
              </w:rPr>
            </w:pPr>
          </w:p>
          <w:p w14:paraId="57791B2A">
            <w:pPr>
              <w:spacing w:line="240" w:lineRule="auto"/>
              <w:jc w:val="center"/>
              <w:rPr>
                <w:rFonts w:hint="default" w:ascii="Times New Roman" w:hAnsi="Times New Roman" w:eastAsia="宋体" w:cs="Times New Roman"/>
                <w:color w:val="auto"/>
                <w:kern w:val="0"/>
                <w:sz w:val="21"/>
                <w:lang w:eastAsia="zh-CN"/>
              </w:rPr>
            </w:pPr>
          </w:p>
          <w:p w14:paraId="40B7D604">
            <w:pPr>
              <w:spacing w:line="240" w:lineRule="auto"/>
              <w:jc w:val="center"/>
              <w:rPr>
                <w:rFonts w:hint="default" w:ascii="Times New Roman" w:hAnsi="Times New Roman" w:eastAsia="宋体" w:cs="Times New Roman"/>
                <w:color w:val="auto"/>
                <w:kern w:val="0"/>
                <w:sz w:val="21"/>
                <w:lang w:eastAsia="zh-CN"/>
              </w:rPr>
            </w:pPr>
          </w:p>
          <w:p w14:paraId="7669ECD8">
            <w:pPr>
              <w:spacing w:line="240" w:lineRule="auto"/>
              <w:jc w:val="center"/>
              <w:rPr>
                <w:rFonts w:hint="default" w:ascii="Times New Roman" w:hAnsi="Times New Roman" w:eastAsia="宋体" w:cs="Times New Roman"/>
                <w:color w:val="auto"/>
                <w:kern w:val="0"/>
                <w:sz w:val="21"/>
                <w:lang w:eastAsia="zh-CN"/>
              </w:rPr>
            </w:pPr>
          </w:p>
          <w:p w14:paraId="710CC446">
            <w:pPr>
              <w:spacing w:line="240" w:lineRule="auto"/>
              <w:jc w:val="center"/>
              <w:rPr>
                <w:rFonts w:hint="default" w:ascii="Times New Roman" w:hAnsi="Times New Roman" w:eastAsia="宋体" w:cs="Times New Roman"/>
                <w:color w:val="auto"/>
                <w:kern w:val="0"/>
                <w:sz w:val="21"/>
                <w:lang w:eastAsia="zh-CN"/>
              </w:rPr>
            </w:pPr>
          </w:p>
          <w:p w14:paraId="3BE1BD52">
            <w:pPr>
              <w:spacing w:line="240" w:lineRule="auto"/>
              <w:jc w:val="center"/>
              <w:rPr>
                <w:rFonts w:hint="default" w:ascii="Times New Roman" w:hAnsi="Times New Roman" w:eastAsia="宋体" w:cs="Times New Roman"/>
                <w:color w:val="auto"/>
                <w:kern w:val="0"/>
                <w:sz w:val="21"/>
                <w:lang w:eastAsia="zh-CN"/>
              </w:rPr>
            </w:pPr>
          </w:p>
          <w:p w14:paraId="5CB19947">
            <w:pPr>
              <w:spacing w:line="240" w:lineRule="auto"/>
              <w:jc w:val="center"/>
              <w:rPr>
                <w:rFonts w:hint="default" w:ascii="Times New Roman" w:hAnsi="Times New Roman" w:eastAsia="宋体" w:cs="Times New Roman"/>
                <w:color w:val="auto"/>
                <w:kern w:val="0"/>
                <w:sz w:val="21"/>
                <w:lang w:eastAsia="zh-CN"/>
              </w:rPr>
            </w:pPr>
          </w:p>
          <w:p w14:paraId="2EB375D2">
            <w:pPr>
              <w:spacing w:line="240" w:lineRule="auto"/>
              <w:jc w:val="center"/>
              <w:rPr>
                <w:rFonts w:hint="default" w:ascii="Times New Roman" w:hAnsi="Times New Roman" w:eastAsia="宋体" w:cs="Times New Roman"/>
                <w:color w:val="auto"/>
                <w:kern w:val="0"/>
                <w:sz w:val="21"/>
                <w:lang w:eastAsia="zh-CN"/>
              </w:rPr>
            </w:pPr>
          </w:p>
          <w:p w14:paraId="35F3DB6C">
            <w:pPr>
              <w:spacing w:line="240" w:lineRule="auto"/>
              <w:jc w:val="center"/>
              <w:rPr>
                <w:rFonts w:hint="default" w:ascii="Times New Roman" w:hAnsi="Times New Roman" w:eastAsia="宋体" w:cs="Times New Roman"/>
                <w:color w:val="auto"/>
                <w:kern w:val="0"/>
                <w:sz w:val="21"/>
                <w:lang w:eastAsia="zh-CN"/>
              </w:rPr>
            </w:pPr>
          </w:p>
          <w:p w14:paraId="162AF09D">
            <w:pPr>
              <w:spacing w:line="240" w:lineRule="auto"/>
              <w:jc w:val="center"/>
              <w:rPr>
                <w:rFonts w:hint="default" w:ascii="Times New Roman" w:hAnsi="Times New Roman" w:eastAsia="宋体" w:cs="Times New Roman"/>
                <w:color w:val="auto"/>
                <w:kern w:val="0"/>
                <w:sz w:val="21"/>
                <w:lang w:eastAsia="zh-CN"/>
              </w:rPr>
            </w:pPr>
          </w:p>
          <w:p w14:paraId="2D20830B">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lang w:eastAsia="zh-CN"/>
              </w:rPr>
              <w:t>设置于</w:t>
            </w:r>
            <w:r>
              <w:rPr>
                <w:rFonts w:hint="default" w:ascii="Times New Roman" w:hAnsi="Times New Roman" w:eastAsia="宋体" w:cs="Times New Roman"/>
                <w:color w:val="auto"/>
                <w:kern w:val="0"/>
                <w:sz w:val="21"/>
              </w:rPr>
              <w:t>室内、基础减振</w:t>
            </w:r>
          </w:p>
        </w:tc>
        <w:tc>
          <w:tcPr>
            <w:tcW w:w="1407" w:type="dxa"/>
            <w:vAlign w:val="center"/>
          </w:tcPr>
          <w:p w14:paraId="68135736">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50</w:t>
            </w:r>
          </w:p>
        </w:tc>
      </w:tr>
      <w:tr w14:paraId="355D2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696BC33A">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2</w:t>
            </w:r>
          </w:p>
        </w:tc>
        <w:tc>
          <w:tcPr>
            <w:tcW w:w="2078" w:type="dxa"/>
            <w:vAlign w:val="center"/>
          </w:tcPr>
          <w:p w14:paraId="066F60E0">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三线包缝机</w:t>
            </w:r>
          </w:p>
        </w:tc>
        <w:tc>
          <w:tcPr>
            <w:tcW w:w="1576" w:type="dxa"/>
            <w:vAlign w:val="center"/>
          </w:tcPr>
          <w:p w14:paraId="39C6A7CC">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lang w:val="en-US" w:eastAsia="zh-CN"/>
              </w:rPr>
              <w:t>16</w:t>
            </w:r>
          </w:p>
        </w:tc>
        <w:tc>
          <w:tcPr>
            <w:tcW w:w="1419" w:type="dxa"/>
            <w:vAlign w:val="center"/>
          </w:tcPr>
          <w:p w14:paraId="7014511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szCs w:val="21"/>
              </w:rPr>
              <w:t>85</w:t>
            </w:r>
          </w:p>
        </w:tc>
        <w:tc>
          <w:tcPr>
            <w:tcW w:w="1351" w:type="dxa"/>
            <w:vMerge w:val="continue"/>
            <w:vAlign w:val="center"/>
          </w:tcPr>
          <w:p w14:paraId="1A15550C">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29740CEB">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65</w:t>
            </w:r>
          </w:p>
        </w:tc>
      </w:tr>
      <w:tr w14:paraId="3D74A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18526F11">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3</w:t>
            </w:r>
          </w:p>
        </w:tc>
        <w:tc>
          <w:tcPr>
            <w:tcW w:w="2078" w:type="dxa"/>
            <w:vAlign w:val="center"/>
          </w:tcPr>
          <w:p w14:paraId="7BD291CC">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五线包缝机</w:t>
            </w:r>
          </w:p>
        </w:tc>
        <w:tc>
          <w:tcPr>
            <w:tcW w:w="1576" w:type="dxa"/>
            <w:vAlign w:val="center"/>
          </w:tcPr>
          <w:p w14:paraId="6AA90FB3">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lang w:val="en-US" w:eastAsia="zh-CN"/>
              </w:rPr>
              <w:t>16</w:t>
            </w:r>
          </w:p>
        </w:tc>
        <w:tc>
          <w:tcPr>
            <w:tcW w:w="1419" w:type="dxa"/>
            <w:vAlign w:val="center"/>
          </w:tcPr>
          <w:p w14:paraId="1B045A2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szCs w:val="21"/>
              </w:rPr>
              <w:t>80</w:t>
            </w:r>
          </w:p>
        </w:tc>
        <w:tc>
          <w:tcPr>
            <w:tcW w:w="1351" w:type="dxa"/>
            <w:vMerge w:val="continue"/>
            <w:vAlign w:val="center"/>
          </w:tcPr>
          <w:p w14:paraId="76FA82F3">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44CBE4B1">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60</w:t>
            </w:r>
          </w:p>
        </w:tc>
      </w:tr>
      <w:tr w14:paraId="26AA6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0A92E9E5">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4</w:t>
            </w:r>
          </w:p>
        </w:tc>
        <w:tc>
          <w:tcPr>
            <w:tcW w:w="2078" w:type="dxa"/>
            <w:vAlign w:val="center"/>
          </w:tcPr>
          <w:p w14:paraId="40E30FDB">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切刀平缝机</w:t>
            </w:r>
          </w:p>
        </w:tc>
        <w:tc>
          <w:tcPr>
            <w:tcW w:w="1576" w:type="dxa"/>
            <w:vAlign w:val="center"/>
          </w:tcPr>
          <w:p w14:paraId="5915566B">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lang w:val="en-US" w:eastAsia="zh-CN"/>
              </w:rPr>
              <w:t>13</w:t>
            </w:r>
          </w:p>
        </w:tc>
        <w:tc>
          <w:tcPr>
            <w:tcW w:w="1419" w:type="dxa"/>
            <w:vAlign w:val="center"/>
          </w:tcPr>
          <w:p w14:paraId="5BE69BC9">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85</w:t>
            </w:r>
          </w:p>
        </w:tc>
        <w:tc>
          <w:tcPr>
            <w:tcW w:w="1351" w:type="dxa"/>
            <w:vMerge w:val="continue"/>
            <w:vAlign w:val="center"/>
          </w:tcPr>
          <w:p w14:paraId="7282A814">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50FBC11B">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65</w:t>
            </w:r>
          </w:p>
        </w:tc>
      </w:tr>
      <w:tr w14:paraId="0BA452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2C03966C">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5</w:t>
            </w:r>
          </w:p>
        </w:tc>
        <w:tc>
          <w:tcPr>
            <w:tcW w:w="2078" w:type="dxa"/>
            <w:vAlign w:val="center"/>
          </w:tcPr>
          <w:p w14:paraId="3AF69C21">
            <w:pPr>
              <w:spacing w:beforeLines="0" w:afterLines="0"/>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sz w:val="21"/>
                <w:szCs w:val="21"/>
              </w:rPr>
              <w:t>电子钉扣机</w:t>
            </w:r>
          </w:p>
        </w:tc>
        <w:tc>
          <w:tcPr>
            <w:tcW w:w="1576" w:type="dxa"/>
            <w:vAlign w:val="center"/>
          </w:tcPr>
          <w:p w14:paraId="2700DCFA">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1</w:t>
            </w:r>
          </w:p>
        </w:tc>
        <w:tc>
          <w:tcPr>
            <w:tcW w:w="1419" w:type="dxa"/>
            <w:vAlign w:val="center"/>
          </w:tcPr>
          <w:p w14:paraId="242AF5CF">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szCs w:val="21"/>
              </w:rPr>
              <w:t>85</w:t>
            </w:r>
          </w:p>
        </w:tc>
        <w:tc>
          <w:tcPr>
            <w:tcW w:w="1351" w:type="dxa"/>
            <w:vMerge w:val="continue"/>
            <w:vAlign w:val="center"/>
          </w:tcPr>
          <w:p w14:paraId="0AB3B970">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6B91366D">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65</w:t>
            </w:r>
          </w:p>
        </w:tc>
      </w:tr>
      <w:tr w14:paraId="49884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746722B8">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6</w:t>
            </w:r>
          </w:p>
        </w:tc>
        <w:tc>
          <w:tcPr>
            <w:tcW w:w="2078" w:type="dxa"/>
            <w:vAlign w:val="center"/>
          </w:tcPr>
          <w:p w14:paraId="7BF0F06B">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电子套结机</w:t>
            </w:r>
          </w:p>
        </w:tc>
        <w:tc>
          <w:tcPr>
            <w:tcW w:w="1576" w:type="dxa"/>
            <w:vAlign w:val="center"/>
          </w:tcPr>
          <w:p w14:paraId="519615AA">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lang w:val="en-US" w:eastAsia="zh-CN"/>
              </w:rPr>
              <w:t>2</w:t>
            </w:r>
          </w:p>
        </w:tc>
        <w:tc>
          <w:tcPr>
            <w:tcW w:w="1419" w:type="dxa"/>
            <w:vAlign w:val="center"/>
          </w:tcPr>
          <w:p w14:paraId="7E94D5D2">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szCs w:val="21"/>
              </w:rPr>
              <w:t>80</w:t>
            </w:r>
          </w:p>
        </w:tc>
        <w:tc>
          <w:tcPr>
            <w:tcW w:w="1351" w:type="dxa"/>
            <w:vMerge w:val="continue"/>
            <w:vAlign w:val="center"/>
          </w:tcPr>
          <w:p w14:paraId="52B5D8E4">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7AA48D82">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60</w:t>
            </w:r>
          </w:p>
        </w:tc>
      </w:tr>
      <w:tr w14:paraId="7419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3D759A4C">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7</w:t>
            </w:r>
          </w:p>
        </w:tc>
        <w:tc>
          <w:tcPr>
            <w:tcW w:w="2078" w:type="dxa"/>
            <w:vAlign w:val="center"/>
          </w:tcPr>
          <w:p w14:paraId="12C356CD">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平头锁眼机</w:t>
            </w:r>
          </w:p>
        </w:tc>
        <w:tc>
          <w:tcPr>
            <w:tcW w:w="1576" w:type="dxa"/>
            <w:vAlign w:val="center"/>
          </w:tcPr>
          <w:p w14:paraId="1C85BA5E">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lang w:val="en-US" w:eastAsia="zh-CN"/>
              </w:rPr>
              <w:t>2</w:t>
            </w:r>
          </w:p>
        </w:tc>
        <w:tc>
          <w:tcPr>
            <w:tcW w:w="1419" w:type="dxa"/>
            <w:vAlign w:val="center"/>
          </w:tcPr>
          <w:p w14:paraId="3469C00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80</w:t>
            </w:r>
          </w:p>
        </w:tc>
        <w:tc>
          <w:tcPr>
            <w:tcW w:w="1351" w:type="dxa"/>
            <w:vMerge w:val="continue"/>
            <w:vAlign w:val="center"/>
          </w:tcPr>
          <w:p w14:paraId="0622EC20">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471A387E">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60</w:t>
            </w:r>
          </w:p>
        </w:tc>
      </w:tr>
      <w:tr w14:paraId="20808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7C7E56CF">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8</w:t>
            </w:r>
          </w:p>
        </w:tc>
        <w:tc>
          <w:tcPr>
            <w:tcW w:w="2078" w:type="dxa"/>
            <w:vAlign w:val="center"/>
          </w:tcPr>
          <w:p w14:paraId="4B9A86F0">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粘合机</w:t>
            </w:r>
          </w:p>
        </w:tc>
        <w:tc>
          <w:tcPr>
            <w:tcW w:w="1576" w:type="dxa"/>
            <w:vAlign w:val="center"/>
          </w:tcPr>
          <w:p w14:paraId="20D64489">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lang w:val="en-US" w:eastAsia="zh-CN"/>
              </w:rPr>
              <w:t>2</w:t>
            </w:r>
          </w:p>
        </w:tc>
        <w:tc>
          <w:tcPr>
            <w:tcW w:w="1419" w:type="dxa"/>
            <w:vAlign w:val="center"/>
          </w:tcPr>
          <w:p w14:paraId="52959DEB">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70</w:t>
            </w:r>
          </w:p>
        </w:tc>
        <w:tc>
          <w:tcPr>
            <w:tcW w:w="1351" w:type="dxa"/>
            <w:vMerge w:val="continue"/>
            <w:vAlign w:val="center"/>
          </w:tcPr>
          <w:p w14:paraId="55BB9403">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3C2FDA00">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50</w:t>
            </w:r>
          </w:p>
        </w:tc>
      </w:tr>
      <w:tr w14:paraId="7F465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45E8B172">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9</w:t>
            </w:r>
          </w:p>
        </w:tc>
        <w:tc>
          <w:tcPr>
            <w:tcW w:w="2078" w:type="dxa"/>
            <w:vAlign w:val="center"/>
          </w:tcPr>
          <w:p w14:paraId="0C0C64B6">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自动模板机</w:t>
            </w:r>
          </w:p>
        </w:tc>
        <w:tc>
          <w:tcPr>
            <w:tcW w:w="1576" w:type="dxa"/>
            <w:vAlign w:val="center"/>
          </w:tcPr>
          <w:p w14:paraId="3A3530B9">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rPr>
              <w:t>4</w:t>
            </w:r>
          </w:p>
        </w:tc>
        <w:tc>
          <w:tcPr>
            <w:tcW w:w="1419" w:type="dxa"/>
            <w:vAlign w:val="center"/>
          </w:tcPr>
          <w:p w14:paraId="304E953E">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85</w:t>
            </w:r>
          </w:p>
        </w:tc>
        <w:tc>
          <w:tcPr>
            <w:tcW w:w="1351" w:type="dxa"/>
            <w:vMerge w:val="continue"/>
            <w:vAlign w:val="center"/>
          </w:tcPr>
          <w:p w14:paraId="569DF5F0">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368973DB">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65</w:t>
            </w:r>
          </w:p>
        </w:tc>
      </w:tr>
      <w:tr w14:paraId="4CF03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02800AD4">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10</w:t>
            </w:r>
          </w:p>
        </w:tc>
        <w:tc>
          <w:tcPr>
            <w:tcW w:w="2078" w:type="dxa"/>
            <w:vAlign w:val="center"/>
          </w:tcPr>
          <w:p w14:paraId="69D1BC1E">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模板切割机</w:t>
            </w:r>
          </w:p>
        </w:tc>
        <w:tc>
          <w:tcPr>
            <w:tcW w:w="1576" w:type="dxa"/>
            <w:vAlign w:val="center"/>
          </w:tcPr>
          <w:p w14:paraId="51E72D41">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rPr>
              <w:t>1</w:t>
            </w:r>
          </w:p>
        </w:tc>
        <w:tc>
          <w:tcPr>
            <w:tcW w:w="1419" w:type="dxa"/>
            <w:vAlign w:val="center"/>
          </w:tcPr>
          <w:p w14:paraId="48A8C53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80</w:t>
            </w:r>
          </w:p>
        </w:tc>
        <w:tc>
          <w:tcPr>
            <w:tcW w:w="1351" w:type="dxa"/>
            <w:vMerge w:val="continue"/>
            <w:vAlign w:val="center"/>
          </w:tcPr>
          <w:p w14:paraId="48E463A3">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3B3A3DA4">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60</w:t>
            </w:r>
          </w:p>
        </w:tc>
      </w:tr>
      <w:tr w14:paraId="273BE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39D23B48">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11</w:t>
            </w:r>
          </w:p>
        </w:tc>
        <w:tc>
          <w:tcPr>
            <w:tcW w:w="2078" w:type="dxa"/>
            <w:vAlign w:val="center"/>
          </w:tcPr>
          <w:p w14:paraId="202DDC61">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平板切割机</w:t>
            </w:r>
          </w:p>
        </w:tc>
        <w:tc>
          <w:tcPr>
            <w:tcW w:w="1576" w:type="dxa"/>
            <w:vAlign w:val="center"/>
          </w:tcPr>
          <w:p w14:paraId="159551B9">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rPr>
              <w:t>1</w:t>
            </w:r>
          </w:p>
        </w:tc>
        <w:tc>
          <w:tcPr>
            <w:tcW w:w="1419" w:type="dxa"/>
            <w:vAlign w:val="center"/>
          </w:tcPr>
          <w:p w14:paraId="43028EB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85</w:t>
            </w:r>
          </w:p>
        </w:tc>
        <w:tc>
          <w:tcPr>
            <w:tcW w:w="1351" w:type="dxa"/>
            <w:vMerge w:val="continue"/>
            <w:vAlign w:val="center"/>
          </w:tcPr>
          <w:p w14:paraId="167A972B">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1095D1E2">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65</w:t>
            </w:r>
          </w:p>
        </w:tc>
      </w:tr>
      <w:tr w14:paraId="7C272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781CF869">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12</w:t>
            </w:r>
          </w:p>
        </w:tc>
        <w:tc>
          <w:tcPr>
            <w:tcW w:w="2078" w:type="dxa"/>
            <w:vAlign w:val="center"/>
          </w:tcPr>
          <w:p w14:paraId="5E232D73">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rPr>
              <w:t>活塞空压机</w:t>
            </w:r>
          </w:p>
        </w:tc>
        <w:tc>
          <w:tcPr>
            <w:tcW w:w="1576" w:type="dxa"/>
            <w:vAlign w:val="center"/>
          </w:tcPr>
          <w:p w14:paraId="297A34BE">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rPr>
              <w:t>1</w:t>
            </w:r>
          </w:p>
        </w:tc>
        <w:tc>
          <w:tcPr>
            <w:tcW w:w="1419" w:type="dxa"/>
            <w:vAlign w:val="center"/>
          </w:tcPr>
          <w:p w14:paraId="6DC0DD1A">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85</w:t>
            </w:r>
          </w:p>
        </w:tc>
        <w:tc>
          <w:tcPr>
            <w:tcW w:w="1351" w:type="dxa"/>
            <w:vMerge w:val="continue"/>
            <w:vAlign w:val="center"/>
          </w:tcPr>
          <w:p w14:paraId="1A71B25B">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00EDB708">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65</w:t>
            </w:r>
          </w:p>
        </w:tc>
      </w:tr>
      <w:tr w14:paraId="022D9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1C16879D">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13</w:t>
            </w:r>
          </w:p>
        </w:tc>
        <w:tc>
          <w:tcPr>
            <w:tcW w:w="2078" w:type="dxa"/>
            <w:vAlign w:val="center"/>
          </w:tcPr>
          <w:p w14:paraId="14E91EA3">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lang w:eastAsia="zh-CN"/>
              </w:rPr>
              <w:t>工业洗衣机</w:t>
            </w:r>
          </w:p>
        </w:tc>
        <w:tc>
          <w:tcPr>
            <w:tcW w:w="1576" w:type="dxa"/>
            <w:vAlign w:val="center"/>
          </w:tcPr>
          <w:p w14:paraId="791762D1">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lang w:val="en-US" w:eastAsia="zh-CN"/>
              </w:rPr>
              <w:t>2</w:t>
            </w:r>
          </w:p>
        </w:tc>
        <w:tc>
          <w:tcPr>
            <w:tcW w:w="1419" w:type="dxa"/>
            <w:vAlign w:val="center"/>
          </w:tcPr>
          <w:p w14:paraId="203F3E0F">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80</w:t>
            </w:r>
          </w:p>
        </w:tc>
        <w:tc>
          <w:tcPr>
            <w:tcW w:w="1351" w:type="dxa"/>
            <w:vMerge w:val="continue"/>
            <w:vAlign w:val="center"/>
          </w:tcPr>
          <w:p w14:paraId="4DE66685">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0806522A">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60</w:t>
            </w:r>
          </w:p>
        </w:tc>
      </w:tr>
      <w:tr w14:paraId="74DE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1B08AFE7">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14</w:t>
            </w:r>
          </w:p>
        </w:tc>
        <w:tc>
          <w:tcPr>
            <w:tcW w:w="2078" w:type="dxa"/>
            <w:vAlign w:val="center"/>
          </w:tcPr>
          <w:p w14:paraId="593544CB">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lang w:eastAsia="zh-CN"/>
              </w:rPr>
              <w:t>工业烘干机</w:t>
            </w:r>
          </w:p>
        </w:tc>
        <w:tc>
          <w:tcPr>
            <w:tcW w:w="1576" w:type="dxa"/>
            <w:vAlign w:val="center"/>
          </w:tcPr>
          <w:p w14:paraId="25871086">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lang w:val="en-US" w:eastAsia="zh-CN"/>
              </w:rPr>
              <w:t>3</w:t>
            </w:r>
          </w:p>
        </w:tc>
        <w:tc>
          <w:tcPr>
            <w:tcW w:w="1419" w:type="dxa"/>
            <w:vAlign w:val="center"/>
          </w:tcPr>
          <w:p w14:paraId="758CFE54">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80</w:t>
            </w:r>
          </w:p>
        </w:tc>
        <w:tc>
          <w:tcPr>
            <w:tcW w:w="1351" w:type="dxa"/>
            <w:vMerge w:val="continue"/>
            <w:vAlign w:val="center"/>
          </w:tcPr>
          <w:p w14:paraId="51167FDE">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08BE842F">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60</w:t>
            </w:r>
          </w:p>
        </w:tc>
      </w:tr>
      <w:tr w14:paraId="4855E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97" w:type="dxa"/>
            <w:vAlign w:val="center"/>
          </w:tcPr>
          <w:p w14:paraId="1A849F61">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14</w:t>
            </w:r>
          </w:p>
        </w:tc>
        <w:tc>
          <w:tcPr>
            <w:tcW w:w="2078" w:type="dxa"/>
            <w:vAlign w:val="center"/>
          </w:tcPr>
          <w:p w14:paraId="37B01850">
            <w:pPr>
              <w:spacing w:beforeLines="0" w:afterLines="0"/>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sz w:val="21"/>
                <w:szCs w:val="21"/>
                <w:lang w:eastAsia="zh-CN"/>
              </w:rPr>
              <w:t>工业脱水机</w:t>
            </w:r>
          </w:p>
        </w:tc>
        <w:tc>
          <w:tcPr>
            <w:tcW w:w="1576" w:type="dxa"/>
            <w:vAlign w:val="center"/>
          </w:tcPr>
          <w:p w14:paraId="362F5CA5">
            <w:pPr>
              <w:spacing w:beforeLines="0" w:afterLines="0"/>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sz w:val="21"/>
                <w:szCs w:val="21"/>
                <w:lang w:val="en-US" w:eastAsia="zh-CN"/>
              </w:rPr>
              <w:t>1</w:t>
            </w:r>
          </w:p>
        </w:tc>
        <w:tc>
          <w:tcPr>
            <w:tcW w:w="1419" w:type="dxa"/>
            <w:vAlign w:val="center"/>
          </w:tcPr>
          <w:p w14:paraId="79148FD3">
            <w:pPr>
              <w:widowControl/>
              <w:overflowPunct w:val="0"/>
              <w:spacing w:line="240" w:lineRule="auto"/>
              <w:ind w:firstLine="0" w:firstLineChars="0"/>
              <w:jc w:val="center"/>
              <w:textAlignment w:val="baseline"/>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szCs w:val="21"/>
              </w:rPr>
              <w:t>80</w:t>
            </w:r>
          </w:p>
        </w:tc>
        <w:tc>
          <w:tcPr>
            <w:tcW w:w="1351" w:type="dxa"/>
            <w:vMerge w:val="continue"/>
            <w:vAlign w:val="center"/>
          </w:tcPr>
          <w:p w14:paraId="002D9881">
            <w:pPr>
              <w:spacing w:line="240" w:lineRule="auto"/>
              <w:jc w:val="center"/>
              <w:rPr>
                <w:rFonts w:hint="default" w:ascii="Times New Roman" w:hAnsi="Times New Roman" w:eastAsia="宋体" w:cs="Times New Roman"/>
                <w:color w:val="auto"/>
                <w:kern w:val="0"/>
                <w:sz w:val="21"/>
              </w:rPr>
            </w:pPr>
          </w:p>
        </w:tc>
        <w:tc>
          <w:tcPr>
            <w:tcW w:w="1407" w:type="dxa"/>
            <w:vAlign w:val="center"/>
          </w:tcPr>
          <w:p w14:paraId="3D3AABE9">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60</w:t>
            </w:r>
          </w:p>
        </w:tc>
      </w:tr>
      <w:tr w14:paraId="20353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21" w:type="dxa"/>
            <w:gridSpan w:val="5"/>
            <w:vAlign w:val="center"/>
          </w:tcPr>
          <w:p w14:paraId="3BC58AF5">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叠加值</w:t>
            </w:r>
          </w:p>
        </w:tc>
        <w:tc>
          <w:tcPr>
            <w:tcW w:w="1407" w:type="dxa"/>
            <w:vAlign w:val="center"/>
          </w:tcPr>
          <w:p w14:paraId="7015E892">
            <w:pPr>
              <w:spacing w:line="240" w:lineRule="auto"/>
              <w:jc w:val="center"/>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74.18</w:t>
            </w:r>
          </w:p>
        </w:tc>
      </w:tr>
    </w:tbl>
    <w:p w14:paraId="67FB159D">
      <w:pPr>
        <w:ind w:firstLine="482" w:firstLineChars="200"/>
        <w:rPr>
          <w:rFonts w:hint="default" w:ascii="Times New Roman" w:hAnsi="Times New Roman" w:eastAsia="宋体" w:cs="Times New Roman"/>
          <w:b/>
          <w:color w:val="auto"/>
          <w:szCs w:val="24"/>
        </w:rPr>
      </w:pPr>
      <w:bookmarkStart w:id="343" w:name="_Toc421915904"/>
      <w:bookmarkStart w:id="344" w:name="_Toc410033873"/>
      <w:bookmarkStart w:id="345" w:name="_Toc430201417"/>
      <w:bookmarkStart w:id="346" w:name="_Toc430953908"/>
      <w:bookmarkStart w:id="347" w:name="_Toc450603627"/>
      <w:bookmarkStart w:id="348" w:name="_Toc430953700"/>
      <w:r>
        <w:rPr>
          <w:rFonts w:hint="default" w:ascii="Times New Roman" w:hAnsi="Times New Roman" w:eastAsia="宋体" w:cs="Times New Roman"/>
          <w:b/>
          <w:color w:val="auto"/>
          <w:szCs w:val="24"/>
        </w:rPr>
        <w:t>（2）预测</w:t>
      </w:r>
      <w:bookmarkEnd w:id="343"/>
      <w:bookmarkEnd w:id="344"/>
      <w:bookmarkEnd w:id="345"/>
      <w:bookmarkEnd w:id="346"/>
      <w:bookmarkEnd w:id="347"/>
      <w:bookmarkEnd w:id="348"/>
      <w:r>
        <w:rPr>
          <w:rFonts w:hint="default" w:ascii="Times New Roman" w:hAnsi="Times New Roman" w:eastAsia="宋体" w:cs="Times New Roman"/>
          <w:b/>
          <w:color w:val="auto"/>
          <w:szCs w:val="24"/>
        </w:rPr>
        <w:t>模型及方法</w:t>
      </w:r>
    </w:p>
    <w:p w14:paraId="6981B3BA">
      <w:pPr>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本项目噪声源主要是分布在生产车间内，预测计算中，采用点声源等距离衰减预测模型，预测计算中主要公式有：</w:t>
      </w:r>
    </w:p>
    <w:p w14:paraId="04C59794">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a、噪声衰减预测模式</w:t>
      </w:r>
    </w:p>
    <w:p w14:paraId="093E0675">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噪声传播到受声点，受传播距离，空气吸收，阻挡物的反射与屏障等因素的影响而产生衰减。其预测模式如下：</w:t>
      </w:r>
    </w:p>
    <w:p w14:paraId="5431BF45">
      <w:pPr>
        <w:adjustRightInd w:val="0"/>
        <w:snapToGrid w:val="0"/>
        <w:ind w:firstLine="48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w:t>
      </w:r>
      <w:r>
        <w:rPr>
          <w:rFonts w:hint="default" w:ascii="Times New Roman" w:hAnsi="Times New Roman" w:eastAsia="宋体" w:cs="Times New Roman"/>
          <w:color w:val="auto"/>
          <w:szCs w:val="24"/>
          <w:vertAlign w:val="subscript"/>
        </w:rPr>
        <w:t>A</w:t>
      </w:r>
      <w:r>
        <w:rPr>
          <w:rFonts w:hint="default" w:ascii="Times New Roman" w:hAnsi="Times New Roman" w:eastAsia="宋体" w:cs="Times New Roman"/>
          <w:color w:val="auto"/>
          <w:szCs w:val="24"/>
        </w:rPr>
        <w:t>（r）=L</w:t>
      </w:r>
      <w:r>
        <w:rPr>
          <w:rFonts w:hint="default" w:ascii="Times New Roman" w:hAnsi="Times New Roman" w:eastAsia="宋体" w:cs="Times New Roman"/>
          <w:color w:val="auto"/>
          <w:szCs w:val="24"/>
          <w:vertAlign w:val="subscript"/>
        </w:rPr>
        <w:t>A</w:t>
      </w:r>
      <w:r>
        <w:rPr>
          <w:rFonts w:hint="default" w:ascii="Times New Roman" w:hAnsi="Times New Roman" w:eastAsia="宋体" w:cs="Times New Roman"/>
          <w:color w:val="auto"/>
          <w:szCs w:val="24"/>
        </w:rPr>
        <w:t>（r</w:t>
      </w:r>
      <w:r>
        <w:rPr>
          <w:rFonts w:hint="default" w:ascii="Times New Roman" w:hAnsi="Times New Roman" w:eastAsia="宋体" w:cs="Times New Roman"/>
          <w:color w:val="auto"/>
          <w:szCs w:val="24"/>
          <w:vertAlign w:val="subscript"/>
        </w:rPr>
        <w:t>0</w:t>
      </w:r>
      <w:r>
        <w:rPr>
          <w:rFonts w:hint="default" w:ascii="Times New Roman" w:hAnsi="Times New Roman" w:eastAsia="宋体" w:cs="Times New Roman"/>
          <w:color w:val="auto"/>
          <w:szCs w:val="24"/>
        </w:rPr>
        <w:t xml:space="preserve">）－A            </w:t>
      </w:r>
    </w:p>
    <w:p w14:paraId="2520CC96">
      <w:pPr>
        <w:adjustRightInd w:val="0"/>
        <w:snapToGrid w:val="0"/>
        <w:ind w:firstLine="48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A= A</w:t>
      </w:r>
      <w:r>
        <w:rPr>
          <w:rFonts w:hint="default" w:ascii="Times New Roman" w:hAnsi="Times New Roman" w:eastAsia="宋体" w:cs="Times New Roman"/>
          <w:color w:val="auto"/>
          <w:szCs w:val="24"/>
          <w:vertAlign w:val="subscript"/>
        </w:rPr>
        <w:t>div</w:t>
      </w:r>
      <w:r>
        <w:rPr>
          <w:rFonts w:hint="default" w:ascii="Times New Roman" w:hAnsi="Times New Roman" w:eastAsia="宋体" w:cs="Times New Roman"/>
          <w:color w:val="auto"/>
          <w:szCs w:val="24"/>
        </w:rPr>
        <w:t>+ A</w:t>
      </w:r>
      <w:r>
        <w:rPr>
          <w:rFonts w:hint="default" w:ascii="Times New Roman" w:hAnsi="Times New Roman" w:eastAsia="宋体" w:cs="Times New Roman"/>
          <w:color w:val="auto"/>
          <w:szCs w:val="24"/>
          <w:vertAlign w:val="subscript"/>
        </w:rPr>
        <w:t>bar</w:t>
      </w:r>
      <w:r>
        <w:rPr>
          <w:rFonts w:hint="default" w:ascii="Times New Roman" w:hAnsi="Times New Roman" w:eastAsia="宋体" w:cs="Times New Roman"/>
          <w:color w:val="auto"/>
          <w:szCs w:val="24"/>
        </w:rPr>
        <w:t>+A</w:t>
      </w:r>
      <w:r>
        <w:rPr>
          <w:rFonts w:hint="default" w:ascii="Times New Roman" w:hAnsi="Times New Roman" w:eastAsia="宋体" w:cs="Times New Roman"/>
          <w:color w:val="auto"/>
          <w:szCs w:val="24"/>
          <w:vertAlign w:val="subscript"/>
        </w:rPr>
        <w:t>atm</w:t>
      </w:r>
      <w:r>
        <w:rPr>
          <w:rFonts w:hint="default" w:ascii="Times New Roman" w:hAnsi="Times New Roman" w:eastAsia="宋体" w:cs="Times New Roman"/>
          <w:color w:val="auto"/>
          <w:szCs w:val="24"/>
        </w:rPr>
        <w:t>+A</w:t>
      </w:r>
      <w:r>
        <w:rPr>
          <w:rFonts w:hint="default" w:ascii="Times New Roman" w:hAnsi="Times New Roman" w:eastAsia="宋体" w:cs="Times New Roman"/>
          <w:color w:val="auto"/>
          <w:szCs w:val="24"/>
          <w:vertAlign w:val="subscript"/>
        </w:rPr>
        <w:t>gr</w:t>
      </w:r>
      <w:r>
        <w:rPr>
          <w:rFonts w:hint="default" w:ascii="Times New Roman" w:hAnsi="Times New Roman" w:eastAsia="宋体" w:cs="Times New Roman"/>
          <w:color w:val="auto"/>
          <w:szCs w:val="24"/>
        </w:rPr>
        <w:t>+ A</w:t>
      </w:r>
      <w:r>
        <w:rPr>
          <w:rFonts w:hint="default" w:ascii="Times New Roman" w:hAnsi="Times New Roman" w:eastAsia="宋体" w:cs="Times New Roman"/>
          <w:color w:val="auto"/>
          <w:szCs w:val="24"/>
          <w:vertAlign w:val="subscript"/>
        </w:rPr>
        <w:t xml:space="preserve">misc            </w:t>
      </w:r>
    </w:p>
    <w:p w14:paraId="3E40755B">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式中：L</w:t>
      </w:r>
      <w:r>
        <w:rPr>
          <w:rFonts w:hint="default" w:ascii="Times New Roman" w:hAnsi="Times New Roman" w:eastAsia="宋体" w:cs="Times New Roman"/>
          <w:color w:val="auto"/>
          <w:szCs w:val="24"/>
          <w:vertAlign w:val="subscript"/>
        </w:rPr>
        <w:t>A</w:t>
      </w:r>
      <w:r>
        <w:rPr>
          <w:rFonts w:hint="default" w:ascii="Times New Roman" w:hAnsi="Times New Roman" w:eastAsia="宋体" w:cs="Times New Roman"/>
          <w:color w:val="auto"/>
          <w:szCs w:val="24"/>
        </w:rPr>
        <w:t xml:space="preserve"> (r)－距声源r 处的A 声级，dB（A）；</w:t>
      </w:r>
    </w:p>
    <w:p w14:paraId="737C38B3">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w:t>
      </w:r>
      <w:r>
        <w:rPr>
          <w:rFonts w:hint="default" w:ascii="Times New Roman" w:hAnsi="Times New Roman" w:eastAsia="宋体" w:cs="Times New Roman"/>
          <w:color w:val="auto"/>
          <w:szCs w:val="24"/>
          <w:vertAlign w:val="subscript"/>
        </w:rPr>
        <w:t>A</w:t>
      </w:r>
      <w:r>
        <w:rPr>
          <w:rFonts w:hint="default" w:ascii="Times New Roman" w:hAnsi="Times New Roman" w:eastAsia="宋体" w:cs="Times New Roman"/>
          <w:color w:val="auto"/>
          <w:szCs w:val="24"/>
        </w:rPr>
        <w:t xml:space="preserve"> (r</w:t>
      </w:r>
      <w:r>
        <w:rPr>
          <w:rFonts w:hint="default" w:ascii="Times New Roman" w:hAnsi="Times New Roman" w:eastAsia="宋体" w:cs="Times New Roman"/>
          <w:color w:val="auto"/>
          <w:szCs w:val="24"/>
          <w:vertAlign w:val="subscript"/>
        </w:rPr>
        <w:t>0</w:t>
      </w:r>
      <w:r>
        <w:rPr>
          <w:rFonts w:hint="default" w:ascii="Times New Roman" w:hAnsi="Times New Roman" w:eastAsia="宋体" w:cs="Times New Roman"/>
          <w:color w:val="auto"/>
          <w:szCs w:val="24"/>
        </w:rPr>
        <w:t>)－参考位置r</w:t>
      </w:r>
      <w:r>
        <w:rPr>
          <w:rFonts w:hint="default" w:ascii="Times New Roman" w:hAnsi="Times New Roman" w:eastAsia="宋体" w:cs="Times New Roman"/>
          <w:color w:val="auto"/>
          <w:szCs w:val="24"/>
          <w:vertAlign w:val="subscript"/>
        </w:rPr>
        <w:t>0</w:t>
      </w:r>
      <w:r>
        <w:rPr>
          <w:rFonts w:hint="default" w:ascii="Times New Roman" w:hAnsi="Times New Roman" w:eastAsia="宋体" w:cs="Times New Roman"/>
          <w:color w:val="auto"/>
          <w:szCs w:val="24"/>
        </w:rPr>
        <w:t xml:space="preserve"> 处的A 声级，dB（A）；</w:t>
      </w:r>
    </w:p>
    <w:p w14:paraId="7C23DAB1">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A—倍频带衰减，dB；</w:t>
      </w:r>
    </w:p>
    <w:p w14:paraId="0B45C6D7">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A</w:t>
      </w:r>
      <w:r>
        <w:rPr>
          <w:rFonts w:hint="default" w:ascii="Times New Roman" w:hAnsi="Times New Roman" w:eastAsia="宋体" w:cs="Times New Roman"/>
          <w:color w:val="auto"/>
          <w:szCs w:val="24"/>
          <w:vertAlign w:val="subscript"/>
        </w:rPr>
        <w:t>div</w:t>
      </w:r>
      <w:r>
        <w:rPr>
          <w:rFonts w:hint="default" w:ascii="Times New Roman" w:hAnsi="Times New Roman" w:eastAsia="宋体" w:cs="Times New Roman"/>
          <w:color w:val="auto"/>
          <w:szCs w:val="24"/>
        </w:rPr>
        <w:t>－几何发散所引起的倍频带衰减，即距离所引起的衰减，无指向性点声源几何发散衰减的基本公式为：A</w:t>
      </w:r>
      <w:r>
        <w:rPr>
          <w:rFonts w:hint="default" w:ascii="Times New Roman" w:hAnsi="Times New Roman" w:eastAsia="宋体" w:cs="Times New Roman"/>
          <w:color w:val="auto"/>
          <w:szCs w:val="24"/>
          <w:vertAlign w:val="subscript"/>
        </w:rPr>
        <w:t>div</w:t>
      </w:r>
      <w:r>
        <w:rPr>
          <w:rFonts w:hint="default" w:ascii="Times New Roman" w:hAnsi="Times New Roman" w:eastAsia="宋体" w:cs="Times New Roman"/>
          <w:color w:val="auto"/>
          <w:szCs w:val="24"/>
        </w:rPr>
        <w:t>＝20 lg(r /r</w:t>
      </w:r>
      <w:r>
        <w:rPr>
          <w:rFonts w:hint="default" w:ascii="Times New Roman" w:hAnsi="Times New Roman" w:eastAsia="宋体" w:cs="Times New Roman"/>
          <w:color w:val="auto"/>
          <w:szCs w:val="24"/>
          <w:vertAlign w:val="subscript"/>
        </w:rPr>
        <w:t>0</w:t>
      </w:r>
      <w:r>
        <w:rPr>
          <w:rFonts w:hint="default" w:ascii="Times New Roman" w:hAnsi="Times New Roman" w:eastAsia="宋体" w:cs="Times New Roman"/>
          <w:color w:val="auto"/>
          <w:szCs w:val="24"/>
        </w:rPr>
        <w:t>)；</w:t>
      </w:r>
    </w:p>
    <w:p w14:paraId="3F8BF950">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A</w:t>
      </w:r>
      <w:r>
        <w:rPr>
          <w:rFonts w:hint="default" w:ascii="Times New Roman" w:hAnsi="Times New Roman" w:eastAsia="宋体" w:cs="Times New Roman"/>
          <w:color w:val="auto"/>
          <w:szCs w:val="24"/>
          <w:vertAlign w:val="subscript"/>
        </w:rPr>
        <w:t>bar</w:t>
      </w:r>
      <w:r>
        <w:rPr>
          <w:rFonts w:hint="default" w:ascii="Times New Roman" w:hAnsi="Times New Roman" w:eastAsia="宋体" w:cs="Times New Roman"/>
          <w:color w:val="auto"/>
          <w:szCs w:val="24"/>
        </w:rPr>
        <w:t>－屏障物所引起</w:t>
      </w:r>
      <w:r>
        <w:rPr>
          <w:rFonts w:hint="eastAsia" w:ascii="Times New Roman" w:hAnsi="Times New Roman" w:cs="Times New Roman"/>
          <w:color w:val="auto"/>
          <w:szCs w:val="24"/>
          <w:lang w:eastAsia="zh-CN"/>
        </w:rPr>
        <w:t>的</w:t>
      </w:r>
      <w:r>
        <w:rPr>
          <w:rFonts w:hint="default" w:ascii="Times New Roman" w:hAnsi="Times New Roman" w:eastAsia="宋体" w:cs="Times New Roman"/>
          <w:color w:val="auto"/>
          <w:szCs w:val="24"/>
        </w:rPr>
        <w:t>倍频带衰减。</w:t>
      </w:r>
    </w:p>
    <w:p w14:paraId="7EFF7711">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A</w:t>
      </w:r>
      <w:r>
        <w:rPr>
          <w:rFonts w:hint="default" w:ascii="Times New Roman" w:hAnsi="Times New Roman" w:eastAsia="宋体" w:cs="Times New Roman"/>
          <w:color w:val="auto"/>
          <w:szCs w:val="24"/>
          <w:vertAlign w:val="subscript"/>
        </w:rPr>
        <w:t>atm</w:t>
      </w:r>
      <w:r>
        <w:rPr>
          <w:rFonts w:hint="default" w:ascii="Times New Roman" w:hAnsi="Times New Roman" w:eastAsia="宋体" w:cs="Times New Roman"/>
          <w:color w:val="auto"/>
          <w:szCs w:val="24"/>
        </w:rPr>
        <w:t>－空气吸收所引起的倍频带衰减，一般情况下可忽略不计。</w:t>
      </w:r>
    </w:p>
    <w:p w14:paraId="45BB140B">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A</w:t>
      </w:r>
      <w:r>
        <w:rPr>
          <w:rFonts w:hint="default" w:ascii="Times New Roman" w:hAnsi="Times New Roman" w:eastAsia="宋体" w:cs="Times New Roman"/>
          <w:color w:val="auto"/>
          <w:szCs w:val="24"/>
          <w:vertAlign w:val="subscript"/>
        </w:rPr>
        <w:t>gr</w:t>
      </w:r>
      <w:r>
        <w:rPr>
          <w:rFonts w:hint="default" w:ascii="Times New Roman" w:hAnsi="Times New Roman" w:eastAsia="宋体" w:cs="Times New Roman"/>
          <w:color w:val="auto"/>
          <w:szCs w:val="24"/>
        </w:rPr>
        <w:t>－地面效应所引起的倍频带衰减，本项目不考虑地面效应。</w:t>
      </w:r>
    </w:p>
    <w:p w14:paraId="1AD81DAF">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A</w:t>
      </w:r>
      <w:r>
        <w:rPr>
          <w:rFonts w:hint="default" w:ascii="Times New Roman" w:hAnsi="Times New Roman" w:eastAsia="宋体" w:cs="Times New Roman"/>
          <w:color w:val="auto"/>
          <w:szCs w:val="24"/>
          <w:vertAlign w:val="subscript"/>
        </w:rPr>
        <w:t>misc</w:t>
      </w:r>
      <w:r>
        <w:rPr>
          <w:rFonts w:hint="default" w:ascii="Times New Roman" w:hAnsi="Times New Roman" w:eastAsia="宋体" w:cs="Times New Roman"/>
          <w:color w:val="auto"/>
          <w:szCs w:val="24"/>
        </w:rPr>
        <w:t>－其他多方面倍频带衰减，一般情况下的环境影响评价中，不需考虑附加影响。</w:t>
      </w:r>
    </w:p>
    <w:p w14:paraId="22BB839B">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b、预测点的A声级叠加公式：</w:t>
      </w:r>
    </w:p>
    <w:p w14:paraId="6C6E7A4A">
      <w:pPr>
        <w:tabs>
          <w:tab w:val="left" w:pos="4620"/>
        </w:tabs>
        <w:adjustRightInd w:val="0"/>
        <w:snapToGrid w:val="0"/>
        <w:ind w:firstLine="480" w:firstLineChars="200"/>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各受声点的声源叠加按下列公式计算：</w:t>
      </w:r>
    </w:p>
    <w:p w14:paraId="67F8603B">
      <w:pPr>
        <w:tabs>
          <w:tab w:val="left" w:pos="4620"/>
        </w:tabs>
        <w:adjustRightInd w:val="0"/>
        <w:snapToGrid w:val="0"/>
        <w:ind w:firstLine="480" w:firstLineChars="20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position w:val="-30"/>
          <w:szCs w:val="24"/>
        </w:rPr>
        <w:object>
          <v:shape id="_x0000_i1032" o:spt="75" type="#_x0000_t75" style="height:45.75pt;width:126.75pt;" o:ole="t" filled="f" o:preferrelative="t" stroked="f" coordsize="21600,21600">
            <v:path/>
            <v:fill on="f" focussize="0,0"/>
            <v:stroke on="f" joinstyle="miter"/>
            <v:imagedata r:id="rId29" o:title=""/>
            <o:lock v:ext="edit" aspectratio="t"/>
            <w10:wrap type="none"/>
            <w10:anchorlock/>
          </v:shape>
          <o:OLEObject Type="Embed" ProgID="Equation.3" ShapeID="_x0000_i1032" DrawAspect="Content" ObjectID="_1468075732" r:id="rId59">
            <o:LockedField>false</o:LockedField>
          </o:OLEObject>
        </w:object>
      </w:r>
      <w:r>
        <w:rPr>
          <w:rFonts w:hint="default" w:ascii="Times New Roman" w:hAnsi="Times New Roman" w:eastAsia="宋体" w:cs="Times New Roman"/>
          <w:color w:val="auto"/>
          <w:position w:val="-30"/>
          <w:szCs w:val="24"/>
        </w:rPr>
        <w:t xml:space="preserve">      </w:t>
      </w:r>
    </w:p>
    <w:p w14:paraId="6104BDC7">
      <w:pPr>
        <w:tabs>
          <w:tab w:val="left" w:pos="4620"/>
        </w:tabs>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式中：L</w:t>
      </w:r>
      <w:r>
        <w:rPr>
          <w:rFonts w:hint="default" w:ascii="Times New Roman" w:hAnsi="Times New Roman" w:eastAsia="宋体" w:cs="Times New Roman"/>
          <w:color w:val="auto"/>
          <w:szCs w:val="24"/>
          <w:vertAlign w:val="subscript"/>
        </w:rPr>
        <w:t>A</w:t>
      </w:r>
      <w:r>
        <w:rPr>
          <w:rFonts w:hint="default" w:ascii="Times New Roman" w:hAnsi="Times New Roman" w:eastAsia="宋体" w:cs="Times New Roman"/>
          <w:color w:val="auto"/>
          <w:szCs w:val="24"/>
        </w:rPr>
        <w:t>——距声源r处的总A声级；</w:t>
      </w:r>
    </w:p>
    <w:p w14:paraId="000BCD3F">
      <w:pPr>
        <w:tabs>
          <w:tab w:val="left" w:pos="4620"/>
        </w:tabs>
        <w:adjustRightInd w:val="0"/>
        <w:snapToGrid w:val="0"/>
        <w:ind w:firstLine="600" w:firstLineChars="2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n——声源数量；</w:t>
      </w:r>
    </w:p>
    <w:p w14:paraId="638D0A94">
      <w:pPr>
        <w:tabs>
          <w:tab w:val="left" w:pos="4620"/>
        </w:tabs>
        <w:adjustRightInd w:val="0"/>
        <w:snapToGrid w:val="0"/>
        <w:ind w:firstLine="600" w:firstLineChars="25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L</w:t>
      </w:r>
      <w:r>
        <w:rPr>
          <w:rFonts w:hint="default" w:ascii="Times New Roman" w:hAnsi="Times New Roman" w:eastAsia="宋体" w:cs="Times New Roman"/>
          <w:color w:val="auto"/>
          <w:szCs w:val="24"/>
          <w:vertAlign w:val="subscript"/>
        </w:rPr>
        <w:t>i</w:t>
      </w:r>
      <w:r>
        <w:rPr>
          <w:rFonts w:hint="default" w:ascii="Times New Roman" w:hAnsi="Times New Roman" w:eastAsia="宋体" w:cs="Times New Roman"/>
          <w:color w:val="auto"/>
          <w:szCs w:val="24"/>
        </w:rPr>
        <w:t>——第i个声源的A声级，dB（A）。</w:t>
      </w:r>
    </w:p>
    <w:p w14:paraId="43BB08F0">
      <w:pPr>
        <w:ind w:firstLine="480" w:firstLineChars="200"/>
        <w:rPr>
          <w:rFonts w:hint="default" w:ascii="Times New Roman" w:hAnsi="Times New Roman" w:eastAsia="宋体" w:cs="Times New Roman"/>
          <w:bCs/>
          <w:color w:val="auto"/>
          <w:szCs w:val="24"/>
        </w:rPr>
      </w:pPr>
      <w:r>
        <w:rPr>
          <w:rFonts w:hint="default" w:ascii="Times New Roman" w:hAnsi="Times New Roman" w:eastAsia="宋体" w:cs="Times New Roman"/>
          <w:color w:val="auto"/>
          <w:szCs w:val="24"/>
        </w:rPr>
        <w:t>本项目噪声衰减除几何发散衰减后的其他衰减（包括空气吸收衰减、屏障物和地面效应引起的衰减、其他附加衰减）取值的因素很多，项目</w:t>
      </w:r>
      <w:r>
        <w:rPr>
          <w:rFonts w:hint="default" w:ascii="Times New Roman" w:hAnsi="Times New Roman" w:eastAsia="宋体" w:cs="Times New Roman"/>
          <w:bCs/>
          <w:color w:val="auto"/>
          <w:szCs w:val="24"/>
        </w:rPr>
        <w:t>加工设备均位于车间内，本报告主要考虑墙壁隔声和距离衰减影响，墙体隔声</w:t>
      </w:r>
      <w:r>
        <w:rPr>
          <w:rFonts w:hint="default" w:ascii="Times New Roman" w:hAnsi="Times New Roman" w:eastAsia="宋体" w:cs="Times New Roman"/>
          <w:color w:val="auto"/>
          <w:szCs w:val="24"/>
        </w:rPr>
        <w:t>衰减值取10dB(A)。</w:t>
      </w:r>
    </w:p>
    <w:p w14:paraId="46085867">
      <w:pPr>
        <w:numPr>
          <w:ilvl w:val="0"/>
          <w:numId w:val="7"/>
        </w:numPr>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预测点</w:t>
      </w:r>
    </w:p>
    <w:p w14:paraId="6F356134">
      <w:pPr>
        <w:adjustRightInd w:val="0"/>
        <w:snapToGrid w:val="0"/>
        <w:ind w:firstLine="480"/>
        <w:rPr>
          <w:rFonts w:hint="default" w:ascii="Times New Roman" w:hAnsi="Times New Roman" w:eastAsia="宋体" w:cs="Times New Roman"/>
          <w:b/>
          <w:color w:val="auto"/>
          <w:szCs w:val="24"/>
        </w:rPr>
      </w:pPr>
      <w:r>
        <w:rPr>
          <w:rFonts w:hint="default" w:ascii="Times New Roman" w:hAnsi="Times New Roman" w:eastAsia="宋体" w:cs="Times New Roman"/>
          <w:color w:val="auto"/>
          <w:szCs w:val="24"/>
        </w:rPr>
        <w:t>根据</w:t>
      </w:r>
      <w:r>
        <w:rPr>
          <w:rFonts w:hint="default" w:ascii="Times New Roman" w:hAnsi="Times New Roman" w:eastAsia="宋体" w:cs="Times New Roman"/>
          <w:color w:val="auto"/>
          <w:szCs w:val="24"/>
          <w:lang w:eastAsia="zh-CN"/>
        </w:rPr>
        <w:t>现场踏勘</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szCs w:val="24"/>
          <w:lang w:eastAsia="zh-CN"/>
        </w:rPr>
        <w:t>项目</w:t>
      </w:r>
      <w:r>
        <w:rPr>
          <w:rFonts w:hint="default" w:ascii="Times New Roman" w:hAnsi="Times New Roman" w:eastAsia="宋体" w:cs="Times New Roman"/>
          <w:color w:val="auto"/>
          <w:szCs w:val="24"/>
        </w:rPr>
        <w:t>周边200m范围无</w:t>
      </w:r>
      <w:r>
        <w:rPr>
          <w:rFonts w:hint="default" w:ascii="Times New Roman" w:hAnsi="Times New Roman" w:eastAsia="宋体" w:cs="Times New Roman"/>
          <w:color w:val="auto"/>
          <w:szCs w:val="24"/>
          <w:lang w:eastAsia="zh-CN"/>
        </w:rPr>
        <w:t>村庄等</w:t>
      </w:r>
      <w:r>
        <w:rPr>
          <w:rFonts w:hint="default" w:ascii="Times New Roman" w:hAnsi="Times New Roman" w:eastAsia="宋体" w:cs="Times New Roman"/>
          <w:color w:val="auto"/>
          <w:szCs w:val="24"/>
        </w:rPr>
        <w:t>敏感点，本</w:t>
      </w:r>
      <w:r>
        <w:rPr>
          <w:rFonts w:hint="default" w:ascii="Times New Roman" w:hAnsi="Times New Roman" w:eastAsia="宋体" w:cs="Times New Roman"/>
          <w:color w:val="auto"/>
        </w:rPr>
        <w:t>次主要预测厂界噪声达标情况，以项目厂房作为1个噪声点源，分别在项目厂界四周外1m处各布置一个点，共设置4个预测点，预测本项目生产噪声对周边的影响。项目生产</w:t>
      </w:r>
      <w:r>
        <w:rPr>
          <w:rFonts w:hint="default" w:ascii="Times New Roman" w:hAnsi="Times New Roman" w:eastAsia="宋体" w:cs="Times New Roman"/>
          <w:color w:val="auto"/>
          <w:lang w:eastAsia="zh-CN"/>
        </w:rPr>
        <w:t>区</w:t>
      </w:r>
      <w:r>
        <w:rPr>
          <w:rFonts w:hint="default" w:ascii="Times New Roman" w:hAnsi="Times New Roman" w:eastAsia="宋体" w:cs="Times New Roman"/>
          <w:color w:val="auto"/>
        </w:rPr>
        <w:t>与厂界的距离见表5.2-</w:t>
      </w:r>
      <w:r>
        <w:rPr>
          <w:rFonts w:hint="eastAsia" w:ascii="Times New Roman" w:hAnsi="Times New Roman" w:cs="Times New Roman"/>
          <w:color w:val="auto"/>
          <w:lang w:val="en-US" w:eastAsia="zh-CN"/>
        </w:rPr>
        <w:t>17</w:t>
      </w:r>
      <w:r>
        <w:rPr>
          <w:rFonts w:hint="default" w:ascii="Times New Roman" w:hAnsi="Times New Roman" w:eastAsia="宋体" w:cs="Times New Roman"/>
          <w:color w:val="auto"/>
        </w:rPr>
        <w:t>。</w:t>
      </w:r>
    </w:p>
    <w:p w14:paraId="5C707CCD">
      <w:pPr>
        <w:snapToGrid w:val="0"/>
        <w:ind w:firstLine="482"/>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表5.2-</w:t>
      </w:r>
      <w:r>
        <w:rPr>
          <w:rFonts w:hint="eastAsia" w:ascii="Times New Roman" w:hAnsi="Times New Roman" w:cs="Times New Roman"/>
          <w:b/>
          <w:color w:val="auto"/>
          <w:szCs w:val="24"/>
          <w:lang w:val="en-US" w:eastAsia="zh-CN"/>
        </w:rPr>
        <w:t>17</w:t>
      </w:r>
      <w:r>
        <w:rPr>
          <w:rFonts w:hint="default" w:ascii="Times New Roman" w:hAnsi="Times New Roman" w:eastAsia="宋体" w:cs="Times New Roman"/>
          <w:b/>
          <w:color w:val="auto"/>
          <w:szCs w:val="24"/>
        </w:rPr>
        <w:t xml:space="preserve"> 主要噪声设备距厂界距离</w:t>
      </w:r>
    </w:p>
    <w:tbl>
      <w:tblPr>
        <w:tblStyle w:val="66"/>
        <w:tblW w:w="8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39"/>
        <w:gridCol w:w="1596"/>
        <w:gridCol w:w="1596"/>
        <w:gridCol w:w="1596"/>
        <w:gridCol w:w="1599"/>
      </w:tblGrid>
      <w:tr w14:paraId="06CF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39" w:type="dxa"/>
            <w:vMerge w:val="restart"/>
            <w:vAlign w:val="center"/>
          </w:tcPr>
          <w:p w14:paraId="377854DD">
            <w:pPr>
              <w:tabs>
                <w:tab w:val="center" w:pos="4153"/>
                <w:tab w:val="right" w:pos="8306"/>
              </w:tabs>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噪声源</w:t>
            </w:r>
          </w:p>
        </w:tc>
        <w:tc>
          <w:tcPr>
            <w:tcW w:w="6387" w:type="dxa"/>
            <w:gridSpan w:val="4"/>
            <w:vAlign w:val="center"/>
          </w:tcPr>
          <w:p w14:paraId="7C858AB3">
            <w:pPr>
              <w:tabs>
                <w:tab w:val="center" w:pos="4153"/>
                <w:tab w:val="right" w:pos="8306"/>
              </w:tabs>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距预测点距离/m</w:t>
            </w:r>
          </w:p>
        </w:tc>
      </w:tr>
      <w:tr w14:paraId="4FE70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39" w:type="dxa"/>
            <w:vMerge w:val="continue"/>
            <w:vAlign w:val="center"/>
          </w:tcPr>
          <w:p w14:paraId="0886B15B">
            <w:pPr>
              <w:tabs>
                <w:tab w:val="center" w:pos="4153"/>
                <w:tab w:val="right" w:pos="8306"/>
              </w:tabs>
              <w:snapToGrid w:val="0"/>
              <w:spacing w:line="240" w:lineRule="auto"/>
              <w:jc w:val="center"/>
              <w:rPr>
                <w:rFonts w:hint="default" w:ascii="Times New Roman" w:hAnsi="Times New Roman" w:eastAsia="宋体" w:cs="Times New Roman"/>
                <w:b/>
                <w:color w:val="auto"/>
                <w:sz w:val="21"/>
              </w:rPr>
            </w:pPr>
          </w:p>
        </w:tc>
        <w:tc>
          <w:tcPr>
            <w:tcW w:w="1596" w:type="dxa"/>
            <w:vAlign w:val="center"/>
          </w:tcPr>
          <w:p w14:paraId="55E1861E">
            <w:pPr>
              <w:tabs>
                <w:tab w:val="center" w:pos="4153"/>
                <w:tab w:val="right" w:pos="8306"/>
              </w:tabs>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东厂界</w:t>
            </w:r>
          </w:p>
        </w:tc>
        <w:tc>
          <w:tcPr>
            <w:tcW w:w="1596" w:type="dxa"/>
            <w:vAlign w:val="center"/>
          </w:tcPr>
          <w:p w14:paraId="4B405928">
            <w:pPr>
              <w:tabs>
                <w:tab w:val="center" w:pos="4153"/>
                <w:tab w:val="right" w:pos="8306"/>
              </w:tabs>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西厂界</w:t>
            </w:r>
          </w:p>
        </w:tc>
        <w:tc>
          <w:tcPr>
            <w:tcW w:w="1596" w:type="dxa"/>
            <w:vAlign w:val="center"/>
          </w:tcPr>
          <w:p w14:paraId="7A93DAA0">
            <w:pPr>
              <w:tabs>
                <w:tab w:val="center" w:pos="4153"/>
                <w:tab w:val="right" w:pos="8306"/>
              </w:tabs>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南厂界</w:t>
            </w:r>
          </w:p>
        </w:tc>
        <w:tc>
          <w:tcPr>
            <w:tcW w:w="1599" w:type="dxa"/>
            <w:vAlign w:val="center"/>
          </w:tcPr>
          <w:p w14:paraId="4ACF2329">
            <w:pPr>
              <w:tabs>
                <w:tab w:val="center" w:pos="4153"/>
                <w:tab w:val="right" w:pos="8306"/>
              </w:tabs>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北厂界</w:t>
            </w:r>
          </w:p>
        </w:tc>
      </w:tr>
      <w:tr w14:paraId="6F06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039" w:type="dxa"/>
            <w:vAlign w:val="center"/>
          </w:tcPr>
          <w:p w14:paraId="754CA0F5">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生产</w:t>
            </w:r>
            <w:r>
              <w:rPr>
                <w:rFonts w:hint="default" w:ascii="Times New Roman" w:hAnsi="Times New Roman" w:eastAsia="宋体" w:cs="Times New Roman"/>
                <w:color w:val="auto"/>
                <w:sz w:val="21"/>
                <w:lang w:eastAsia="zh-CN"/>
              </w:rPr>
              <w:t>区</w:t>
            </w:r>
          </w:p>
        </w:tc>
        <w:tc>
          <w:tcPr>
            <w:tcW w:w="1596" w:type="dxa"/>
            <w:vAlign w:val="center"/>
          </w:tcPr>
          <w:p w14:paraId="4D1DE46B">
            <w:pPr>
              <w:widowControl/>
              <w:tabs>
                <w:tab w:val="center" w:pos="4153"/>
                <w:tab w:val="right" w:pos="8306"/>
              </w:tabs>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30</w:t>
            </w:r>
          </w:p>
        </w:tc>
        <w:tc>
          <w:tcPr>
            <w:tcW w:w="1596" w:type="dxa"/>
            <w:vAlign w:val="center"/>
          </w:tcPr>
          <w:p w14:paraId="17D4FB37">
            <w:pPr>
              <w:widowControl/>
              <w:tabs>
                <w:tab w:val="center" w:pos="4153"/>
                <w:tab w:val="right" w:pos="8306"/>
              </w:tabs>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25</w:t>
            </w:r>
          </w:p>
        </w:tc>
        <w:tc>
          <w:tcPr>
            <w:tcW w:w="1596" w:type="dxa"/>
            <w:vAlign w:val="center"/>
          </w:tcPr>
          <w:p w14:paraId="2C491AB9">
            <w:pPr>
              <w:widowControl/>
              <w:tabs>
                <w:tab w:val="center" w:pos="4153"/>
                <w:tab w:val="right" w:pos="8306"/>
              </w:tabs>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30</w:t>
            </w:r>
          </w:p>
        </w:tc>
        <w:tc>
          <w:tcPr>
            <w:tcW w:w="1599" w:type="dxa"/>
            <w:vAlign w:val="center"/>
          </w:tcPr>
          <w:p w14:paraId="574F0D35">
            <w:pPr>
              <w:widowControl/>
              <w:tabs>
                <w:tab w:val="center" w:pos="4153"/>
                <w:tab w:val="right" w:pos="8306"/>
              </w:tabs>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15</w:t>
            </w:r>
          </w:p>
        </w:tc>
      </w:tr>
    </w:tbl>
    <w:p w14:paraId="512C01E6">
      <w:pPr>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（4）噪声影响预测结果及评价</w:t>
      </w:r>
    </w:p>
    <w:p w14:paraId="607E891F">
      <w:pPr>
        <w:ind w:firstLine="480" w:firstLineChars="200"/>
        <w:rPr>
          <w:rFonts w:hint="default" w:ascii="Times New Roman" w:hAnsi="Times New Roman" w:eastAsia="宋体" w:cs="Times New Roman"/>
          <w:b/>
          <w:bCs/>
          <w:color w:val="auto"/>
          <w:szCs w:val="24"/>
        </w:rPr>
      </w:pPr>
      <w:r>
        <w:rPr>
          <w:rFonts w:hint="default" w:ascii="Times New Roman" w:hAnsi="Times New Roman" w:eastAsia="宋体" w:cs="Times New Roman"/>
          <w:bCs/>
          <w:color w:val="auto"/>
          <w:szCs w:val="24"/>
        </w:rPr>
        <w:t>项目厂界执行</w:t>
      </w:r>
      <w:r>
        <w:rPr>
          <w:rFonts w:hint="default" w:ascii="Times New Roman" w:hAnsi="Times New Roman" w:eastAsia="宋体" w:cs="Times New Roman"/>
          <w:color w:val="auto"/>
          <w:szCs w:val="24"/>
        </w:rPr>
        <w:t>《工业企业厂界环境噪声排放标准》（GB12348-2008）中3类区标准，即：昼间≤65dB(A)，夜间≤55dB(A)。</w:t>
      </w:r>
    </w:p>
    <w:p w14:paraId="0CBDFA41">
      <w:pPr>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表5.2-</w:t>
      </w:r>
      <w:r>
        <w:rPr>
          <w:rFonts w:hint="eastAsia" w:ascii="Times New Roman" w:hAnsi="Times New Roman" w:cs="Times New Roman"/>
          <w:b/>
          <w:bCs/>
          <w:color w:val="auto"/>
          <w:szCs w:val="24"/>
          <w:lang w:val="en-US" w:eastAsia="zh-CN"/>
        </w:rPr>
        <w:t>18</w:t>
      </w:r>
      <w:r>
        <w:rPr>
          <w:rFonts w:hint="default" w:ascii="Times New Roman" w:hAnsi="Times New Roman" w:eastAsia="宋体" w:cs="Times New Roman"/>
          <w:b/>
          <w:bCs/>
          <w:color w:val="auto"/>
          <w:szCs w:val="24"/>
        </w:rPr>
        <w:t xml:space="preserve"> 厂界噪声预测结果     单位：dB（A）</w:t>
      </w:r>
    </w:p>
    <w:tbl>
      <w:tblPr>
        <w:tblStyle w:val="66"/>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678"/>
        <w:gridCol w:w="1418"/>
        <w:gridCol w:w="1275"/>
        <w:gridCol w:w="1303"/>
        <w:gridCol w:w="1293"/>
      </w:tblGrid>
      <w:tr w14:paraId="4CB1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3" w:type="dxa"/>
            <w:vMerge w:val="restart"/>
            <w:vAlign w:val="center"/>
          </w:tcPr>
          <w:p w14:paraId="6CC20255">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噪声源</w:t>
            </w:r>
          </w:p>
        </w:tc>
        <w:tc>
          <w:tcPr>
            <w:tcW w:w="1678" w:type="dxa"/>
            <w:vMerge w:val="restart"/>
            <w:vAlign w:val="center"/>
          </w:tcPr>
          <w:p w14:paraId="19C48650">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噪声源强值</w:t>
            </w:r>
          </w:p>
        </w:tc>
        <w:tc>
          <w:tcPr>
            <w:tcW w:w="5289" w:type="dxa"/>
            <w:gridSpan w:val="4"/>
            <w:vAlign w:val="center"/>
          </w:tcPr>
          <w:p w14:paraId="6911134B">
            <w:pPr>
              <w:autoSpaceDE w:val="0"/>
              <w:autoSpaceDN w:val="0"/>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设备噪声厂界处的贡献值</w:t>
            </w:r>
          </w:p>
        </w:tc>
      </w:tr>
      <w:tr w14:paraId="6F10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3" w:type="dxa"/>
            <w:vMerge w:val="continue"/>
            <w:vAlign w:val="center"/>
          </w:tcPr>
          <w:p w14:paraId="239CC852">
            <w:pPr>
              <w:autoSpaceDE w:val="0"/>
              <w:autoSpaceDN w:val="0"/>
              <w:adjustRightInd w:val="0"/>
              <w:snapToGrid w:val="0"/>
              <w:spacing w:line="240" w:lineRule="auto"/>
              <w:jc w:val="center"/>
              <w:rPr>
                <w:rFonts w:hint="default" w:ascii="Times New Roman" w:hAnsi="Times New Roman" w:eastAsia="宋体" w:cs="Times New Roman"/>
                <w:color w:val="auto"/>
                <w:sz w:val="21"/>
              </w:rPr>
            </w:pPr>
          </w:p>
        </w:tc>
        <w:tc>
          <w:tcPr>
            <w:tcW w:w="1678" w:type="dxa"/>
            <w:vMerge w:val="continue"/>
            <w:vAlign w:val="center"/>
          </w:tcPr>
          <w:p w14:paraId="3AD010D4">
            <w:pPr>
              <w:autoSpaceDE w:val="0"/>
              <w:autoSpaceDN w:val="0"/>
              <w:adjustRightInd w:val="0"/>
              <w:snapToGrid w:val="0"/>
              <w:spacing w:line="240" w:lineRule="auto"/>
              <w:jc w:val="center"/>
              <w:rPr>
                <w:rFonts w:hint="default" w:ascii="Times New Roman" w:hAnsi="Times New Roman" w:eastAsia="宋体" w:cs="Times New Roman"/>
                <w:color w:val="auto"/>
                <w:sz w:val="21"/>
              </w:rPr>
            </w:pPr>
          </w:p>
        </w:tc>
        <w:tc>
          <w:tcPr>
            <w:tcW w:w="1418" w:type="dxa"/>
            <w:vAlign w:val="center"/>
          </w:tcPr>
          <w:p w14:paraId="66271A1C">
            <w:pPr>
              <w:tabs>
                <w:tab w:val="center" w:pos="4153"/>
                <w:tab w:val="right" w:pos="8306"/>
              </w:tabs>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
                <w:color w:val="auto"/>
                <w:sz w:val="21"/>
              </w:rPr>
              <w:t>东厂界</w:t>
            </w:r>
          </w:p>
        </w:tc>
        <w:tc>
          <w:tcPr>
            <w:tcW w:w="1275" w:type="dxa"/>
            <w:vAlign w:val="center"/>
          </w:tcPr>
          <w:p w14:paraId="08956D24">
            <w:pPr>
              <w:tabs>
                <w:tab w:val="center" w:pos="4153"/>
                <w:tab w:val="right" w:pos="8306"/>
              </w:tabs>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
                <w:color w:val="auto"/>
                <w:sz w:val="21"/>
              </w:rPr>
              <w:t>西厂界</w:t>
            </w:r>
          </w:p>
        </w:tc>
        <w:tc>
          <w:tcPr>
            <w:tcW w:w="1303" w:type="dxa"/>
            <w:vAlign w:val="center"/>
          </w:tcPr>
          <w:p w14:paraId="7A859D1C">
            <w:pPr>
              <w:tabs>
                <w:tab w:val="center" w:pos="4153"/>
                <w:tab w:val="right" w:pos="8306"/>
              </w:tabs>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
                <w:color w:val="auto"/>
                <w:sz w:val="21"/>
              </w:rPr>
              <w:t>南厂界</w:t>
            </w:r>
          </w:p>
        </w:tc>
        <w:tc>
          <w:tcPr>
            <w:tcW w:w="1293" w:type="dxa"/>
            <w:vAlign w:val="center"/>
          </w:tcPr>
          <w:p w14:paraId="75B2CE89">
            <w:pPr>
              <w:tabs>
                <w:tab w:val="center" w:pos="4153"/>
                <w:tab w:val="right" w:pos="8306"/>
              </w:tabs>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
                <w:color w:val="auto"/>
                <w:sz w:val="21"/>
              </w:rPr>
              <w:t>北厂界</w:t>
            </w:r>
          </w:p>
        </w:tc>
      </w:tr>
      <w:tr w14:paraId="2C1B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253" w:type="dxa"/>
            <w:vAlign w:val="center"/>
          </w:tcPr>
          <w:p w14:paraId="7C4E02B9">
            <w:pPr>
              <w:autoSpaceDE w:val="0"/>
              <w:autoSpaceDN w:val="0"/>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生产区</w:t>
            </w:r>
          </w:p>
        </w:tc>
        <w:tc>
          <w:tcPr>
            <w:tcW w:w="1678" w:type="dxa"/>
            <w:vAlign w:val="center"/>
          </w:tcPr>
          <w:p w14:paraId="70E3E725">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74.18</w:t>
            </w:r>
          </w:p>
        </w:tc>
        <w:tc>
          <w:tcPr>
            <w:tcW w:w="1418" w:type="dxa"/>
            <w:vAlign w:val="center"/>
          </w:tcPr>
          <w:p w14:paraId="48E448C5">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44.6</w:t>
            </w:r>
          </w:p>
        </w:tc>
        <w:tc>
          <w:tcPr>
            <w:tcW w:w="1275" w:type="dxa"/>
            <w:vAlign w:val="center"/>
          </w:tcPr>
          <w:p w14:paraId="7D75E17F">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46.2</w:t>
            </w:r>
          </w:p>
        </w:tc>
        <w:tc>
          <w:tcPr>
            <w:tcW w:w="1303" w:type="dxa"/>
            <w:vAlign w:val="center"/>
          </w:tcPr>
          <w:p w14:paraId="5CB55F9B">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44.6</w:t>
            </w:r>
          </w:p>
        </w:tc>
        <w:tc>
          <w:tcPr>
            <w:tcW w:w="1293" w:type="dxa"/>
            <w:vAlign w:val="center"/>
          </w:tcPr>
          <w:p w14:paraId="630745E7">
            <w:pPr>
              <w:autoSpaceDE w:val="0"/>
              <w:autoSpaceDN w:val="0"/>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50.7</w:t>
            </w:r>
          </w:p>
        </w:tc>
      </w:tr>
      <w:tr w14:paraId="17AC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31" w:type="dxa"/>
            <w:gridSpan w:val="2"/>
            <w:vAlign w:val="center"/>
          </w:tcPr>
          <w:p w14:paraId="01159B0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标准</w:t>
            </w:r>
          </w:p>
        </w:tc>
        <w:tc>
          <w:tcPr>
            <w:tcW w:w="5289" w:type="dxa"/>
            <w:gridSpan w:val="4"/>
            <w:vAlign w:val="center"/>
          </w:tcPr>
          <w:p w14:paraId="1B8BA0B6">
            <w:pPr>
              <w:tabs>
                <w:tab w:val="left" w:pos="1380"/>
              </w:tabs>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昼间≤65，夜间≤55</w:t>
            </w:r>
          </w:p>
        </w:tc>
      </w:tr>
      <w:tr w14:paraId="32BF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31" w:type="dxa"/>
            <w:gridSpan w:val="2"/>
            <w:vAlign w:val="center"/>
          </w:tcPr>
          <w:p w14:paraId="38B1A4E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达标情况评价</w:t>
            </w:r>
          </w:p>
        </w:tc>
        <w:tc>
          <w:tcPr>
            <w:tcW w:w="1418" w:type="dxa"/>
            <w:vAlign w:val="center"/>
          </w:tcPr>
          <w:p w14:paraId="79CDAB2C">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达标</w:t>
            </w:r>
          </w:p>
        </w:tc>
        <w:tc>
          <w:tcPr>
            <w:tcW w:w="1275" w:type="dxa"/>
            <w:vAlign w:val="center"/>
          </w:tcPr>
          <w:p w14:paraId="26DA4856">
            <w:pPr>
              <w:tabs>
                <w:tab w:val="left" w:pos="1380"/>
              </w:tabs>
              <w:autoSpaceDE w:val="0"/>
              <w:autoSpaceDN w:val="0"/>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达标</w:t>
            </w:r>
          </w:p>
        </w:tc>
        <w:tc>
          <w:tcPr>
            <w:tcW w:w="1303" w:type="dxa"/>
            <w:vAlign w:val="center"/>
          </w:tcPr>
          <w:p w14:paraId="42DCBFB9">
            <w:pPr>
              <w:tabs>
                <w:tab w:val="left" w:pos="1380"/>
              </w:tabs>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达标</w:t>
            </w:r>
          </w:p>
        </w:tc>
        <w:tc>
          <w:tcPr>
            <w:tcW w:w="1293" w:type="dxa"/>
            <w:vAlign w:val="center"/>
          </w:tcPr>
          <w:p w14:paraId="44B86C9F">
            <w:pPr>
              <w:tabs>
                <w:tab w:val="left" w:pos="1380"/>
              </w:tabs>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达标</w:t>
            </w:r>
          </w:p>
        </w:tc>
      </w:tr>
    </w:tbl>
    <w:p w14:paraId="1883C8E1">
      <w:pPr>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eastAsia="zh-CN"/>
        </w:rPr>
        <w:t>项目夜间不生产，由上表可知，</w:t>
      </w:r>
      <w:r>
        <w:rPr>
          <w:rFonts w:hint="default" w:ascii="Times New Roman" w:hAnsi="Times New Roman" w:eastAsia="宋体" w:cs="Times New Roman"/>
          <w:color w:val="auto"/>
          <w:szCs w:val="24"/>
        </w:rPr>
        <w:t>项目运营期昼间厂界</w:t>
      </w:r>
      <w:r>
        <w:rPr>
          <w:rFonts w:hint="default" w:ascii="Times New Roman" w:hAnsi="Times New Roman" w:eastAsia="宋体" w:cs="Times New Roman"/>
          <w:color w:val="auto"/>
          <w:szCs w:val="24"/>
          <w:lang w:eastAsia="zh-CN"/>
        </w:rPr>
        <w:t>噪声</w:t>
      </w:r>
      <w:r>
        <w:rPr>
          <w:rFonts w:hint="default" w:ascii="Times New Roman" w:hAnsi="Times New Roman" w:eastAsia="宋体" w:cs="Times New Roman"/>
          <w:color w:val="auto"/>
          <w:szCs w:val="24"/>
        </w:rPr>
        <w:t>满足《工业企业厂界环境噪声排放标准》（GB12348-2008）中3类标准，即：昼间≤65dB(A)，对周围环境影响小。</w:t>
      </w:r>
    </w:p>
    <w:p w14:paraId="47838B85">
      <w:pPr>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lang w:eastAsia="zh-CN"/>
        </w:rPr>
        <w:t>项目周围</w:t>
      </w:r>
      <w:r>
        <w:rPr>
          <w:rFonts w:hint="default" w:ascii="Times New Roman" w:hAnsi="Times New Roman" w:eastAsia="宋体" w:cs="Times New Roman"/>
          <w:color w:val="auto"/>
          <w:lang w:val="en-US" w:eastAsia="zh-CN"/>
        </w:rPr>
        <w:t>200m范围内无村庄等敏感点，</w:t>
      </w:r>
      <w:r>
        <w:rPr>
          <w:rFonts w:hint="default" w:ascii="Times New Roman" w:hAnsi="Times New Roman" w:eastAsia="宋体" w:cs="Times New Roman"/>
          <w:color w:val="auto"/>
        </w:rPr>
        <w:t>距离项目最近的</w:t>
      </w:r>
      <w:r>
        <w:rPr>
          <w:rFonts w:hint="default" w:ascii="Times New Roman" w:hAnsi="Times New Roman" w:eastAsia="宋体" w:cs="Times New Roman"/>
          <w:color w:val="auto"/>
          <w:lang w:eastAsia="zh-CN"/>
        </w:rPr>
        <w:t>敏感点</w:t>
      </w:r>
      <w:r>
        <w:rPr>
          <w:rFonts w:hint="default" w:ascii="Times New Roman" w:hAnsi="Times New Roman" w:eastAsia="宋体" w:cs="Times New Roman"/>
          <w:color w:val="auto"/>
        </w:rPr>
        <w:t>为厂界南面</w:t>
      </w:r>
      <w:r>
        <w:rPr>
          <w:rFonts w:hint="default" w:ascii="Times New Roman" w:hAnsi="Times New Roman" w:eastAsia="宋体" w:cs="Times New Roman"/>
          <w:color w:val="auto"/>
          <w:lang w:val="en-US" w:eastAsia="zh-CN"/>
        </w:rPr>
        <w:t>520</w:t>
      </w:r>
      <w:r>
        <w:rPr>
          <w:rFonts w:hint="default" w:ascii="Times New Roman" w:hAnsi="Times New Roman" w:eastAsia="宋体" w:cs="Times New Roman"/>
          <w:color w:val="auto"/>
        </w:rPr>
        <w:t>m的</w:t>
      </w:r>
      <w:r>
        <w:rPr>
          <w:rFonts w:hint="default" w:ascii="Times New Roman" w:hAnsi="Times New Roman" w:eastAsia="宋体" w:cs="Times New Roman"/>
          <w:color w:val="auto"/>
          <w:lang w:eastAsia="zh-CN"/>
        </w:rPr>
        <w:t>界桃村</w:t>
      </w:r>
      <w:r>
        <w:rPr>
          <w:rFonts w:hint="default" w:ascii="Times New Roman" w:hAnsi="Times New Roman" w:eastAsia="宋体" w:cs="Times New Roman"/>
          <w:color w:val="auto"/>
        </w:rPr>
        <w:t>，距离较远，项目运营期噪声对其影响</w:t>
      </w:r>
      <w:r>
        <w:rPr>
          <w:rFonts w:hint="default" w:ascii="Times New Roman" w:hAnsi="Times New Roman" w:eastAsia="宋体" w:cs="Times New Roman"/>
          <w:color w:val="auto"/>
          <w:lang w:eastAsia="zh-CN"/>
        </w:rPr>
        <w:t>很</w:t>
      </w:r>
      <w:r>
        <w:rPr>
          <w:rFonts w:hint="default" w:ascii="Times New Roman" w:hAnsi="Times New Roman" w:eastAsia="宋体" w:cs="Times New Roman"/>
          <w:color w:val="auto"/>
        </w:rPr>
        <w:t>小。因此项目运营噪声对周边环境产生的影响</w:t>
      </w:r>
      <w:r>
        <w:rPr>
          <w:rFonts w:hint="default" w:ascii="Times New Roman" w:hAnsi="Times New Roman" w:eastAsia="宋体" w:cs="Times New Roman"/>
          <w:color w:val="auto"/>
          <w:lang w:eastAsia="zh-CN"/>
        </w:rPr>
        <w:t>很小</w:t>
      </w:r>
      <w:r>
        <w:rPr>
          <w:rFonts w:hint="default" w:ascii="Times New Roman" w:hAnsi="Times New Roman" w:eastAsia="宋体" w:cs="Times New Roman"/>
          <w:color w:val="auto"/>
        </w:rPr>
        <w:t>，对周围居民影响</w:t>
      </w:r>
      <w:r>
        <w:rPr>
          <w:rFonts w:hint="default" w:ascii="Times New Roman" w:hAnsi="Times New Roman" w:eastAsia="宋体" w:cs="Times New Roman"/>
          <w:color w:val="auto"/>
          <w:lang w:eastAsia="zh-CN"/>
        </w:rPr>
        <w:t>小</w:t>
      </w:r>
      <w:r>
        <w:rPr>
          <w:rFonts w:hint="default" w:ascii="Times New Roman" w:hAnsi="Times New Roman" w:eastAsia="宋体" w:cs="Times New Roman"/>
          <w:color w:val="auto"/>
        </w:rPr>
        <w:t>。</w:t>
      </w:r>
    </w:p>
    <w:p w14:paraId="51C8D72D">
      <w:pPr>
        <w:widowControl/>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综上所述，</w:t>
      </w:r>
      <w:r>
        <w:rPr>
          <w:rFonts w:hint="default" w:ascii="Times New Roman" w:hAnsi="Times New Roman" w:eastAsia="宋体" w:cs="Times New Roman"/>
          <w:color w:val="auto"/>
          <w:szCs w:val="24"/>
          <w:lang w:eastAsia="zh-CN"/>
        </w:rPr>
        <w:t>项目</w:t>
      </w:r>
      <w:r>
        <w:rPr>
          <w:rFonts w:hint="default" w:ascii="Times New Roman" w:hAnsi="Times New Roman" w:eastAsia="宋体" w:cs="Times New Roman"/>
          <w:color w:val="auto"/>
          <w:szCs w:val="24"/>
        </w:rPr>
        <w:t>生产设备主要集中在厂房内，噪声在经过安装减震垫、距离衰减、空气吸收、厂房</w:t>
      </w:r>
      <w:r>
        <w:rPr>
          <w:rFonts w:hint="default" w:ascii="Times New Roman" w:hAnsi="Times New Roman" w:eastAsia="宋体" w:cs="Times New Roman"/>
          <w:color w:val="auto"/>
          <w:szCs w:val="24"/>
          <w:lang w:eastAsia="zh-CN"/>
        </w:rPr>
        <w:t>隔声</w:t>
      </w:r>
      <w:r>
        <w:rPr>
          <w:rFonts w:hint="default" w:ascii="Times New Roman" w:hAnsi="Times New Roman" w:eastAsia="宋体" w:cs="Times New Roman"/>
          <w:color w:val="auto"/>
          <w:szCs w:val="24"/>
        </w:rPr>
        <w:t>后，能够达标排放，对周围环境影响</w:t>
      </w:r>
      <w:r>
        <w:rPr>
          <w:rFonts w:hint="default" w:ascii="Times New Roman" w:hAnsi="Times New Roman" w:eastAsia="宋体" w:cs="Times New Roman"/>
          <w:color w:val="auto"/>
          <w:szCs w:val="24"/>
          <w:lang w:eastAsia="zh-CN"/>
        </w:rPr>
        <w:t>很</w:t>
      </w:r>
      <w:r>
        <w:rPr>
          <w:rFonts w:hint="default" w:ascii="Times New Roman" w:hAnsi="Times New Roman" w:eastAsia="宋体" w:cs="Times New Roman"/>
          <w:color w:val="auto"/>
          <w:szCs w:val="24"/>
        </w:rPr>
        <w:t>小。</w:t>
      </w:r>
    </w:p>
    <w:p w14:paraId="280C1FE3">
      <w:pPr>
        <w:pStyle w:val="11"/>
        <w:adjustRightInd w:val="0"/>
        <w:snapToGrid w:val="0"/>
        <w:spacing w:before="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rPr>
        <w:t>5.2.5固体废弃物环境影响分析</w:t>
      </w:r>
    </w:p>
    <w:p w14:paraId="34BF5467">
      <w:pPr>
        <w:adjustRightInd w:val="0"/>
        <w:snapToGrid w:val="0"/>
        <w:spacing w:line="360" w:lineRule="auto"/>
        <w:ind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根据工程分析，项目运营期固废产生及处置情况见表5.2-</w:t>
      </w:r>
      <w:r>
        <w:rPr>
          <w:rFonts w:hint="eastAsia" w:ascii="Times New Roman" w:hAnsi="Times New Roman" w:cs="Times New Roman"/>
          <w:bCs/>
          <w:color w:val="auto"/>
          <w:sz w:val="24"/>
          <w:szCs w:val="24"/>
          <w:lang w:val="en-US" w:eastAsia="zh-CN"/>
        </w:rPr>
        <w:t>19</w:t>
      </w:r>
      <w:r>
        <w:rPr>
          <w:rFonts w:hint="default" w:ascii="Times New Roman" w:hAnsi="Times New Roman" w:eastAsia="宋体" w:cs="Times New Roman"/>
          <w:bCs/>
          <w:color w:val="auto"/>
          <w:sz w:val="24"/>
          <w:szCs w:val="24"/>
          <w:lang w:eastAsia="zh-CN"/>
        </w:rPr>
        <w:t>。</w:t>
      </w:r>
    </w:p>
    <w:p w14:paraId="2AA867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b/>
          <w:bCs w:val="0"/>
          <w:color w:val="auto"/>
          <w:sz w:val="24"/>
          <w:szCs w:val="24"/>
          <w:lang w:eastAsia="zh-CN"/>
        </w:rPr>
        <w:t>表</w:t>
      </w:r>
      <w:r>
        <w:rPr>
          <w:rFonts w:hint="default" w:ascii="Times New Roman" w:hAnsi="Times New Roman" w:eastAsia="宋体" w:cs="Times New Roman"/>
          <w:b/>
          <w:bCs w:val="0"/>
          <w:color w:val="auto"/>
          <w:sz w:val="24"/>
          <w:szCs w:val="24"/>
          <w:lang w:val="en-US" w:eastAsia="zh-CN"/>
        </w:rPr>
        <w:t>5.2-</w:t>
      </w:r>
      <w:r>
        <w:rPr>
          <w:rFonts w:hint="eastAsia" w:ascii="Times New Roman" w:hAnsi="Times New Roman" w:cs="Times New Roman"/>
          <w:b/>
          <w:bCs w:val="0"/>
          <w:color w:val="auto"/>
          <w:sz w:val="24"/>
          <w:szCs w:val="24"/>
          <w:lang w:val="en-US" w:eastAsia="zh-CN"/>
        </w:rPr>
        <w:t>19</w:t>
      </w:r>
      <w:r>
        <w:rPr>
          <w:rFonts w:hint="default" w:ascii="Times New Roman" w:hAnsi="Times New Roman" w:eastAsia="宋体" w:cs="Times New Roman"/>
          <w:b/>
          <w:bCs w:val="0"/>
          <w:color w:val="auto"/>
          <w:sz w:val="24"/>
          <w:szCs w:val="24"/>
          <w:lang w:val="en-US" w:eastAsia="zh-CN"/>
        </w:rPr>
        <w:t xml:space="preserve">  固体废弃物产生及处理情况</w:t>
      </w:r>
    </w:p>
    <w:tbl>
      <w:tblPr>
        <w:tblStyle w:val="66"/>
        <w:tblpPr w:leftFromText="180" w:rightFromText="180" w:vertAnchor="text" w:horzAnchor="page" w:tblpX="1675" w:tblpY="419"/>
        <w:tblOverlap w:val="never"/>
        <w:tblW w:w="8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7"/>
        <w:gridCol w:w="1066"/>
        <w:gridCol w:w="1094"/>
        <w:gridCol w:w="1095"/>
        <w:gridCol w:w="1950"/>
        <w:gridCol w:w="2145"/>
        <w:gridCol w:w="943"/>
      </w:tblGrid>
      <w:tr w14:paraId="2C0E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57" w:type="dxa"/>
            <w:noWrap w:val="0"/>
            <w:vAlign w:val="center"/>
          </w:tcPr>
          <w:p w14:paraId="6E1A6A3F">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066" w:type="dxa"/>
            <w:noWrap w:val="0"/>
            <w:vAlign w:val="center"/>
          </w:tcPr>
          <w:p w14:paraId="1E60F379">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094" w:type="dxa"/>
            <w:noWrap w:val="0"/>
            <w:vAlign w:val="center"/>
          </w:tcPr>
          <w:p w14:paraId="01F1B8EB">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w:t>
            </w:r>
          </w:p>
          <w:p w14:paraId="79B91BAD">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（t/a）</w:t>
            </w:r>
          </w:p>
        </w:tc>
        <w:tc>
          <w:tcPr>
            <w:tcW w:w="1095" w:type="dxa"/>
            <w:noWrap w:val="0"/>
            <w:vAlign w:val="center"/>
          </w:tcPr>
          <w:p w14:paraId="18894E38">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属性</w:t>
            </w:r>
          </w:p>
        </w:tc>
        <w:tc>
          <w:tcPr>
            <w:tcW w:w="1950" w:type="dxa"/>
            <w:noWrap w:val="0"/>
            <w:vAlign w:val="center"/>
          </w:tcPr>
          <w:p w14:paraId="7CA5A85E">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《国家危险废物名录》废物代码</w:t>
            </w:r>
          </w:p>
        </w:tc>
        <w:tc>
          <w:tcPr>
            <w:tcW w:w="2145" w:type="dxa"/>
            <w:noWrap w:val="0"/>
            <w:vAlign w:val="center"/>
          </w:tcPr>
          <w:p w14:paraId="53D8B69C">
            <w:pPr>
              <w:autoSpaceDE w:val="0"/>
              <w:autoSpaceDN w:val="0"/>
              <w:adjustRightIn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处理去向</w:t>
            </w:r>
          </w:p>
        </w:tc>
        <w:tc>
          <w:tcPr>
            <w:tcW w:w="943" w:type="dxa"/>
            <w:noWrap w:val="0"/>
            <w:vAlign w:val="center"/>
          </w:tcPr>
          <w:p w14:paraId="4B24D6D8">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val="0"/>
                <w:color w:val="auto"/>
                <w:sz w:val="21"/>
                <w:szCs w:val="21"/>
                <w:vertAlign w:val="baseline"/>
                <w:lang w:eastAsia="zh-CN"/>
              </w:rPr>
              <w:t>是否符合环保要求</w:t>
            </w:r>
          </w:p>
        </w:tc>
      </w:tr>
      <w:tr w14:paraId="5DA2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57" w:type="dxa"/>
            <w:noWrap w:val="0"/>
            <w:vAlign w:val="center"/>
          </w:tcPr>
          <w:p w14:paraId="51D8CC1D">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066" w:type="dxa"/>
            <w:noWrap w:val="0"/>
            <w:vAlign w:val="center"/>
          </w:tcPr>
          <w:p w14:paraId="61ABAB48">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边角料及残次品</w:t>
            </w:r>
          </w:p>
        </w:tc>
        <w:tc>
          <w:tcPr>
            <w:tcW w:w="1094" w:type="dxa"/>
            <w:noWrap w:val="0"/>
            <w:vAlign w:val="center"/>
          </w:tcPr>
          <w:p w14:paraId="5A86E1DD">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1095" w:type="dxa"/>
            <w:vMerge w:val="restart"/>
            <w:noWrap w:val="0"/>
            <w:vAlign w:val="center"/>
          </w:tcPr>
          <w:p w14:paraId="4947A9A8">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1950" w:type="dxa"/>
            <w:noWrap w:val="0"/>
            <w:vAlign w:val="center"/>
          </w:tcPr>
          <w:p w14:paraId="73A22911">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45" w:type="dxa"/>
            <w:noWrap w:val="0"/>
            <w:vAlign w:val="center"/>
          </w:tcPr>
          <w:p w14:paraId="2955D2BB">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收集后委托环卫部门清运处置。</w:t>
            </w:r>
          </w:p>
        </w:tc>
        <w:tc>
          <w:tcPr>
            <w:tcW w:w="943" w:type="dxa"/>
            <w:noWrap w:val="0"/>
            <w:vAlign w:val="center"/>
          </w:tcPr>
          <w:p w14:paraId="103A467B">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vertAlign w:val="baseline"/>
                <w:lang w:eastAsia="zh-CN"/>
              </w:rPr>
              <w:t>符合</w:t>
            </w:r>
          </w:p>
        </w:tc>
      </w:tr>
      <w:tr w14:paraId="78BB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57" w:type="dxa"/>
            <w:noWrap w:val="0"/>
            <w:vAlign w:val="center"/>
          </w:tcPr>
          <w:p w14:paraId="08CED4DB">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066" w:type="dxa"/>
            <w:noWrap w:val="0"/>
            <w:vAlign w:val="center"/>
          </w:tcPr>
          <w:p w14:paraId="3FD2020E">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废包装材料</w:t>
            </w:r>
          </w:p>
        </w:tc>
        <w:tc>
          <w:tcPr>
            <w:tcW w:w="1094" w:type="dxa"/>
            <w:noWrap w:val="0"/>
            <w:vAlign w:val="center"/>
          </w:tcPr>
          <w:p w14:paraId="4108B4D8">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1095" w:type="dxa"/>
            <w:vMerge w:val="continue"/>
            <w:noWrap w:val="0"/>
            <w:vAlign w:val="center"/>
          </w:tcPr>
          <w:p w14:paraId="0B33BF48">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50" w:type="dxa"/>
            <w:noWrap w:val="0"/>
            <w:vAlign w:val="center"/>
          </w:tcPr>
          <w:p w14:paraId="68787294">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45" w:type="dxa"/>
            <w:noWrap w:val="0"/>
            <w:vAlign w:val="center"/>
          </w:tcPr>
          <w:p w14:paraId="1FC830A3">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外售</w:t>
            </w:r>
          </w:p>
        </w:tc>
        <w:tc>
          <w:tcPr>
            <w:tcW w:w="943" w:type="dxa"/>
            <w:noWrap w:val="0"/>
            <w:vAlign w:val="center"/>
          </w:tcPr>
          <w:p w14:paraId="54F6E95A">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vertAlign w:val="baseline"/>
                <w:lang w:eastAsia="zh-CN"/>
              </w:rPr>
              <w:t>符合</w:t>
            </w:r>
          </w:p>
        </w:tc>
      </w:tr>
      <w:tr w14:paraId="44FE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57" w:type="dxa"/>
            <w:noWrap w:val="0"/>
            <w:vAlign w:val="center"/>
          </w:tcPr>
          <w:p w14:paraId="2AEBA595">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066" w:type="dxa"/>
            <w:noWrap w:val="0"/>
            <w:vAlign w:val="center"/>
          </w:tcPr>
          <w:p w14:paraId="4F13C772">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生活垃圾</w:t>
            </w:r>
          </w:p>
        </w:tc>
        <w:tc>
          <w:tcPr>
            <w:tcW w:w="1094" w:type="dxa"/>
            <w:noWrap w:val="0"/>
            <w:vAlign w:val="center"/>
          </w:tcPr>
          <w:p w14:paraId="0478FBA6">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w:t>
            </w:r>
          </w:p>
        </w:tc>
        <w:tc>
          <w:tcPr>
            <w:tcW w:w="1095" w:type="dxa"/>
            <w:vMerge w:val="continue"/>
            <w:noWrap w:val="0"/>
            <w:vAlign w:val="center"/>
          </w:tcPr>
          <w:p w14:paraId="326CE27D">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50" w:type="dxa"/>
            <w:noWrap w:val="0"/>
            <w:vAlign w:val="center"/>
          </w:tcPr>
          <w:p w14:paraId="1EFCD547">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45" w:type="dxa"/>
            <w:noWrap w:val="0"/>
            <w:vAlign w:val="center"/>
          </w:tcPr>
          <w:p w14:paraId="15677B8D">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收集后委托环卫部门清运处置。</w:t>
            </w:r>
          </w:p>
        </w:tc>
        <w:tc>
          <w:tcPr>
            <w:tcW w:w="943" w:type="dxa"/>
            <w:noWrap w:val="0"/>
            <w:vAlign w:val="center"/>
          </w:tcPr>
          <w:p w14:paraId="641E14F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vertAlign w:val="baseline"/>
                <w:lang w:eastAsia="zh-CN"/>
              </w:rPr>
              <w:t>符合</w:t>
            </w:r>
          </w:p>
        </w:tc>
      </w:tr>
      <w:tr w14:paraId="5DB7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357" w:type="dxa"/>
            <w:noWrap w:val="0"/>
            <w:vAlign w:val="center"/>
          </w:tcPr>
          <w:p w14:paraId="56B5652E">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066" w:type="dxa"/>
            <w:noWrap w:val="0"/>
            <w:vAlign w:val="center"/>
          </w:tcPr>
          <w:p w14:paraId="7FAA22AB">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食堂泔水及废油</w:t>
            </w:r>
          </w:p>
        </w:tc>
        <w:tc>
          <w:tcPr>
            <w:tcW w:w="1094" w:type="dxa"/>
            <w:noWrap w:val="0"/>
            <w:vAlign w:val="center"/>
          </w:tcPr>
          <w:p w14:paraId="119E7E2D">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87.1</w:t>
            </w:r>
          </w:p>
        </w:tc>
        <w:tc>
          <w:tcPr>
            <w:tcW w:w="1095" w:type="dxa"/>
            <w:vMerge w:val="continue"/>
            <w:noWrap w:val="0"/>
            <w:vAlign w:val="center"/>
          </w:tcPr>
          <w:p w14:paraId="5FA57431">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50" w:type="dxa"/>
            <w:noWrap w:val="0"/>
            <w:vAlign w:val="center"/>
          </w:tcPr>
          <w:p w14:paraId="70E2BA65">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45" w:type="dxa"/>
            <w:noWrap w:val="0"/>
            <w:vAlign w:val="center"/>
          </w:tcPr>
          <w:p w14:paraId="3886CA25">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食堂泔水和废油用塑料桶</w:t>
            </w:r>
            <w:r>
              <w:rPr>
                <w:rFonts w:hint="default" w:ascii="Times New Roman" w:hAnsi="Times New Roman" w:eastAsia="宋体" w:cs="Times New Roman"/>
                <w:color w:val="auto"/>
                <w:sz w:val="21"/>
                <w:szCs w:val="21"/>
                <w:lang w:eastAsia="zh-CN"/>
              </w:rPr>
              <w:t>单独</w:t>
            </w:r>
            <w:r>
              <w:rPr>
                <w:rFonts w:hint="default" w:ascii="Times New Roman" w:hAnsi="Times New Roman" w:eastAsia="宋体" w:cs="Times New Roman"/>
                <w:color w:val="auto"/>
                <w:sz w:val="21"/>
                <w:szCs w:val="21"/>
              </w:rPr>
              <w:t>收集后，委托</w:t>
            </w:r>
            <w:r>
              <w:rPr>
                <w:rFonts w:hint="default" w:ascii="Times New Roman" w:hAnsi="Times New Roman" w:eastAsia="宋体" w:cs="Times New Roman"/>
                <w:color w:val="auto"/>
                <w:sz w:val="21"/>
                <w:szCs w:val="21"/>
                <w:lang w:eastAsia="zh-CN"/>
              </w:rPr>
              <w:t>环卫部门</w:t>
            </w:r>
            <w:r>
              <w:rPr>
                <w:rFonts w:hint="default" w:ascii="Times New Roman" w:hAnsi="Times New Roman" w:eastAsia="宋体" w:cs="Times New Roman"/>
                <w:color w:val="auto"/>
                <w:sz w:val="21"/>
                <w:szCs w:val="21"/>
              </w:rPr>
              <w:t>进行处理</w:t>
            </w:r>
            <w:r>
              <w:rPr>
                <w:rFonts w:hint="default" w:ascii="Times New Roman" w:hAnsi="Times New Roman" w:eastAsia="宋体" w:cs="Times New Roman"/>
                <w:color w:val="auto"/>
                <w:sz w:val="21"/>
                <w:szCs w:val="21"/>
                <w:lang w:eastAsia="zh-CN"/>
              </w:rPr>
              <w:t>。</w:t>
            </w:r>
          </w:p>
        </w:tc>
        <w:tc>
          <w:tcPr>
            <w:tcW w:w="943" w:type="dxa"/>
            <w:noWrap w:val="0"/>
            <w:vAlign w:val="center"/>
          </w:tcPr>
          <w:p w14:paraId="30CCBAC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vertAlign w:val="baseline"/>
                <w:lang w:eastAsia="zh-CN"/>
              </w:rPr>
              <w:t>符合</w:t>
            </w:r>
          </w:p>
        </w:tc>
      </w:tr>
      <w:tr w14:paraId="0A364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57" w:type="dxa"/>
            <w:noWrap w:val="0"/>
            <w:vAlign w:val="center"/>
          </w:tcPr>
          <w:p w14:paraId="15F363B9">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066" w:type="dxa"/>
            <w:noWrap w:val="0"/>
            <w:vAlign w:val="center"/>
          </w:tcPr>
          <w:p w14:paraId="42EE0C1E">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污泥</w:t>
            </w:r>
          </w:p>
        </w:tc>
        <w:tc>
          <w:tcPr>
            <w:tcW w:w="1094" w:type="dxa"/>
            <w:noWrap w:val="0"/>
            <w:vAlign w:val="center"/>
          </w:tcPr>
          <w:p w14:paraId="550DE317">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1095" w:type="dxa"/>
            <w:vMerge w:val="continue"/>
            <w:noWrap w:val="0"/>
            <w:vAlign w:val="center"/>
          </w:tcPr>
          <w:p w14:paraId="4079CB32">
            <w:pPr>
              <w:autoSpaceDE w:val="0"/>
              <w:autoSpaceDN w:val="0"/>
              <w:adjustRightInd w:val="0"/>
              <w:spacing w:line="240" w:lineRule="auto"/>
              <w:jc w:val="center"/>
              <w:rPr>
                <w:rFonts w:hint="default" w:ascii="Times New Roman" w:hAnsi="Times New Roman" w:eastAsia="宋体" w:cs="Times New Roman"/>
                <w:color w:val="auto"/>
                <w:sz w:val="21"/>
                <w:szCs w:val="21"/>
              </w:rPr>
            </w:pPr>
          </w:p>
        </w:tc>
        <w:tc>
          <w:tcPr>
            <w:tcW w:w="1950" w:type="dxa"/>
            <w:noWrap w:val="0"/>
            <w:vAlign w:val="center"/>
          </w:tcPr>
          <w:p w14:paraId="521E575A">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145" w:type="dxa"/>
            <w:noWrap w:val="0"/>
            <w:vAlign w:val="center"/>
          </w:tcPr>
          <w:p w14:paraId="1560D78F">
            <w:pPr>
              <w:autoSpaceDE w:val="0"/>
              <w:autoSpaceDN w:val="0"/>
              <w:adjustRightIn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定期清掏后委托环卫部门清运处理。</w:t>
            </w:r>
          </w:p>
        </w:tc>
        <w:tc>
          <w:tcPr>
            <w:tcW w:w="943" w:type="dxa"/>
            <w:noWrap w:val="0"/>
            <w:vAlign w:val="center"/>
          </w:tcPr>
          <w:p w14:paraId="0D99ED99">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vertAlign w:val="baseline"/>
                <w:lang w:eastAsia="zh-CN"/>
              </w:rPr>
              <w:t>符合</w:t>
            </w:r>
          </w:p>
        </w:tc>
      </w:tr>
      <w:tr w14:paraId="6774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57" w:type="dxa"/>
            <w:noWrap w:val="0"/>
            <w:vAlign w:val="center"/>
          </w:tcPr>
          <w:p w14:paraId="6589E90F">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066" w:type="dxa"/>
            <w:noWrap w:val="0"/>
            <w:vAlign w:val="center"/>
          </w:tcPr>
          <w:p w14:paraId="088DF90D">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1094" w:type="dxa"/>
            <w:noWrap w:val="0"/>
            <w:vAlign w:val="center"/>
          </w:tcPr>
          <w:p w14:paraId="0C60531A">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0.05</w:t>
            </w:r>
          </w:p>
        </w:tc>
        <w:tc>
          <w:tcPr>
            <w:tcW w:w="1095" w:type="dxa"/>
            <w:noWrap w:val="0"/>
            <w:vAlign w:val="center"/>
          </w:tcPr>
          <w:p w14:paraId="3619351A">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950" w:type="dxa"/>
            <w:noWrap w:val="0"/>
            <w:vAlign w:val="center"/>
          </w:tcPr>
          <w:p w14:paraId="1AF3EA1F">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900-249-08</w:t>
            </w:r>
          </w:p>
        </w:tc>
        <w:tc>
          <w:tcPr>
            <w:tcW w:w="2145" w:type="dxa"/>
            <w:noWrap w:val="0"/>
            <w:vAlign w:val="center"/>
          </w:tcPr>
          <w:p w14:paraId="573F3EF5">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委托</w:t>
            </w:r>
            <w:r>
              <w:rPr>
                <w:rFonts w:hint="default" w:ascii="Times New Roman" w:hAnsi="Times New Roman" w:eastAsia="宋体" w:cs="Times New Roman"/>
                <w:color w:val="auto"/>
                <w:sz w:val="21"/>
                <w:szCs w:val="21"/>
              </w:rPr>
              <w:t>有资质的单位回收处置。</w:t>
            </w:r>
          </w:p>
        </w:tc>
        <w:tc>
          <w:tcPr>
            <w:tcW w:w="943" w:type="dxa"/>
            <w:noWrap w:val="0"/>
            <w:vAlign w:val="center"/>
          </w:tcPr>
          <w:p w14:paraId="07E83881">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vertAlign w:val="baseline"/>
                <w:lang w:eastAsia="zh-CN"/>
              </w:rPr>
              <w:t>符合</w:t>
            </w:r>
          </w:p>
        </w:tc>
      </w:tr>
      <w:tr w14:paraId="7B1E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357" w:type="dxa"/>
            <w:noWrap w:val="0"/>
            <w:vAlign w:val="center"/>
          </w:tcPr>
          <w:p w14:paraId="2C148CA1">
            <w:pPr>
              <w:autoSpaceDE w:val="0"/>
              <w:autoSpaceDN w:val="0"/>
              <w:adjustRightIn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1066" w:type="dxa"/>
            <w:noWrap w:val="0"/>
            <w:vAlign w:val="center"/>
          </w:tcPr>
          <w:p w14:paraId="4D906A28">
            <w:pPr>
              <w:autoSpaceDE w:val="0"/>
              <w:autoSpaceDN w:val="0"/>
              <w:adjustRightInd w:val="0"/>
              <w:spacing w:line="240" w:lineRule="auto"/>
              <w:jc w:val="center"/>
              <w:rPr>
                <w:rFonts w:hint="default" w:ascii="Times New Roman" w:hAnsi="Times New Roman" w:eastAsia="宋体" w:cs="Times New Roman"/>
                <w:b/>
                <w:bCs/>
                <w:color w:val="auto"/>
                <w:sz w:val="21"/>
                <w:szCs w:val="24"/>
                <w:lang w:eastAsia="zh-CN"/>
              </w:rPr>
            </w:pPr>
            <w:r>
              <w:rPr>
                <w:rFonts w:hint="default" w:ascii="Times New Roman" w:hAnsi="Times New Roman" w:eastAsia="宋体" w:cs="Times New Roman"/>
                <w:b/>
                <w:bCs/>
                <w:color w:val="auto"/>
                <w:sz w:val="21"/>
                <w:szCs w:val="24"/>
                <w:lang w:eastAsia="zh-CN"/>
              </w:rPr>
              <w:t>合计</w:t>
            </w:r>
          </w:p>
        </w:tc>
        <w:tc>
          <w:tcPr>
            <w:tcW w:w="1094" w:type="dxa"/>
            <w:noWrap w:val="0"/>
            <w:vAlign w:val="center"/>
          </w:tcPr>
          <w:p w14:paraId="2D742200">
            <w:pPr>
              <w:autoSpaceDE w:val="0"/>
              <w:autoSpaceDN w:val="0"/>
              <w:adjustRightInd w:val="0"/>
              <w:spacing w:line="240" w:lineRule="auto"/>
              <w:ind w:firstLine="211" w:firstLineChars="100"/>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178.65</w:t>
            </w:r>
          </w:p>
        </w:tc>
        <w:tc>
          <w:tcPr>
            <w:tcW w:w="1095" w:type="dxa"/>
            <w:noWrap w:val="0"/>
            <w:vAlign w:val="center"/>
          </w:tcPr>
          <w:p w14:paraId="2BF05B6A">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950" w:type="dxa"/>
            <w:tcBorders>
              <w:left w:val="single" w:color="000000" w:sz="4" w:space="0"/>
            </w:tcBorders>
            <w:noWrap w:val="0"/>
            <w:vAlign w:val="center"/>
          </w:tcPr>
          <w:p w14:paraId="49831C41">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145" w:type="dxa"/>
            <w:tcBorders>
              <w:left w:val="single" w:color="000000" w:sz="4" w:space="0"/>
            </w:tcBorders>
            <w:noWrap w:val="0"/>
            <w:vAlign w:val="center"/>
          </w:tcPr>
          <w:p w14:paraId="550EC844">
            <w:pPr>
              <w:autoSpaceDE w:val="0"/>
              <w:autoSpaceDN w:val="0"/>
              <w:adjustRightIn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分类收集、处置，处置率100%</w:t>
            </w:r>
          </w:p>
        </w:tc>
        <w:tc>
          <w:tcPr>
            <w:tcW w:w="943" w:type="dxa"/>
            <w:tcBorders>
              <w:left w:val="single" w:color="000000" w:sz="4" w:space="0"/>
            </w:tcBorders>
            <w:noWrap w:val="0"/>
            <w:vAlign w:val="center"/>
          </w:tcPr>
          <w:p w14:paraId="42442A92">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vertAlign w:val="baseline"/>
                <w:lang w:eastAsia="zh-CN"/>
              </w:rPr>
              <w:t>符合</w:t>
            </w:r>
          </w:p>
        </w:tc>
      </w:tr>
    </w:tbl>
    <w:p w14:paraId="168F39C7">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outlineLvl w:val="9"/>
        <w:rPr>
          <w:rFonts w:hint="default" w:ascii="Times New Roman" w:hAnsi="Times New Roman" w:eastAsia="宋体" w:cs="Times New Roman"/>
          <w:b/>
          <w:bCs w:val="0"/>
          <w:color w:val="auto"/>
          <w:sz w:val="24"/>
          <w:szCs w:val="24"/>
          <w:lang w:eastAsia="zh-CN"/>
        </w:rPr>
      </w:pPr>
    </w:p>
    <w:p w14:paraId="7E0198FD">
      <w:pPr>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从上表可以看出，本项目产生的危险固废和一般固废均得到合理有效处置，处置方式均可行，处理率100%。</w:t>
      </w:r>
    </w:p>
    <w:p w14:paraId="56D63329">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rPr>
        <w:t>鉴于各类废物将会在厂区内贮存一段时间，</w:t>
      </w:r>
      <w:r>
        <w:rPr>
          <w:rFonts w:hint="default" w:ascii="Times New Roman" w:hAnsi="Times New Roman" w:eastAsia="宋体" w:cs="Times New Roman"/>
          <w:color w:val="auto"/>
          <w:sz w:val="24"/>
          <w:szCs w:val="24"/>
        </w:rPr>
        <w:t>本次环评提出以下几点要求：</w:t>
      </w:r>
    </w:p>
    <w:p w14:paraId="5217C572">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（1）安全贮存的技术要求</w:t>
      </w:r>
    </w:p>
    <w:p w14:paraId="11B86E78">
      <w:pPr>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rPr>
        <w:t>应按照固体废弃物的性质进行分类收集和暂存。一般固废按照《一般工业固体废物贮存、处置场污染控制标准》GB18599-2001及其修改单有关要求执行，</w:t>
      </w:r>
      <w:r>
        <w:rPr>
          <w:rFonts w:hint="default" w:ascii="Times New Roman" w:hAnsi="Times New Roman" w:eastAsia="宋体" w:cs="Times New Roman"/>
          <w:bCs/>
          <w:color w:val="auto"/>
          <w:sz w:val="24"/>
          <w:szCs w:val="24"/>
        </w:rPr>
        <w:t>危险废物暂存时应按照GB18597-2001《危险废物贮存污染控制标准》及其修改单的要求进行贮存。</w:t>
      </w:r>
    </w:p>
    <w:p w14:paraId="0A96B9B0">
      <w:pPr>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（2）危险废物贮存技术要求</w:t>
      </w:r>
    </w:p>
    <w:p w14:paraId="166B4577">
      <w:pPr>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按照GB18597-2001《危险废物贮存污染控制标准》及其修改单的要求进行贮存</w:t>
      </w:r>
      <w:r>
        <w:rPr>
          <w:rFonts w:hint="default" w:ascii="Times New Roman" w:hAnsi="Times New Roman" w:eastAsia="宋体" w:cs="Times New Roman"/>
          <w:color w:val="auto"/>
          <w:sz w:val="21"/>
          <w:szCs w:val="24"/>
        </w:rPr>
        <w:t>。</w:t>
      </w:r>
      <w:r>
        <w:rPr>
          <w:rFonts w:hint="default" w:ascii="Times New Roman" w:hAnsi="Times New Roman" w:eastAsia="宋体" w:cs="Times New Roman"/>
          <w:color w:val="auto"/>
          <w:kern w:val="0"/>
          <w:sz w:val="24"/>
          <w:szCs w:val="24"/>
        </w:rPr>
        <w:t>项目在生产</w:t>
      </w:r>
      <w:r>
        <w:rPr>
          <w:rFonts w:hint="eastAsia" w:ascii="Times New Roman" w:hAnsi="Times New Roman" w:cs="Times New Roman"/>
          <w:color w:val="auto"/>
          <w:kern w:val="0"/>
          <w:sz w:val="24"/>
          <w:szCs w:val="24"/>
          <w:lang w:eastAsia="zh-CN"/>
        </w:rPr>
        <w:t>机修间南侧</w:t>
      </w:r>
      <w:r>
        <w:rPr>
          <w:rFonts w:hint="default" w:ascii="Times New Roman" w:hAnsi="Times New Roman" w:eastAsia="宋体" w:cs="Times New Roman"/>
          <w:bCs/>
          <w:color w:val="auto"/>
          <w:sz w:val="24"/>
          <w:szCs w:val="24"/>
        </w:rPr>
        <w:t>设置专门的危废贮存间，危废贮存间</w:t>
      </w:r>
      <w:r>
        <w:rPr>
          <w:rFonts w:hint="default" w:ascii="Times New Roman" w:hAnsi="Times New Roman" w:eastAsia="宋体" w:cs="Times New Roman"/>
          <w:bCs/>
          <w:color w:val="auto"/>
          <w:sz w:val="24"/>
          <w:szCs w:val="24"/>
          <w:lang w:eastAsia="zh-CN"/>
        </w:rPr>
        <w:t>建筑</w:t>
      </w:r>
      <w:r>
        <w:rPr>
          <w:rFonts w:hint="default" w:ascii="Times New Roman" w:hAnsi="Times New Roman" w:eastAsia="宋体" w:cs="Times New Roman"/>
          <w:bCs/>
          <w:color w:val="auto"/>
          <w:sz w:val="24"/>
          <w:szCs w:val="24"/>
        </w:rPr>
        <w:t>面积为</w:t>
      </w:r>
      <w:r>
        <w:rPr>
          <w:rFonts w:hint="eastAsia" w:ascii="Times New Roman" w:hAnsi="Times New Roman" w:cs="Times New Roman"/>
          <w:bCs/>
          <w:color w:val="auto"/>
          <w:sz w:val="24"/>
          <w:szCs w:val="24"/>
          <w:lang w:val="en-US" w:eastAsia="zh-CN"/>
        </w:rPr>
        <w:t>10</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2</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color w:val="auto"/>
          <w:kern w:val="0"/>
          <w:sz w:val="24"/>
          <w:szCs w:val="24"/>
        </w:rPr>
        <w:t>为密闭建筑，暂存</w:t>
      </w:r>
      <w:r>
        <w:rPr>
          <w:rFonts w:hint="default" w:ascii="Times New Roman" w:hAnsi="Times New Roman" w:eastAsia="宋体" w:cs="Times New Roman"/>
          <w:color w:val="auto"/>
          <w:kern w:val="0"/>
          <w:sz w:val="24"/>
          <w:szCs w:val="24"/>
          <w:lang w:eastAsia="zh-CN"/>
        </w:rPr>
        <w:t>间要求</w:t>
      </w:r>
      <w:r>
        <w:rPr>
          <w:rFonts w:hint="default" w:ascii="Times New Roman" w:hAnsi="Times New Roman" w:eastAsia="宋体" w:cs="Times New Roman"/>
          <w:color w:val="auto"/>
          <w:kern w:val="0"/>
          <w:sz w:val="24"/>
          <w:szCs w:val="24"/>
        </w:rPr>
        <w:t>具备防渗防漏、防扩散、防雨淋、防流失的措施。</w:t>
      </w:r>
      <w:r>
        <w:rPr>
          <w:rFonts w:hint="default" w:ascii="Times New Roman" w:hAnsi="Times New Roman" w:eastAsia="宋体" w:cs="Times New Roman"/>
          <w:bCs/>
          <w:color w:val="auto"/>
          <w:sz w:val="24"/>
          <w:szCs w:val="24"/>
        </w:rPr>
        <w:t>本次故环评要求液体废物及固体废物分开放置，项目区产生的所有危险废物均统一收集，分类、分区暂存于危废</w:t>
      </w:r>
      <w:r>
        <w:rPr>
          <w:rFonts w:hint="default" w:ascii="Times New Roman" w:hAnsi="Times New Roman" w:eastAsia="宋体" w:cs="Times New Roman"/>
          <w:bCs/>
          <w:color w:val="auto"/>
          <w:sz w:val="24"/>
          <w:szCs w:val="24"/>
          <w:lang w:eastAsia="zh-CN"/>
        </w:rPr>
        <w:t>暂存</w:t>
      </w:r>
      <w:r>
        <w:rPr>
          <w:rFonts w:hint="default" w:ascii="Times New Roman" w:hAnsi="Times New Roman" w:eastAsia="宋体" w:cs="Times New Roman"/>
          <w:bCs/>
          <w:color w:val="auto"/>
          <w:sz w:val="24"/>
          <w:szCs w:val="24"/>
        </w:rPr>
        <w:t>间内，各区相互隔离，互不干扰，并分别设置危险废物识别标志，上锁，钥匙由专人进行管理。</w:t>
      </w:r>
    </w:p>
    <w:p w14:paraId="1111BCAD">
      <w:pPr>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危险废物转移联单管理办法》的有关规定，企业应委托具有资质的专门单位处置危险废物。为便于项目建成后运行管理，公司应与有危险废物处置资质的单位签订处置合同或协议，危险废物清运建立转移联单登记，记录危险废物数量、废物属性、转移时间、去向等，保证将生产中产生的危险废物得到安全、经济的处理处置，最大限制地降低其对环境的影响。</w:t>
      </w:r>
    </w:p>
    <w:p w14:paraId="76C0ED1A">
      <w:pPr>
        <w:spacing w:line="360" w:lineRule="auto"/>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sz w:val="24"/>
          <w:szCs w:val="24"/>
          <w:lang w:val="en-US" w:eastAsia="zh-CN" w:bidi="ar-SA"/>
        </w:rPr>
        <w:t>本项目产生的固体废物采取治理措施后，均得到有效处置，对周围环境影响较小</w:t>
      </w:r>
      <w:r>
        <w:rPr>
          <w:rFonts w:hint="default" w:ascii="Times New Roman" w:hAnsi="Times New Roman" w:eastAsia="宋体" w:cs="Times New Roman"/>
          <w:color w:val="auto"/>
          <w:kern w:val="0"/>
        </w:rPr>
        <w:t>。</w:t>
      </w:r>
    </w:p>
    <w:p w14:paraId="2D5B8FB4">
      <w:pPr>
        <w:pStyle w:val="11"/>
        <w:adjustRightInd w:val="0"/>
        <w:snapToGrid w:val="0"/>
        <w:spacing w:before="0" w:after="0" w:line="360" w:lineRule="auto"/>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color w:val="auto"/>
          <w:sz w:val="28"/>
        </w:rPr>
        <w:t>5.2.</w:t>
      </w:r>
      <w:r>
        <w:rPr>
          <w:rFonts w:hint="default" w:ascii="Times New Roman" w:hAnsi="Times New Roman" w:eastAsia="宋体" w:cs="Times New Roman"/>
          <w:color w:val="auto"/>
          <w:sz w:val="28"/>
          <w:lang w:val="en-US" w:eastAsia="zh-CN"/>
        </w:rPr>
        <w:t>6</w:t>
      </w:r>
      <w:r>
        <w:rPr>
          <w:rFonts w:hint="default" w:ascii="Times New Roman" w:hAnsi="Times New Roman" w:eastAsia="宋体" w:cs="Times New Roman"/>
          <w:color w:val="auto"/>
          <w:sz w:val="28"/>
          <w:lang w:eastAsia="zh-CN"/>
        </w:rPr>
        <w:t>土壤</w:t>
      </w:r>
      <w:r>
        <w:rPr>
          <w:rFonts w:hint="default" w:ascii="Times New Roman" w:hAnsi="Times New Roman" w:eastAsia="宋体" w:cs="Times New Roman"/>
          <w:color w:val="auto"/>
          <w:sz w:val="28"/>
        </w:rPr>
        <w:t>环境影响</w:t>
      </w:r>
      <w:r>
        <w:rPr>
          <w:rFonts w:hint="default" w:ascii="Times New Roman" w:hAnsi="Times New Roman" w:eastAsia="宋体" w:cs="Times New Roman"/>
          <w:color w:val="auto"/>
          <w:sz w:val="28"/>
          <w:lang w:eastAsia="zh-CN"/>
        </w:rPr>
        <w:t>评价</w:t>
      </w:r>
    </w:p>
    <w:p w14:paraId="0644EC56">
      <w:pPr>
        <w:numPr>
          <w:ilvl w:val="0"/>
          <w:numId w:val="8"/>
        </w:numPr>
        <w:adjustRightInd w:val="0"/>
        <w:snapToGrid w:val="0"/>
        <w:ind w:firstLine="482" w:firstLineChars="20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评价目的、内容</w:t>
      </w:r>
    </w:p>
    <w:p w14:paraId="5417E739">
      <w:pPr>
        <w:numPr>
          <w:ilvl w:val="0"/>
          <w:numId w:val="0"/>
        </w:num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1）结合国家、地方土壤相关资料和实地调查，掌握拟建项目地区土壤类型及理化特性等，查明土壤环境现状与土壤利用现状；</w:t>
      </w:r>
    </w:p>
    <w:p w14:paraId="7BBD23DF">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2）针对项目建设可能产生的不利影响，提出合理、可行、操作性强的土壤环境影响防控措施，使工程建设带来的负面环境影响降至最低程度，达到项目建设和环境保护的协调发展；</w:t>
      </w:r>
    </w:p>
    <w:p w14:paraId="71C971F0">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3</w:t>
      </w:r>
      <w:r>
        <w:rPr>
          <w:rFonts w:hint="default" w:ascii="Times New Roman" w:hAnsi="Times New Roman" w:eastAsia="宋体" w:cs="Times New Roman"/>
          <w:color w:val="auto"/>
          <w:szCs w:val="24"/>
          <w:lang w:eastAsia="zh-CN"/>
        </w:rPr>
        <w:t>）从土壤环境保护角度论证项目建设的可行性，为工程建设决策和环境管理提供科学依据。</w:t>
      </w:r>
    </w:p>
    <w:p w14:paraId="2DA8775E">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4</w:t>
      </w:r>
      <w:r>
        <w:rPr>
          <w:rFonts w:hint="default" w:ascii="Times New Roman" w:hAnsi="Times New Roman" w:eastAsia="宋体" w:cs="Times New Roman"/>
          <w:color w:val="auto"/>
          <w:szCs w:val="24"/>
          <w:lang w:eastAsia="zh-CN"/>
        </w:rPr>
        <w:t>）土壤环境的现状调查、监测与评价，以及建设项目对土壤环境可能造成的影响评价，并针对其造成的影响和危害提出防控措施与对策。</w:t>
      </w:r>
    </w:p>
    <w:p w14:paraId="175C46E7">
      <w:pPr>
        <w:adjustRightInd w:val="0"/>
        <w:snapToGrid w:val="0"/>
        <w:ind w:firstLine="482" w:firstLineChars="20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2、项目用地现状</w:t>
      </w:r>
    </w:p>
    <w:p w14:paraId="0850699D">
      <w:pPr>
        <w:adjustRightInd w:val="0"/>
        <w:snapToGrid w:val="0"/>
        <w:ind w:firstLine="480"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color w:val="auto"/>
          <w:szCs w:val="24"/>
          <w:lang w:eastAsia="zh-CN"/>
        </w:rPr>
        <w:t>项目位于芒市帕底工业园区，用地性质为工业用地，项目用地现状可以达到《土壤环境质量 建设用地土壤污染风险管控标准》（GB36600-2018）中第二类用地风险筛选值中标准要求。项目用地现状为耕地，项目周围目前主要为耕地、草地，无企业分布。</w:t>
      </w:r>
    </w:p>
    <w:p w14:paraId="6E9AC161">
      <w:pPr>
        <w:adjustRightInd w:val="0"/>
        <w:snapToGrid w:val="0"/>
        <w:ind w:firstLine="482" w:firstLineChars="20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3、评价等级</w:t>
      </w:r>
    </w:p>
    <w:p w14:paraId="53017CB5">
      <w:pPr>
        <w:adjustRightInd w:val="0"/>
        <w:snapToGrid w:val="0"/>
        <w:spacing w:line="360" w:lineRule="auto"/>
        <w:ind w:firstLine="482"/>
        <w:rPr>
          <w:rFonts w:hint="default" w:ascii="Times New Roman" w:hAnsi="Times New Roman" w:eastAsia="宋体" w:cs="Times New Roman"/>
          <w:b/>
          <w:bCs/>
          <w:color w:val="auto"/>
          <w:sz w:val="24"/>
          <w:lang w:eastAsia="zh-CN"/>
        </w:rPr>
      </w:pPr>
      <w:r>
        <w:rPr>
          <w:rFonts w:hint="default" w:ascii="Times New Roman" w:hAnsi="Times New Roman" w:eastAsia="宋体" w:cs="Times New Roman"/>
          <w:color w:val="auto"/>
          <w:sz w:val="24"/>
          <w:lang w:eastAsia="zh-CN"/>
        </w:rPr>
        <w:t>根据《环境影响评价技术导则—土壤环境》（</w:t>
      </w:r>
      <w:r>
        <w:rPr>
          <w:rFonts w:hint="default" w:ascii="Times New Roman" w:hAnsi="Times New Roman" w:eastAsia="宋体" w:cs="Times New Roman"/>
          <w:color w:val="auto"/>
          <w:sz w:val="24"/>
          <w:lang w:val="en-US" w:eastAsia="zh-CN"/>
        </w:rPr>
        <w:t>HJ964-2018</w:t>
      </w:r>
      <w:r>
        <w:rPr>
          <w:rFonts w:hint="default" w:ascii="Times New Roman" w:hAnsi="Times New Roman" w:eastAsia="宋体" w:cs="Times New Roman"/>
          <w:color w:val="auto"/>
          <w:sz w:val="24"/>
          <w:lang w:eastAsia="zh-CN"/>
        </w:rPr>
        <w:t>），项目土壤评价等级划分见下表。</w:t>
      </w:r>
    </w:p>
    <w:p w14:paraId="31BEAF7E">
      <w:pPr>
        <w:adjustRightInd w:val="0"/>
        <w:snapToGrid w:val="0"/>
        <w:spacing w:line="360" w:lineRule="auto"/>
        <w:jc w:val="center"/>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eastAsia="zh-CN"/>
        </w:rPr>
        <w:t>表</w:t>
      </w:r>
      <w:r>
        <w:rPr>
          <w:rFonts w:hint="default" w:ascii="Times New Roman" w:hAnsi="Times New Roman" w:eastAsia="宋体" w:cs="Times New Roman"/>
          <w:b/>
          <w:bCs/>
          <w:color w:val="auto"/>
          <w:sz w:val="24"/>
          <w:lang w:val="en-US" w:eastAsia="zh-CN"/>
        </w:rPr>
        <w:t>5.2-2</w:t>
      </w:r>
      <w:r>
        <w:rPr>
          <w:rFonts w:hint="eastAsia" w:ascii="Times New Roman" w:hAnsi="Times New Roman" w:cs="Times New Roman"/>
          <w:b/>
          <w:bCs/>
          <w:color w:val="auto"/>
          <w:sz w:val="24"/>
          <w:lang w:val="en-US" w:eastAsia="zh-CN"/>
        </w:rPr>
        <w:t>0</w:t>
      </w:r>
      <w:r>
        <w:rPr>
          <w:rFonts w:hint="default" w:ascii="Times New Roman" w:hAnsi="Times New Roman" w:eastAsia="宋体" w:cs="Times New Roman"/>
          <w:b/>
          <w:bCs/>
          <w:color w:val="auto"/>
          <w:sz w:val="24"/>
          <w:lang w:val="en-US" w:eastAsia="zh-CN"/>
        </w:rPr>
        <w:t xml:space="preserve"> 土壤影响评价工作等级划分表</w:t>
      </w:r>
    </w:p>
    <w:tbl>
      <w:tblPr>
        <w:tblStyle w:val="67"/>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705"/>
        <w:gridCol w:w="765"/>
        <w:gridCol w:w="767"/>
        <w:gridCol w:w="852"/>
        <w:gridCol w:w="852"/>
        <w:gridCol w:w="852"/>
        <w:gridCol w:w="852"/>
        <w:gridCol w:w="853"/>
        <w:gridCol w:w="853"/>
      </w:tblGrid>
      <w:tr w14:paraId="2CEF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 w:hRule="atLeast"/>
          <w:jc w:val="center"/>
        </w:trPr>
        <w:tc>
          <w:tcPr>
            <w:tcW w:w="1500" w:type="dxa"/>
            <w:vMerge w:val="restart"/>
            <w:vAlign w:val="center"/>
            <mc:AlternateContent>
              <mc:Choice Requires="wpsCustomData">
                <wpsCustomData:diagonals>
                  <wpsCustomData:diagonal from="30000" to="13200">
                    <wpsCustomData:border w:val="single" w:color="auto" w:sz="4" w:space="0"/>
                  </wpsCustomData:diagonal>
                  <wpsCustomData:diagonal from="30000" to="6500">
                    <wpsCustomData:border w:val="single" w:color="auto" w:sz="4" w:space="0"/>
                  </wpsCustomData:diagonal>
                </wpsCustomData:diagonals>
              </mc:Choice>
            </mc:AlternateContent>
          </w:tcPr>
          <w:p w14:paraId="7D6CC47A">
            <w:pPr>
              <w:adjustRightInd w:val="0"/>
              <w:snapToGrid w:val="0"/>
              <w:spacing w:line="240" w:lineRule="auto"/>
              <w:jc w:val="both"/>
              <w:rPr>
                <w:rFonts w:hint="default" w:ascii="Times New Roman" w:hAnsi="Times New Roman" w:eastAsia="宋体" w:cs="Times New Roman"/>
                <w:b/>
                <w:bCs/>
                <w:color w:val="auto"/>
                <w:sz w:val="21"/>
                <w:szCs w:val="21"/>
                <w:lang w:eastAsia="zh-CN"/>
              </w:rPr>
            </w:pPr>
          </w:p>
          <w:p w14:paraId="035D54F1">
            <w:pPr>
              <w:adjustRightInd w:val="0"/>
              <w:snapToGrid w:val="0"/>
              <w:spacing w:line="240" w:lineRule="auto"/>
              <w:jc w:val="both"/>
              <mc:AlternateContent>
                <mc:Choice Requires="wpsCustomData">
                  <wpsCustomData:diagonalParaType/>
                </mc:Choice>
              </mc:AlternateConten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敏感程度</w:t>
            </w:r>
          </w:p>
          <w:p w14:paraId="754C4903">
            <w:pPr>
              <w:adjustRightInd w:val="0"/>
              <w:snapToGrid w:val="0"/>
              <w:spacing w:line="240" w:lineRule="auto"/>
              <w:jc w:val="center"/>
              <w:rPr>
                <w:rFonts w:hint="default" w:ascii="Times New Roman" w:hAnsi="Times New Roman" w:eastAsia="宋体" w:cs="Times New Roman"/>
                <w:b/>
                <w:bCs/>
                <w:color w:val="auto"/>
                <w:sz w:val="21"/>
                <w:szCs w:val="21"/>
                <w:lang w:eastAsia="zh-CN"/>
              </w:rPr>
            </w:pPr>
          </w:p>
          <w:p w14:paraId="237507BF">
            <w:pPr>
              <w:adjustRightInd w:val="0"/>
              <w:snapToGrid w:val="0"/>
              <w:spacing w:line="240" w:lineRule="auto"/>
              <w:jc w:val="center"/>
              <mc:AlternateContent>
                <mc:Choice Requires="wpsCustomData">
                  <wpsCustomData:diagonalParaType/>
                </mc:Choice>
              </mc:AlternateContent>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评价等级</w:t>
            </w:r>
          </w:p>
          <w:p w14:paraId="31DE7D5B">
            <w:pPr>
              <w:adjustRightInd w:val="0"/>
              <w:snapToGrid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 </w:t>
            </w:r>
          </w:p>
          <w:p w14:paraId="55711FCE">
            <w:pPr>
              <w:adjustRightInd w:val="0"/>
              <w:snapToGrid w:val="0"/>
              <w:spacing w:line="240" w:lineRule="auto"/>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占地规模</w:t>
            </w:r>
          </w:p>
        </w:tc>
        <w:tc>
          <w:tcPr>
            <w:tcW w:w="2237" w:type="dxa"/>
            <w:gridSpan w:val="3"/>
            <w:vAlign w:val="center"/>
          </w:tcPr>
          <w:p w14:paraId="04A9F5F3">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I类</w:t>
            </w:r>
          </w:p>
        </w:tc>
        <w:tc>
          <w:tcPr>
            <w:tcW w:w="2556" w:type="dxa"/>
            <w:gridSpan w:val="3"/>
            <w:vAlign w:val="center"/>
          </w:tcPr>
          <w:p w14:paraId="462D54B7">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II类</w:t>
            </w:r>
          </w:p>
        </w:tc>
        <w:tc>
          <w:tcPr>
            <w:tcW w:w="2558" w:type="dxa"/>
            <w:gridSpan w:val="3"/>
            <w:vAlign w:val="center"/>
          </w:tcPr>
          <w:p w14:paraId="0C05C8E1">
            <w:pPr>
              <w:adjustRightInd w:val="0"/>
              <w:snapToGrid w:val="0"/>
              <w:spacing w:line="240" w:lineRule="auto"/>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III类</w:t>
            </w:r>
          </w:p>
        </w:tc>
      </w:tr>
      <w:tr w14:paraId="4358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Merge w:val="continue"/>
            <w:vAlign w:val="center"/>
          </w:tcPr>
          <w:p w14:paraId="4A915700">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p>
        </w:tc>
        <w:tc>
          <w:tcPr>
            <w:tcW w:w="705" w:type="dxa"/>
            <w:vAlign w:val="center"/>
          </w:tcPr>
          <w:p w14:paraId="4EEA978D">
            <w:pPr>
              <w:adjustRightInd w:val="0"/>
              <w:snapToGrid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大</w:t>
            </w:r>
          </w:p>
        </w:tc>
        <w:tc>
          <w:tcPr>
            <w:tcW w:w="765" w:type="dxa"/>
            <w:vAlign w:val="center"/>
          </w:tcPr>
          <w:p w14:paraId="50FB9D30">
            <w:pPr>
              <w:adjustRightInd w:val="0"/>
              <w:snapToGrid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中</w:t>
            </w:r>
          </w:p>
        </w:tc>
        <w:tc>
          <w:tcPr>
            <w:tcW w:w="767" w:type="dxa"/>
            <w:vAlign w:val="center"/>
          </w:tcPr>
          <w:p w14:paraId="6BC908B8">
            <w:pPr>
              <w:adjustRightInd w:val="0"/>
              <w:snapToGrid w:val="0"/>
              <w:spacing w:line="240" w:lineRule="auto"/>
              <w:jc w:val="center"/>
              <w:rPr>
                <w:rFonts w:hint="default" w:ascii="Times New Roman" w:hAnsi="Times New Roman" w:eastAsia="宋体" w:cs="Times New Roman"/>
                <w:b/>
                <w:bCs/>
                <w:color w:val="auto"/>
                <w:sz w:val="21"/>
                <w:szCs w:val="21"/>
                <w:vertAlign w:val="baseline"/>
                <w:lang w:eastAsia="zh-CN"/>
              </w:rPr>
            </w:pPr>
            <w:r>
              <w:rPr>
                <w:rFonts w:hint="default" w:ascii="Times New Roman" w:hAnsi="Times New Roman" w:eastAsia="宋体" w:cs="Times New Roman"/>
                <w:b/>
                <w:bCs/>
                <w:color w:val="auto"/>
                <w:sz w:val="21"/>
                <w:szCs w:val="21"/>
                <w:vertAlign w:val="baseline"/>
                <w:lang w:eastAsia="zh-CN"/>
              </w:rPr>
              <w:t>小</w:t>
            </w:r>
          </w:p>
        </w:tc>
        <w:tc>
          <w:tcPr>
            <w:tcW w:w="852" w:type="dxa"/>
            <w:vAlign w:val="center"/>
          </w:tcPr>
          <w:p w14:paraId="7F65265E">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大</w:t>
            </w:r>
          </w:p>
        </w:tc>
        <w:tc>
          <w:tcPr>
            <w:tcW w:w="852" w:type="dxa"/>
            <w:vAlign w:val="center"/>
          </w:tcPr>
          <w:p w14:paraId="5A80B3B5">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中</w:t>
            </w:r>
          </w:p>
        </w:tc>
        <w:tc>
          <w:tcPr>
            <w:tcW w:w="852" w:type="dxa"/>
            <w:vAlign w:val="center"/>
          </w:tcPr>
          <w:p w14:paraId="232AFB2F">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小</w:t>
            </w:r>
          </w:p>
        </w:tc>
        <w:tc>
          <w:tcPr>
            <w:tcW w:w="852" w:type="dxa"/>
            <w:vAlign w:val="center"/>
          </w:tcPr>
          <w:p w14:paraId="36ABCB4B">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大</w:t>
            </w:r>
          </w:p>
        </w:tc>
        <w:tc>
          <w:tcPr>
            <w:tcW w:w="853" w:type="dxa"/>
            <w:vAlign w:val="center"/>
          </w:tcPr>
          <w:p w14:paraId="1B337BF1">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中</w:t>
            </w:r>
          </w:p>
        </w:tc>
        <w:tc>
          <w:tcPr>
            <w:tcW w:w="853" w:type="dxa"/>
            <w:vAlign w:val="center"/>
          </w:tcPr>
          <w:p w14:paraId="4CA357E8">
            <w:pPr>
              <w:adjustRightInd w:val="0"/>
              <w:snapToGrid w:val="0"/>
              <w:spacing w:line="240" w:lineRule="auto"/>
              <w:jc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color w:val="auto"/>
                <w:sz w:val="21"/>
                <w:szCs w:val="21"/>
                <w:vertAlign w:val="baseline"/>
                <w:lang w:eastAsia="zh-CN"/>
              </w:rPr>
              <w:t>小</w:t>
            </w:r>
          </w:p>
        </w:tc>
      </w:tr>
      <w:tr w14:paraId="26EB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14:paraId="7F644C01">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敏感</w:t>
            </w:r>
          </w:p>
        </w:tc>
        <w:tc>
          <w:tcPr>
            <w:tcW w:w="705" w:type="dxa"/>
            <w:vAlign w:val="center"/>
          </w:tcPr>
          <w:p w14:paraId="40507CAD">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一级</w:t>
            </w:r>
          </w:p>
        </w:tc>
        <w:tc>
          <w:tcPr>
            <w:tcW w:w="765" w:type="dxa"/>
            <w:vAlign w:val="center"/>
          </w:tcPr>
          <w:p w14:paraId="31E8001C">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767" w:type="dxa"/>
            <w:vAlign w:val="center"/>
          </w:tcPr>
          <w:p w14:paraId="59BCA3CF">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852" w:type="dxa"/>
            <w:vAlign w:val="center"/>
          </w:tcPr>
          <w:p w14:paraId="1794407D">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263F0554">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29429269">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24ACBC5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27279762">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3829765E">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r>
      <w:tr w14:paraId="79DA6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14:paraId="76418C69">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较敏感</w:t>
            </w:r>
          </w:p>
        </w:tc>
        <w:tc>
          <w:tcPr>
            <w:tcW w:w="705" w:type="dxa"/>
            <w:vAlign w:val="center"/>
          </w:tcPr>
          <w:p w14:paraId="693B0FE9">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765" w:type="dxa"/>
            <w:vAlign w:val="center"/>
          </w:tcPr>
          <w:p w14:paraId="777D2362">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767" w:type="dxa"/>
            <w:vAlign w:val="center"/>
          </w:tcPr>
          <w:p w14:paraId="6CDE7933">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1F657F8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52811918">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5C852D36">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三级</w:t>
            </w:r>
          </w:p>
        </w:tc>
        <w:tc>
          <w:tcPr>
            <w:tcW w:w="852" w:type="dxa"/>
            <w:vAlign w:val="center"/>
          </w:tcPr>
          <w:p w14:paraId="78ED5563">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2FE8A8A1">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659173B8">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w:t>
            </w:r>
          </w:p>
        </w:tc>
      </w:tr>
      <w:tr w14:paraId="4B69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00" w:type="dxa"/>
            <w:vAlign w:val="center"/>
          </w:tcPr>
          <w:p w14:paraId="29267E4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不敏感</w:t>
            </w:r>
          </w:p>
        </w:tc>
        <w:tc>
          <w:tcPr>
            <w:tcW w:w="705" w:type="dxa"/>
            <w:vAlign w:val="center"/>
          </w:tcPr>
          <w:p w14:paraId="5B2676B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一级</w:t>
            </w:r>
          </w:p>
        </w:tc>
        <w:tc>
          <w:tcPr>
            <w:tcW w:w="765" w:type="dxa"/>
            <w:vAlign w:val="center"/>
          </w:tcPr>
          <w:p w14:paraId="24DC4CB3">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二级</w:t>
            </w:r>
          </w:p>
        </w:tc>
        <w:tc>
          <w:tcPr>
            <w:tcW w:w="767" w:type="dxa"/>
            <w:vAlign w:val="center"/>
          </w:tcPr>
          <w:p w14:paraId="591D0FA9">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50EEC365">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二级</w:t>
            </w:r>
          </w:p>
        </w:tc>
        <w:tc>
          <w:tcPr>
            <w:tcW w:w="852" w:type="dxa"/>
            <w:vAlign w:val="center"/>
          </w:tcPr>
          <w:p w14:paraId="5D8D8152">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三级</w:t>
            </w:r>
          </w:p>
        </w:tc>
        <w:tc>
          <w:tcPr>
            <w:tcW w:w="852" w:type="dxa"/>
            <w:vAlign w:val="center"/>
          </w:tcPr>
          <w:p w14:paraId="5C8D4828">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三级</w:t>
            </w:r>
          </w:p>
        </w:tc>
        <w:tc>
          <w:tcPr>
            <w:tcW w:w="852" w:type="dxa"/>
            <w:vAlign w:val="center"/>
          </w:tcPr>
          <w:p w14:paraId="1E52BD4A">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三级</w:t>
            </w:r>
          </w:p>
        </w:tc>
        <w:tc>
          <w:tcPr>
            <w:tcW w:w="853" w:type="dxa"/>
            <w:vAlign w:val="center"/>
          </w:tcPr>
          <w:p w14:paraId="1C02E10A">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w:t>
            </w:r>
          </w:p>
        </w:tc>
        <w:tc>
          <w:tcPr>
            <w:tcW w:w="853" w:type="dxa"/>
            <w:vAlign w:val="center"/>
          </w:tcPr>
          <w:p w14:paraId="1965AAF0">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eastAsia="zh-CN"/>
              </w:rPr>
              <w:t>—</w:t>
            </w:r>
          </w:p>
        </w:tc>
      </w:tr>
      <w:tr w14:paraId="3FD9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1" w:type="dxa"/>
            <w:gridSpan w:val="10"/>
            <w:vAlign w:val="center"/>
          </w:tcPr>
          <w:p w14:paraId="5A773CF8">
            <w:pPr>
              <w:adjustRightInd w:val="0"/>
              <w:snapToGrid w:val="0"/>
              <w:spacing w:line="240" w:lineRule="auto"/>
              <w:jc w:val="center"/>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注：“—”表示可不开展土壤环境影响评价工作</w:t>
            </w:r>
          </w:p>
        </w:tc>
      </w:tr>
    </w:tbl>
    <w:p w14:paraId="0B5E67BF">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本项目为</w:t>
      </w:r>
      <w:r>
        <w:rPr>
          <w:rFonts w:hint="default" w:ascii="Times New Roman" w:hAnsi="Times New Roman" w:eastAsia="宋体" w:cs="Times New Roman"/>
          <w:color w:val="auto"/>
          <w:sz w:val="24"/>
          <w:szCs w:val="24"/>
          <w:lang w:eastAsia="zh-CN"/>
        </w:rPr>
        <w:t>服装制造</w:t>
      </w:r>
      <w:r>
        <w:rPr>
          <w:rFonts w:hint="default" w:ascii="Times New Roman" w:hAnsi="Times New Roman" w:eastAsia="宋体" w:cs="Times New Roman"/>
          <w:color w:val="auto"/>
          <w:sz w:val="24"/>
          <w:szCs w:val="24"/>
        </w:rPr>
        <w:t>项目，根据项目建设内容及其对土壤环境可能产生的影响，不会造成土壤盐化、酸化、碱化，按污染影响型判断，判定本项目土壤影响类型为污染影响型。 依据附录A.1土壤环境影响评价项目类别可知：本项目为</w:t>
      </w:r>
      <w:r>
        <w:rPr>
          <w:rFonts w:hint="default" w:ascii="Times New Roman" w:hAnsi="Times New Roman" w:eastAsia="宋体" w:cs="Times New Roman"/>
          <w:color w:val="auto"/>
          <w:sz w:val="24"/>
          <w:szCs w:val="24"/>
          <w:lang w:eastAsia="zh-CN"/>
        </w:rPr>
        <w:t>服装制造</w:t>
      </w:r>
      <w:r>
        <w:rPr>
          <w:rFonts w:hint="default" w:ascii="Times New Roman" w:hAnsi="Times New Roman" w:eastAsia="宋体" w:cs="Times New Roman"/>
          <w:color w:val="auto"/>
          <w:sz w:val="24"/>
          <w:szCs w:val="24"/>
        </w:rPr>
        <w:t>，属“</w:t>
      </w:r>
      <w:r>
        <w:rPr>
          <w:rFonts w:hint="default" w:ascii="Times New Roman" w:hAnsi="Times New Roman" w:eastAsia="宋体" w:cs="Times New Roman"/>
          <w:color w:val="auto"/>
          <w:sz w:val="24"/>
          <w:szCs w:val="24"/>
          <w:lang w:val="en-US" w:eastAsia="zh-CN"/>
        </w:rPr>
        <w:t>III</w:t>
      </w:r>
      <w:r>
        <w:rPr>
          <w:rFonts w:hint="default" w:ascii="Times New Roman" w:hAnsi="Times New Roman" w:eastAsia="宋体" w:cs="Times New Roman"/>
          <w:color w:val="auto"/>
          <w:sz w:val="24"/>
          <w:szCs w:val="24"/>
        </w:rPr>
        <w:t>类”项目；项目占地面积为</w:t>
      </w:r>
      <w:r>
        <w:rPr>
          <w:rFonts w:hint="default" w:ascii="Times New Roman" w:hAnsi="Times New Roman" w:eastAsia="宋体" w:cs="Times New Roman"/>
          <w:color w:val="auto"/>
          <w:sz w:val="24"/>
          <w:szCs w:val="24"/>
          <w:lang w:val="en-US" w:eastAsia="zh-CN"/>
        </w:rPr>
        <w:t>0.55</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0.55</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hm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，占地规模属于“</w:t>
      </w:r>
      <w:r>
        <w:rPr>
          <w:rFonts w:hint="default" w:ascii="Times New Roman" w:hAnsi="Times New Roman" w:eastAsia="宋体" w:cs="Times New Roman"/>
          <w:color w:val="auto"/>
          <w:sz w:val="24"/>
          <w:szCs w:val="24"/>
          <w:lang w:eastAsia="zh-CN"/>
        </w:rPr>
        <w:t>小</w:t>
      </w:r>
      <w:r>
        <w:rPr>
          <w:rFonts w:hint="default" w:ascii="Times New Roman" w:hAnsi="Times New Roman" w:eastAsia="宋体" w:cs="Times New Roman"/>
          <w:color w:val="auto"/>
          <w:sz w:val="24"/>
          <w:szCs w:val="24"/>
        </w:rPr>
        <w:t>型”；项目区占地周边不涉及园地、牧草地、饮用水水源地或学校、医院、疗养院、养老院等土壤环境敏感目标的，所在区域土壤环境敏感程度均为“不敏感”。</w:t>
      </w:r>
    </w:p>
    <w:p w14:paraId="49B06341">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根据《环境影响评价技术导则-土壤环境》（HJ964-2018）附录A</w:t>
      </w:r>
      <w:r>
        <w:rPr>
          <w:rFonts w:hint="default" w:ascii="Times New Roman" w:hAnsi="Times New Roman" w:eastAsia="宋体" w:cs="Times New Roman"/>
          <w:color w:val="auto"/>
          <w:lang w:eastAsia="zh-CN"/>
        </w:rPr>
        <w:t>中要求进行判定，本项目可不开展土壤环境影响评价，本次</w:t>
      </w:r>
      <w:r>
        <w:rPr>
          <w:rFonts w:hint="default" w:ascii="Times New Roman" w:hAnsi="Times New Roman" w:eastAsia="宋体" w:cs="Times New Roman"/>
          <w:color w:val="auto"/>
        </w:rPr>
        <w:t>评价对土壤影响分析和评价进行定性描述</w:t>
      </w:r>
      <w:r>
        <w:rPr>
          <w:rFonts w:hint="default" w:ascii="Times New Roman" w:hAnsi="Times New Roman" w:eastAsia="宋体" w:cs="Times New Roman"/>
          <w:color w:val="auto"/>
          <w:lang w:eastAsia="zh-CN"/>
        </w:rPr>
        <w:t>。</w:t>
      </w:r>
    </w:p>
    <w:p w14:paraId="36693E36">
      <w:pPr>
        <w:numPr>
          <w:ilvl w:val="0"/>
          <w:numId w:val="9"/>
        </w:numPr>
        <w:adjustRightInd w:val="0"/>
        <w:snapToGrid w:val="0"/>
        <w:ind w:firstLine="482"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eastAsia="zh-CN"/>
        </w:rPr>
        <w:t>土壤环境影响识别</w:t>
      </w:r>
    </w:p>
    <w:p w14:paraId="777EC996">
      <w:pPr>
        <w:numPr>
          <w:ilvl w:val="0"/>
          <w:numId w:val="0"/>
        </w:numPr>
        <w:adjustRightInd w:val="0"/>
        <w:snapToGrid w:val="0"/>
        <w:ind w:firstLine="482"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val="en-US" w:eastAsia="zh-CN"/>
        </w:rPr>
        <w:t>（1</w:t>
      </w:r>
      <w:r>
        <w:rPr>
          <w:rFonts w:hint="default" w:ascii="Times New Roman" w:hAnsi="Times New Roman" w:eastAsia="宋体" w:cs="Times New Roman"/>
          <w:b/>
          <w:bCs/>
          <w:color w:val="auto"/>
          <w:szCs w:val="24"/>
          <w:lang w:eastAsia="zh-CN"/>
        </w:rPr>
        <w:t>）影响途径识别</w:t>
      </w:r>
    </w:p>
    <w:p w14:paraId="6344EB64">
      <w:pPr>
        <w:numPr>
          <w:ilvl w:val="0"/>
          <w:numId w:val="0"/>
        </w:num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运营期环境影响识别主要针对排放的大气污染物、废水污染物等，本项目主要包含废水处理系统（隔油池、化粪池、三级沉淀池、污水处理设备等）、危废暂存间等使用过程中对土壤产生的影响等。影响途径表现为大气沉降、地面漫流、垂直入渗。</w:t>
      </w:r>
    </w:p>
    <w:p w14:paraId="0ED12BB5">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1</w:t>
      </w:r>
      <w:r>
        <w:rPr>
          <w:rFonts w:hint="default" w:ascii="Times New Roman" w:hAnsi="Times New Roman" w:eastAsia="宋体" w:cs="Times New Roman"/>
          <w:color w:val="auto"/>
          <w:szCs w:val="24"/>
          <w:lang w:eastAsia="zh-CN"/>
        </w:rPr>
        <w:t>）危险废物储存或输送过程中的溢渗</w:t>
      </w:r>
    </w:p>
    <w:p w14:paraId="120AA84E">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项目产生的废机油在危废暂存间暂存时可能泄漏溢出等。溢出、泄漏的污染物首先会到达地面，并逐渐渗入土壤，影响土壤环境。</w:t>
      </w:r>
    </w:p>
    <w:p w14:paraId="5DA71829">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val="en-US" w:eastAsia="zh-CN"/>
        </w:rPr>
        <w:t>2</w:t>
      </w:r>
      <w:r>
        <w:rPr>
          <w:rFonts w:hint="default" w:ascii="Times New Roman" w:hAnsi="Times New Roman" w:eastAsia="宋体" w:cs="Times New Roman"/>
          <w:color w:val="auto"/>
          <w:szCs w:val="24"/>
          <w:lang w:eastAsia="zh-CN"/>
        </w:rPr>
        <w:t>）废水收集和处理设施的渗漏</w:t>
      </w:r>
    </w:p>
    <w:p w14:paraId="2D341974">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如果废水收集和处理设施中的隔油池、化粪池、三级沉淀池、污水处理设备等发生泄漏，泄漏出的污染物有可能直接进入土壤，影响土壤环境。</w:t>
      </w:r>
    </w:p>
    <w:p w14:paraId="33399DC9">
      <w:pPr>
        <w:numPr>
          <w:ilvl w:val="0"/>
          <w:numId w:val="6"/>
        </w:numPr>
        <w:adjustRightInd w:val="0"/>
        <w:snapToGrid w:val="0"/>
        <w:ind w:left="0" w:leftChars="0" w:firstLine="482"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eastAsia="zh-CN"/>
        </w:rPr>
        <w:t>影响因子识别</w:t>
      </w:r>
    </w:p>
    <w:p w14:paraId="33909F2E">
      <w:pPr>
        <w:numPr>
          <w:ilvl w:val="0"/>
          <w:numId w:val="0"/>
        </w:numPr>
        <w:adjustRightInd w:val="0"/>
        <w:snapToGrid w:val="0"/>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项目对土壤的影响方式主要为</w:t>
      </w:r>
      <w:r>
        <w:rPr>
          <w:rFonts w:hint="default" w:ascii="Times New Roman" w:hAnsi="Times New Roman" w:eastAsia="宋体" w:cs="Times New Roman"/>
          <w:color w:val="auto"/>
          <w:szCs w:val="24"/>
          <w:lang w:eastAsia="zh-CN"/>
        </w:rPr>
        <w:t>地面漫流、垂直入渗，地面漫流、垂直入渗影响因子主要为</w:t>
      </w:r>
      <w:r>
        <w:rPr>
          <w:rFonts w:hint="default" w:ascii="Times New Roman" w:hAnsi="Times New Roman" w:eastAsia="宋体" w:cs="Times New Roman"/>
          <w:color w:val="auto"/>
          <w:szCs w:val="24"/>
          <w:lang w:val="en-US" w:eastAsia="zh-CN"/>
        </w:rPr>
        <w:t>COD、BOD</w:t>
      </w:r>
      <w:r>
        <w:rPr>
          <w:rFonts w:hint="default" w:ascii="Times New Roman" w:hAnsi="Times New Roman" w:eastAsia="宋体" w:cs="Times New Roman"/>
          <w:color w:val="auto"/>
          <w:szCs w:val="24"/>
          <w:vertAlign w:val="subscript"/>
          <w:lang w:val="en-US" w:eastAsia="zh-CN"/>
        </w:rPr>
        <w:t>5</w:t>
      </w:r>
      <w:r>
        <w:rPr>
          <w:rFonts w:hint="default" w:ascii="Times New Roman" w:hAnsi="Times New Roman" w:eastAsia="宋体" w:cs="Times New Roman"/>
          <w:color w:val="auto"/>
          <w:szCs w:val="24"/>
          <w:lang w:val="en-US" w:eastAsia="zh-CN"/>
        </w:rPr>
        <w:t>、氨氮、总磷、动植物油、废机油等。</w:t>
      </w:r>
    </w:p>
    <w:p w14:paraId="54517729">
      <w:pPr>
        <w:adjustRightInd w:val="0"/>
        <w:snapToGrid w:val="0"/>
        <w:ind w:firstLine="482"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val="en-US" w:eastAsia="zh-CN"/>
        </w:rPr>
        <w:t>5</w:t>
      </w:r>
      <w:r>
        <w:rPr>
          <w:rFonts w:hint="default" w:ascii="Times New Roman" w:hAnsi="Times New Roman" w:eastAsia="宋体" w:cs="Times New Roman"/>
          <w:b/>
          <w:bCs/>
          <w:color w:val="auto"/>
          <w:szCs w:val="24"/>
          <w:lang w:eastAsia="zh-CN"/>
        </w:rPr>
        <w:t>、项目采取的防治措施</w:t>
      </w:r>
    </w:p>
    <w:p w14:paraId="27B81757">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为了尽可能降低项目对周围土壤的污染，项目必须采取有效措施。对照HJ964-2018中9.2.3.3条污染影响型的防控措施：</w:t>
      </w:r>
    </w:p>
    <w:p w14:paraId="38A5B935">
      <w:pPr>
        <w:numPr>
          <w:ilvl w:val="0"/>
          <w:numId w:val="0"/>
        </w:numPr>
        <w:adjustRightInd w:val="0"/>
        <w:snapToGrid w:val="0"/>
        <w:ind w:firstLine="482"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eastAsia="zh-CN"/>
        </w:rPr>
        <w:t>（</w:t>
      </w:r>
      <w:r>
        <w:rPr>
          <w:rFonts w:hint="default" w:ascii="Times New Roman" w:hAnsi="Times New Roman" w:eastAsia="宋体" w:cs="Times New Roman"/>
          <w:b/>
          <w:bCs/>
          <w:color w:val="auto"/>
          <w:szCs w:val="24"/>
          <w:lang w:val="en-US" w:eastAsia="zh-CN"/>
        </w:rPr>
        <w:t>1</w:t>
      </w:r>
      <w:r>
        <w:rPr>
          <w:rFonts w:hint="default" w:ascii="Times New Roman" w:hAnsi="Times New Roman" w:eastAsia="宋体" w:cs="Times New Roman"/>
          <w:b/>
          <w:bCs/>
          <w:color w:val="auto"/>
          <w:szCs w:val="24"/>
          <w:lang w:eastAsia="zh-CN"/>
        </w:rPr>
        <w:t>）源头控制措施</w:t>
      </w:r>
    </w:p>
    <w:p w14:paraId="30AFCA4A">
      <w:pPr>
        <w:numPr>
          <w:ilvl w:val="0"/>
          <w:numId w:val="0"/>
        </w:num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14:paraId="4598FA6A">
      <w:pPr>
        <w:numPr>
          <w:ilvl w:val="0"/>
          <w:numId w:val="0"/>
        </w:num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696023FE">
      <w:pPr>
        <w:numPr>
          <w:ilvl w:val="0"/>
          <w:numId w:val="0"/>
        </w:numPr>
        <w:adjustRightInd w:val="0"/>
        <w:snapToGrid w:val="0"/>
        <w:ind w:left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eastAsia="zh-CN"/>
        </w:rPr>
        <w:t>（</w:t>
      </w:r>
      <w:r>
        <w:rPr>
          <w:rFonts w:hint="default" w:ascii="Times New Roman" w:hAnsi="Times New Roman" w:eastAsia="宋体" w:cs="Times New Roman"/>
          <w:b/>
          <w:bCs/>
          <w:color w:val="auto"/>
          <w:szCs w:val="24"/>
          <w:lang w:val="en-US" w:eastAsia="zh-CN"/>
        </w:rPr>
        <w:t>2</w:t>
      </w:r>
      <w:r>
        <w:rPr>
          <w:rFonts w:hint="default" w:ascii="Times New Roman" w:hAnsi="Times New Roman" w:eastAsia="宋体" w:cs="Times New Roman"/>
          <w:b/>
          <w:bCs/>
          <w:color w:val="auto"/>
          <w:szCs w:val="24"/>
          <w:lang w:eastAsia="zh-CN"/>
        </w:rPr>
        <w:t>）过程控制措施</w:t>
      </w:r>
    </w:p>
    <w:p w14:paraId="22C76EEB">
      <w:pPr>
        <w:numPr>
          <w:ilvl w:val="0"/>
          <w:numId w:val="0"/>
        </w:numPr>
        <w:adjustRightInd w:val="0"/>
        <w:snapToGrid w:val="0"/>
        <w:ind w:left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从地面漫流、垂直入渗三个途径分别进行控制。</w:t>
      </w:r>
    </w:p>
    <w:p w14:paraId="3B72937B">
      <w:pPr>
        <w:numPr>
          <w:ilvl w:val="0"/>
          <w:numId w:val="10"/>
        </w:numPr>
        <w:adjustRightInd w:val="0"/>
        <w:snapToGrid w:val="0"/>
        <w:ind w:left="480" w:leftChars="200" w:firstLine="0" w:firstLineChars="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地面漫流污染途径治理措施及效果</w:t>
      </w:r>
    </w:p>
    <w:p w14:paraId="2698E0EE">
      <w:pPr>
        <w:numPr>
          <w:ilvl w:val="0"/>
          <w:numId w:val="0"/>
        </w:numPr>
        <w:adjustRightInd w:val="0"/>
        <w:snapToGrid w:val="0"/>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对于项目事故状态的废水，必须保证在未经处理满足要求的前提下不得流出</w:t>
      </w:r>
    </w:p>
    <w:p w14:paraId="44C4C3BC">
      <w:pPr>
        <w:adjustRightInd w:val="0"/>
        <w:snapToGrid w:val="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厂界。项目须贯彻“围、追、堵、截”的原则，采取多级防护措施，确保事故废</w:t>
      </w:r>
    </w:p>
    <w:p w14:paraId="4EBE106E">
      <w:pPr>
        <w:adjustRightInd w:val="0"/>
        <w:snapToGrid w:val="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水未经处理不得排出厂界。</w:t>
      </w:r>
    </w:p>
    <w:p w14:paraId="3137848F">
      <w:pPr>
        <w:adjustRightInd w:val="0"/>
        <w:snapToGrid w:val="0"/>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项目设置一个不低于</w:t>
      </w:r>
      <w:r>
        <w:rPr>
          <w:rFonts w:hint="eastAsia" w:ascii="Times New Roman" w:hAnsi="Times New Roman" w:cs="Times New Roman"/>
          <w:color w:val="auto"/>
          <w:szCs w:val="24"/>
          <w:lang w:val="en-US" w:eastAsia="zh-CN"/>
        </w:rPr>
        <w:t>231</w:t>
      </w:r>
      <w:r>
        <w:rPr>
          <w:rFonts w:hint="default" w:ascii="Times New Roman" w:hAnsi="Times New Roman" w:eastAsia="宋体" w:cs="Times New Roman"/>
          <w:color w:val="auto"/>
          <w:szCs w:val="24"/>
          <w:lang w:val="en-US" w:eastAsia="zh-CN"/>
        </w:rPr>
        <w:t>m</w:t>
      </w:r>
      <w:r>
        <w:rPr>
          <w:rFonts w:hint="default" w:ascii="Times New Roman" w:hAnsi="Times New Roman" w:eastAsia="宋体" w:cs="Times New Roman"/>
          <w:color w:val="auto"/>
          <w:szCs w:val="24"/>
          <w:vertAlign w:val="superscript"/>
          <w:lang w:val="en-US" w:eastAsia="zh-CN"/>
        </w:rPr>
        <w:t>3</w:t>
      </w:r>
      <w:r>
        <w:rPr>
          <w:rFonts w:hint="default" w:ascii="Times New Roman" w:hAnsi="Times New Roman" w:eastAsia="宋体" w:cs="Times New Roman"/>
          <w:color w:val="auto"/>
          <w:szCs w:val="24"/>
          <w:lang w:val="en-US" w:eastAsia="zh-CN"/>
        </w:rPr>
        <w:t>的事故应急池，加强对项目污水处理系统（</w:t>
      </w:r>
      <w:r>
        <w:rPr>
          <w:rFonts w:hint="eastAsia" w:ascii="Times New Roman" w:hAnsi="Times New Roman" w:cs="Times New Roman"/>
          <w:color w:val="auto"/>
          <w:szCs w:val="24"/>
          <w:lang w:val="en-US" w:eastAsia="zh-CN"/>
        </w:rPr>
        <w:t>隔油池、</w:t>
      </w:r>
      <w:r>
        <w:rPr>
          <w:rFonts w:hint="default" w:ascii="Times New Roman" w:hAnsi="Times New Roman" w:eastAsia="宋体" w:cs="Times New Roman"/>
          <w:color w:val="auto"/>
          <w:szCs w:val="24"/>
          <w:lang w:val="en-US" w:eastAsia="zh-CN"/>
        </w:rPr>
        <w:t>化粪池、</w:t>
      </w:r>
      <w:r>
        <w:rPr>
          <w:rFonts w:hint="eastAsia" w:ascii="Times New Roman" w:hAnsi="Times New Roman" w:cs="Times New Roman"/>
          <w:color w:val="auto"/>
          <w:szCs w:val="24"/>
          <w:lang w:val="en-US" w:eastAsia="zh-CN"/>
        </w:rPr>
        <w:t>三级沉淀池、污水处理设备</w:t>
      </w:r>
      <w:r>
        <w:rPr>
          <w:rFonts w:hint="default" w:ascii="Times New Roman" w:hAnsi="Times New Roman" w:eastAsia="宋体" w:cs="Times New Roman"/>
          <w:color w:val="auto"/>
          <w:szCs w:val="24"/>
          <w:lang w:val="en-US" w:eastAsia="zh-CN"/>
        </w:rPr>
        <w:t>）的管理，杜绝事故排放，此外，一旦发现污染，立即启动应急预案、采取应急措施控制土壤污染，并使污染得到治理。</w:t>
      </w:r>
    </w:p>
    <w:p w14:paraId="7E160E9A">
      <w:pPr>
        <w:numPr>
          <w:ilvl w:val="0"/>
          <w:numId w:val="10"/>
        </w:numPr>
        <w:adjustRightInd w:val="0"/>
        <w:snapToGrid w:val="0"/>
        <w:ind w:left="480" w:leftChars="200" w:firstLine="0" w:firstLineChars="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eastAsia="zh-CN"/>
        </w:rPr>
        <w:t>垂直入渗污染途径治理措施及效果</w:t>
      </w:r>
    </w:p>
    <w:p w14:paraId="48906BD0">
      <w:pPr>
        <w:adjustRightInd w:val="0"/>
        <w:snapToGrid w:val="0"/>
        <w:spacing w:line="360" w:lineRule="auto"/>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项目按重点污染防治区、一般污染防治区、简单防渗区分别采取不同等级的防渗措。防渗层尽量在地表铺设，防渗材料拟选取环氧树脂和水泥基渗透结晶型防渗材料，按照污染防治分区采取不同的设计方案。其中重点防渗区应选用人工防渗材料，防渗系数K≤10</w:t>
      </w:r>
      <w:r>
        <w:rPr>
          <w:rFonts w:hint="default" w:ascii="Times New Roman" w:hAnsi="Times New Roman" w:eastAsia="宋体" w:cs="Times New Roman"/>
          <w:color w:val="auto"/>
          <w:szCs w:val="24"/>
          <w:vertAlign w:val="superscript"/>
          <w:lang w:eastAsia="zh-CN"/>
        </w:rPr>
        <w:t>-7</w:t>
      </w:r>
      <w:r>
        <w:rPr>
          <w:rFonts w:hint="default" w:ascii="Times New Roman" w:hAnsi="Times New Roman" w:eastAsia="宋体" w:cs="Times New Roman"/>
          <w:color w:val="auto"/>
          <w:szCs w:val="24"/>
          <w:lang w:eastAsia="zh-CN"/>
        </w:rPr>
        <w:t>cm/s。另外，重点防渗区还应满足《危险废物贮存污染控制标准》（GB18597-2001）及其修改单中要求，采用2毫米厚高密度聚乙烯，或至少2毫米厚的其他人工材料，渗透系数K≤10</w:t>
      </w:r>
      <w:r>
        <w:rPr>
          <w:rFonts w:hint="default" w:ascii="Times New Roman" w:hAnsi="Times New Roman" w:eastAsia="宋体" w:cs="Times New Roman"/>
          <w:color w:val="auto"/>
          <w:szCs w:val="24"/>
          <w:vertAlign w:val="superscript"/>
          <w:lang w:eastAsia="zh-CN"/>
        </w:rPr>
        <w:t>-10</w:t>
      </w:r>
      <w:r>
        <w:rPr>
          <w:rFonts w:hint="default" w:ascii="Times New Roman" w:hAnsi="Times New Roman" w:eastAsia="宋体" w:cs="Times New Roman"/>
          <w:color w:val="auto"/>
          <w:szCs w:val="24"/>
          <w:lang w:eastAsia="zh-CN"/>
        </w:rPr>
        <w:t>cm/s。一般防渗区要求为：</w:t>
      </w:r>
      <w:r>
        <w:rPr>
          <w:rFonts w:hint="default" w:ascii="Times New Roman" w:hAnsi="Times New Roman" w:eastAsia="宋体" w:cs="Times New Roman"/>
          <w:color w:val="auto"/>
          <w:sz w:val="24"/>
          <w:szCs w:val="24"/>
        </w:rPr>
        <w:t>等效黏土防渗层Mb≥1.5m，渗透系数K≤1×10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cm/s。简单防渗区不需要设置专门的防渗层，一般地面硬化即可</w:t>
      </w:r>
      <w:r>
        <w:rPr>
          <w:rFonts w:hint="default" w:ascii="Times New Roman" w:hAnsi="Times New Roman" w:eastAsia="宋体" w:cs="Times New Roman"/>
          <w:color w:val="auto"/>
          <w:szCs w:val="24"/>
          <w:lang w:eastAsia="zh-CN"/>
        </w:rPr>
        <w:t>。</w:t>
      </w:r>
    </w:p>
    <w:p w14:paraId="22D7061A">
      <w:pPr>
        <w:adjustRightInd w:val="0"/>
        <w:snapToGrid w:val="0"/>
        <w:spacing w:line="360" w:lineRule="auto"/>
        <w:ind w:firstLine="480" w:firstLineChars="20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color w:val="auto"/>
          <w:szCs w:val="24"/>
          <w:lang w:eastAsia="zh-CN"/>
        </w:rPr>
        <w:t>企业在运营过程中加强管理，并采取相应的防渗措施可有效防治危险废物暂存间、</w:t>
      </w:r>
      <w:r>
        <w:rPr>
          <w:rFonts w:hint="eastAsia" w:ascii="Times New Roman" w:hAnsi="Times New Roman" w:cs="Times New Roman"/>
          <w:color w:val="auto"/>
          <w:szCs w:val="24"/>
          <w:lang w:eastAsia="zh-CN"/>
        </w:rPr>
        <w:t>污水处理系统</w:t>
      </w:r>
      <w:r>
        <w:rPr>
          <w:rFonts w:hint="default" w:ascii="Times New Roman" w:hAnsi="Times New Roman" w:eastAsia="宋体" w:cs="Times New Roman"/>
          <w:color w:val="auto"/>
          <w:szCs w:val="24"/>
          <w:lang w:eastAsia="zh-CN"/>
        </w:rPr>
        <w:t>漏造成对区域土壤环境的污染。</w:t>
      </w:r>
    </w:p>
    <w:p w14:paraId="46D1488A">
      <w:pPr>
        <w:adjustRightInd w:val="0"/>
        <w:snapToGrid w:val="0"/>
        <w:ind w:firstLine="482"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val="en-US" w:eastAsia="zh-CN"/>
        </w:rPr>
        <w:t>4</w:t>
      </w:r>
      <w:r>
        <w:rPr>
          <w:rFonts w:hint="default" w:ascii="Times New Roman" w:hAnsi="Times New Roman" w:eastAsia="宋体" w:cs="Times New Roman"/>
          <w:b/>
          <w:bCs/>
          <w:color w:val="auto"/>
          <w:szCs w:val="24"/>
          <w:lang w:eastAsia="zh-CN"/>
        </w:rPr>
        <w:t>）土壤跟踪监测</w:t>
      </w:r>
    </w:p>
    <w:p w14:paraId="177832A7">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对项目区的土壤定期监测，发现污染土壤时，及时查找泄漏源，防止污染源的进一步下渗，必要时对已污染的土壤进行替换或修复。对于监测结果应按项目有关规定及时建立档案，并定期向建设单位、生态环境部门汇报，对于常规监测数据应该进行公开，如发现异常或发生事故，加强监测频次，并分析污染原因，确定泄漏污染源，及时采取对应应急措施。</w:t>
      </w:r>
    </w:p>
    <w:p w14:paraId="52449C11">
      <w:pPr>
        <w:adjustRightInd w:val="0"/>
        <w:snapToGrid w:val="0"/>
        <w:ind w:firstLine="482" w:firstLineChars="20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6、结论</w:t>
      </w:r>
    </w:p>
    <w:p w14:paraId="7E7E9601">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项目位于芒市帕底工业园区，用地性质为工业用地，项目用地现状可以达到《土壤环境质量 建设用地土壤污染风险管控标准》（GB36600-2018）中第二类用地风险筛选值中标准要求，项目用地现状为工业用地。项目针对各类污染物均采取了对应的污染治理措施，可确保污染物的达标排放及防止渗漏发生，可从源头上控制项目对区域土壤环境的污染源强，确保项目对区域土壤环境的影响处于可接受水平。因此，只要企业严格落实本报告提出的污染防治措施，项目对区域土壤环境影响是可接受的。</w:t>
      </w:r>
    </w:p>
    <w:p w14:paraId="2A8AFA5A">
      <w:pPr>
        <w:keepNext/>
        <w:keepLines/>
        <w:adjustRightInd w:val="0"/>
        <w:snapToGrid w:val="0"/>
        <w:spacing w:beforeLines="50" w:afterLines="50" w:line="240" w:lineRule="auto"/>
        <w:outlineLvl w:val="1"/>
        <w:rPr>
          <w:rFonts w:hint="default" w:ascii="Times New Roman" w:hAnsi="Times New Roman" w:eastAsia="宋体" w:cs="Times New Roman"/>
          <w:b/>
          <w:bCs/>
          <w:color w:val="auto"/>
          <w:sz w:val="32"/>
          <w:szCs w:val="32"/>
        </w:rPr>
      </w:pPr>
      <w:bookmarkStart w:id="349" w:name="_Toc25457"/>
      <w:bookmarkStart w:id="350" w:name="_Toc11567"/>
      <w:bookmarkStart w:id="351" w:name="_Toc377779325"/>
      <w:r>
        <w:rPr>
          <w:rFonts w:hint="default" w:ascii="Times New Roman" w:hAnsi="Times New Roman" w:eastAsia="宋体" w:cs="Times New Roman"/>
          <w:b/>
          <w:bCs/>
          <w:color w:val="auto"/>
          <w:sz w:val="32"/>
          <w:szCs w:val="32"/>
        </w:rPr>
        <w:t>5.3生态环境影响分析</w:t>
      </w:r>
      <w:bookmarkEnd w:id="349"/>
      <w:bookmarkEnd w:id="350"/>
      <w:bookmarkEnd w:id="351"/>
    </w:p>
    <w:p w14:paraId="0BBAEDEF">
      <w:pPr>
        <w:pStyle w:val="74"/>
        <w:rPr>
          <w:rFonts w:hint="default" w:ascii="Times New Roman" w:hAnsi="Times New Roman" w:eastAsia="宋体" w:cs="Times New Roman"/>
          <w:color w:val="auto"/>
        </w:rPr>
        <w:sectPr>
          <w:pgSz w:w="11906" w:h="16838"/>
          <w:pgMar w:top="1440" w:right="1797" w:bottom="1440" w:left="1797" w:header="851" w:footer="992" w:gutter="0"/>
          <w:pgNumType w:fmt="decimal"/>
          <w:cols w:space="425" w:num="1"/>
          <w:docGrid w:linePitch="312" w:charSpace="0"/>
        </w:sectPr>
      </w:pPr>
      <w:r>
        <w:rPr>
          <w:rFonts w:hint="default" w:ascii="Times New Roman" w:hAnsi="Times New Roman" w:eastAsia="宋体" w:cs="Times New Roman"/>
          <w:color w:val="auto"/>
          <w:szCs w:val="24"/>
        </w:rPr>
        <w:t>项目施工期间应加强施工管理，不扩大施工范围，减少地表扰动，不破坏项目周边的人工绿化植被。项目投入使用后，裸露的地表得到覆盖，水土流失消失，项目内大面积的绿化使生态环境得到改善，使施工期对生态的不利影响基本消失，区域生态环境得到改善。</w:t>
      </w:r>
    </w:p>
    <w:p w14:paraId="585D04ED">
      <w:pPr>
        <w:adjustRightInd w:val="0"/>
        <w:snapToGrid w:val="0"/>
        <w:spacing w:beforeLines="50"/>
        <w:jc w:val="center"/>
        <w:outlineLvl w:val="0"/>
        <w:rPr>
          <w:rFonts w:hint="default" w:ascii="Times New Roman" w:hAnsi="Times New Roman" w:eastAsia="宋体" w:cs="Times New Roman"/>
          <w:b/>
          <w:color w:val="auto"/>
          <w:sz w:val="36"/>
          <w:szCs w:val="36"/>
        </w:rPr>
      </w:pPr>
      <w:bookmarkStart w:id="352" w:name="_Toc5054"/>
      <w:bookmarkStart w:id="353" w:name="_Toc21041"/>
      <w:r>
        <w:rPr>
          <w:rFonts w:hint="default" w:ascii="Times New Roman" w:hAnsi="Times New Roman" w:eastAsia="宋体" w:cs="Times New Roman"/>
          <w:b/>
          <w:color w:val="auto"/>
          <w:sz w:val="36"/>
          <w:szCs w:val="36"/>
        </w:rPr>
        <w:t>6.环境风险评价</w:t>
      </w:r>
      <w:bookmarkEnd w:id="352"/>
      <w:bookmarkEnd w:id="353"/>
    </w:p>
    <w:p w14:paraId="7A292B20">
      <w:pPr>
        <w:adjustRightInd w:val="0"/>
        <w:snapToGrid w:val="0"/>
        <w:spacing w:beforeLines="50"/>
        <w:outlineLvl w:val="1"/>
        <w:rPr>
          <w:rFonts w:hint="default" w:ascii="Times New Roman" w:hAnsi="Times New Roman" w:eastAsia="宋体" w:cs="Times New Roman"/>
          <w:b/>
          <w:color w:val="auto"/>
          <w:sz w:val="32"/>
          <w:szCs w:val="32"/>
        </w:rPr>
      </w:pPr>
      <w:bookmarkStart w:id="354" w:name="_Toc6315"/>
      <w:bookmarkStart w:id="355" w:name="_Toc5402"/>
      <w:r>
        <w:rPr>
          <w:rFonts w:hint="default" w:ascii="Times New Roman" w:hAnsi="Times New Roman" w:eastAsia="宋体" w:cs="Times New Roman"/>
          <w:b/>
          <w:color w:val="auto"/>
          <w:sz w:val="32"/>
          <w:szCs w:val="32"/>
        </w:rPr>
        <w:t>6.1环境风险评级的目的</w:t>
      </w:r>
      <w:bookmarkEnd w:id="354"/>
      <w:r>
        <w:rPr>
          <w:rFonts w:hint="default" w:ascii="Times New Roman" w:hAnsi="Times New Roman" w:eastAsia="宋体" w:cs="Times New Roman"/>
          <w:b/>
          <w:color w:val="auto"/>
          <w:sz w:val="32"/>
          <w:szCs w:val="32"/>
        </w:rPr>
        <w:t>和重点</w:t>
      </w:r>
      <w:bookmarkEnd w:id="355"/>
    </w:p>
    <w:p w14:paraId="77A4BAA1">
      <w:pPr>
        <w:adjustRightInd w:val="0"/>
        <w:snapToGrid w:val="0"/>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59263833">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0"/>
        </w:rPr>
        <w:t xml:space="preserve">环境风险评价应把事故引起厂（场）界外人群的伤害、环境质量的恶化及对生态系统影响的预测和防护作为评价工作重点。                                                                                                                                                                                                                                                                                </w:t>
      </w:r>
    </w:p>
    <w:p w14:paraId="638265A8">
      <w:pPr>
        <w:adjustRightInd w:val="0"/>
        <w:snapToGrid w:val="0"/>
        <w:spacing w:beforeLines="50"/>
        <w:outlineLvl w:val="1"/>
        <w:rPr>
          <w:rFonts w:hint="default" w:ascii="Times New Roman" w:hAnsi="Times New Roman" w:eastAsia="宋体" w:cs="Times New Roman"/>
          <w:b/>
          <w:color w:val="auto"/>
          <w:sz w:val="30"/>
          <w:szCs w:val="30"/>
        </w:rPr>
      </w:pPr>
      <w:bookmarkStart w:id="356" w:name="_Toc3934"/>
      <w:r>
        <w:rPr>
          <w:rFonts w:hint="default" w:ascii="Times New Roman" w:hAnsi="Times New Roman" w:eastAsia="宋体" w:cs="Times New Roman"/>
          <w:b/>
          <w:color w:val="auto"/>
          <w:sz w:val="30"/>
          <w:szCs w:val="30"/>
        </w:rPr>
        <w:t>6.2风险调查及评价等级判定</w:t>
      </w:r>
      <w:bookmarkEnd w:id="356"/>
    </w:p>
    <w:p w14:paraId="21CBE8F0">
      <w:pPr>
        <w:adjustRightInd w:val="0"/>
        <w:snapToGrid w:val="0"/>
        <w:ind w:firstLine="482" w:firstLineChars="200"/>
        <w:rPr>
          <w:rFonts w:hint="default" w:ascii="Times New Roman" w:hAnsi="Times New Roman" w:eastAsia="宋体" w:cs="Times New Roman"/>
          <w:color w:val="auto"/>
          <w:szCs w:val="20"/>
        </w:rPr>
      </w:pPr>
      <w:r>
        <w:rPr>
          <w:rFonts w:hint="default" w:ascii="Times New Roman" w:hAnsi="Times New Roman" w:eastAsia="宋体" w:cs="Times New Roman"/>
          <w:b/>
          <w:bCs/>
          <w:color w:val="auto"/>
          <w:szCs w:val="20"/>
        </w:rPr>
        <w:t>（1）危险物质及工艺系统危险性（P）等级确定</w:t>
      </w:r>
    </w:p>
    <w:p w14:paraId="6A057451">
      <w:pPr>
        <w:ind w:firstLine="480" w:firstLineChars="200"/>
        <w:rPr>
          <w:rFonts w:hint="default" w:ascii="Times New Roman" w:hAnsi="Times New Roman" w:eastAsia="宋体" w:cs="Times New Roman"/>
          <w:bCs/>
          <w:color w:val="auto"/>
          <w:szCs w:val="24"/>
          <w:lang w:eastAsia="zh-CN"/>
        </w:rPr>
      </w:pPr>
      <w:r>
        <w:rPr>
          <w:rFonts w:hint="default" w:ascii="Times New Roman" w:hAnsi="Times New Roman" w:eastAsia="宋体" w:cs="Times New Roman"/>
          <w:bCs/>
          <w:color w:val="auto"/>
          <w:szCs w:val="24"/>
        </w:rPr>
        <w:t>根据《建设项目环境风险评价技术导则》（HJ169-2018），环境风险评价工作等级根据项目涉及的物质及工艺系统危害性和所在地的环境敏感性确定环境风险潜势，按表6.2-1确定评价工作等级</w:t>
      </w:r>
      <w:r>
        <w:rPr>
          <w:rFonts w:hint="default" w:ascii="Times New Roman" w:hAnsi="Times New Roman" w:eastAsia="宋体" w:cs="Times New Roman"/>
          <w:bCs/>
          <w:color w:val="auto"/>
          <w:szCs w:val="24"/>
          <w:lang w:eastAsia="zh-CN"/>
        </w:rPr>
        <w:t>。</w:t>
      </w:r>
    </w:p>
    <w:p w14:paraId="3A7C4C69">
      <w:pPr>
        <w:adjustRightInd w:val="0"/>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表6.2-1 环境风险评价工作等级划分</w:t>
      </w:r>
    </w:p>
    <w:tbl>
      <w:tblPr>
        <w:tblStyle w:val="6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2035"/>
        <w:gridCol w:w="1477"/>
        <w:gridCol w:w="1599"/>
        <w:gridCol w:w="1384"/>
      </w:tblGrid>
      <w:tr w14:paraId="2E8D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3" w:type="dxa"/>
            <w:noWrap w:val="0"/>
            <w:vAlign w:val="center"/>
          </w:tcPr>
          <w:p w14:paraId="7A1B576A">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环境风险潜势</w:t>
            </w:r>
          </w:p>
        </w:tc>
        <w:tc>
          <w:tcPr>
            <w:tcW w:w="2035" w:type="dxa"/>
            <w:noWrap w:val="0"/>
            <w:vAlign w:val="center"/>
          </w:tcPr>
          <w:p w14:paraId="4917E33A">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fldChar w:fldCharType="begin"/>
            </w:r>
            <w:r>
              <w:rPr>
                <w:rFonts w:hint="default" w:ascii="Times New Roman" w:hAnsi="Times New Roman" w:eastAsia="宋体" w:cs="Times New Roman"/>
                <w:b/>
                <w:bCs/>
                <w:color w:val="auto"/>
                <w:sz w:val="21"/>
                <w:szCs w:val="21"/>
              </w:rPr>
              <w:instrText xml:space="preserve"> = 4 \* ROMAN \* MERGEFORMAT </w:instrText>
            </w:r>
            <w:r>
              <w:rPr>
                <w:rFonts w:hint="default" w:ascii="Times New Roman" w:hAnsi="Times New Roman" w:eastAsia="宋体" w:cs="Times New Roman"/>
                <w:b/>
                <w:bCs/>
                <w:color w:val="auto"/>
                <w:sz w:val="21"/>
                <w:szCs w:val="21"/>
              </w:rPr>
              <w:fldChar w:fldCharType="separate"/>
            </w:r>
            <w:r>
              <w:rPr>
                <w:rFonts w:hint="default" w:ascii="Times New Roman" w:hAnsi="Times New Roman" w:eastAsia="宋体" w:cs="Times New Roman"/>
                <w:b/>
                <w:bCs/>
                <w:color w:val="auto"/>
                <w:sz w:val="21"/>
                <w:szCs w:val="21"/>
              </w:rPr>
              <w:t>IV</w:t>
            </w:r>
            <w:r>
              <w:rPr>
                <w:rFonts w:hint="default" w:ascii="Times New Roman" w:hAnsi="Times New Roman" w:eastAsia="宋体" w:cs="Times New Roman"/>
                <w:b/>
                <w:bCs/>
                <w:color w:val="auto"/>
                <w:sz w:val="21"/>
                <w:szCs w:val="21"/>
              </w:rPr>
              <w:fldChar w:fldCharType="end"/>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rPr>
              <w:fldChar w:fldCharType="begin"/>
            </w:r>
            <w:r>
              <w:rPr>
                <w:rFonts w:hint="default" w:ascii="Times New Roman" w:hAnsi="Times New Roman" w:eastAsia="宋体" w:cs="Times New Roman"/>
                <w:b/>
                <w:bCs/>
                <w:color w:val="auto"/>
                <w:sz w:val="21"/>
                <w:szCs w:val="21"/>
              </w:rPr>
              <w:instrText xml:space="preserve"> = 4 \* ROMAN \* MERGEFORMAT </w:instrText>
            </w:r>
            <w:r>
              <w:rPr>
                <w:rFonts w:hint="default" w:ascii="Times New Roman" w:hAnsi="Times New Roman" w:eastAsia="宋体" w:cs="Times New Roman"/>
                <w:b/>
                <w:bCs/>
                <w:color w:val="auto"/>
                <w:sz w:val="21"/>
                <w:szCs w:val="21"/>
              </w:rPr>
              <w:fldChar w:fldCharType="separate"/>
            </w:r>
            <w:r>
              <w:rPr>
                <w:rFonts w:hint="default" w:ascii="Times New Roman" w:hAnsi="Times New Roman" w:eastAsia="宋体" w:cs="Times New Roman"/>
                <w:b/>
                <w:bCs/>
                <w:color w:val="auto"/>
                <w:sz w:val="21"/>
                <w:szCs w:val="21"/>
              </w:rPr>
              <w:t>IV</w:t>
            </w:r>
            <w:r>
              <w:rPr>
                <w:rFonts w:hint="default" w:ascii="Times New Roman" w:hAnsi="Times New Roman" w:eastAsia="宋体" w:cs="Times New Roman"/>
                <w:b/>
                <w:bCs/>
                <w:color w:val="auto"/>
                <w:sz w:val="21"/>
                <w:szCs w:val="21"/>
              </w:rPr>
              <w:fldChar w:fldCharType="end"/>
            </w:r>
            <w:r>
              <w:rPr>
                <w:rFonts w:hint="default" w:ascii="Times New Roman" w:hAnsi="Times New Roman" w:eastAsia="宋体" w:cs="Times New Roman"/>
                <w:b/>
                <w:bCs/>
                <w:color w:val="auto"/>
                <w:sz w:val="21"/>
                <w:szCs w:val="21"/>
                <w:vertAlign w:val="superscript"/>
              </w:rPr>
              <w:t>+</w:t>
            </w:r>
          </w:p>
        </w:tc>
        <w:tc>
          <w:tcPr>
            <w:tcW w:w="1477" w:type="dxa"/>
            <w:noWrap w:val="0"/>
            <w:vAlign w:val="center"/>
          </w:tcPr>
          <w:p w14:paraId="37625E82">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fldChar w:fldCharType="begin"/>
            </w:r>
            <w:r>
              <w:rPr>
                <w:rFonts w:hint="default" w:ascii="Times New Roman" w:hAnsi="Times New Roman" w:eastAsia="宋体" w:cs="Times New Roman"/>
                <w:b/>
                <w:bCs/>
                <w:color w:val="auto"/>
                <w:sz w:val="21"/>
                <w:szCs w:val="21"/>
              </w:rPr>
              <w:instrText xml:space="preserve"> = 3 \* ROMAN \* MERGEFORMAT </w:instrText>
            </w:r>
            <w:r>
              <w:rPr>
                <w:rFonts w:hint="default" w:ascii="Times New Roman" w:hAnsi="Times New Roman" w:eastAsia="宋体" w:cs="Times New Roman"/>
                <w:b/>
                <w:bCs/>
                <w:color w:val="auto"/>
                <w:sz w:val="21"/>
                <w:szCs w:val="21"/>
              </w:rPr>
              <w:fldChar w:fldCharType="separate"/>
            </w:r>
            <w:r>
              <w:rPr>
                <w:rFonts w:hint="default" w:ascii="Times New Roman" w:hAnsi="Times New Roman" w:eastAsia="宋体" w:cs="Times New Roman"/>
                <w:b/>
                <w:bCs/>
                <w:color w:val="auto"/>
                <w:sz w:val="21"/>
                <w:szCs w:val="21"/>
              </w:rPr>
              <w:t>III</w:t>
            </w:r>
            <w:r>
              <w:rPr>
                <w:rFonts w:hint="default" w:ascii="Times New Roman" w:hAnsi="Times New Roman" w:eastAsia="宋体" w:cs="Times New Roman"/>
                <w:b/>
                <w:bCs/>
                <w:color w:val="auto"/>
                <w:sz w:val="21"/>
                <w:szCs w:val="21"/>
              </w:rPr>
              <w:fldChar w:fldCharType="end"/>
            </w:r>
          </w:p>
        </w:tc>
        <w:tc>
          <w:tcPr>
            <w:tcW w:w="1599" w:type="dxa"/>
            <w:noWrap w:val="0"/>
            <w:vAlign w:val="center"/>
          </w:tcPr>
          <w:p w14:paraId="13FAAA7D">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fldChar w:fldCharType="begin"/>
            </w:r>
            <w:r>
              <w:rPr>
                <w:rFonts w:hint="default" w:ascii="Times New Roman" w:hAnsi="Times New Roman" w:eastAsia="宋体" w:cs="Times New Roman"/>
                <w:b/>
                <w:bCs/>
                <w:color w:val="auto"/>
                <w:sz w:val="21"/>
                <w:szCs w:val="21"/>
              </w:rPr>
              <w:instrText xml:space="preserve"> = 2 \* ROMAN \* MERGEFORMAT </w:instrText>
            </w:r>
            <w:r>
              <w:rPr>
                <w:rFonts w:hint="default" w:ascii="Times New Roman" w:hAnsi="Times New Roman" w:eastAsia="宋体" w:cs="Times New Roman"/>
                <w:b/>
                <w:bCs/>
                <w:color w:val="auto"/>
                <w:sz w:val="21"/>
                <w:szCs w:val="21"/>
              </w:rPr>
              <w:fldChar w:fldCharType="separate"/>
            </w:r>
            <w:r>
              <w:rPr>
                <w:rFonts w:hint="default" w:ascii="Times New Roman" w:hAnsi="Times New Roman" w:eastAsia="宋体" w:cs="Times New Roman"/>
                <w:b/>
                <w:bCs/>
                <w:color w:val="auto"/>
                <w:sz w:val="21"/>
                <w:szCs w:val="21"/>
              </w:rPr>
              <w:t>II</w:t>
            </w:r>
            <w:r>
              <w:rPr>
                <w:rFonts w:hint="default" w:ascii="Times New Roman" w:hAnsi="Times New Roman" w:eastAsia="宋体" w:cs="Times New Roman"/>
                <w:b/>
                <w:bCs/>
                <w:color w:val="auto"/>
                <w:sz w:val="21"/>
                <w:szCs w:val="21"/>
              </w:rPr>
              <w:fldChar w:fldCharType="end"/>
            </w:r>
          </w:p>
        </w:tc>
        <w:tc>
          <w:tcPr>
            <w:tcW w:w="1384" w:type="dxa"/>
            <w:noWrap w:val="0"/>
            <w:vAlign w:val="center"/>
          </w:tcPr>
          <w:p w14:paraId="3A42BF3F">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fldChar w:fldCharType="begin"/>
            </w:r>
            <w:r>
              <w:rPr>
                <w:rFonts w:hint="default" w:ascii="Times New Roman" w:hAnsi="Times New Roman" w:eastAsia="宋体" w:cs="Times New Roman"/>
                <w:b/>
                <w:bCs/>
                <w:color w:val="auto"/>
                <w:sz w:val="21"/>
                <w:szCs w:val="21"/>
              </w:rPr>
              <w:instrText xml:space="preserve"> = 1 \* ROMAN \* MERGEFORMAT </w:instrText>
            </w:r>
            <w:r>
              <w:rPr>
                <w:rFonts w:hint="default" w:ascii="Times New Roman" w:hAnsi="Times New Roman" w:eastAsia="宋体" w:cs="Times New Roman"/>
                <w:b/>
                <w:bCs/>
                <w:color w:val="auto"/>
                <w:sz w:val="21"/>
                <w:szCs w:val="21"/>
              </w:rPr>
              <w:fldChar w:fldCharType="separate"/>
            </w:r>
            <w:r>
              <w:rPr>
                <w:rFonts w:hint="default" w:ascii="Times New Roman" w:hAnsi="Times New Roman" w:eastAsia="宋体" w:cs="Times New Roman"/>
                <w:b/>
                <w:bCs/>
                <w:color w:val="auto"/>
                <w:sz w:val="21"/>
                <w:szCs w:val="21"/>
              </w:rPr>
              <w:t>I</w:t>
            </w:r>
            <w:r>
              <w:rPr>
                <w:rFonts w:hint="default" w:ascii="Times New Roman" w:hAnsi="Times New Roman" w:eastAsia="宋体" w:cs="Times New Roman"/>
                <w:b/>
                <w:bCs/>
                <w:color w:val="auto"/>
                <w:sz w:val="21"/>
                <w:szCs w:val="21"/>
              </w:rPr>
              <w:fldChar w:fldCharType="end"/>
            </w:r>
          </w:p>
        </w:tc>
      </w:tr>
      <w:tr w14:paraId="3E3B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3" w:type="dxa"/>
            <w:noWrap w:val="0"/>
            <w:vAlign w:val="center"/>
          </w:tcPr>
          <w:p w14:paraId="18D57F00">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2035" w:type="dxa"/>
            <w:noWrap w:val="0"/>
            <w:vAlign w:val="center"/>
          </w:tcPr>
          <w:p w14:paraId="63926D4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w:t>
            </w:r>
          </w:p>
        </w:tc>
        <w:tc>
          <w:tcPr>
            <w:tcW w:w="1477" w:type="dxa"/>
            <w:noWrap w:val="0"/>
            <w:vAlign w:val="center"/>
          </w:tcPr>
          <w:p w14:paraId="689CA9B3">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w:t>
            </w:r>
          </w:p>
        </w:tc>
        <w:tc>
          <w:tcPr>
            <w:tcW w:w="1599" w:type="dxa"/>
            <w:noWrap w:val="0"/>
            <w:vAlign w:val="center"/>
          </w:tcPr>
          <w:p w14:paraId="507B0D02">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三</w:t>
            </w:r>
          </w:p>
        </w:tc>
        <w:tc>
          <w:tcPr>
            <w:tcW w:w="1384" w:type="dxa"/>
            <w:noWrap w:val="0"/>
            <w:vAlign w:val="center"/>
          </w:tcPr>
          <w:p w14:paraId="0CB3472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w:t>
            </w:r>
          </w:p>
        </w:tc>
      </w:tr>
    </w:tbl>
    <w:p w14:paraId="472435CE">
      <w:pPr>
        <w:autoSpaceDE w:val="0"/>
        <w:autoSpaceDN w:val="0"/>
        <w:adjustRightInd w:val="0"/>
        <w:ind w:firstLine="482"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b/>
          <w:bCs/>
          <w:color w:val="auto"/>
          <w:kern w:val="0"/>
          <w:szCs w:val="24"/>
        </w:rPr>
        <w:t>具体判定情况如下：</w:t>
      </w:r>
    </w:p>
    <w:p w14:paraId="11862E18">
      <w:pPr>
        <w:adjustRightInd w:val="0"/>
        <w:snapToGrid w:val="0"/>
        <w:spacing w:line="360" w:lineRule="auto"/>
        <w:ind w:firstLine="482"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b/>
          <w:bCs/>
          <w:color w:val="auto"/>
          <w:sz w:val="24"/>
          <w:szCs w:val="20"/>
        </w:rPr>
        <w:t>1）危险物质及工艺系统危险性（P）等级确定</w:t>
      </w:r>
    </w:p>
    <w:p w14:paraId="1A1360CB">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根据《建设项目环境风险评价技术导则》（HJ169-2018）附录B、附录C，计算本项目所涉及的每种危险物质在厂界内的最大存在总量与其在附录B中对应临界量的比值Q。在不同厂区的同一种物质，按其在厂区内的最大存在总量计算。</w:t>
      </w:r>
    </w:p>
    <w:p w14:paraId="202D4CC0">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当只涉及一种危险物质时，计算该物质的总量与其临界量的比值，即为Q；</w:t>
      </w:r>
    </w:p>
    <w:p w14:paraId="73E49820">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当存在多种危险物质时，则按下式计算物质总量与其临界量比值Q：</w:t>
      </w:r>
    </w:p>
    <w:p w14:paraId="03617A6C">
      <w:pPr>
        <w:adjustRightInd w:val="0"/>
        <w:snapToGrid w:val="0"/>
        <w:spacing w:line="360" w:lineRule="auto"/>
        <w:jc w:val="center"/>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position w:val="-30"/>
          <w:sz w:val="24"/>
          <w:szCs w:val="20"/>
        </w:rPr>
        <w:object>
          <v:shape id="_x0000_i1033" o:spt="75" type="#_x0000_t75" style="height:34pt;width:121.95pt;" o:ole="t" filled="f" o:preferrelative="t" stroked="f" coordsize="21600,21600">
            <v:path/>
            <v:fill on="f" focussize="0,0"/>
            <v:stroke on="f"/>
            <v:imagedata r:id="rId61" o:title=""/>
            <o:lock v:ext="edit" aspectratio="t"/>
            <w10:wrap type="none"/>
            <w10:anchorlock/>
          </v:shape>
          <o:OLEObject Type="Embed" ProgID="Equation.KSEE3" ShapeID="_x0000_i1033" DrawAspect="Content" ObjectID="_1468075733" r:id="rId60">
            <o:LockedField>false</o:LockedField>
          </o:OLEObject>
        </w:object>
      </w:r>
    </w:p>
    <w:p w14:paraId="5776C1A1">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式中：q</w:t>
      </w:r>
      <w:r>
        <w:rPr>
          <w:rFonts w:hint="default" w:ascii="Times New Roman" w:hAnsi="Times New Roman" w:eastAsia="宋体" w:cs="Times New Roman"/>
          <w:color w:val="auto"/>
          <w:sz w:val="24"/>
          <w:szCs w:val="20"/>
          <w:vertAlign w:val="subscript"/>
        </w:rPr>
        <w:t>1</w:t>
      </w:r>
      <w:r>
        <w:rPr>
          <w:rFonts w:hint="default" w:ascii="Times New Roman" w:hAnsi="Times New Roman" w:eastAsia="宋体" w:cs="Times New Roman"/>
          <w:color w:val="auto"/>
          <w:sz w:val="24"/>
          <w:szCs w:val="20"/>
        </w:rPr>
        <w:t>、q</w:t>
      </w:r>
      <w:r>
        <w:rPr>
          <w:rFonts w:hint="default" w:ascii="Times New Roman" w:hAnsi="Times New Roman" w:eastAsia="宋体" w:cs="Times New Roman"/>
          <w:color w:val="auto"/>
          <w:sz w:val="24"/>
          <w:szCs w:val="20"/>
          <w:vertAlign w:val="subscript"/>
        </w:rPr>
        <w:t>2</w:t>
      </w:r>
      <w:r>
        <w:rPr>
          <w:rFonts w:hint="default" w:ascii="Times New Roman" w:hAnsi="Times New Roman" w:eastAsia="宋体" w:cs="Times New Roman"/>
          <w:color w:val="auto"/>
          <w:sz w:val="24"/>
          <w:szCs w:val="20"/>
        </w:rPr>
        <w:t>、……q</w:t>
      </w:r>
      <w:r>
        <w:rPr>
          <w:rFonts w:hint="default" w:ascii="Times New Roman" w:hAnsi="Times New Roman" w:eastAsia="宋体" w:cs="Times New Roman"/>
          <w:color w:val="auto"/>
          <w:sz w:val="24"/>
          <w:szCs w:val="20"/>
          <w:vertAlign w:val="subscript"/>
        </w:rPr>
        <w:t>n</w:t>
      </w:r>
      <w:r>
        <w:rPr>
          <w:rFonts w:hint="default" w:ascii="Times New Roman" w:hAnsi="Times New Roman" w:eastAsia="宋体" w:cs="Times New Roman"/>
          <w:color w:val="auto"/>
          <w:sz w:val="24"/>
          <w:szCs w:val="20"/>
        </w:rPr>
        <w:t>——每种危险物质的最大存在量；</w:t>
      </w:r>
    </w:p>
    <w:p w14:paraId="6693D1FF">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 xml:space="preserve">    Q1、Q2、……Qn——每种危险物质的临界量；</w:t>
      </w:r>
    </w:p>
    <w:p w14:paraId="480A1457">
      <w:pPr>
        <w:adjustRightInd w:val="0"/>
        <w:snapToGrid w:val="0"/>
        <w:spacing w:line="360" w:lineRule="auto"/>
        <w:ind w:firstLine="960" w:firstLineChars="4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当Q&lt;1时，该项目环境风险潜势为</w:t>
      </w: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ROMAN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I</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szCs w:val="20"/>
        </w:rPr>
        <w:t>；</w:t>
      </w:r>
    </w:p>
    <w:p w14:paraId="6BA36B35">
      <w:pPr>
        <w:adjustRightInd w:val="0"/>
        <w:snapToGrid w:val="0"/>
        <w:spacing w:line="360" w:lineRule="auto"/>
        <w:ind w:firstLine="960" w:firstLineChars="4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当Q≥1时，将Q值划分为： 1≤Q&lt;10； 10≤Q&lt;100；Q≥100。</w:t>
      </w:r>
    </w:p>
    <w:p w14:paraId="05A35695">
      <w:pPr>
        <w:autoSpaceDE w:val="0"/>
        <w:autoSpaceDN w:val="0"/>
        <w:adjustRightInd w:val="0"/>
        <w:ind w:firstLine="480" w:firstLineChars="200"/>
        <w:jc w:val="left"/>
        <w:rPr>
          <w:rFonts w:hint="default" w:ascii="Times New Roman" w:hAnsi="Times New Roman" w:eastAsia="宋体" w:cs="Times New Roman"/>
          <w:b/>
          <w:bCs/>
          <w:color w:val="auto"/>
          <w:szCs w:val="20"/>
        </w:rPr>
      </w:pPr>
      <w:r>
        <w:rPr>
          <w:rFonts w:hint="default" w:ascii="Times New Roman" w:hAnsi="Times New Roman" w:eastAsia="宋体" w:cs="Times New Roman"/>
          <w:color w:val="auto"/>
          <w:sz w:val="24"/>
          <w:szCs w:val="20"/>
        </w:rPr>
        <w:t>本项目原辅材料</w:t>
      </w:r>
      <w:r>
        <w:rPr>
          <w:rFonts w:hint="eastAsia" w:ascii="Times New Roman" w:hAnsi="Times New Roman" w:cs="Times New Roman"/>
          <w:color w:val="auto"/>
          <w:sz w:val="24"/>
          <w:szCs w:val="20"/>
          <w:lang w:eastAsia="zh-CN"/>
        </w:rPr>
        <w:t>不包含危险物质，项目Q值∑为</w:t>
      </w:r>
      <w:r>
        <w:rPr>
          <w:rFonts w:hint="eastAsia" w:ascii="Times New Roman" w:hAnsi="Times New Roman" w:cs="Times New Roman"/>
          <w:color w:val="auto"/>
          <w:sz w:val="24"/>
          <w:szCs w:val="20"/>
          <w:lang w:val="en-US" w:eastAsia="zh-CN"/>
        </w:rPr>
        <w:t>0；</w:t>
      </w:r>
    </w:p>
    <w:p w14:paraId="5A62F0A8">
      <w:pPr>
        <w:adjustRightInd w:val="0"/>
        <w:snapToGrid w:val="0"/>
        <w:jc w:val="center"/>
        <w:rPr>
          <w:rFonts w:hint="default" w:ascii="Times New Roman" w:hAnsi="Times New Roman" w:eastAsia="宋体" w:cs="Times New Roman"/>
          <w:color w:val="auto"/>
          <w:szCs w:val="20"/>
        </w:rPr>
      </w:pPr>
      <w:r>
        <w:rPr>
          <w:rFonts w:hint="default" w:ascii="Times New Roman" w:hAnsi="Times New Roman" w:eastAsia="宋体" w:cs="Times New Roman"/>
          <w:b/>
          <w:bCs/>
          <w:color w:val="auto"/>
          <w:szCs w:val="20"/>
        </w:rPr>
        <w:t>表6.2-</w:t>
      </w:r>
      <w:r>
        <w:rPr>
          <w:rFonts w:hint="eastAsia" w:ascii="Times New Roman" w:hAnsi="Times New Roman" w:cs="Times New Roman"/>
          <w:b/>
          <w:bCs/>
          <w:color w:val="auto"/>
          <w:szCs w:val="20"/>
          <w:lang w:val="en-US" w:eastAsia="zh-CN"/>
        </w:rPr>
        <w:t>2</w:t>
      </w:r>
      <w:r>
        <w:rPr>
          <w:rFonts w:hint="default" w:ascii="Times New Roman" w:hAnsi="Times New Roman" w:eastAsia="宋体" w:cs="Times New Roman"/>
          <w:b/>
          <w:bCs/>
          <w:color w:val="auto"/>
          <w:szCs w:val="20"/>
        </w:rPr>
        <w:t xml:space="preserve">  建设项目M值确定表</w:t>
      </w:r>
    </w:p>
    <w:tbl>
      <w:tblPr>
        <w:tblStyle w:val="66"/>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642"/>
        <w:gridCol w:w="1644"/>
        <w:gridCol w:w="1645"/>
        <w:gridCol w:w="1644"/>
      </w:tblGrid>
      <w:tr w14:paraId="709F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05B652C3">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序号</w:t>
            </w:r>
          </w:p>
        </w:tc>
        <w:tc>
          <w:tcPr>
            <w:tcW w:w="2642" w:type="dxa"/>
            <w:tcBorders>
              <w:top w:val="single" w:color="auto" w:sz="4" w:space="0"/>
              <w:left w:val="single" w:color="auto" w:sz="4" w:space="0"/>
              <w:bottom w:val="single" w:color="auto" w:sz="4" w:space="0"/>
              <w:right w:val="single" w:color="auto" w:sz="4" w:space="0"/>
            </w:tcBorders>
            <w:vAlign w:val="center"/>
          </w:tcPr>
          <w:p w14:paraId="6DADEF25">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工艺单元名称</w:t>
            </w:r>
          </w:p>
        </w:tc>
        <w:tc>
          <w:tcPr>
            <w:tcW w:w="1644" w:type="dxa"/>
            <w:tcBorders>
              <w:top w:val="single" w:color="auto" w:sz="4" w:space="0"/>
              <w:left w:val="single" w:color="auto" w:sz="4" w:space="0"/>
              <w:bottom w:val="single" w:color="auto" w:sz="4" w:space="0"/>
              <w:right w:val="single" w:color="auto" w:sz="4" w:space="0"/>
            </w:tcBorders>
            <w:vAlign w:val="center"/>
          </w:tcPr>
          <w:p w14:paraId="2CBC2C31">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生产工艺</w:t>
            </w:r>
          </w:p>
        </w:tc>
        <w:tc>
          <w:tcPr>
            <w:tcW w:w="1645" w:type="dxa"/>
            <w:tcBorders>
              <w:top w:val="single" w:color="auto" w:sz="4" w:space="0"/>
              <w:left w:val="single" w:color="auto" w:sz="4" w:space="0"/>
              <w:bottom w:val="single" w:color="auto" w:sz="4" w:space="0"/>
              <w:right w:val="single" w:color="auto" w:sz="4" w:space="0"/>
            </w:tcBorders>
            <w:vAlign w:val="center"/>
          </w:tcPr>
          <w:p w14:paraId="01D66C3F">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数量/套</w:t>
            </w:r>
          </w:p>
        </w:tc>
        <w:tc>
          <w:tcPr>
            <w:tcW w:w="1644" w:type="dxa"/>
            <w:tcBorders>
              <w:top w:val="single" w:color="auto" w:sz="4" w:space="0"/>
              <w:left w:val="single" w:color="auto" w:sz="4" w:space="0"/>
              <w:bottom w:val="single" w:color="auto" w:sz="4" w:space="0"/>
              <w:right w:val="single" w:color="auto" w:sz="4" w:space="0"/>
            </w:tcBorders>
            <w:vAlign w:val="center"/>
          </w:tcPr>
          <w:p w14:paraId="0F1B8D41">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M分值</w:t>
            </w:r>
          </w:p>
        </w:tc>
      </w:tr>
      <w:tr w14:paraId="26FE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5" w:type="dxa"/>
            <w:tcBorders>
              <w:top w:val="single" w:color="auto" w:sz="4" w:space="0"/>
              <w:left w:val="single" w:color="auto" w:sz="4" w:space="0"/>
              <w:bottom w:val="single" w:color="auto" w:sz="4" w:space="0"/>
              <w:right w:val="single" w:color="auto" w:sz="4" w:space="0"/>
            </w:tcBorders>
            <w:vAlign w:val="center"/>
          </w:tcPr>
          <w:p w14:paraId="3007060B">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5931" w:type="dxa"/>
            <w:gridSpan w:val="3"/>
            <w:tcBorders>
              <w:top w:val="single" w:color="auto" w:sz="4" w:space="0"/>
              <w:left w:val="single" w:color="auto" w:sz="4" w:space="0"/>
              <w:bottom w:val="single" w:color="auto" w:sz="4" w:space="0"/>
              <w:right w:val="single" w:color="auto" w:sz="4" w:space="0"/>
            </w:tcBorders>
            <w:vAlign w:val="center"/>
          </w:tcPr>
          <w:p w14:paraId="76668B4D">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本项目</w:t>
            </w:r>
            <w:r>
              <w:rPr>
                <w:rFonts w:hint="eastAsia" w:ascii="Times New Roman" w:hAnsi="Times New Roman" w:cs="Times New Roman"/>
                <w:color w:val="auto"/>
                <w:sz w:val="21"/>
                <w:lang w:eastAsia="zh-CN"/>
              </w:rPr>
              <w:t>不</w:t>
            </w:r>
            <w:r>
              <w:rPr>
                <w:rFonts w:hint="default" w:ascii="Times New Roman" w:hAnsi="Times New Roman" w:eastAsia="宋体" w:cs="Times New Roman"/>
                <w:color w:val="auto"/>
                <w:sz w:val="21"/>
              </w:rPr>
              <w:t>属于“涉及危险物质使用、贮存的项目”</w:t>
            </w:r>
          </w:p>
        </w:tc>
        <w:tc>
          <w:tcPr>
            <w:tcW w:w="1644" w:type="dxa"/>
            <w:tcBorders>
              <w:top w:val="single" w:color="auto" w:sz="4" w:space="0"/>
              <w:left w:val="single" w:color="auto" w:sz="4" w:space="0"/>
              <w:bottom w:val="single" w:color="auto" w:sz="4" w:space="0"/>
              <w:right w:val="single" w:color="auto" w:sz="4" w:space="0"/>
            </w:tcBorders>
            <w:vAlign w:val="center"/>
          </w:tcPr>
          <w:p w14:paraId="4BEE5AB7">
            <w:pPr>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0</w:t>
            </w:r>
          </w:p>
        </w:tc>
      </w:tr>
      <w:tr w14:paraId="2653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6" w:type="dxa"/>
            <w:gridSpan w:val="4"/>
            <w:tcBorders>
              <w:top w:val="single" w:color="auto" w:sz="4" w:space="0"/>
              <w:left w:val="single" w:color="auto" w:sz="4" w:space="0"/>
              <w:bottom w:val="single" w:color="auto" w:sz="4" w:space="0"/>
              <w:right w:val="single" w:color="auto" w:sz="4" w:space="0"/>
            </w:tcBorders>
            <w:vAlign w:val="center"/>
          </w:tcPr>
          <w:p w14:paraId="56BDD42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项目M值∑</w:t>
            </w:r>
          </w:p>
        </w:tc>
        <w:tc>
          <w:tcPr>
            <w:tcW w:w="1644" w:type="dxa"/>
            <w:tcBorders>
              <w:top w:val="single" w:color="auto" w:sz="4" w:space="0"/>
              <w:left w:val="single" w:color="auto" w:sz="4" w:space="0"/>
              <w:bottom w:val="single" w:color="auto" w:sz="4" w:space="0"/>
              <w:right w:val="single" w:color="auto" w:sz="4" w:space="0"/>
            </w:tcBorders>
            <w:vAlign w:val="center"/>
          </w:tcPr>
          <w:p w14:paraId="48F0FEDD">
            <w:pPr>
              <w:adjustRightInd w:val="0"/>
              <w:snapToGri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val="en-US" w:eastAsia="zh-CN"/>
              </w:rPr>
              <w:t>0</w:t>
            </w:r>
          </w:p>
        </w:tc>
      </w:tr>
    </w:tbl>
    <w:p w14:paraId="7DFCFDA9">
      <w:pPr>
        <w:adjustRightInd w:val="0"/>
        <w:snapToGrid w:val="0"/>
        <w:ind w:firstLine="480" w:firstLineChars="200"/>
        <w:jc w:val="left"/>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由上表可知，本项目行业及生产工艺</w:t>
      </w:r>
      <w:r>
        <w:rPr>
          <w:rFonts w:hint="eastAsia" w:ascii="Times New Roman" w:hAnsi="Times New Roman" w:cs="Times New Roman"/>
          <w:color w:val="auto"/>
          <w:szCs w:val="20"/>
          <w:lang w:eastAsia="zh-CN"/>
        </w:rPr>
        <w:t>不</w:t>
      </w:r>
      <w:r>
        <w:rPr>
          <w:rFonts w:hint="default" w:ascii="Times New Roman" w:hAnsi="Times New Roman" w:eastAsia="宋体" w:cs="Times New Roman"/>
          <w:color w:val="auto"/>
          <w:szCs w:val="20"/>
        </w:rPr>
        <w:t>属于“涉及危险物质使用、贮存的项目”，生产工艺系统危险性等级为M4（M=</w:t>
      </w:r>
      <w:r>
        <w:rPr>
          <w:rFonts w:hint="eastAsia" w:ascii="Times New Roman" w:hAnsi="Times New Roman" w:cs="Times New Roman"/>
          <w:color w:val="auto"/>
          <w:szCs w:val="20"/>
          <w:lang w:val="en-US" w:eastAsia="zh-CN"/>
        </w:rPr>
        <w:t>0</w:t>
      </w:r>
      <w:r>
        <w:rPr>
          <w:rFonts w:hint="default" w:ascii="Times New Roman" w:hAnsi="Times New Roman" w:eastAsia="宋体" w:cs="Times New Roman"/>
          <w:color w:val="auto"/>
          <w:szCs w:val="20"/>
        </w:rPr>
        <w:t>）。</w:t>
      </w:r>
    </w:p>
    <w:p w14:paraId="70D1852F">
      <w:pPr>
        <w:adjustRightInd w:val="0"/>
        <w:snapToGrid w:val="0"/>
        <w:ind w:firstLine="482" w:firstLineChars="200"/>
        <w:rPr>
          <w:rFonts w:hint="default" w:ascii="Times New Roman" w:hAnsi="Times New Roman" w:eastAsia="宋体" w:cs="Times New Roman"/>
          <w:b/>
          <w:bCs/>
          <w:color w:val="auto"/>
          <w:szCs w:val="20"/>
        </w:rPr>
      </w:pPr>
      <w:r>
        <w:rPr>
          <w:rFonts w:hint="default" w:ascii="Times New Roman" w:hAnsi="Times New Roman" w:eastAsia="宋体" w:cs="Times New Roman"/>
          <w:b/>
          <w:bCs/>
          <w:color w:val="auto"/>
          <w:szCs w:val="20"/>
        </w:rPr>
        <w:t>2）区域环境敏感程度（E）的分级确定</w:t>
      </w:r>
    </w:p>
    <w:p w14:paraId="08607B86">
      <w:pPr>
        <w:adjustRightInd w:val="0"/>
        <w:snapToGrid w:val="0"/>
        <w:ind w:firstLine="480" w:firstLineChars="200"/>
        <w:rPr>
          <w:rFonts w:hint="default" w:ascii="Times New Roman" w:hAnsi="Times New Roman" w:eastAsia="宋体" w:cs="Times New Roman"/>
          <w:b/>
          <w:bCs/>
          <w:color w:val="auto"/>
          <w:szCs w:val="20"/>
        </w:rPr>
      </w:pPr>
      <w:r>
        <w:rPr>
          <w:rFonts w:hint="default" w:ascii="Times New Roman" w:hAnsi="Times New Roman" w:eastAsia="宋体" w:cs="Times New Roman"/>
          <w:color w:val="auto"/>
          <w:szCs w:val="20"/>
        </w:rPr>
        <w:t>项目区域环境敏感特征见下表：</w:t>
      </w:r>
    </w:p>
    <w:p w14:paraId="62E226E1">
      <w:pPr>
        <w:adjustRightInd w:val="0"/>
        <w:snapToGrid w:val="0"/>
        <w:jc w:val="center"/>
        <w:rPr>
          <w:rFonts w:hint="default" w:ascii="Times New Roman" w:hAnsi="Times New Roman" w:eastAsia="宋体" w:cs="Times New Roman"/>
          <w:b/>
          <w:bCs/>
          <w:color w:val="auto"/>
          <w:szCs w:val="20"/>
        </w:rPr>
      </w:pPr>
      <w:r>
        <w:rPr>
          <w:rFonts w:hint="default" w:ascii="Times New Roman" w:hAnsi="Times New Roman" w:eastAsia="宋体" w:cs="Times New Roman"/>
          <w:b/>
          <w:bCs/>
          <w:color w:val="auto"/>
          <w:szCs w:val="20"/>
        </w:rPr>
        <w:t>表6.2-</w:t>
      </w:r>
      <w:r>
        <w:rPr>
          <w:rFonts w:hint="eastAsia" w:ascii="Times New Roman" w:hAnsi="Times New Roman" w:cs="Times New Roman"/>
          <w:b/>
          <w:bCs/>
          <w:color w:val="auto"/>
          <w:szCs w:val="20"/>
          <w:lang w:val="en-US" w:eastAsia="zh-CN"/>
        </w:rPr>
        <w:t>3</w:t>
      </w:r>
      <w:r>
        <w:rPr>
          <w:rFonts w:hint="default" w:ascii="Times New Roman" w:hAnsi="Times New Roman" w:eastAsia="宋体" w:cs="Times New Roman"/>
          <w:b/>
          <w:bCs/>
          <w:color w:val="auto"/>
          <w:szCs w:val="20"/>
        </w:rPr>
        <w:t xml:space="preserve">  建设项目环境敏感特征表</w:t>
      </w:r>
    </w:p>
    <w:tbl>
      <w:tblPr>
        <w:tblStyle w:val="66"/>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667"/>
        <w:gridCol w:w="1568"/>
        <w:gridCol w:w="1110"/>
        <w:gridCol w:w="411"/>
        <w:gridCol w:w="429"/>
        <w:gridCol w:w="60"/>
        <w:gridCol w:w="763"/>
        <w:gridCol w:w="47"/>
        <w:gridCol w:w="690"/>
        <w:gridCol w:w="420"/>
        <w:gridCol w:w="95"/>
        <w:gridCol w:w="1255"/>
      </w:tblGrid>
      <w:tr w14:paraId="1946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4BD3CA5D">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类别</w:t>
            </w:r>
          </w:p>
        </w:tc>
        <w:tc>
          <w:tcPr>
            <w:tcW w:w="7515" w:type="dxa"/>
            <w:gridSpan w:val="12"/>
            <w:tcBorders>
              <w:top w:val="single" w:color="auto" w:sz="4" w:space="0"/>
              <w:left w:val="single" w:color="auto" w:sz="4" w:space="0"/>
              <w:bottom w:val="single" w:color="auto" w:sz="4" w:space="0"/>
              <w:right w:val="single" w:color="auto" w:sz="4" w:space="0"/>
            </w:tcBorders>
            <w:vAlign w:val="center"/>
          </w:tcPr>
          <w:p w14:paraId="4E0F5DEB">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环境敏感特征</w:t>
            </w:r>
          </w:p>
        </w:tc>
      </w:tr>
      <w:tr w14:paraId="17E2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op w:val="single" w:color="auto" w:sz="4" w:space="0"/>
              <w:left w:val="single" w:color="auto" w:sz="4" w:space="0"/>
              <w:bottom w:val="single" w:color="auto" w:sz="4" w:space="0"/>
              <w:right w:val="single" w:color="auto" w:sz="4" w:space="0"/>
            </w:tcBorders>
            <w:vAlign w:val="center"/>
          </w:tcPr>
          <w:p w14:paraId="6FA0CE6D">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环境空气</w:t>
            </w:r>
          </w:p>
        </w:tc>
        <w:tc>
          <w:tcPr>
            <w:tcW w:w="7515" w:type="dxa"/>
            <w:gridSpan w:val="12"/>
            <w:tcBorders>
              <w:top w:val="single" w:color="auto" w:sz="4" w:space="0"/>
              <w:left w:val="single" w:color="auto" w:sz="4" w:space="0"/>
              <w:bottom w:val="single" w:color="auto" w:sz="4" w:space="0"/>
              <w:right w:val="single" w:color="auto" w:sz="4" w:space="0"/>
            </w:tcBorders>
            <w:vAlign w:val="center"/>
          </w:tcPr>
          <w:p w14:paraId="67987E88">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厂址周边5km范围内</w:t>
            </w:r>
          </w:p>
        </w:tc>
      </w:tr>
      <w:tr w14:paraId="3090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09B966F1">
            <w:pPr>
              <w:widowControl/>
              <w:spacing w:line="240" w:lineRule="auto"/>
              <w:jc w:val="left"/>
              <w:rPr>
                <w:rFonts w:hint="default" w:ascii="Times New Roman" w:hAnsi="Times New Roman" w:eastAsia="宋体" w:cs="Times New Roman"/>
                <w:color w:val="auto"/>
                <w:sz w:val="21"/>
              </w:rPr>
            </w:pPr>
          </w:p>
        </w:tc>
        <w:tc>
          <w:tcPr>
            <w:tcW w:w="667" w:type="dxa"/>
            <w:tcBorders>
              <w:top w:val="single" w:color="auto" w:sz="4" w:space="0"/>
              <w:left w:val="single" w:color="auto" w:sz="4" w:space="0"/>
              <w:bottom w:val="single" w:color="auto" w:sz="4" w:space="0"/>
              <w:right w:val="single" w:color="auto" w:sz="4" w:space="0"/>
            </w:tcBorders>
            <w:vAlign w:val="center"/>
          </w:tcPr>
          <w:p w14:paraId="715C0977">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568" w:type="dxa"/>
            <w:tcBorders>
              <w:top w:val="single" w:color="auto" w:sz="4" w:space="0"/>
              <w:left w:val="single" w:color="auto" w:sz="4" w:space="0"/>
              <w:bottom w:val="single" w:color="auto" w:sz="4" w:space="0"/>
              <w:right w:val="single" w:color="auto" w:sz="4" w:space="0"/>
            </w:tcBorders>
            <w:vAlign w:val="center"/>
          </w:tcPr>
          <w:p w14:paraId="5E189A8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敏感目标名称</w:t>
            </w:r>
          </w:p>
        </w:tc>
        <w:tc>
          <w:tcPr>
            <w:tcW w:w="1110" w:type="dxa"/>
            <w:tcBorders>
              <w:top w:val="single" w:color="auto" w:sz="4" w:space="0"/>
              <w:left w:val="single" w:color="auto" w:sz="4" w:space="0"/>
              <w:bottom w:val="single" w:color="auto" w:sz="4" w:space="0"/>
              <w:right w:val="single" w:color="auto" w:sz="4" w:space="0"/>
            </w:tcBorders>
            <w:vAlign w:val="center"/>
          </w:tcPr>
          <w:p w14:paraId="037E2F1F">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相对方位</w:t>
            </w:r>
          </w:p>
        </w:tc>
        <w:tc>
          <w:tcPr>
            <w:tcW w:w="900" w:type="dxa"/>
            <w:gridSpan w:val="3"/>
            <w:tcBorders>
              <w:top w:val="single" w:color="auto" w:sz="4" w:space="0"/>
              <w:left w:val="single" w:color="auto" w:sz="4" w:space="0"/>
              <w:bottom w:val="single" w:color="auto" w:sz="4" w:space="0"/>
              <w:right w:val="single" w:color="auto" w:sz="4" w:space="0"/>
            </w:tcBorders>
            <w:vAlign w:val="center"/>
          </w:tcPr>
          <w:p w14:paraId="7C4BEA8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距离/m</w:t>
            </w:r>
          </w:p>
        </w:tc>
        <w:tc>
          <w:tcPr>
            <w:tcW w:w="1920" w:type="dxa"/>
            <w:gridSpan w:val="4"/>
            <w:tcBorders>
              <w:top w:val="single" w:color="auto" w:sz="4" w:space="0"/>
              <w:left w:val="single" w:color="auto" w:sz="4" w:space="0"/>
              <w:bottom w:val="single" w:color="auto" w:sz="4" w:space="0"/>
              <w:right w:val="single" w:color="auto" w:sz="4" w:space="0"/>
            </w:tcBorders>
            <w:vAlign w:val="center"/>
          </w:tcPr>
          <w:p w14:paraId="704FCFF9">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属性</w:t>
            </w:r>
          </w:p>
        </w:tc>
        <w:tc>
          <w:tcPr>
            <w:tcW w:w="1350" w:type="dxa"/>
            <w:gridSpan w:val="2"/>
            <w:tcBorders>
              <w:top w:val="single" w:color="auto" w:sz="4" w:space="0"/>
              <w:left w:val="single" w:color="auto" w:sz="4" w:space="0"/>
              <w:bottom w:val="single" w:color="auto" w:sz="4" w:space="0"/>
              <w:right w:val="single" w:color="auto" w:sz="4" w:space="0"/>
            </w:tcBorders>
            <w:vAlign w:val="center"/>
          </w:tcPr>
          <w:p w14:paraId="681C800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人口数</w:t>
            </w:r>
          </w:p>
        </w:tc>
      </w:tr>
      <w:tr w14:paraId="074F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68E99FB8">
            <w:pPr>
              <w:widowControl/>
              <w:spacing w:line="240" w:lineRule="auto"/>
              <w:jc w:val="left"/>
              <w:rPr>
                <w:rFonts w:hint="default" w:ascii="Times New Roman" w:hAnsi="Times New Roman" w:eastAsia="宋体" w:cs="Times New Roman"/>
                <w:color w:val="auto"/>
                <w:sz w:val="21"/>
              </w:rPr>
            </w:pPr>
          </w:p>
        </w:tc>
        <w:tc>
          <w:tcPr>
            <w:tcW w:w="667" w:type="dxa"/>
            <w:tcBorders>
              <w:top w:val="single" w:color="auto" w:sz="4" w:space="0"/>
              <w:left w:val="single" w:color="auto" w:sz="4" w:space="0"/>
              <w:bottom w:val="single" w:color="auto" w:sz="4" w:space="0"/>
              <w:right w:val="single" w:color="auto" w:sz="4" w:space="0"/>
            </w:tcBorders>
            <w:vAlign w:val="center"/>
          </w:tcPr>
          <w:p w14:paraId="36C4FDB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568" w:type="dxa"/>
            <w:tcBorders>
              <w:top w:val="single" w:color="auto" w:sz="4" w:space="0"/>
              <w:left w:val="single" w:color="auto" w:sz="4" w:space="0"/>
              <w:bottom w:val="single" w:color="auto" w:sz="4" w:space="0"/>
              <w:right w:val="single" w:color="auto" w:sz="4" w:space="0"/>
            </w:tcBorders>
            <w:vAlign w:val="center"/>
          </w:tcPr>
          <w:p w14:paraId="32794D1E">
            <w:pPr>
              <w:adjustRightInd w:val="0"/>
              <w:snapToGrid w:val="0"/>
              <w:spacing w:line="240" w:lineRule="auto"/>
              <w:jc w:val="center"/>
              <w:rPr>
                <w:rFonts w:hint="default"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界桃村</w:t>
            </w:r>
          </w:p>
        </w:tc>
        <w:tc>
          <w:tcPr>
            <w:tcW w:w="1110" w:type="dxa"/>
            <w:tcBorders>
              <w:top w:val="single" w:color="auto" w:sz="4" w:space="0"/>
              <w:left w:val="single" w:color="auto" w:sz="4" w:space="0"/>
              <w:bottom w:val="single" w:color="auto" w:sz="4" w:space="0"/>
              <w:right w:val="single" w:color="auto" w:sz="4" w:space="0"/>
            </w:tcBorders>
            <w:vAlign w:val="center"/>
          </w:tcPr>
          <w:p w14:paraId="5D97E887">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南侧</w:t>
            </w:r>
          </w:p>
        </w:tc>
        <w:tc>
          <w:tcPr>
            <w:tcW w:w="900" w:type="dxa"/>
            <w:gridSpan w:val="3"/>
            <w:tcBorders>
              <w:top w:val="single" w:color="auto" w:sz="4" w:space="0"/>
              <w:left w:val="single" w:color="auto" w:sz="4" w:space="0"/>
              <w:bottom w:val="single" w:color="auto" w:sz="4" w:space="0"/>
              <w:right w:val="single" w:color="auto" w:sz="4" w:space="0"/>
            </w:tcBorders>
            <w:vAlign w:val="center"/>
          </w:tcPr>
          <w:p w14:paraId="44ACAD5A">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520</w:t>
            </w:r>
          </w:p>
        </w:tc>
        <w:tc>
          <w:tcPr>
            <w:tcW w:w="1920" w:type="dxa"/>
            <w:gridSpan w:val="4"/>
            <w:tcBorders>
              <w:top w:val="single" w:color="auto" w:sz="4" w:space="0"/>
              <w:left w:val="single" w:color="auto" w:sz="4" w:space="0"/>
              <w:bottom w:val="single" w:color="auto" w:sz="4" w:space="0"/>
              <w:right w:val="single" w:color="auto" w:sz="4" w:space="0"/>
            </w:tcBorders>
            <w:vAlign w:val="center"/>
          </w:tcPr>
          <w:p w14:paraId="7EDDCB8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居住区</w:t>
            </w:r>
          </w:p>
        </w:tc>
        <w:tc>
          <w:tcPr>
            <w:tcW w:w="1350" w:type="dxa"/>
            <w:gridSpan w:val="2"/>
            <w:tcBorders>
              <w:top w:val="single" w:color="auto" w:sz="4" w:space="0"/>
              <w:left w:val="single" w:color="auto" w:sz="4" w:space="0"/>
              <w:bottom w:val="single" w:color="auto" w:sz="4" w:space="0"/>
              <w:right w:val="single" w:color="auto" w:sz="4" w:space="0"/>
            </w:tcBorders>
            <w:vAlign w:val="center"/>
          </w:tcPr>
          <w:p w14:paraId="6C9FC97B">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271</w:t>
            </w:r>
          </w:p>
        </w:tc>
      </w:tr>
      <w:tr w14:paraId="38BC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519FCD44">
            <w:pPr>
              <w:widowControl/>
              <w:spacing w:line="240" w:lineRule="auto"/>
              <w:jc w:val="left"/>
              <w:rPr>
                <w:rFonts w:hint="default" w:ascii="Times New Roman" w:hAnsi="Times New Roman" w:eastAsia="宋体" w:cs="Times New Roman"/>
                <w:color w:val="auto"/>
                <w:sz w:val="21"/>
              </w:rPr>
            </w:pPr>
          </w:p>
        </w:tc>
        <w:tc>
          <w:tcPr>
            <w:tcW w:w="6165" w:type="dxa"/>
            <w:gridSpan w:val="10"/>
            <w:tcBorders>
              <w:top w:val="single" w:color="auto" w:sz="4" w:space="0"/>
              <w:left w:val="single" w:color="auto" w:sz="4" w:space="0"/>
              <w:bottom w:val="single" w:color="auto" w:sz="4" w:space="0"/>
              <w:right w:val="single" w:color="auto" w:sz="4" w:space="0"/>
            </w:tcBorders>
            <w:vAlign w:val="center"/>
          </w:tcPr>
          <w:p w14:paraId="5B856AE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厂址周边500m范围内人口数小计</w:t>
            </w:r>
          </w:p>
        </w:tc>
        <w:tc>
          <w:tcPr>
            <w:tcW w:w="1350" w:type="dxa"/>
            <w:gridSpan w:val="2"/>
            <w:tcBorders>
              <w:top w:val="single" w:color="auto" w:sz="4" w:space="0"/>
              <w:left w:val="single" w:color="auto" w:sz="4" w:space="0"/>
              <w:bottom w:val="single" w:color="auto" w:sz="4" w:space="0"/>
              <w:right w:val="single" w:color="auto" w:sz="4" w:space="0"/>
            </w:tcBorders>
            <w:vAlign w:val="center"/>
          </w:tcPr>
          <w:p w14:paraId="2F2E00E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0</w:t>
            </w:r>
          </w:p>
        </w:tc>
      </w:tr>
      <w:tr w14:paraId="2439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59D9B532">
            <w:pPr>
              <w:widowControl/>
              <w:spacing w:line="240" w:lineRule="auto"/>
              <w:jc w:val="left"/>
              <w:rPr>
                <w:rFonts w:hint="default" w:ascii="Times New Roman" w:hAnsi="Times New Roman" w:eastAsia="宋体" w:cs="Times New Roman"/>
                <w:color w:val="auto"/>
                <w:sz w:val="21"/>
              </w:rPr>
            </w:pPr>
          </w:p>
        </w:tc>
        <w:tc>
          <w:tcPr>
            <w:tcW w:w="6165" w:type="dxa"/>
            <w:gridSpan w:val="10"/>
            <w:tcBorders>
              <w:top w:val="single" w:color="auto" w:sz="4" w:space="0"/>
              <w:left w:val="single" w:color="auto" w:sz="4" w:space="0"/>
              <w:bottom w:val="single" w:color="auto" w:sz="4" w:space="0"/>
              <w:right w:val="single" w:color="auto" w:sz="4" w:space="0"/>
            </w:tcBorders>
            <w:vAlign w:val="center"/>
          </w:tcPr>
          <w:p w14:paraId="2023C79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厂址周边5km范围内人口数小计</w:t>
            </w:r>
          </w:p>
        </w:tc>
        <w:tc>
          <w:tcPr>
            <w:tcW w:w="1350" w:type="dxa"/>
            <w:gridSpan w:val="2"/>
            <w:tcBorders>
              <w:top w:val="single" w:color="auto" w:sz="4" w:space="0"/>
              <w:left w:val="single" w:color="auto" w:sz="4" w:space="0"/>
              <w:bottom w:val="single" w:color="auto" w:sz="4" w:space="0"/>
              <w:right w:val="single" w:color="auto" w:sz="4" w:space="0"/>
            </w:tcBorders>
            <w:vAlign w:val="center"/>
          </w:tcPr>
          <w:p w14:paraId="0637D5DD">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6971</w:t>
            </w:r>
            <w:r>
              <w:rPr>
                <w:rFonts w:hint="default" w:ascii="Times New Roman" w:hAnsi="Times New Roman" w:eastAsia="宋体" w:cs="Times New Roman"/>
                <w:color w:val="auto"/>
                <w:sz w:val="21"/>
                <w:lang w:val="en-US" w:eastAsia="zh-CN"/>
              </w:rPr>
              <w:t>人</w:t>
            </w:r>
          </w:p>
        </w:tc>
      </w:tr>
      <w:tr w14:paraId="019C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2AA88D2F">
            <w:pPr>
              <w:widowControl/>
              <w:spacing w:line="240" w:lineRule="auto"/>
              <w:jc w:val="left"/>
              <w:rPr>
                <w:rFonts w:hint="default" w:ascii="Times New Roman" w:hAnsi="Times New Roman" w:eastAsia="宋体" w:cs="Times New Roman"/>
                <w:color w:val="auto"/>
                <w:sz w:val="21"/>
              </w:rPr>
            </w:pPr>
          </w:p>
        </w:tc>
        <w:tc>
          <w:tcPr>
            <w:tcW w:w="6165" w:type="dxa"/>
            <w:gridSpan w:val="10"/>
            <w:tcBorders>
              <w:top w:val="single" w:color="auto" w:sz="4" w:space="0"/>
              <w:left w:val="single" w:color="auto" w:sz="4" w:space="0"/>
              <w:bottom w:val="single" w:color="auto" w:sz="4" w:space="0"/>
              <w:right w:val="single" w:color="auto" w:sz="4" w:space="0"/>
            </w:tcBorders>
            <w:vAlign w:val="center"/>
          </w:tcPr>
          <w:p w14:paraId="3BB01137">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大气环境敏感程度E值</w:t>
            </w:r>
          </w:p>
        </w:tc>
        <w:tc>
          <w:tcPr>
            <w:tcW w:w="1350" w:type="dxa"/>
            <w:gridSpan w:val="2"/>
            <w:tcBorders>
              <w:top w:val="single" w:color="auto" w:sz="4" w:space="0"/>
              <w:left w:val="single" w:color="auto" w:sz="4" w:space="0"/>
              <w:bottom w:val="single" w:color="auto" w:sz="4" w:space="0"/>
              <w:right w:val="single" w:color="auto" w:sz="4" w:space="0"/>
            </w:tcBorders>
            <w:vAlign w:val="center"/>
          </w:tcPr>
          <w:p w14:paraId="7591C02A">
            <w:pPr>
              <w:adjustRightInd w:val="0"/>
              <w:snapToGrid w:val="0"/>
              <w:spacing w:line="240" w:lineRule="auto"/>
              <w:jc w:val="center"/>
              <w:rPr>
                <w:rFonts w:hint="default" w:ascii="Times New Roman" w:hAnsi="Times New Roman" w:eastAsia="宋体" w:cs="Times New Roman"/>
                <w:b/>
                <w:bCs/>
                <w:color w:val="auto"/>
                <w:sz w:val="21"/>
                <w:lang w:val="en-US" w:eastAsia="zh-CN"/>
              </w:rPr>
            </w:pPr>
            <w:r>
              <w:rPr>
                <w:rFonts w:hint="default" w:ascii="Times New Roman" w:hAnsi="Times New Roman" w:eastAsia="宋体" w:cs="Times New Roman"/>
                <w:b/>
                <w:bCs/>
                <w:color w:val="auto"/>
                <w:sz w:val="21"/>
              </w:rPr>
              <w:t>E</w:t>
            </w:r>
            <w:r>
              <w:rPr>
                <w:rFonts w:hint="eastAsia" w:ascii="Times New Roman" w:hAnsi="Times New Roman" w:cs="Times New Roman"/>
                <w:b/>
                <w:bCs/>
                <w:color w:val="auto"/>
                <w:sz w:val="21"/>
                <w:lang w:val="en-US" w:eastAsia="zh-CN"/>
              </w:rPr>
              <w:t>3</w:t>
            </w:r>
          </w:p>
        </w:tc>
      </w:tr>
      <w:tr w14:paraId="0E18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op w:val="single" w:color="auto" w:sz="4" w:space="0"/>
              <w:left w:val="single" w:color="auto" w:sz="4" w:space="0"/>
              <w:bottom w:val="single" w:color="auto" w:sz="4" w:space="0"/>
              <w:right w:val="single" w:color="auto" w:sz="4" w:space="0"/>
            </w:tcBorders>
            <w:vAlign w:val="center"/>
          </w:tcPr>
          <w:p w14:paraId="5A3F832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地表水</w:t>
            </w:r>
          </w:p>
        </w:tc>
        <w:tc>
          <w:tcPr>
            <w:tcW w:w="7515" w:type="dxa"/>
            <w:gridSpan w:val="12"/>
            <w:tcBorders>
              <w:top w:val="single" w:color="auto" w:sz="4" w:space="0"/>
              <w:left w:val="single" w:color="auto" w:sz="4" w:space="0"/>
              <w:bottom w:val="single" w:color="auto" w:sz="4" w:space="0"/>
              <w:right w:val="single" w:color="auto" w:sz="4" w:space="0"/>
            </w:tcBorders>
            <w:vAlign w:val="center"/>
          </w:tcPr>
          <w:p w14:paraId="6398DBC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受纳水体</w:t>
            </w:r>
          </w:p>
        </w:tc>
      </w:tr>
      <w:tr w14:paraId="4677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281ADFE9">
            <w:pPr>
              <w:widowControl/>
              <w:spacing w:line="240" w:lineRule="auto"/>
              <w:jc w:val="left"/>
              <w:rPr>
                <w:rFonts w:hint="default" w:ascii="Times New Roman" w:hAnsi="Times New Roman" w:eastAsia="宋体" w:cs="Times New Roman"/>
                <w:color w:val="auto"/>
                <w:sz w:val="21"/>
              </w:rPr>
            </w:pPr>
          </w:p>
        </w:tc>
        <w:tc>
          <w:tcPr>
            <w:tcW w:w="667" w:type="dxa"/>
            <w:tcBorders>
              <w:top w:val="single" w:color="auto" w:sz="4" w:space="0"/>
              <w:left w:val="single" w:color="auto" w:sz="4" w:space="0"/>
              <w:bottom w:val="single" w:color="auto" w:sz="4" w:space="0"/>
              <w:right w:val="single" w:color="auto" w:sz="4" w:space="0"/>
            </w:tcBorders>
            <w:vAlign w:val="center"/>
          </w:tcPr>
          <w:p w14:paraId="5FD153EF">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568" w:type="dxa"/>
            <w:tcBorders>
              <w:top w:val="single" w:color="auto" w:sz="4" w:space="0"/>
              <w:left w:val="single" w:color="auto" w:sz="4" w:space="0"/>
              <w:bottom w:val="single" w:color="auto" w:sz="4" w:space="0"/>
              <w:right w:val="single" w:color="auto" w:sz="4" w:space="0"/>
            </w:tcBorders>
            <w:vAlign w:val="center"/>
          </w:tcPr>
          <w:p w14:paraId="4D1F26C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受纳水体名称</w:t>
            </w:r>
          </w:p>
        </w:tc>
        <w:tc>
          <w:tcPr>
            <w:tcW w:w="2820" w:type="dxa"/>
            <w:gridSpan w:val="6"/>
            <w:tcBorders>
              <w:top w:val="single" w:color="auto" w:sz="4" w:space="0"/>
              <w:left w:val="single" w:color="auto" w:sz="4" w:space="0"/>
              <w:bottom w:val="single" w:color="auto" w:sz="4" w:space="0"/>
              <w:right w:val="single" w:color="auto" w:sz="4" w:space="0"/>
            </w:tcBorders>
            <w:vAlign w:val="center"/>
          </w:tcPr>
          <w:p w14:paraId="3959EA29">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排放点水域环境功能</w:t>
            </w:r>
          </w:p>
        </w:tc>
        <w:tc>
          <w:tcPr>
            <w:tcW w:w="2460" w:type="dxa"/>
            <w:gridSpan w:val="4"/>
            <w:tcBorders>
              <w:top w:val="single" w:color="auto" w:sz="4" w:space="0"/>
              <w:left w:val="single" w:color="auto" w:sz="4" w:space="0"/>
              <w:bottom w:val="single" w:color="auto" w:sz="4" w:space="0"/>
              <w:right w:val="single" w:color="auto" w:sz="4" w:space="0"/>
            </w:tcBorders>
            <w:vAlign w:val="center"/>
          </w:tcPr>
          <w:p w14:paraId="38B593BD">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24h内流经范围/km</w:t>
            </w:r>
          </w:p>
        </w:tc>
      </w:tr>
      <w:tr w14:paraId="78EA9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39229DCC">
            <w:pPr>
              <w:widowControl/>
              <w:spacing w:line="240" w:lineRule="auto"/>
              <w:jc w:val="left"/>
              <w:rPr>
                <w:rFonts w:hint="default" w:ascii="Times New Roman" w:hAnsi="Times New Roman" w:eastAsia="宋体" w:cs="Times New Roman"/>
                <w:color w:val="auto"/>
                <w:sz w:val="21"/>
              </w:rPr>
            </w:pPr>
          </w:p>
        </w:tc>
        <w:tc>
          <w:tcPr>
            <w:tcW w:w="667" w:type="dxa"/>
            <w:tcBorders>
              <w:top w:val="single" w:color="auto" w:sz="4" w:space="0"/>
              <w:left w:val="single" w:color="auto" w:sz="4" w:space="0"/>
              <w:bottom w:val="single" w:color="auto" w:sz="4" w:space="0"/>
              <w:right w:val="single" w:color="auto" w:sz="4" w:space="0"/>
            </w:tcBorders>
            <w:vAlign w:val="center"/>
          </w:tcPr>
          <w:p w14:paraId="0D41D27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568" w:type="dxa"/>
            <w:tcBorders>
              <w:top w:val="single" w:color="auto" w:sz="4" w:space="0"/>
              <w:left w:val="single" w:color="auto" w:sz="4" w:space="0"/>
              <w:bottom w:val="single" w:color="auto" w:sz="4" w:space="0"/>
              <w:right w:val="single" w:color="auto" w:sz="4" w:space="0"/>
            </w:tcBorders>
            <w:vAlign w:val="center"/>
          </w:tcPr>
          <w:p w14:paraId="68A0588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无</w:t>
            </w:r>
          </w:p>
        </w:tc>
        <w:tc>
          <w:tcPr>
            <w:tcW w:w="2820" w:type="dxa"/>
            <w:gridSpan w:val="6"/>
            <w:tcBorders>
              <w:top w:val="single" w:color="auto" w:sz="4" w:space="0"/>
              <w:left w:val="single" w:color="auto" w:sz="4" w:space="0"/>
              <w:bottom w:val="single" w:color="auto" w:sz="4" w:space="0"/>
              <w:right w:val="single" w:color="auto" w:sz="4" w:space="0"/>
            </w:tcBorders>
            <w:vAlign w:val="center"/>
          </w:tcPr>
          <w:p w14:paraId="408AD1C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p>
        </w:tc>
        <w:tc>
          <w:tcPr>
            <w:tcW w:w="2460" w:type="dxa"/>
            <w:gridSpan w:val="4"/>
            <w:tcBorders>
              <w:top w:val="single" w:color="auto" w:sz="4" w:space="0"/>
              <w:left w:val="single" w:color="auto" w:sz="4" w:space="0"/>
              <w:bottom w:val="single" w:color="auto" w:sz="4" w:space="0"/>
              <w:right w:val="single" w:color="auto" w:sz="4" w:space="0"/>
            </w:tcBorders>
            <w:vAlign w:val="center"/>
          </w:tcPr>
          <w:p w14:paraId="22BAD028">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其他</w:t>
            </w:r>
          </w:p>
        </w:tc>
      </w:tr>
      <w:tr w14:paraId="04FD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5DB2A481">
            <w:pPr>
              <w:widowControl/>
              <w:spacing w:line="240" w:lineRule="auto"/>
              <w:jc w:val="left"/>
              <w:rPr>
                <w:rFonts w:hint="default" w:ascii="Times New Roman" w:hAnsi="Times New Roman" w:eastAsia="宋体" w:cs="Times New Roman"/>
                <w:color w:val="auto"/>
                <w:sz w:val="21"/>
              </w:rPr>
            </w:pPr>
          </w:p>
        </w:tc>
        <w:tc>
          <w:tcPr>
            <w:tcW w:w="7515" w:type="dxa"/>
            <w:gridSpan w:val="12"/>
            <w:tcBorders>
              <w:top w:val="single" w:color="auto" w:sz="4" w:space="0"/>
              <w:left w:val="single" w:color="auto" w:sz="4" w:space="0"/>
              <w:bottom w:val="single" w:color="auto" w:sz="4" w:space="0"/>
              <w:right w:val="single" w:color="auto" w:sz="4" w:space="0"/>
            </w:tcBorders>
            <w:vAlign w:val="center"/>
          </w:tcPr>
          <w:p w14:paraId="2C06175B">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内陆水体排放点下游10km范围内</w:t>
            </w:r>
            <w:r>
              <w:rPr>
                <w:rFonts w:hint="default" w:ascii="Times New Roman" w:hAnsi="Times New Roman" w:eastAsia="宋体" w:cs="Times New Roman"/>
                <w:color w:val="auto"/>
                <w:sz w:val="21"/>
                <w:lang w:eastAsia="zh-CN"/>
              </w:rPr>
              <w:t>无</w:t>
            </w:r>
            <w:r>
              <w:rPr>
                <w:rFonts w:hint="default" w:ascii="Times New Roman" w:hAnsi="Times New Roman" w:eastAsia="宋体" w:cs="Times New Roman"/>
                <w:color w:val="auto"/>
                <w:sz w:val="21"/>
              </w:rPr>
              <w:t>敏感目标</w:t>
            </w:r>
          </w:p>
        </w:tc>
      </w:tr>
      <w:tr w14:paraId="1B8E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0ABEC699">
            <w:pPr>
              <w:widowControl/>
              <w:spacing w:line="240" w:lineRule="auto"/>
              <w:jc w:val="left"/>
              <w:rPr>
                <w:rFonts w:hint="default" w:ascii="Times New Roman" w:hAnsi="Times New Roman" w:eastAsia="宋体" w:cs="Times New Roman"/>
                <w:color w:val="auto"/>
                <w:sz w:val="21"/>
              </w:rPr>
            </w:pPr>
          </w:p>
        </w:tc>
        <w:tc>
          <w:tcPr>
            <w:tcW w:w="667" w:type="dxa"/>
            <w:tcBorders>
              <w:top w:val="single" w:color="auto" w:sz="4" w:space="0"/>
              <w:left w:val="single" w:color="auto" w:sz="4" w:space="0"/>
              <w:bottom w:val="single" w:color="auto" w:sz="4" w:space="0"/>
              <w:right w:val="single" w:color="auto" w:sz="4" w:space="0"/>
            </w:tcBorders>
            <w:vAlign w:val="center"/>
          </w:tcPr>
          <w:p w14:paraId="665AD62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568" w:type="dxa"/>
            <w:tcBorders>
              <w:top w:val="single" w:color="auto" w:sz="4" w:space="0"/>
              <w:left w:val="single" w:color="auto" w:sz="4" w:space="0"/>
              <w:bottom w:val="single" w:color="auto" w:sz="4" w:space="0"/>
              <w:right w:val="single" w:color="auto" w:sz="4" w:space="0"/>
            </w:tcBorders>
            <w:vAlign w:val="center"/>
          </w:tcPr>
          <w:p w14:paraId="5E64B1D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敏感目标名称</w:t>
            </w:r>
          </w:p>
        </w:tc>
        <w:tc>
          <w:tcPr>
            <w:tcW w:w="1950" w:type="dxa"/>
            <w:gridSpan w:val="3"/>
            <w:tcBorders>
              <w:top w:val="single" w:color="auto" w:sz="4" w:space="0"/>
              <w:left w:val="single" w:color="auto" w:sz="4" w:space="0"/>
              <w:bottom w:val="single" w:color="auto" w:sz="4" w:space="0"/>
              <w:right w:val="single" w:color="auto" w:sz="4" w:space="0"/>
            </w:tcBorders>
            <w:vAlign w:val="center"/>
          </w:tcPr>
          <w:p w14:paraId="47B1D26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环境敏感特征</w:t>
            </w:r>
          </w:p>
        </w:tc>
        <w:tc>
          <w:tcPr>
            <w:tcW w:w="1560" w:type="dxa"/>
            <w:gridSpan w:val="4"/>
            <w:tcBorders>
              <w:top w:val="single" w:color="auto" w:sz="4" w:space="0"/>
              <w:left w:val="single" w:color="auto" w:sz="4" w:space="0"/>
              <w:bottom w:val="single" w:color="auto" w:sz="4" w:space="0"/>
              <w:right w:val="single" w:color="auto" w:sz="4" w:space="0"/>
            </w:tcBorders>
            <w:vAlign w:val="center"/>
          </w:tcPr>
          <w:p w14:paraId="2314465B">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水质目标</w:t>
            </w:r>
          </w:p>
        </w:tc>
        <w:tc>
          <w:tcPr>
            <w:tcW w:w="1770" w:type="dxa"/>
            <w:gridSpan w:val="3"/>
            <w:tcBorders>
              <w:top w:val="single" w:color="auto" w:sz="4" w:space="0"/>
              <w:left w:val="single" w:color="auto" w:sz="4" w:space="0"/>
              <w:bottom w:val="single" w:color="auto" w:sz="4" w:space="0"/>
              <w:right w:val="single" w:color="auto" w:sz="4" w:space="0"/>
            </w:tcBorders>
            <w:vAlign w:val="center"/>
          </w:tcPr>
          <w:p w14:paraId="50B10ED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与排放点距离/m</w:t>
            </w:r>
          </w:p>
        </w:tc>
      </w:tr>
      <w:tr w14:paraId="6533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3E09679A">
            <w:pPr>
              <w:widowControl/>
              <w:spacing w:line="240" w:lineRule="auto"/>
              <w:jc w:val="left"/>
              <w:rPr>
                <w:rFonts w:hint="default" w:ascii="Times New Roman" w:hAnsi="Times New Roman" w:eastAsia="宋体" w:cs="Times New Roman"/>
                <w:color w:val="auto"/>
                <w:sz w:val="21"/>
              </w:rPr>
            </w:pPr>
          </w:p>
        </w:tc>
        <w:tc>
          <w:tcPr>
            <w:tcW w:w="667" w:type="dxa"/>
            <w:tcBorders>
              <w:top w:val="single" w:color="auto" w:sz="4" w:space="0"/>
              <w:left w:val="single" w:color="auto" w:sz="4" w:space="0"/>
              <w:bottom w:val="single" w:color="auto" w:sz="4" w:space="0"/>
              <w:right w:val="single" w:color="auto" w:sz="4" w:space="0"/>
            </w:tcBorders>
            <w:vAlign w:val="center"/>
          </w:tcPr>
          <w:p w14:paraId="5710533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568" w:type="dxa"/>
            <w:tcBorders>
              <w:top w:val="single" w:color="auto" w:sz="4" w:space="0"/>
              <w:left w:val="single" w:color="auto" w:sz="4" w:space="0"/>
              <w:bottom w:val="single" w:color="auto" w:sz="4" w:space="0"/>
              <w:right w:val="single" w:color="auto" w:sz="4" w:space="0"/>
            </w:tcBorders>
            <w:vAlign w:val="center"/>
          </w:tcPr>
          <w:p w14:paraId="4A9EC92D">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无</w:t>
            </w:r>
          </w:p>
        </w:tc>
        <w:tc>
          <w:tcPr>
            <w:tcW w:w="1950" w:type="dxa"/>
            <w:gridSpan w:val="3"/>
            <w:tcBorders>
              <w:top w:val="single" w:color="auto" w:sz="4" w:space="0"/>
              <w:left w:val="single" w:color="auto" w:sz="4" w:space="0"/>
              <w:bottom w:val="single" w:color="auto" w:sz="4" w:space="0"/>
              <w:right w:val="single" w:color="auto" w:sz="4" w:space="0"/>
            </w:tcBorders>
            <w:vAlign w:val="center"/>
          </w:tcPr>
          <w:p w14:paraId="569766D7">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p>
        </w:tc>
        <w:tc>
          <w:tcPr>
            <w:tcW w:w="1560" w:type="dxa"/>
            <w:gridSpan w:val="4"/>
            <w:tcBorders>
              <w:top w:val="single" w:color="auto" w:sz="4" w:space="0"/>
              <w:left w:val="single" w:color="auto" w:sz="4" w:space="0"/>
              <w:bottom w:val="single" w:color="auto" w:sz="4" w:space="0"/>
              <w:right w:val="single" w:color="auto" w:sz="4" w:space="0"/>
            </w:tcBorders>
            <w:vAlign w:val="center"/>
          </w:tcPr>
          <w:p w14:paraId="47DD559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p>
        </w:tc>
        <w:tc>
          <w:tcPr>
            <w:tcW w:w="1770" w:type="dxa"/>
            <w:gridSpan w:val="3"/>
            <w:tcBorders>
              <w:top w:val="single" w:color="auto" w:sz="4" w:space="0"/>
              <w:left w:val="single" w:color="auto" w:sz="4" w:space="0"/>
              <w:bottom w:val="single" w:color="auto" w:sz="4" w:space="0"/>
              <w:right w:val="single" w:color="auto" w:sz="4" w:space="0"/>
            </w:tcBorders>
            <w:vAlign w:val="center"/>
          </w:tcPr>
          <w:p w14:paraId="47B7F59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w:t>
            </w:r>
          </w:p>
        </w:tc>
      </w:tr>
      <w:tr w14:paraId="6850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16B7153C">
            <w:pPr>
              <w:widowControl/>
              <w:spacing w:line="240" w:lineRule="auto"/>
              <w:jc w:val="left"/>
              <w:rPr>
                <w:rFonts w:hint="default" w:ascii="Times New Roman" w:hAnsi="Times New Roman" w:eastAsia="宋体" w:cs="Times New Roman"/>
                <w:color w:val="auto"/>
                <w:sz w:val="21"/>
              </w:rPr>
            </w:pPr>
          </w:p>
        </w:tc>
        <w:tc>
          <w:tcPr>
            <w:tcW w:w="5745" w:type="dxa"/>
            <w:gridSpan w:val="9"/>
            <w:tcBorders>
              <w:top w:val="single" w:color="auto" w:sz="4" w:space="0"/>
              <w:left w:val="single" w:color="auto" w:sz="4" w:space="0"/>
              <w:bottom w:val="single" w:color="auto" w:sz="4" w:space="0"/>
              <w:right w:val="single" w:color="auto" w:sz="4" w:space="0"/>
            </w:tcBorders>
            <w:vAlign w:val="center"/>
          </w:tcPr>
          <w:p w14:paraId="2BAFE2A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
                <w:bCs/>
                <w:color w:val="auto"/>
                <w:sz w:val="21"/>
              </w:rPr>
              <w:t>地表水环境敏感程度E值</w:t>
            </w:r>
          </w:p>
        </w:tc>
        <w:tc>
          <w:tcPr>
            <w:tcW w:w="1770" w:type="dxa"/>
            <w:gridSpan w:val="3"/>
            <w:tcBorders>
              <w:top w:val="single" w:color="auto" w:sz="4" w:space="0"/>
              <w:left w:val="single" w:color="auto" w:sz="4" w:space="0"/>
              <w:bottom w:val="single" w:color="auto" w:sz="4" w:space="0"/>
              <w:right w:val="single" w:color="auto" w:sz="4" w:space="0"/>
            </w:tcBorders>
            <w:vAlign w:val="center"/>
          </w:tcPr>
          <w:p w14:paraId="1DED7629">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
                <w:bCs/>
                <w:color w:val="auto"/>
                <w:sz w:val="21"/>
              </w:rPr>
              <w:t>E3</w:t>
            </w:r>
          </w:p>
        </w:tc>
      </w:tr>
      <w:tr w14:paraId="6637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restart"/>
            <w:tcBorders>
              <w:top w:val="single" w:color="auto" w:sz="4" w:space="0"/>
              <w:left w:val="single" w:color="auto" w:sz="4" w:space="0"/>
              <w:bottom w:val="single" w:color="auto" w:sz="4" w:space="0"/>
              <w:right w:val="single" w:color="auto" w:sz="4" w:space="0"/>
            </w:tcBorders>
            <w:vAlign w:val="center"/>
          </w:tcPr>
          <w:p w14:paraId="1FDFDB4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地下水</w:t>
            </w:r>
          </w:p>
        </w:tc>
        <w:tc>
          <w:tcPr>
            <w:tcW w:w="667" w:type="dxa"/>
            <w:tcBorders>
              <w:top w:val="single" w:color="auto" w:sz="4" w:space="0"/>
              <w:left w:val="single" w:color="auto" w:sz="4" w:space="0"/>
              <w:bottom w:val="single" w:color="auto" w:sz="4" w:space="0"/>
              <w:right w:val="single" w:color="auto" w:sz="4" w:space="0"/>
            </w:tcBorders>
            <w:vAlign w:val="center"/>
          </w:tcPr>
          <w:p w14:paraId="2C49393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1568" w:type="dxa"/>
            <w:tcBorders>
              <w:top w:val="single" w:color="auto" w:sz="4" w:space="0"/>
              <w:left w:val="single" w:color="auto" w:sz="4" w:space="0"/>
              <w:bottom w:val="single" w:color="auto" w:sz="4" w:space="0"/>
              <w:right w:val="single" w:color="auto" w:sz="4" w:space="0"/>
            </w:tcBorders>
            <w:vAlign w:val="center"/>
          </w:tcPr>
          <w:p w14:paraId="2BAC815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环境敏感区名称</w:t>
            </w:r>
          </w:p>
        </w:tc>
        <w:tc>
          <w:tcPr>
            <w:tcW w:w="1521" w:type="dxa"/>
            <w:gridSpan w:val="2"/>
            <w:tcBorders>
              <w:top w:val="single" w:color="auto" w:sz="4" w:space="0"/>
              <w:left w:val="single" w:color="auto" w:sz="4" w:space="0"/>
              <w:bottom w:val="single" w:color="auto" w:sz="4" w:space="0"/>
              <w:right w:val="single" w:color="auto" w:sz="4" w:space="0"/>
            </w:tcBorders>
            <w:vAlign w:val="center"/>
          </w:tcPr>
          <w:p w14:paraId="3463152F">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环境敏感特征</w:t>
            </w:r>
          </w:p>
        </w:tc>
        <w:tc>
          <w:tcPr>
            <w:tcW w:w="1252" w:type="dxa"/>
            <w:gridSpan w:val="3"/>
            <w:tcBorders>
              <w:top w:val="single" w:color="auto" w:sz="4" w:space="0"/>
              <w:left w:val="single" w:color="auto" w:sz="4" w:space="0"/>
              <w:bottom w:val="single" w:color="auto" w:sz="4" w:space="0"/>
              <w:right w:val="single" w:color="auto" w:sz="4" w:space="0"/>
            </w:tcBorders>
            <w:vAlign w:val="center"/>
          </w:tcPr>
          <w:p w14:paraId="4CA6D5CF">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水质目标</w:t>
            </w:r>
          </w:p>
        </w:tc>
        <w:tc>
          <w:tcPr>
            <w:tcW w:w="1252" w:type="dxa"/>
            <w:gridSpan w:val="4"/>
            <w:tcBorders>
              <w:top w:val="single" w:color="auto" w:sz="4" w:space="0"/>
              <w:left w:val="single" w:color="auto" w:sz="4" w:space="0"/>
              <w:bottom w:val="single" w:color="auto" w:sz="4" w:space="0"/>
              <w:right w:val="single" w:color="auto" w:sz="4" w:space="0"/>
            </w:tcBorders>
            <w:vAlign w:val="center"/>
          </w:tcPr>
          <w:p w14:paraId="78CFAA0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包气带防污性能</w:t>
            </w:r>
          </w:p>
        </w:tc>
        <w:tc>
          <w:tcPr>
            <w:tcW w:w="1255" w:type="dxa"/>
            <w:tcBorders>
              <w:top w:val="single" w:color="auto" w:sz="4" w:space="0"/>
              <w:left w:val="single" w:color="auto" w:sz="4" w:space="0"/>
              <w:bottom w:val="single" w:color="auto" w:sz="4" w:space="0"/>
              <w:right w:val="single" w:color="auto" w:sz="4" w:space="0"/>
            </w:tcBorders>
            <w:vAlign w:val="center"/>
          </w:tcPr>
          <w:p w14:paraId="1F78E4F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与下游厂界距离/m</w:t>
            </w:r>
          </w:p>
        </w:tc>
      </w:tr>
      <w:tr w14:paraId="19109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225D599C">
            <w:pPr>
              <w:widowControl/>
              <w:spacing w:line="240" w:lineRule="auto"/>
              <w:jc w:val="left"/>
              <w:rPr>
                <w:rFonts w:hint="default" w:ascii="Times New Roman" w:hAnsi="Times New Roman" w:eastAsia="宋体" w:cs="Times New Roman"/>
                <w:color w:val="auto"/>
                <w:sz w:val="21"/>
              </w:rPr>
            </w:pPr>
          </w:p>
        </w:tc>
        <w:tc>
          <w:tcPr>
            <w:tcW w:w="667" w:type="dxa"/>
            <w:tcBorders>
              <w:top w:val="single" w:color="auto" w:sz="4" w:space="0"/>
              <w:left w:val="single" w:color="auto" w:sz="4" w:space="0"/>
              <w:bottom w:val="single" w:color="auto" w:sz="4" w:space="0"/>
              <w:right w:val="single" w:color="auto" w:sz="4" w:space="0"/>
            </w:tcBorders>
            <w:vAlign w:val="center"/>
          </w:tcPr>
          <w:p w14:paraId="4A99F4DF">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568" w:type="dxa"/>
            <w:tcBorders>
              <w:top w:val="single" w:color="auto" w:sz="4" w:space="0"/>
              <w:left w:val="single" w:color="auto" w:sz="4" w:space="0"/>
              <w:bottom w:val="single" w:color="auto" w:sz="4" w:space="0"/>
              <w:right w:val="single" w:color="auto" w:sz="4" w:space="0"/>
            </w:tcBorders>
            <w:vAlign w:val="center"/>
          </w:tcPr>
          <w:p w14:paraId="4CF0426A">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无</w:t>
            </w:r>
          </w:p>
        </w:tc>
        <w:tc>
          <w:tcPr>
            <w:tcW w:w="1521" w:type="dxa"/>
            <w:gridSpan w:val="2"/>
            <w:tcBorders>
              <w:top w:val="single" w:color="auto" w:sz="4" w:space="0"/>
              <w:left w:val="single" w:color="auto" w:sz="4" w:space="0"/>
              <w:bottom w:val="single" w:color="auto" w:sz="4" w:space="0"/>
              <w:right w:val="single" w:color="auto" w:sz="4" w:space="0"/>
            </w:tcBorders>
            <w:vAlign w:val="center"/>
          </w:tcPr>
          <w:p w14:paraId="33AE8E37">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c>
          <w:tcPr>
            <w:tcW w:w="1252" w:type="dxa"/>
            <w:gridSpan w:val="3"/>
            <w:tcBorders>
              <w:top w:val="single" w:color="auto" w:sz="4" w:space="0"/>
              <w:left w:val="single" w:color="auto" w:sz="4" w:space="0"/>
              <w:bottom w:val="single" w:color="auto" w:sz="4" w:space="0"/>
              <w:right w:val="single" w:color="auto" w:sz="4" w:space="0"/>
            </w:tcBorders>
            <w:vAlign w:val="center"/>
          </w:tcPr>
          <w:p w14:paraId="5752C13F">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c>
          <w:tcPr>
            <w:tcW w:w="1252" w:type="dxa"/>
            <w:gridSpan w:val="4"/>
            <w:tcBorders>
              <w:top w:val="single" w:color="auto" w:sz="4" w:space="0"/>
              <w:left w:val="single" w:color="auto" w:sz="4" w:space="0"/>
              <w:bottom w:val="single" w:color="auto" w:sz="4" w:space="0"/>
              <w:right w:val="single" w:color="auto" w:sz="4" w:space="0"/>
            </w:tcBorders>
            <w:vAlign w:val="center"/>
          </w:tcPr>
          <w:p w14:paraId="4E4FC750">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c>
          <w:tcPr>
            <w:tcW w:w="1255" w:type="dxa"/>
            <w:tcBorders>
              <w:top w:val="single" w:color="auto" w:sz="4" w:space="0"/>
              <w:left w:val="single" w:color="auto" w:sz="4" w:space="0"/>
              <w:bottom w:val="single" w:color="auto" w:sz="4" w:space="0"/>
              <w:right w:val="single" w:color="auto" w:sz="4" w:space="0"/>
            </w:tcBorders>
            <w:vAlign w:val="center"/>
          </w:tcPr>
          <w:p w14:paraId="788D181A">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w:t>
            </w:r>
          </w:p>
        </w:tc>
      </w:tr>
      <w:tr w14:paraId="2FE3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5" w:type="dxa"/>
            <w:vMerge w:val="continue"/>
            <w:tcBorders>
              <w:top w:val="single" w:color="auto" w:sz="4" w:space="0"/>
              <w:left w:val="single" w:color="auto" w:sz="4" w:space="0"/>
              <w:bottom w:val="single" w:color="auto" w:sz="4" w:space="0"/>
              <w:right w:val="single" w:color="auto" w:sz="4" w:space="0"/>
            </w:tcBorders>
            <w:vAlign w:val="center"/>
          </w:tcPr>
          <w:p w14:paraId="78ED64B7">
            <w:pPr>
              <w:widowControl/>
              <w:spacing w:line="240" w:lineRule="auto"/>
              <w:jc w:val="left"/>
              <w:rPr>
                <w:rFonts w:hint="default" w:ascii="Times New Roman" w:hAnsi="Times New Roman" w:eastAsia="宋体" w:cs="Times New Roman"/>
                <w:color w:val="auto"/>
                <w:sz w:val="21"/>
              </w:rPr>
            </w:pPr>
          </w:p>
        </w:tc>
        <w:tc>
          <w:tcPr>
            <w:tcW w:w="6260" w:type="dxa"/>
            <w:gridSpan w:val="11"/>
            <w:tcBorders>
              <w:top w:val="single" w:color="auto" w:sz="4" w:space="0"/>
              <w:left w:val="single" w:color="auto" w:sz="4" w:space="0"/>
              <w:bottom w:val="single" w:color="auto" w:sz="4" w:space="0"/>
              <w:right w:val="single" w:color="auto" w:sz="4" w:space="0"/>
            </w:tcBorders>
            <w:vAlign w:val="center"/>
          </w:tcPr>
          <w:p w14:paraId="3069E1A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
                <w:bCs/>
                <w:color w:val="auto"/>
                <w:sz w:val="21"/>
              </w:rPr>
              <w:t>地下水环境敏感程度E值</w:t>
            </w:r>
          </w:p>
        </w:tc>
        <w:tc>
          <w:tcPr>
            <w:tcW w:w="1255" w:type="dxa"/>
            <w:tcBorders>
              <w:top w:val="single" w:color="auto" w:sz="4" w:space="0"/>
              <w:left w:val="single" w:color="auto" w:sz="4" w:space="0"/>
              <w:bottom w:val="single" w:color="auto" w:sz="4" w:space="0"/>
              <w:right w:val="single" w:color="auto" w:sz="4" w:space="0"/>
            </w:tcBorders>
            <w:vAlign w:val="center"/>
          </w:tcPr>
          <w:p w14:paraId="14BC52B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b/>
                <w:bCs/>
                <w:color w:val="auto"/>
                <w:sz w:val="21"/>
              </w:rPr>
              <w:t>E3</w:t>
            </w:r>
          </w:p>
        </w:tc>
      </w:tr>
    </w:tbl>
    <w:p w14:paraId="7DCE47FF">
      <w:pPr>
        <w:adjustRightInd w:val="0"/>
        <w:snapToGrid w:val="0"/>
        <w:ind w:firstLine="482" w:firstLineChars="200"/>
        <w:jc w:val="left"/>
        <w:rPr>
          <w:rFonts w:hint="default" w:ascii="Times New Roman" w:hAnsi="Times New Roman" w:eastAsia="宋体" w:cs="Times New Roman"/>
          <w:b/>
          <w:bCs/>
          <w:color w:val="auto"/>
          <w:szCs w:val="20"/>
        </w:rPr>
      </w:pPr>
      <w:r>
        <w:rPr>
          <w:rFonts w:hint="default" w:ascii="Times New Roman" w:hAnsi="Times New Roman" w:eastAsia="宋体" w:cs="Times New Roman"/>
          <w:b/>
          <w:bCs/>
          <w:color w:val="auto"/>
          <w:szCs w:val="20"/>
        </w:rPr>
        <w:t>（3）环境风险潜势划分</w:t>
      </w:r>
    </w:p>
    <w:p w14:paraId="0252CCF3">
      <w:pPr>
        <w:adjustRightInd w:val="0"/>
        <w:snapToGrid w:val="0"/>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根据HJ169-</w:t>
      </w:r>
      <w:r>
        <w:rPr>
          <w:rFonts w:hint="default" w:ascii="Times New Roman" w:hAnsi="Times New Roman" w:eastAsia="宋体" w:cs="Times New Roman"/>
          <w:color w:val="auto"/>
          <w:szCs w:val="20"/>
          <w:lang w:val="en-US" w:eastAsia="zh-CN"/>
        </w:rPr>
        <w:t>2018</w:t>
      </w:r>
      <w:r>
        <w:rPr>
          <w:rFonts w:hint="default" w:ascii="Times New Roman" w:hAnsi="Times New Roman" w:eastAsia="宋体" w:cs="Times New Roman"/>
          <w:color w:val="auto"/>
          <w:szCs w:val="20"/>
        </w:rPr>
        <w:t>中</w:t>
      </w:r>
      <w:r>
        <w:rPr>
          <w:rFonts w:hint="default" w:ascii="Times New Roman" w:hAnsi="Times New Roman" w:eastAsia="宋体" w:cs="Times New Roman"/>
          <w:color w:val="auto"/>
          <w:szCs w:val="20"/>
          <w:lang w:eastAsia="zh-CN"/>
        </w:rPr>
        <w:t>表</w:t>
      </w:r>
      <w:r>
        <w:rPr>
          <w:rFonts w:hint="default" w:ascii="Times New Roman" w:hAnsi="Times New Roman" w:eastAsia="宋体" w:cs="Times New Roman"/>
          <w:color w:val="auto"/>
          <w:szCs w:val="20"/>
          <w:lang w:val="en-US" w:eastAsia="zh-CN"/>
        </w:rPr>
        <w:t>2</w:t>
      </w:r>
      <w:r>
        <w:rPr>
          <w:rFonts w:hint="default" w:ascii="Times New Roman" w:hAnsi="Times New Roman" w:eastAsia="宋体" w:cs="Times New Roman"/>
          <w:color w:val="auto"/>
          <w:szCs w:val="20"/>
        </w:rPr>
        <w:t>，本项目环境风险潜势划分如下：</w:t>
      </w:r>
    </w:p>
    <w:p w14:paraId="6BB94A5D">
      <w:pPr>
        <w:adjustRightInd w:val="0"/>
        <w:snapToGrid w:val="0"/>
        <w:jc w:val="center"/>
        <w:rPr>
          <w:rFonts w:hint="default" w:ascii="Times New Roman" w:hAnsi="Times New Roman" w:eastAsia="宋体" w:cs="Times New Roman"/>
          <w:b/>
          <w:bCs/>
          <w:color w:val="auto"/>
          <w:szCs w:val="20"/>
        </w:rPr>
      </w:pPr>
      <w:r>
        <w:rPr>
          <w:rFonts w:hint="default" w:ascii="Times New Roman" w:hAnsi="Times New Roman" w:eastAsia="宋体" w:cs="Times New Roman"/>
          <w:b/>
          <w:bCs/>
          <w:color w:val="auto"/>
          <w:szCs w:val="20"/>
        </w:rPr>
        <w:t>表6.2-</w:t>
      </w:r>
      <w:r>
        <w:rPr>
          <w:rFonts w:hint="eastAsia" w:ascii="Times New Roman" w:hAnsi="Times New Roman" w:cs="Times New Roman"/>
          <w:b/>
          <w:bCs/>
          <w:color w:val="auto"/>
          <w:szCs w:val="20"/>
          <w:lang w:val="en-US" w:eastAsia="zh-CN"/>
        </w:rPr>
        <w:t>4</w:t>
      </w:r>
      <w:r>
        <w:rPr>
          <w:rFonts w:hint="default" w:ascii="Times New Roman" w:hAnsi="Times New Roman" w:eastAsia="宋体" w:cs="Times New Roman"/>
          <w:b/>
          <w:bCs/>
          <w:color w:val="auto"/>
          <w:szCs w:val="20"/>
        </w:rPr>
        <w:t xml:space="preserve">  环境风险潜势划分</w:t>
      </w:r>
    </w:p>
    <w:tbl>
      <w:tblPr>
        <w:tblStyle w:val="66"/>
        <w:tblW w:w="8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1560"/>
        <w:gridCol w:w="1515"/>
        <w:gridCol w:w="1650"/>
        <w:gridCol w:w="1575"/>
      </w:tblGrid>
      <w:tr w14:paraId="510C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vMerge w:val="restart"/>
            <w:tcBorders>
              <w:top w:val="single" w:color="auto" w:sz="4" w:space="0"/>
              <w:left w:val="single" w:color="auto" w:sz="4" w:space="0"/>
              <w:bottom w:val="single" w:color="auto" w:sz="4" w:space="0"/>
              <w:right w:val="single" w:color="auto" w:sz="4" w:space="0"/>
            </w:tcBorders>
            <w:vAlign w:val="center"/>
          </w:tcPr>
          <w:p w14:paraId="26161059">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环境敏感程度（E）</w:t>
            </w:r>
          </w:p>
        </w:tc>
        <w:tc>
          <w:tcPr>
            <w:tcW w:w="6300" w:type="dxa"/>
            <w:gridSpan w:val="4"/>
            <w:tcBorders>
              <w:top w:val="single" w:color="auto" w:sz="4" w:space="0"/>
              <w:left w:val="single" w:color="auto" w:sz="4" w:space="0"/>
              <w:bottom w:val="single" w:color="auto" w:sz="4" w:space="0"/>
              <w:right w:val="single" w:color="auto" w:sz="4" w:space="0"/>
            </w:tcBorders>
            <w:vAlign w:val="center"/>
          </w:tcPr>
          <w:p w14:paraId="5E5875E2">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危险物质及工艺系统危险性（P）</w:t>
            </w:r>
          </w:p>
        </w:tc>
      </w:tr>
      <w:tr w14:paraId="736C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vMerge w:val="continue"/>
            <w:tcBorders>
              <w:top w:val="single" w:color="auto" w:sz="4" w:space="0"/>
              <w:left w:val="single" w:color="auto" w:sz="4" w:space="0"/>
              <w:bottom w:val="single" w:color="auto" w:sz="4" w:space="0"/>
              <w:right w:val="single" w:color="auto" w:sz="4" w:space="0"/>
            </w:tcBorders>
            <w:vAlign w:val="center"/>
          </w:tcPr>
          <w:p w14:paraId="70AE7A56">
            <w:pPr>
              <w:widowControl/>
              <w:spacing w:line="240" w:lineRule="auto"/>
              <w:jc w:val="left"/>
              <w:rPr>
                <w:rFonts w:hint="default" w:ascii="Times New Roman" w:hAnsi="Times New Roman" w:eastAsia="宋体" w:cs="Times New Roman"/>
                <w:b/>
                <w:bCs/>
                <w:color w:val="auto"/>
                <w:sz w:val="21"/>
              </w:rPr>
            </w:pPr>
          </w:p>
        </w:tc>
        <w:tc>
          <w:tcPr>
            <w:tcW w:w="1560" w:type="dxa"/>
            <w:tcBorders>
              <w:top w:val="single" w:color="auto" w:sz="4" w:space="0"/>
              <w:left w:val="single" w:color="auto" w:sz="4" w:space="0"/>
              <w:bottom w:val="single" w:color="auto" w:sz="4" w:space="0"/>
              <w:right w:val="single" w:color="auto" w:sz="4" w:space="0"/>
            </w:tcBorders>
            <w:vAlign w:val="center"/>
          </w:tcPr>
          <w:p w14:paraId="392B90EF">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极高危害（P1）</w:t>
            </w:r>
          </w:p>
        </w:tc>
        <w:tc>
          <w:tcPr>
            <w:tcW w:w="1515" w:type="dxa"/>
            <w:tcBorders>
              <w:top w:val="single" w:color="auto" w:sz="4" w:space="0"/>
              <w:left w:val="single" w:color="auto" w:sz="4" w:space="0"/>
              <w:bottom w:val="single" w:color="auto" w:sz="4" w:space="0"/>
              <w:right w:val="single" w:color="auto" w:sz="4" w:space="0"/>
            </w:tcBorders>
            <w:vAlign w:val="center"/>
          </w:tcPr>
          <w:p w14:paraId="76127625">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高度危害（P2）</w:t>
            </w:r>
          </w:p>
        </w:tc>
        <w:tc>
          <w:tcPr>
            <w:tcW w:w="1650" w:type="dxa"/>
            <w:tcBorders>
              <w:top w:val="single" w:color="auto" w:sz="4" w:space="0"/>
              <w:left w:val="single" w:color="auto" w:sz="4" w:space="0"/>
              <w:bottom w:val="single" w:color="auto" w:sz="4" w:space="0"/>
              <w:right w:val="single" w:color="auto" w:sz="4" w:space="0"/>
            </w:tcBorders>
            <w:vAlign w:val="center"/>
          </w:tcPr>
          <w:p w14:paraId="78AFE226">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中度危</w:t>
            </w:r>
            <w:r>
              <w:rPr>
                <w:rFonts w:hint="default" w:ascii="Times New Roman" w:hAnsi="Times New Roman" w:eastAsia="宋体" w:cs="Times New Roman"/>
                <w:b/>
                <w:bCs/>
                <w:color w:val="auto"/>
                <w:sz w:val="21"/>
                <w:lang w:eastAsia="zh-CN"/>
              </w:rPr>
              <w:t>害</w:t>
            </w:r>
            <w:r>
              <w:rPr>
                <w:rFonts w:hint="default" w:ascii="Times New Roman" w:hAnsi="Times New Roman" w:eastAsia="宋体" w:cs="Times New Roman"/>
                <w:b/>
                <w:bCs/>
                <w:color w:val="auto"/>
                <w:sz w:val="21"/>
              </w:rPr>
              <w:t>（P3）</w:t>
            </w:r>
          </w:p>
        </w:tc>
        <w:tc>
          <w:tcPr>
            <w:tcW w:w="1575" w:type="dxa"/>
            <w:tcBorders>
              <w:top w:val="single" w:color="auto" w:sz="4" w:space="0"/>
              <w:left w:val="single" w:color="auto" w:sz="4" w:space="0"/>
              <w:bottom w:val="single" w:color="auto" w:sz="4" w:space="0"/>
              <w:right w:val="single" w:color="auto" w:sz="4" w:space="0"/>
            </w:tcBorders>
            <w:vAlign w:val="center"/>
          </w:tcPr>
          <w:p w14:paraId="2CD552B1">
            <w:pPr>
              <w:adjustRightInd w:val="0"/>
              <w:snapToGrid w:val="0"/>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轻度危害（P4）</w:t>
            </w:r>
          </w:p>
        </w:tc>
      </w:tr>
      <w:tr w14:paraId="4CC2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07A34FF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环境高度敏感区（E1）</w:t>
            </w:r>
          </w:p>
        </w:tc>
        <w:tc>
          <w:tcPr>
            <w:tcW w:w="1560" w:type="dxa"/>
            <w:tcBorders>
              <w:top w:val="single" w:color="auto" w:sz="4" w:space="0"/>
              <w:left w:val="single" w:color="auto" w:sz="4" w:space="0"/>
              <w:bottom w:val="single" w:color="auto" w:sz="4" w:space="0"/>
              <w:right w:val="single" w:color="auto" w:sz="4" w:space="0"/>
            </w:tcBorders>
            <w:vAlign w:val="center"/>
          </w:tcPr>
          <w:p w14:paraId="733BD97B">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4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IV</w:t>
            </w:r>
            <w:r>
              <w:rPr>
                <w:rFonts w:hint="default" w:ascii="Times New Roman" w:hAnsi="Times New Roman" w:eastAsia="宋体" w:cs="Times New Roman"/>
                <w:color w:val="auto"/>
                <w:sz w:val="21"/>
              </w:rPr>
              <w:fldChar w:fldCharType="end"/>
            </w:r>
            <w:r>
              <w:rPr>
                <w:rFonts w:hint="default" w:ascii="Times New Roman" w:hAnsi="Times New Roman" w:eastAsia="宋体" w:cs="Times New Roman"/>
                <w:color w:val="auto"/>
                <w:sz w:val="21"/>
                <w:vertAlign w:val="superscript"/>
              </w:rPr>
              <w:t>+</w:t>
            </w:r>
          </w:p>
        </w:tc>
        <w:tc>
          <w:tcPr>
            <w:tcW w:w="1515" w:type="dxa"/>
            <w:tcBorders>
              <w:top w:val="single" w:color="auto" w:sz="4" w:space="0"/>
              <w:left w:val="single" w:color="auto" w:sz="4" w:space="0"/>
              <w:bottom w:val="single" w:color="auto" w:sz="4" w:space="0"/>
              <w:right w:val="single" w:color="auto" w:sz="4" w:space="0"/>
            </w:tcBorders>
            <w:vAlign w:val="center"/>
          </w:tcPr>
          <w:p w14:paraId="02F9681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4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IV</w:t>
            </w:r>
            <w:r>
              <w:rPr>
                <w:rFonts w:hint="default" w:ascii="Times New Roman" w:hAnsi="Times New Roman" w:eastAsia="宋体" w:cs="Times New Roman"/>
                <w:color w:val="auto"/>
                <w:sz w:val="21"/>
              </w:rPr>
              <w:fldChar w:fldCharType="end"/>
            </w:r>
          </w:p>
        </w:tc>
        <w:tc>
          <w:tcPr>
            <w:tcW w:w="1650" w:type="dxa"/>
            <w:tcBorders>
              <w:top w:val="single" w:color="auto" w:sz="4" w:space="0"/>
              <w:left w:val="single" w:color="auto" w:sz="4" w:space="0"/>
              <w:bottom w:val="single" w:color="auto" w:sz="4" w:space="0"/>
              <w:right w:val="single" w:color="auto" w:sz="4" w:space="0"/>
            </w:tcBorders>
            <w:vAlign w:val="center"/>
          </w:tcPr>
          <w:p w14:paraId="671382C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3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III</w:t>
            </w:r>
            <w:r>
              <w:rPr>
                <w:rFonts w:hint="default" w:ascii="Times New Roman" w:hAnsi="Times New Roman" w:eastAsia="宋体" w:cs="Times New Roman"/>
                <w:color w:val="auto"/>
                <w:sz w:val="21"/>
              </w:rPr>
              <w:fldChar w:fldCharType="end"/>
            </w:r>
          </w:p>
        </w:tc>
        <w:tc>
          <w:tcPr>
            <w:tcW w:w="1575" w:type="dxa"/>
            <w:tcBorders>
              <w:top w:val="single" w:color="auto" w:sz="4" w:space="0"/>
              <w:left w:val="single" w:color="auto" w:sz="4" w:space="0"/>
              <w:bottom w:val="single" w:color="auto" w:sz="4" w:space="0"/>
              <w:right w:val="single" w:color="auto" w:sz="4" w:space="0"/>
            </w:tcBorders>
            <w:vAlign w:val="center"/>
          </w:tcPr>
          <w:p w14:paraId="043E1BE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3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III</w:t>
            </w:r>
            <w:r>
              <w:rPr>
                <w:rFonts w:hint="default" w:ascii="Times New Roman" w:hAnsi="Times New Roman" w:eastAsia="宋体" w:cs="Times New Roman"/>
                <w:color w:val="auto"/>
                <w:sz w:val="21"/>
              </w:rPr>
              <w:fldChar w:fldCharType="end"/>
            </w:r>
          </w:p>
        </w:tc>
      </w:tr>
      <w:tr w14:paraId="547A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2C3C191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环境中度敏感区（E2）</w:t>
            </w:r>
          </w:p>
        </w:tc>
        <w:tc>
          <w:tcPr>
            <w:tcW w:w="1560" w:type="dxa"/>
            <w:tcBorders>
              <w:top w:val="single" w:color="auto" w:sz="4" w:space="0"/>
              <w:left w:val="single" w:color="auto" w:sz="4" w:space="0"/>
              <w:bottom w:val="single" w:color="auto" w:sz="4" w:space="0"/>
              <w:right w:val="single" w:color="auto" w:sz="4" w:space="0"/>
            </w:tcBorders>
            <w:vAlign w:val="center"/>
          </w:tcPr>
          <w:p w14:paraId="7C76A5AE">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4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IV</w:t>
            </w:r>
            <w:r>
              <w:rPr>
                <w:rFonts w:hint="default" w:ascii="Times New Roman" w:hAnsi="Times New Roman" w:eastAsia="宋体" w:cs="Times New Roman"/>
                <w:color w:val="auto"/>
                <w:sz w:val="21"/>
              </w:rPr>
              <w:fldChar w:fldCharType="end"/>
            </w:r>
          </w:p>
        </w:tc>
        <w:tc>
          <w:tcPr>
            <w:tcW w:w="1515" w:type="dxa"/>
            <w:tcBorders>
              <w:top w:val="single" w:color="auto" w:sz="4" w:space="0"/>
              <w:left w:val="single" w:color="auto" w:sz="4" w:space="0"/>
              <w:bottom w:val="single" w:color="auto" w:sz="4" w:space="0"/>
              <w:right w:val="single" w:color="auto" w:sz="4" w:space="0"/>
            </w:tcBorders>
            <w:vAlign w:val="center"/>
          </w:tcPr>
          <w:p w14:paraId="32A4CE7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3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III</w:t>
            </w:r>
            <w:r>
              <w:rPr>
                <w:rFonts w:hint="default" w:ascii="Times New Roman" w:hAnsi="Times New Roman" w:eastAsia="宋体" w:cs="Times New Roman"/>
                <w:color w:val="auto"/>
                <w:sz w:val="21"/>
              </w:rPr>
              <w:fldChar w:fldCharType="end"/>
            </w:r>
          </w:p>
        </w:tc>
        <w:tc>
          <w:tcPr>
            <w:tcW w:w="1650" w:type="dxa"/>
            <w:tcBorders>
              <w:top w:val="single" w:color="auto" w:sz="4" w:space="0"/>
              <w:left w:val="single" w:color="auto" w:sz="4" w:space="0"/>
              <w:bottom w:val="single" w:color="auto" w:sz="4" w:space="0"/>
              <w:right w:val="single" w:color="auto" w:sz="4" w:space="0"/>
            </w:tcBorders>
            <w:vAlign w:val="center"/>
          </w:tcPr>
          <w:p w14:paraId="2D8400A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3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III</w:t>
            </w:r>
            <w:r>
              <w:rPr>
                <w:rFonts w:hint="default" w:ascii="Times New Roman" w:hAnsi="Times New Roman" w:eastAsia="宋体" w:cs="Times New Roman"/>
                <w:color w:val="auto"/>
                <w:sz w:val="21"/>
              </w:rPr>
              <w:fldChar w:fldCharType="end"/>
            </w:r>
          </w:p>
        </w:tc>
        <w:tc>
          <w:tcPr>
            <w:tcW w:w="1575" w:type="dxa"/>
            <w:tcBorders>
              <w:top w:val="single" w:color="auto" w:sz="4" w:space="0"/>
              <w:left w:val="single" w:color="auto" w:sz="4" w:space="0"/>
              <w:bottom w:val="single" w:color="auto" w:sz="4" w:space="0"/>
              <w:right w:val="single" w:color="auto" w:sz="4" w:space="0"/>
            </w:tcBorders>
            <w:vAlign w:val="center"/>
          </w:tcPr>
          <w:p w14:paraId="443580B8">
            <w:pPr>
              <w:adjustRightInd w:val="0"/>
              <w:snapToGrid w:val="0"/>
              <w:spacing w:line="240" w:lineRule="auto"/>
              <w:jc w:val="center"/>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fldChar w:fldCharType="begin"/>
            </w:r>
            <w:r>
              <w:rPr>
                <w:rFonts w:hint="default" w:ascii="Times New Roman" w:hAnsi="Times New Roman" w:eastAsia="宋体" w:cs="Times New Roman"/>
                <w:b w:val="0"/>
                <w:bCs w:val="0"/>
                <w:color w:val="auto"/>
                <w:sz w:val="21"/>
              </w:rPr>
              <w:instrText xml:space="preserve"> = 2 \* ROMAN \* MERGEFORMAT </w:instrText>
            </w:r>
            <w:r>
              <w:rPr>
                <w:rFonts w:hint="default" w:ascii="Times New Roman" w:hAnsi="Times New Roman" w:eastAsia="宋体" w:cs="Times New Roman"/>
                <w:b w:val="0"/>
                <w:bCs w:val="0"/>
                <w:color w:val="auto"/>
                <w:sz w:val="21"/>
              </w:rPr>
              <w:fldChar w:fldCharType="separate"/>
            </w:r>
            <w:r>
              <w:rPr>
                <w:rFonts w:hint="default" w:ascii="Times New Roman" w:hAnsi="Times New Roman" w:eastAsia="宋体" w:cs="Times New Roman"/>
                <w:b w:val="0"/>
                <w:bCs w:val="0"/>
                <w:color w:val="auto"/>
                <w:sz w:val="21"/>
              </w:rPr>
              <w:t>II</w:t>
            </w:r>
            <w:r>
              <w:rPr>
                <w:rFonts w:hint="default" w:ascii="Times New Roman" w:hAnsi="Times New Roman" w:eastAsia="宋体" w:cs="Times New Roman"/>
                <w:b w:val="0"/>
                <w:bCs w:val="0"/>
                <w:color w:val="auto"/>
                <w:sz w:val="21"/>
              </w:rPr>
              <w:fldChar w:fldCharType="end"/>
            </w:r>
          </w:p>
        </w:tc>
      </w:tr>
      <w:tr w14:paraId="0F60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5" w:type="dxa"/>
            <w:tcBorders>
              <w:top w:val="single" w:color="auto" w:sz="4" w:space="0"/>
              <w:left w:val="single" w:color="auto" w:sz="4" w:space="0"/>
              <w:bottom w:val="single" w:color="auto" w:sz="4" w:space="0"/>
              <w:right w:val="single" w:color="auto" w:sz="4" w:space="0"/>
            </w:tcBorders>
            <w:vAlign w:val="center"/>
          </w:tcPr>
          <w:p w14:paraId="3D87D6A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环境低度敏感区（E3）</w:t>
            </w:r>
          </w:p>
        </w:tc>
        <w:tc>
          <w:tcPr>
            <w:tcW w:w="1560" w:type="dxa"/>
            <w:tcBorders>
              <w:top w:val="single" w:color="auto" w:sz="4" w:space="0"/>
              <w:left w:val="single" w:color="auto" w:sz="4" w:space="0"/>
              <w:bottom w:val="single" w:color="auto" w:sz="4" w:space="0"/>
              <w:right w:val="single" w:color="auto" w:sz="4" w:space="0"/>
            </w:tcBorders>
            <w:vAlign w:val="center"/>
          </w:tcPr>
          <w:p w14:paraId="63D94FC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3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III</w:t>
            </w:r>
            <w:r>
              <w:rPr>
                <w:rFonts w:hint="default" w:ascii="Times New Roman" w:hAnsi="Times New Roman" w:eastAsia="宋体" w:cs="Times New Roman"/>
                <w:color w:val="auto"/>
                <w:sz w:val="21"/>
              </w:rPr>
              <w:fldChar w:fldCharType="end"/>
            </w:r>
          </w:p>
        </w:tc>
        <w:tc>
          <w:tcPr>
            <w:tcW w:w="1515" w:type="dxa"/>
            <w:tcBorders>
              <w:top w:val="single" w:color="auto" w:sz="4" w:space="0"/>
              <w:left w:val="single" w:color="auto" w:sz="4" w:space="0"/>
              <w:bottom w:val="single" w:color="auto" w:sz="4" w:space="0"/>
              <w:right w:val="single" w:color="auto" w:sz="4" w:space="0"/>
            </w:tcBorders>
            <w:vAlign w:val="center"/>
          </w:tcPr>
          <w:p w14:paraId="31AF3D67">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3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III</w:t>
            </w:r>
            <w:r>
              <w:rPr>
                <w:rFonts w:hint="default" w:ascii="Times New Roman" w:hAnsi="Times New Roman" w:eastAsia="宋体" w:cs="Times New Roman"/>
                <w:color w:val="auto"/>
                <w:sz w:val="21"/>
              </w:rPr>
              <w:fldChar w:fldCharType="end"/>
            </w:r>
          </w:p>
        </w:tc>
        <w:tc>
          <w:tcPr>
            <w:tcW w:w="1650" w:type="dxa"/>
            <w:tcBorders>
              <w:top w:val="single" w:color="auto" w:sz="4" w:space="0"/>
              <w:left w:val="single" w:color="auto" w:sz="4" w:space="0"/>
              <w:bottom w:val="single" w:color="auto" w:sz="4" w:space="0"/>
              <w:right w:val="single" w:color="auto" w:sz="4" w:space="0"/>
            </w:tcBorders>
            <w:vAlign w:val="center"/>
          </w:tcPr>
          <w:p w14:paraId="213DC1C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2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II</w:t>
            </w:r>
            <w:r>
              <w:rPr>
                <w:rFonts w:hint="default" w:ascii="Times New Roman" w:hAnsi="Times New Roman" w:eastAsia="宋体" w:cs="Times New Roman"/>
                <w:color w:val="auto"/>
                <w:sz w:val="21"/>
              </w:rPr>
              <w:fldChar w:fldCharType="end"/>
            </w:r>
          </w:p>
        </w:tc>
        <w:tc>
          <w:tcPr>
            <w:tcW w:w="1575" w:type="dxa"/>
            <w:tcBorders>
              <w:top w:val="single" w:color="auto" w:sz="4" w:space="0"/>
              <w:left w:val="single" w:color="auto" w:sz="4" w:space="0"/>
              <w:bottom w:val="single" w:color="auto" w:sz="4" w:space="0"/>
              <w:right w:val="single" w:color="auto" w:sz="4" w:space="0"/>
            </w:tcBorders>
            <w:vAlign w:val="center"/>
          </w:tcPr>
          <w:p w14:paraId="72DF1186">
            <w:pPr>
              <w:adjustRightInd w:val="0"/>
              <w:snapToGrid w:val="0"/>
              <w:spacing w:line="240" w:lineRule="auto"/>
              <w:jc w:val="center"/>
              <w:rPr>
                <w:rFonts w:hint="default" w:ascii="Times New Roman" w:hAnsi="Times New Roman" w:eastAsia="宋体" w:cs="Times New Roman"/>
                <w:b w:val="0"/>
                <w:bCs w:val="0"/>
                <w:color w:val="auto"/>
                <w:sz w:val="21"/>
                <w:highlight w:val="none"/>
              </w:rPr>
            </w:pPr>
            <w:r>
              <w:rPr>
                <w:rFonts w:hint="default" w:ascii="Times New Roman" w:hAnsi="Times New Roman" w:eastAsia="宋体" w:cs="Times New Roman"/>
                <w:b w:val="0"/>
                <w:bCs w:val="0"/>
                <w:color w:val="auto"/>
                <w:sz w:val="21"/>
                <w:highlight w:val="none"/>
              </w:rPr>
              <w:fldChar w:fldCharType="begin"/>
            </w:r>
            <w:r>
              <w:rPr>
                <w:rFonts w:hint="default" w:ascii="Times New Roman" w:hAnsi="Times New Roman" w:eastAsia="宋体" w:cs="Times New Roman"/>
                <w:b w:val="0"/>
                <w:bCs w:val="0"/>
                <w:color w:val="auto"/>
                <w:sz w:val="21"/>
                <w:highlight w:val="none"/>
              </w:rPr>
              <w:instrText xml:space="preserve"> = 1 \* ROMAN \* MERGEFORMAT </w:instrText>
            </w:r>
            <w:r>
              <w:rPr>
                <w:rFonts w:hint="default" w:ascii="Times New Roman" w:hAnsi="Times New Roman" w:eastAsia="宋体" w:cs="Times New Roman"/>
                <w:b w:val="0"/>
                <w:bCs w:val="0"/>
                <w:color w:val="auto"/>
                <w:sz w:val="21"/>
                <w:highlight w:val="none"/>
              </w:rPr>
              <w:fldChar w:fldCharType="separate"/>
            </w:r>
            <w:r>
              <w:rPr>
                <w:rFonts w:hint="default" w:ascii="Times New Roman" w:hAnsi="Times New Roman" w:eastAsia="宋体" w:cs="Times New Roman"/>
                <w:b w:val="0"/>
                <w:bCs w:val="0"/>
                <w:color w:val="auto"/>
                <w:sz w:val="21"/>
                <w:highlight w:val="none"/>
              </w:rPr>
              <w:t>I</w:t>
            </w:r>
            <w:r>
              <w:rPr>
                <w:rFonts w:hint="default" w:ascii="Times New Roman" w:hAnsi="Times New Roman" w:eastAsia="宋体" w:cs="Times New Roman"/>
                <w:b w:val="0"/>
                <w:bCs w:val="0"/>
                <w:color w:val="auto"/>
                <w:sz w:val="21"/>
                <w:highlight w:val="none"/>
              </w:rPr>
              <w:fldChar w:fldCharType="end"/>
            </w:r>
          </w:p>
        </w:tc>
      </w:tr>
      <w:tr w14:paraId="1E83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5" w:type="dxa"/>
            <w:gridSpan w:val="5"/>
            <w:tcBorders>
              <w:top w:val="single" w:color="auto" w:sz="4" w:space="0"/>
              <w:left w:val="single" w:color="auto" w:sz="4" w:space="0"/>
              <w:bottom w:val="single" w:color="auto" w:sz="4" w:space="0"/>
              <w:right w:val="single" w:color="auto" w:sz="4" w:space="0"/>
            </w:tcBorders>
            <w:vAlign w:val="center"/>
          </w:tcPr>
          <w:p w14:paraId="2C160DE0">
            <w:pPr>
              <w:adjustRightInd w:val="0"/>
              <w:snapToGrid w:val="0"/>
              <w:spacing w:line="240" w:lineRule="auto"/>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注：</w:t>
            </w:r>
            <w:r>
              <w:rPr>
                <w:rFonts w:hint="default" w:ascii="Times New Roman" w:hAnsi="Times New Roman" w:eastAsia="宋体" w:cs="Times New Roman"/>
                <w:color w:val="auto"/>
                <w:sz w:val="21"/>
              </w:rPr>
              <w:fldChar w:fldCharType="begin"/>
            </w:r>
            <w:r>
              <w:rPr>
                <w:rFonts w:hint="default" w:ascii="Times New Roman" w:hAnsi="Times New Roman" w:eastAsia="宋体" w:cs="Times New Roman"/>
                <w:color w:val="auto"/>
                <w:sz w:val="21"/>
              </w:rPr>
              <w:instrText xml:space="preserve"> = 4 \* ROMAN \* MERGEFORMAT </w:instrText>
            </w:r>
            <w:r>
              <w:rPr>
                <w:rFonts w:hint="default" w:ascii="Times New Roman" w:hAnsi="Times New Roman" w:eastAsia="宋体" w:cs="Times New Roman"/>
                <w:color w:val="auto"/>
                <w:sz w:val="21"/>
              </w:rPr>
              <w:fldChar w:fldCharType="separate"/>
            </w:r>
            <w:r>
              <w:rPr>
                <w:rFonts w:hint="default" w:ascii="Times New Roman" w:hAnsi="Times New Roman" w:eastAsia="宋体" w:cs="Times New Roman"/>
                <w:color w:val="auto"/>
                <w:sz w:val="21"/>
              </w:rPr>
              <w:t>IV</w:t>
            </w:r>
            <w:r>
              <w:rPr>
                <w:rFonts w:hint="default" w:ascii="Times New Roman" w:hAnsi="Times New Roman" w:eastAsia="宋体" w:cs="Times New Roman"/>
                <w:color w:val="auto"/>
                <w:sz w:val="21"/>
              </w:rPr>
              <w:fldChar w:fldCharType="end"/>
            </w:r>
            <w:r>
              <w:rPr>
                <w:rFonts w:hint="default" w:ascii="Times New Roman" w:hAnsi="Times New Roman" w:eastAsia="宋体" w:cs="Times New Roman"/>
                <w:color w:val="auto"/>
                <w:sz w:val="21"/>
                <w:vertAlign w:val="superscript"/>
              </w:rPr>
              <w:t>+</w:t>
            </w:r>
            <w:r>
              <w:rPr>
                <w:rFonts w:hint="default" w:ascii="Times New Roman" w:hAnsi="Times New Roman" w:eastAsia="宋体" w:cs="Times New Roman"/>
                <w:color w:val="auto"/>
                <w:sz w:val="21"/>
              </w:rPr>
              <w:t>为极高环境风险。</w:t>
            </w:r>
          </w:p>
        </w:tc>
      </w:tr>
    </w:tbl>
    <w:p w14:paraId="06A4DC89">
      <w:pPr>
        <w:adjustRightInd w:val="0"/>
        <w:snapToGrid w:val="0"/>
        <w:ind w:firstLine="480" w:firstLineChars="200"/>
        <w:jc w:val="left"/>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根据各环境要素的环境敏感程度及风险潜势划分，本项目及各要素环境风险评价等级见下表</w:t>
      </w:r>
      <w:r>
        <w:rPr>
          <w:rFonts w:hint="default" w:ascii="Times New Roman" w:hAnsi="Times New Roman" w:eastAsia="宋体" w:cs="Times New Roman"/>
          <w:color w:val="auto"/>
        </w:rPr>
        <w:t>：</w:t>
      </w:r>
    </w:p>
    <w:p w14:paraId="3FAF10A7">
      <w:pPr>
        <w:adjustRightInd w:val="0"/>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表6.2-</w:t>
      </w:r>
      <w:r>
        <w:rPr>
          <w:rFonts w:hint="eastAsia" w:ascii="Times New Roman" w:hAnsi="Times New Roman" w:cs="Times New Roman"/>
          <w:b/>
          <w:bCs/>
          <w:color w:val="auto"/>
          <w:szCs w:val="21"/>
          <w:lang w:val="en-US" w:eastAsia="zh-CN"/>
        </w:rPr>
        <w:t>5</w:t>
      </w:r>
      <w:r>
        <w:rPr>
          <w:rFonts w:hint="default" w:ascii="Times New Roman" w:hAnsi="Times New Roman" w:eastAsia="宋体" w:cs="Times New Roman"/>
          <w:b/>
          <w:bCs/>
          <w:color w:val="auto"/>
          <w:szCs w:val="21"/>
        </w:rPr>
        <w:t xml:space="preserve">   建设项目及各环境要素环境风险评价等级</w:t>
      </w:r>
    </w:p>
    <w:tbl>
      <w:tblPr>
        <w:tblStyle w:val="66"/>
        <w:tblW w:w="84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9"/>
        <w:gridCol w:w="1560"/>
        <w:gridCol w:w="1515"/>
        <w:gridCol w:w="2017"/>
        <w:gridCol w:w="1560"/>
      </w:tblGrid>
      <w:tr w14:paraId="3191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02E2B428">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1560" w:type="dxa"/>
            <w:noWrap w:val="0"/>
            <w:vAlign w:val="center"/>
          </w:tcPr>
          <w:p w14:paraId="4924F102">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危险性等级</w:t>
            </w:r>
          </w:p>
        </w:tc>
        <w:tc>
          <w:tcPr>
            <w:tcW w:w="1515" w:type="dxa"/>
            <w:noWrap w:val="0"/>
            <w:vAlign w:val="center"/>
          </w:tcPr>
          <w:p w14:paraId="36157E62">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环境敏感程度</w:t>
            </w:r>
          </w:p>
        </w:tc>
        <w:tc>
          <w:tcPr>
            <w:tcW w:w="2017" w:type="dxa"/>
            <w:noWrap w:val="0"/>
            <w:vAlign w:val="center"/>
          </w:tcPr>
          <w:p w14:paraId="67BD6F77">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环境风险潜势划分</w:t>
            </w:r>
          </w:p>
        </w:tc>
        <w:tc>
          <w:tcPr>
            <w:tcW w:w="1560" w:type="dxa"/>
            <w:noWrap w:val="0"/>
            <w:vAlign w:val="center"/>
          </w:tcPr>
          <w:p w14:paraId="4CF9D302">
            <w:pPr>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评价等级确定</w:t>
            </w:r>
          </w:p>
        </w:tc>
      </w:tr>
      <w:tr w14:paraId="48ABA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62FB02E7">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w:t>
            </w:r>
          </w:p>
        </w:tc>
        <w:tc>
          <w:tcPr>
            <w:tcW w:w="1560" w:type="dxa"/>
            <w:noWrap w:val="0"/>
            <w:vAlign w:val="center"/>
          </w:tcPr>
          <w:p w14:paraId="66C22B7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c>
          <w:tcPr>
            <w:tcW w:w="1515" w:type="dxa"/>
            <w:noWrap w:val="0"/>
            <w:vAlign w:val="center"/>
          </w:tcPr>
          <w:p w14:paraId="7241413B">
            <w:pPr>
              <w:adjustRightInd w:val="0"/>
              <w:snapToGrid w:val="0"/>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E</w:t>
            </w:r>
            <w:r>
              <w:rPr>
                <w:rFonts w:hint="eastAsia" w:ascii="Times New Roman" w:hAnsi="Times New Roman" w:cs="Times New Roman"/>
                <w:color w:val="auto"/>
                <w:sz w:val="21"/>
                <w:szCs w:val="21"/>
                <w:lang w:val="en-US" w:eastAsia="zh-CN"/>
              </w:rPr>
              <w:t>3</w:t>
            </w:r>
          </w:p>
        </w:tc>
        <w:tc>
          <w:tcPr>
            <w:tcW w:w="2017" w:type="dxa"/>
            <w:noWrap w:val="0"/>
            <w:vAlign w:val="center"/>
          </w:tcPr>
          <w:p w14:paraId="12C66AFB">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c>
          <w:tcPr>
            <w:tcW w:w="1560" w:type="dxa"/>
            <w:noWrap w:val="0"/>
            <w:vAlign w:val="center"/>
          </w:tcPr>
          <w:p w14:paraId="1C188F8B">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简单分析</w:t>
            </w:r>
          </w:p>
        </w:tc>
      </w:tr>
      <w:tr w14:paraId="783F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7F611785">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560" w:type="dxa"/>
            <w:noWrap w:val="0"/>
            <w:vAlign w:val="center"/>
          </w:tcPr>
          <w:p w14:paraId="3A2D1F8B">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c>
          <w:tcPr>
            <w:tcW w:w="1515" w:type="dxa"/>
            <w:noWrap w:val="0"/>
            <w:vAlign w:val="center"/>
          </w:tcPr>
          <w:p w14:paraId="73416C9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c>
          <w:tcPr>
            <w:tcW w:w="2017" w:type="dxa"/>
            <w:noWrap w:val="0"/>
            <w:vAlign w:val="center"/>
          </w:tcPr>
          <w:p w14:paraId="4379773C">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c>
          <w:tcPr>
            <w:tcW w:w="1560" w:type="dxa"/>
            <w:noWrap w:val="0"/>
            <w:vAlign w:val="center"/>
          </w:tcPr>
          <w:p w14:paraId="0DE0B7A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w:t>
            </w:r>
          </w:p>
        </w:tc>
      </w:tr>
      <w:tr w14:paraId="0F2C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71DDC59A">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1560" w:type="dxa"/>
            <w:noWrap w:val="0"/>
            <w:vAlign w:val="center"/>
          </w:tcPr>
          <w:p w14:paraId="7E54F0A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P4</w:t>
            </w:r>
          </w:p>
        </w:tc>
        <w:tc>
          <w:tcPr>
            <w:tcW w:w="1515" w:type="dxa"/>
            <w:noWrap w:val="0"/>
            <w:vAlign w:val="center"/>
          </w:tcPr>
          <w:p w14:paraId="71BE2E66">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E3</w:t>
            </w:r>
          </w:p>
        </w:tc>
        <w:tc>
          <w:tcPr>
            <w:tcW w:w="2017" w:type="dxa"/>
            <w:noWrap w:val="0"/>
            <w:vAlign w:val="center"/>
          </w:tcPr>
          <w:p w14:paraId="3EF70A19">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c>
          <w:tcPr>
            <w:tcW w:w="1560" w:type="dxa"/>
            <w:noWrap w:val="0"/>
            <w:vAlign w:val="center"/>
          </w:tcPr>
          <w:p w14:paraId="4B703BC3">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简单分析</w:t>
            </w:r>
          </w:p>
        </w:tc>
      </w:tr>
      <w:tr w14:paraId="37D1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9" w:type="dxa"/>
            <w:noWrap w:val="0"/>
            <w:vAlign w:val="center"/>
          </w:tcPr>
          <w:p w14:paraId="4E96AD5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tc>
        <w:tc>
          <w:tcPr>
            <w:tcW w:w="1560" w:type="dxa"/>
            <w:noWrap w:val="0"/>
            <w:vAlign w:val="center"/>
          </w:tcPr>
          <w:p w14:paraId="67A7533E">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15" w:type="dxa"/>
            <w:noWrap w:val="0"/>
            <w:vAlign w:val="center"/>
          </w:tcPr>
          <w:p w14:paraId="705C6093">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017" w:type="dxa"/>
            <w:noWrap w:val="0"/>
            <w:vAlign w:val="center"/>
          </w:tcPr>
          <w:p w14:paraId="0B44BFDA">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1 \* ROMAN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I</w:t>
            </w:r>
            <w:r>
              <w:rPr>
                <w:rFonts w:hint="default" w:ascii="Times New Roman" w:hAnsi="Times New Roman" w:eastAsia="宋体" w:cs="Times New Roman"/>
                <w:color w:val="auto"/>
                <w:sz w:val="21"/>
                <w:szCs w:val="21"/>
              </w:rPr>
              <w:fldChar w:fldCharType="end"/>
            </w:r>
          </w:p>
        </w:tc>
        <w:tc>
          <w:tcPr>
            <w:tcW w:w="1560" w:type="dxa"/>
            <w:noWrap w:val="0"/>
            <w:vAlign w:val="center"/>
          </w:tcPr>
          <w:p w14:paraId="53793A55">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简单分析</w:t>
            </w:r>
          </w:p>
        </w:tc>
      </w:tr>
      <w:tr w14:paraId="100D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1" w:type="dxa"/>
            <w:gridSpan w:val="5"/>
            <w:noWrap w:val="0"/>
            <w:vAlign w:val="center"/>
          </w:tcPr>
          <w:p w14:paraId="042DB1B8">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注：建设项目环境风险潜势综合等级取各要素等级的相对高值。</w:t>
            </w:r>
          </w:p>
        </w:tc>
      </w:tr>
    </w:tbl>
    <w:p w14:paraId="2344AF02">
      <w:pPr>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综上</w:t>
      </w:r>
      <w:r>
        <w:rPr>
          <w:rFonts w:hint="default" w:ascii="Times New Roman" w:hAnsi="Times New Roman" w:eastAsia="宋体" w:cs="Times New Roman"/>
          <w:color w:val="auto"/>
          <w:lang w:eastAsia="zh-CN"/>
        </w:rPr>
        <w:t>所述</w:t>
      </w:r>
      <w:r>
        <w:rPr>
          <w:rFonts w:hint="default" w:ascii="Times New Roman" w:hAnsi="Times New Roman" w:eastAsia="宋体" w:cs="Times New Roman"/>
          <w:color w:val="auto"/>
        </w:rPr>
        <w:t>，本项目环境风险评价工作等级为</w:t>
      </w:r>
      <w:r>
        <w:rPr>
          <w:rFonts w:hint="default" w:ascii="Times New Roman" w:hAnsi="Times New Roman" w:eastAsia="宋体" w:cs="Times New Roman"/>
          <w:color w:val="auto"/>
          <w:sz w:val="21"/>
          <w:szCs w:val="21"/>
        </w:rPr>
        <w:t>简单分析</w:t>
      </w:r>
      <w:r>
        <w:rPr>
          <w:rFonts w:hint="default" w:ascii="Times New Roman" w:hAnsi="Times New Roman" w:eastAsia="宋体" w:cs="Times New Roman"/>
          <w:color w:val="auto"/>
        </w:rPr>
        <w:t>。</w:t>
      </w:r>
    </w:p>
    <w:p w14:paraId="2D18964D">
      <w:pPr>
        <w:adjustRightInd w:val="0"/>
        <w:snapToGrid w:val="0"/>
        <w:spacing w:beforeLines="50"/>
        <w:outlineLvl w:val="1"/>
        <w:rPr>
          <w:rFonts w:hint="default" w:ascii="Times New Roman" w:hAnsi="Times New Roman" w:eastAsia="宋体" w:cs="Times New Roman"/>
          <w:b/>
          <w:color w:val="auto"/>
          <w:sz w:val="30"/>
          <w:szCs w:val="30"/>
        </w:rPr>
      </w:pPr>
      <w:bookmarkStart w:id="357" w:name="_Toc3391"/>
      <w:r>
        <w:rPr>
          <w:rFonts w:hint="default" w:ascii="Times New Roman" w:hAnsi="Times New Roman" w:eastAsia="宋体" w:cs="Times New Roman"/>
          <w:b/>
          <w:color w:val="auto"/>
          <w:sz w:val="30"/>
          <w:szCs w:val="30"/>
        </w:rPr>
        <w:t>6.3环境风险识别</w:t>
      </w:r>
      <w:bookmarkEnd w:id="357"/>
    </w:p>
    <w:p w14:paraId="0B4DBC42">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风险识别范围包括物质危险性识别、生产系统危险性识别及危险物质向环境转移的途径识别。</w:t>
      </w:r>
    </w:p>
    <w:p w14:paraId="689BFEBA">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物质危险性识别范围：主要为原辅材料、中间产品、副产品、最终产品、污染物、火灾和爆炸伴生/次生生物等。</w:t>
      </w:r>
    </w:p>
    <w:p w14:paraId="7B4FD9F2">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生产系统危险性识别范围：包括主要生产装置、储运设施、公用工程和辅助生产设施，以及环境保护设施等。</w:t>
      </w:r>
    </w:p>
    <w:p w14:paraId="4944B575">
      <w:pPr>
        <w:autoSpaceDE w:val="0"/>
        <w:autoSpaceDN w:val="0"/>
        <w:adjustRightInd w:val="0"/>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Cs w:val="24"/>
        </w:rPr>
        <w:t>危险物质向环境转移的途径识别范围：包括分析危险物质特性和可能的环境风险类型，识别危险物质影响环境的途径，分析可能影响的环境敏感目标。</w:t>
      </w:r>
    </w:p>
    <w:p w14:paraId="60E430FA">
      <w:pPr>
        <w:adjustRightInd w:val="0"/>
        <w:snapToGrid w:val="0"/>
        <w:spacing w:beforeLines="50"/>
        <w:outlineLvl w:val="1"/>
        <w:rPr>
          <w:rFonts w:hint="default" w:ascii="Times New Roman" w:hAnsi="Times New Roman" w:eastAsia="宋体" w:cs="Times New Roman"/>
          <w:b/>
          <w:color w:val="auto"/>
          <w:sz w:val="30"/>
          <w:szCs w:val="30"/>
        </w:rPr>
      </w:pPr>
      <w:bookmarkStart w:id="358" w:name="_Toc22146"/>
      <w:r>
        <w:rPr>
          <w:rFonts w:hint="eastAsia" w:ascii="Times New Roman" w:hAnsi="Times New Roman" w:cs="Times New Roman"/>
          <w:b/>
          <w:color w:val="auto"/>
          <w:sz w:val="30"/>
          <w:szCs w:val="30"/>
          <w:lang w:val="en-US" w:eastAsia="zh-CN"/>
        </w:rPr>
        <w:t>6.4</w:t>
      </w:r>
      <w:r>
        <w:rPr>
          <w:rFonts w:hint="default" w:ascii="Times New Roman" w:hAnsi="Times New Roman" w:eastAsia="宋体" w:cs="Times New Roman"/>
          <w:b/>
          <w:color w:val="auto"/>
          <w:sz w:val="30"/>
          <w:szCs w:val="30"/>
        </w:rPr>
        <w:t>风险防范措施</w:t>
      </w:r>
      <w:bookmarkEnd w:id="358"/>
    </w:p>
    <w:p w14:paraId="53B26591">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三级风险防控体系</w:t>
      </w:r>
    </w:p>
    <w:p w14:paraId="3F2272CF">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1、建立风险应急防范体系</w:t>
      </w:r>
    </w:p>
    <w:p w14:paraId="2209FEAC">
      <w:pPr>
        <w:ind w:firstLine="480"/>
        <w:rPr>
          <w:rFonts w:cs="Times New Roman"/>
          <w:color w:val="auto"/>
        </w:rPr>
      </w:pPr>
      <w:r>
        <w:rPr>
          <w:rFonts w:cs="Times New Roman"/>
          <w:color w:val="auto"/>
        </w:rPr>
        <w:t>建立完善的三级风险防控体系，制定本单位完善的事故应急救援预案，成立应急事故指挥小组，落实责任，具体分工。建立应急通讯网络、应急安全及保卫、应急医学救援、应急撤离等系统，并定期组织演练。具体包括：</w:t>
      </w:r>
    </w:p>
    <w:p w14:paraId="3A9B8606">
      <w:pPr>
        <w:ind w:firstLine="480"/>
        <w:rPr>
          <w:rFonts w:cs="Times New Roman"/>
          <w:color w:val="auto"/>
        </w:rPr>
      </w:pPr>
      <w:r>
        <w:rPr>
          <w:rFonts w:cs="Times New Roman"/>
          <w:color w:val="auto"/>
        </w:rPr>
        <w:t>一级防控措施：</w:t>
      </w:r>
      <w:r>
        <w:rPr>
          <w:rFonts w:hint="eastAsia" w:cs="Times New Roman"/>
          <w:color w:val="auto"/>
        </w:rPr>
        <w:t>原料区</w:t>
      </w:r>
      <w:r>
        <w:rPr>
          <w:rFonts w:cs="Times New Roman"/>
          <w:color w:val="auto"/>
        </w:rPr>
        <w:t>设置围堰，并对生产车间区、仓库地面铺设不发火型地坪。</w:t>
      </w:r>
    </w:p>
    <w:p w14:paraId="020FDCF5">
      <w:pPr>
        <w:ind w:firstLine="480"/>
        <w:rPr>
          <w:rFonts w:cs="Times New Roman"/>
          <w:color w:val="auto"/>
        </w:rPr>
      </w:pPr>
      <w:r>
        <w:rPr>
          <w:rFonts w:cs="Times New Roman"/>
          <w:color w:val="auto"/>
        </w:rPr>
        <w:t>二级防控措施：。本项目建设的事故水池完全可以满足本项目事故水的排放要求。将消防废水及事故收集雨水等通过防渗管沟导入事故池，</w:t>
      </w:r>
      <w:r>
        <w:rPr>
          <w:rFonts w:hint="eastAsia" w:cs="Times New Roman"/>
          <w:color w:val="auto"/>
          <w:lang w:eastAsia="zh-CN"/>
        </w:rPr>
        <w:t>处理达标后排入园区污水管网</w:t>
      </w:r>
      <w:r>
        <w:rPr>
          <w:rFonts w:cs="Times New Roman"/>
          <w:color w:val="auto"/>
        </w:rPr>
        <w:t>。</w:t>
      </w:r>
    </w:p>
    <w:p w14:paraId="708B677A">
      <w:pPr>
        <w:ind w:firstLine="480"/>
        <w:rPr>
          <w:rFonts w:cs="Times New Roman"/>
          <w:color w:val="auto"/>
        </w:rPr>
      </w:pPr>
      <w:r>
        <w:rPr>
          <w:rFonts w:cs="Times New Roman"/>
          <w:color w:val="auto"/>
        </w:rPr>
        <w:t>三级防控措施：对厂区污水及雨水总排口设置切断措施，封堵污染废水在厂区围墙之内，防止事故情况下物料经雨水及污水管线进入地表水水体，杜绝含废水不经处理排入外环境。</w:t>
      </w:r>
    </w:p>
    <w:p w14:paraId="4E2EB6EA">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风险防范措施</w:t>
      </w:r>
    </w:p>
    <w:p w14:paraId="3D986076">
      <w:pPr>
        <w:ind w:firstLine="480"/>
        <w:rPr>
          <w:rFonts w:cs="Times New Roman"/>
          <w:color w:val="auto"/>
        </w:rPr>
      </w:pPr>
      <w:r>
        <w:rPr>
          <w:rFonts w:cs="Times New Roman"/>
          <w:color w:val="auto"/>
        </w:rPr>
        <w:t>（1）选址、总图布置和建筑安全防范措施</w:t>
      </w:r>
    </w:p>
    <w:p w14:paraId="41D735B0">
      <w:pPr>
        <w:ind w:firstLine="480"/>
        <w:rPr>
          <w:rFonts w:cs="Times New Roman"/>
          <w:color w:val="auto"/>
        </w:rPr>
      </w:pPr>
      <w:r>
        <w:rPr>
          <w:rFonts w:cs="Times New Roman"/>
          <w:color w:val="auto"/>
        </w:rPr>
        <w:t>本项目选址</w:t>
      </w:r>
      <w:r>
        <w:rPr>
          <w:rFonts w:hint="eastAsia" w:cs="Times New Roman"/>
          <w:color w:val="auto"/>
          <w:lang w:eastAsia="zh-CN"/>
        </w:rPr>
        <w:t>芒市帕底工业园区</w:t>
      </w:r>
      <w:r>
        <w:rPr>
          <w:rFonts w:cs="Times New Roman"/>
          <w:color w:val="auto"/>
        </w:rPr>
        <w:t>，属于已规划的工业用地，符合当地的总体规划要求，充分考虑了建设项目建成后对周边环境的影响。在厂区内的总平面设计上，严格按照《工业企业总平面设计规范》、《建筑设计防火规范》的要求，进行建筑物、厂区道路、给排水系统、供电通讯、消防设计、安全与卫生防护、绿化等平面与竖向布置使其满足国家相关规划、标准和规定的内容。</w:t>
      </w:r>
    </w:p>
    <w:p w14:paraId="55B609BA">
      <w:pPr>
        <w:ind w:firstLine="480"/>
        <w:rPr>
          <w:rFonts w:cs="Times New Roman"/>
          <w:color w:val="auto"/>
        </w:rPr>
      </w:pPr>
      <w:r>
        <w:rPr>
          <w:rFonts w:cs="Times New Roman"/>
          <w:color w:val="auto"/>
        </w:rPr>
        <w:t>本项目仓库为甲类仓库，根据《建筑设计防火规范》(GB50016-2014)，其耐火等级不应低于二级，耐火极限不低于4.00h，靠外墙布置，防火间距20m。</w:t>
      </w:r>
    </w:p>
    <w:p w14:paraId="51F0301C">
      <w:pPr>
        <w:ind w:firstLine="480"/>
        <w:rPr>
          <w:rFonts w:cs="Times New Roman"/>
          <w:color w:val="auto"/>
        </w:rPr>
      </w:pPr>
      <w:r>
        <w:rPr>
          <w:rFonts w:cs="Times New Roman"/>
          <w:color w:val="auto"/>
        </w:rPr>
        <w:t>（2）危险化学品贮运安全防范措施</w:t>
      </w:r>
    </w:p>
    <w:p w14:paraId="4346C726">
      <w:pPr>
        <w:ind w:firstLine="480"/>
        <w:rPr>
          <w:rFonts w:cs="Times New Roman"/>
          <w:color w:val="auto"/>
        </w:rPr>
      </w:pPr>
      <w:r>
        <w:rPr>
          <w:rFonts w:cs="Times New Roman"/>
          <w:color w:val="auto"/>
        </w:rPr>
        <w:t xml:space="preserve">危险货物在运输过程中，从装卸、运输到保管，工序长，参与人员多；运输方式和工具多；运输范围广、行程长；气温、压力、干湿变化范围大，这些复杂众多的外界因素是运输中造成风险的诱发条件。 </w:t>
      </w:r>
    </w:p>
    <w:p w14:paraId="42B23A9A">
      <w:pPr>
        <w:ind w:firstLine="480"/>
        <w:rPr>
          <w:rFonts w:cs="Times New Roman"/>
          <w:color w:val="auto"/>
        </w:rPr>
      </w:pPr>
      <w:r>
        <w:rPr>
          <w:rFonts w:cs="Times New Roman"/>
          <w:color w:val="auto"/>
        </w:rPr>
        <w:t>针对危险货物本身的危险特性，运输危险货物首先要进行危险货物包装，以减少外界环境如雨雪、阳光、潮湿空气和杂质等的影响；减少运输过程中受到的碰撞、震动、摩擦和挤压，以保持相对稳定状态；减少货物泄漏、挥发以及性质相悖的货物直接接触造成事故。</w:t>
      </w:r>
    </w:p>
    <w:p w14:paraId="1EEC7765">
      <w:pPr>
        <w:ind w:firstLine="480"/>
        <w:rPr>
          <w:rFonts w:cs="Times New Roman"/>
          <w:color w:val="auto"/>
        </w:rPr>
      </w:pPr>
      <w:r>
        <w:rPr>
          <w:rFonts w:cs="Times New Roman"/>
          <w:color w:val="auto"/>
        </w:rPr>
        <w:t>危险货物运输中，由于经受多次搬运装卸，因温度、压力的变化；重装重卸，操作不当；容器多次回收利用，强度下降，桶盖垫圈失落没有拧紧，安全阀开启，阀门变形断裂等原因，均易造成气体扩散、液体滴漏、固体散落，出现不同程度的渗漏，甚至可能引起火灾、爆炸或污染环境等事故。对这类事故的应急，按照应急就近的原则，运输操作人员首先采取相应的应急措施，进行渗漏处理，防止危险物质扩散至环境。</w:t>
      </w:r>
    </w:p>
    <w:p w14:paraId="1C88040A">
      <w:pPr>
        <w:ind w:firstLine="480"/>
        <w:rPr>
          <w:rFonts w:cs="Times New Roman"/>
          <w:color w:val="auto"/>
        </w:rPr>
      </w:pPr>
      <w:r>
        <w:rPr>
          <w:rFonts w:cs="Times New Roman"/>
          <w:color w:val="auto"/>
        </w:rPr>
        <w:t>在运输途中，由于各种意外原因，产生汽车翻车、装船或沉船等，危险货物有可能散落、抛出至大气、水体或陆域，造成重大环境灾害，对于这类风险事故，要求采取应急措施，包括工程应急措施和社会救援应急预案。</w:t>
      </w:r>
    </w:p>
    <w:p w14:paraId="45D396A0">
      <w:pPr>
        <w:ind w:firstLine="480"/>
        <w:rPr>
          <w:rFonts w:cs="Times New Roman"/>
          <w:color w:val="auto"/>
        </w:rPr>
      </w:pPr>
      <w:r>
        <w:rPr>
          <w:rFonts w:cs="Times New Roman"/>
          <w:color w:val="auto"/>
        </w:rPr>
        <w:t>包装过程要求包装材料与危险物相适应、包装封口与危险物相适应；包装标志执行GB190－2009《危险货物包装标志》和GB/T 191-2008《包装储运图示标志》。运输过程应执行《危险货物运输包装通用技术条件(GB 12463-2009)》和各种运输方式的《危险货物运输规则》。</w:t>
      </w:r>
    </w:p>
    <w:p w14:paraId="62B85017">
      <w:pPr>
        <w:ind w:firstLine="480"/>
        <w:rPr>
          <w:rFonts w:cs="Times New Roman"/>
          <w:color w:val="auto"/>
        </w:rPr>
      </w:pPr>
      <w:r>
        <w:rPr>
          <w:rFonts w:cs="Times New Roman"/>
          <w:color w:val="auto"/>
        </w:rPr>
        <w:t>装卸过程要求防震、防撞、防倾斜；断火源、禁火种、通风。</w:t>
      </w:r>
    </w:p>
    <w:p w14:paraId="00438EA6">
      <w:pPr>
        <w:ind w:firstLine="480"/>
        <w:rPr>
          <w:rFonts w:cs="Times New Roman"/>
          <w:color w:val="auto"/>
        </w:rPr>
      </w:pPr>
      <w:r>
        <w:rPr>
          <w:rFonts w:cs="Times New Roman"/>
          <w:color w:val="auto"/>
        </w:rPr>
        <w:t>危险化学品的储存必须按照《建筑设计防火规范》、《常用化学危险品储存通则》等国家安全标准的要求，根据危险化学品的不同性质、灭火方法等进行严格的分类、分区或分隔存放，保持储存地点内的干燥通风。同时应加强管理，加强防火，提高安全生产的可靠性，达到消防、安全等有关部门的要求。</w:t>
      </w:r>
    </w:p>
    <w:p w14:paraId="74E388DA">
      <w:pPr>
        <w:ind w:firstLine="480"/>
        <w:rPr>
          <w:rFonts w:cs="Times New Roman"/>
          <w:color w:val="auto"/>
        </w:rPr>
      </w:pPr>
      <w:r>
        <w:rPr>
          <w:rFonts w:cs="Times New Roman"/>
          <w:color w:val="auto"/>
        </w:rPr>
        <w:t>液态的危险化学品储存设施周围，应设置围堰或槽沟，使发生泄漏的化学品不致漫流扩散，并能及时收集，尽可能降低风险事故造成的影响和损失。</w:t>
      </w:r>
    </w:p>
    <w:p w14:paraId="5714B7BA">
      <w:pPr>
        <w:ind w:firstLine="480"/>
        <w:rPr>
          <w:rFonts w:cs="Times New Roman"/>
          <w:color w:val="auto"/>
        </w:rPr>
      </w:pPr>
      <w:r>
        <w:rPr>
          <w:rFonts w:cs="Times New Roman"/>
          <w:color w:val="auto"/>
        </w:rPr>
        <w:t>要建立健全的规章制度，非直接操作人员不得擅入危险化学品存放地点，严禁明火，进入与使用化学品要有相应的操作程序，以免发生意外。</w:t>
      </w:r>
    </w:p>
    <w:p w14:paraId="12CA076F">
      <w:pPr>
        <w:ind w:firstLine="480"/>
        <w:rPr>
          <w:rFonts w:cs="Times New Roman"/>
          <w:color w:val="auto"/>
        </w:rPr>
      </w:pPr>
      <w:r>
        <w:rPr>
          <w:rFonts w:cs="Times New Roman"/>
          <w:color w:val="auto"/>
        </w:rPr>
        <w:t>（3）工艺设计及生产运营中安全防范措施</w:t>
      </w:r>
    </w:p>
    <w:p w14:paraId="58BF8C97">
      <w:pPr>
        <w:ind w:firstLine="480"/>
        <w:rPr>
          <w:rFonts w:cs="Times New Roman"/>
          <w:color w:val="auto"/>
        </w:rPr>
      </w:pPr>
      <w:r>
        <w:rPr>
          <w:rFonts w:cs="Times New Roman"/>
          <w:color w:val="auto"/>
        </w:rPr>
        <w:t>生产工艺、安全消防、电气仪表控制、防雷防静电等设计应严格按照国家相应的规范、标准和技术要求进行，尽可能的满足工艺合理化、设备先进化、控制自动化、能源利用最大化、污染影响最小化的清洁生产要求。</w:t>
      </w:r>
    </w:p>
    <w:p w14:paraId="09365511">
      <w:pPr>
        <w:ind w:firstLine="480"/>
        <w:rPr>
          <w:rFonts w:cs="Times New Roman"/>
          <w:color w:val="auto"/>
        </w:rPr>
      </w:pPr>
      <w:r>
        <w:rPr>
          <w:rFonts w:cs="Times New Roman"/>
          <w:color w:val="auto"/>
        </w:rPr>
        <w:t>危险化学品的存放及使用装置的场所应进行防渗漏、防腐蚀地面设计。在满足生产运作要求的前提下，合理控制厂内原辅料、危险化学品等的存储量。</w:t>
      </w:r>
    </w:p>
    <w:p w14:paraId="795D05FF">
      <w:pPr>
        <w:ind w:firstLine="480"/>
        <w:rPr>
          <w:rFonts w:cs="Times New Roman"/>
          <w:color w:val="auto"/>
        </w:rPr>
      </w:pPr>
      <w:r>
        <w:rPr>
          <w:rFonts w:cs="Times New Roman"/>
          <w:color w:val="auto"/>
        </w:rPr>
        <w:t>应严格按工艺规程进行操作，特别在易发生事故工序，应坚决杜绝为了提高产量等而不严格按要求配料、操作等情况，同时，操作人触化学品的有害作用及对患者的急救措施，以保证生产的正常运行和员工的身体健康。</w:t>
      </w:r>
    </w:p>
    <w:p w14:paraId="04BC3A91">
      <w:pPr>
        <w:ind w:firstLine="480"/>
        <w:rPr>
          <w:rFonts w:cs="Times New Roman"/>
          <w:color w:val="auto"/>
        </w:rPr>
      </w:pPr>
      <w:r>
        <w:rPr>
          <w:rFonts w:cs="Times New Roman"/>
          <w:color w:val="auto"/>
        </w:rPr>
        <w:t>发生可能对周围环境造成影响的事故时，应立即向当地政府及环保主管部门报告，以便得到及时正确的指导和采取有效的防治措施，使事故危害降到最低。</w:t>
      </w:r>
    </w:p>
    <w:p w14:paraId="52BBC694">
      <w:pPr>
        <w:ind w:firstLine="480"/>
        <w:rPr>
          <w:rFonts w:cs="Times New Roman"/>
          <w:color w:val="auto"/>
        </w:rPr>
      </w:pPr>
      <w:r>
        <w:rPr>
          <w:rFonts w:cs="Times New Roman"/>
          <w:color w:val="auto"/>
        </w:rPr>
        <w:t xml:space="preserve">（4）电气、电讯安全防范措施 </w:t>
      </w:r>
    </w:p>
    <w:p w14:paraId="5D194E89">
      <w:pPr>
        <w:ind w:firstLine="480"/>
        <w:rPr>
          <w:rFonts w:cs="Times New Roman"/>
          <w:color w:val="auto"/>
        </w:rPr>
      </w:pPr>
      <w:r>
        <w:rPr>
          <w:rFonts w:cs="Times New Roman"/>
          <w:color w:val="auto"/>
        </w:rPr>
        <w:t>在初步设计中对电气进行合理的设计，使其动作具有可操作性、快速性、选择性和灵敏性。只要严格执行现行的国家标准设计规范、规程、电力行业标准、规程的有关部分和相应的安全技术措施补充后，本工程的电气设计是可接受的。</w:t>
      </w:r>
    </w:p>
    <w:p w14:paraId="342F1467">
      <w:pPr>
        <w:ind w:firstLine="480"/>
        <w:rPr>
          <w:rFonts w:cs="Times New Roman"/>
          <w:color w:val="auto"/>
        </w:rPr>
      </w:pPr>
      <w:r>
        <w:rPr>
          <w:rFonts w:hint="eastAsia" w:ascii="宋体" w:hAnsi="宋体" w:cs="宋体"/>
          <w:color w:val="auto"/>
        </w:rPr>
        <w:t>①</w:t>
      </w:r>
      <w:r>
        <w:rPr>
          <w:rFonts w:cs="Times New Roman"/>
          <w:color w:val="auto"/>
        </w:rPr>
        <w:t xml:space="preserve"> 应保持电气设施场所环境的干燥与通风，以减少电气设施腐蚀。</w:t>
      </w:r>
    </w:p>
    <w:p w14:paraId="47B856F7">
      <w:pPr>
        <w:ind w:firstLine="480"/>
        <w:rPr>
          <w:rFonts w:cs="Times New Roman"/>
          <w:color w:val="auto"/>
        </w:rPr>
      </w:pPr>
      <w:r>
        <w:rPr>
          <w:rFonts w:hint="eastAsia" w:ascii="宋体" w:hAnsi="宋体" w:cs="宋体"/>
          <w:color w:val="auto"/>
        </w:rPr>
        <w:t>②</w:t>
      </w:r>
      <w:r>
        <w:rPr>
          <w:rFonts w:cs="Times New Roman"/>
          <w:color w:val="auto"/>
        </w:rPr>
        <w:t xml:space="preserve"> 变电所是联系电力系统和全厂用电设备的枢纽。它的位置应符合工厂的整体规划，接近用电的负荷中心，并考虑电力系统的进线的出线的方便，且便于设备的运输。变电所设计应符合现行国标《10KV及以下变电所设计规范》（GB50053－1994）的规定。变电所应根据容量大小及其重要性应配备适当数量的手提式及推车式化学灭火器；</w:t>
      </w:r>
    </w:p>
    <w:p w14:paraId="6D6BADAB">
      <w:pPr>
        <w:ind w:firstLine="480"/>
        <w:rPr>
          <w:rFonts w:cs="Times New Roman"/>
          <w:color w:val="auto"/>
        </w:rPr>
      </w:pPr>
      <w:r>
        <w:rPr>
          <w:rFonts w:hint="eastAsia" w:ascii="宋体" w:hAnsi="宋体" w:cs="宋体"/>
          <w:color w:val="auto"/>
        </w:rPr>
        <w:t>③</w:t>
      </w:r>
      <w:r>
        <w:rPr>
          <w:rFonts w:cs="Times New Roman"/>
          <w:color w:val="auto"/>
        </w:rPr>
        <w:t xml:space="preserve"> 电缆从室外进入室内的入口处，电缆竖井的出入口处及主控制室与电缆层之间，应采取防止电缆火灾蔓延的阻燃及分隔措施；</w:t>
      </w:r>
    </w:p>
    <w:p w14:paraId="42D868F2">
      <w:pPr>
        <w:ind w:firstLine="480"/>
        <w:rPr>
          <w:rFonts w:cs="Times New Roman"/>
          <w:color w:val="auto"/>
        </w:rPr>
      </w:pPr>
      <w:r>
        <w:rPr>
          <w:rFonts w:hint="eastAsia" w:ascii="宋体" w:hAnsi="宋体" w:cs="宋体"/>
          <w:color w:val="auto"/>
        </w:rPr>
        <w:t>④</w:t>
      </w:r>
      <w:r>
        <w:rPr>
          <w:rFonts w:cs="Times New Roman"/>
          <w:color w:val="auto"/>
        </w:rPr>
        <w:t xml:space="preserve"> 配电室可开窗，通风窗要设有小于10mm×10mm网孔的铁丝网，防止雨、雪、小动物、风沙及污秽尘埃进入。配电室的门向外开或向电压低的房屋开。 </w:t>
      </w:r>
    </w:p>
    <w:p w14:paraId="00BA546E">
      <w:pPr>
        <w:ind w:firstLine="480"/>
        <w:rPr>
          <w:rFonts w:cs="Times New Roman"/>
          <w:color w:val="auto"/>
        </w:rPr>
      </w:pPr>
      <w:r>
        <w:rPr>
          <w:rFonts w:hint="eastAsia" w:ascii="宋体" w:hAnsi="宋体" w:cs="宋体"/>
          <w:color w:val="auto"/>
        </w:rPr>
        <w:t>⑤</w:t>
      </w:r>
      <w:r>
        <w:rPr>
          <w:rFonts w:cs="Times New Roman"/>
          <w:color w:val="auto"/>
        </w:rPr>
        <w:t xml:space="preserve"> 有爆炸危险的装置或场所（如气体储罐区）应使用防爆电器(电气设备及线路)，且防爆等级符合规范要求。</w:t>
      </w:r>
    </w:p>
    <w:p w14:paraId="357E1030">
      <w:pPr>
        <w:ind w:firstLine="480"/>
        <w:rPr>
          <w:rFonts w:cs="Times New Roman"/>
          <w:color w:val="auto"/>
        </w:rPr>
      </w:pPr>
      <w:r>
        <w:rPr>
          <w:rFonts w:hint="eastAsia" w:ascii="宋体" w:hAnsi="宋体" w:cs="宋体"/>
          <w:color w:val="auto"/>
        </w:rPr>
        <w:t>⑥</w:t>
      </w:r>
      <w:r>
        <w:rPr>
          <w:rFonts w:cs="Times New Roman"/>
          <w:color w:val="auto"/>
        </w:rPr>
        <w:t xml:space="preserve"> 生产作业场所内照明灯具应采用交叉方式配电，当一路照明回路故障时，保证仍有一路可维持生产作业场所照明；</w:t>
      </w:r>
    </w:p>
    <w:p w14:paraId="3E2D035F">
      <w:pPr>
        <w:ind w:firstLine="480"/>
        <w:rPr>
          <w:rFonts w:cs="Times New Roman"/>
          <w:color w:val="auto"/>
        </w:rPr>
      </w:pPr>
      <w:r>
        <w:rPr>
          <w:rFonts w:hint="eastAsia" w:ascii="宋体" w:hAnsi="宋体" w:cs="宋体"/>
          <w:color w:val="auto"/>
        </w:rPr>
        <w:t>⑦</w:t>
      </w:r>
      <w:r>
        <w:rPr>
          <w:rFonts w:cs="Times New Roman"/>
          <w:color w:val="auto"/>
        </w:rPr>
        <w:t xml:space="preserve"> 各装置、设备、设施、管线以及建（构）筑物应设计可靠的防雷保护装置，防止雷电对人体、设备以及建（构）筑物的危害和破坏，防雷设计应符合国家标准和有关规定。</w:t>
      </w:r>
    </w:p>
    <w:p w14:paraId="44A36EEA">
      <w:pPr>
        <w:ind w:firstLine="480"/>
        <w:rPr>
          <w:rFonts w:cs="Times New Roman"/>
          <w:color w:val="auto"/>
        </w:rPr>
      </w:pPr>
      <w:r>
        <w:rPr>
          <w:rFonts w:hint="eastAsia" w:ascii="宋体" w:hAnsi="宋体" w:cs="宋体"/>
          <w:color w:val="auto"/>
        </w:rPr>
        <w:t>⑧</w:t>
      </w:r>
      <w:r>
        <w:rPr>
          <w:rFonts w:cs="Times New Roman"/>
          <w:color w:val="auto"/>
        </w:rPr>
        <w:t xml:space="preserve"> 电气安全管理</w:t>
      </w:r>
    </w:p>
    <w:p w14:paraId="5D279B5D">
      <w:pPr>
        <w:ind w:firstLine="480"/>
        <w:rPr>
          <w:rFonts w:cs="Times New Roman"/>
          <w:color w:val="auto"/>
        </w:rPr>
      </w:pPr>
      <w:r>
        <w:rPr>
          <w:rFonts w:cs="Times New Roman"/>
          <w:color w:val="auto"/>
        </w:rPr>
        <w:t>在电气设备上工作，保证安全的组织措施为：工作票制度；工作许可制度；工作监护制度；工作间断、转移和终结制度。</w:t>
      </w:r>
    </w:p>
    <w:p w14:paraId="3B48F183">
      <w:pPr>
        <w:ind w:firstLine="480"/>
        <w:rPr>
          <w:rFonts w:cs="Times New Roman"/>
          <w:color w:val="auto"/>
        </w:rPr>
      </w:pPr>
      <w:r>
        <w:rPr>
          <w:rFonts w:cs="Times New Roman"/>
          <w:color w:val="auto"/>
        </w:rPr>
        <w:t>在全部停电或部分停电的电气设备上工作,必须完成下列措施：停电；验电；装设接地线；悬挂标示牌和装设遮栏。</w:t>
      </w:r>
    </w:p>
    <w:p w14:paraId="044E7BA4">
      <w:pPr>
        <w:ind w:firstLine="480"/>
        <w:rPr>
          <w:rFonts w:cs="Times New Roman"/>
          <w:color w:val="auto"/>
        </w:rPr>
      </w:pPr>
      <w:r>
        <w:rPr>
          <w:rFonts w:cs="Times New Roman"/>
          <w:color w:val="auto"/>
        </w:rPr>
        <w:t>电工作业的绝缘用具和器具如绝缘拉杆、绝缘手套、绝缘靴等应按规定及时送检做耐压试验，确保绝缘用器具在安全合格周期内使用；</w:t>
      </w:r>
    </w:p>
    <w:p w14:paraId="706FA7DB">
      <w:pPr>
        <w:ind w:firstLine="480"/>
        <w:rPr>
          <w:rFonts w:cs="Times New Roman"/>
          <w:color w:val="auto"/>
        </w:rPr>
      </w:pPr>
      <w:r>
        <w:rPr>
          <w:rFonts w:cs="Times New Roman"/>
          <w:color w:val="auto"/>
        </w:rPr>
        <w:t>制订以安全责任制为中心的各项规章制度，如电气设备的巡视检查制度，电气设备的检修制度，运行安全操作规程，交接班制度；</w:t>
      </w:r>
    </w:p>
    <w:p w14:paraId="5568C028">
      <w:pPr>
        <w:ind w:firstLine="480"/>
        <w:rPr>
          <w:rFonts w:cs="Times New Roman"/>
          <w:color w:val="auto"/>
        </w:rPr>
      </w:pPr>
      <w:r>
        <w:rPr>
          <w:rFonts w:cs="Times New Roman"/>
          <w:color w:val="auto"/>
        </w:rPr>
        <w:t>制订设备的电气安全操作规定；</w:t>
      </w:r>
    </w:p>
    <w:p w14:paraId="047F8ACA">
      <w:pPr>
        <w:ind w:firstLine="480"/>
        <w:rPr>
          <w:rFonts w:cs="Times New Roman"/>
          <w:color w:val="auto"/>
        </w:rPr>
      </w:pPr>
      <w:r>
        <w:rPr>
          <w:rFonts w:cs="Times New Roman"/>
          <w:color w:val="auto"/>
        </w:rPr>
        <w:t>电工作业人员上岗前必须先进行电气安全培训，实行持证上岗；</w:t>
      </w:r>
    </w:p>
    <w:p w14:paraId="0391FC76">
      <w:pPr>
        <w:ind w:firstLine="480"/>
        <w:rPr>
          <w:rFonts w:cs="Times New Roman"/>
          <w:color w:val="auto"/>
        </w:rPr>
      </w:pPr>
      <w:r>
        <w:rPr>
          <w:rFonts w:cs="Times New Roman"/>
          <w:color w:val="auto"/>
        </w:rPr>
        <w:t>编写电气事故预案，进行反事故演习，做好处理事故的对策措施。</w:t>
      </w:r>
    </w:p>
    <w:p w14:paraId="19019975">
      <w:pPr>
        <w:ind w:firstLine="480"/>
        <w:rPr>
          <w:rFonts w:cs="Times New Roman"/>
          <w:color w:val="auto"/>
        </w:rPr>
      </w:pPr>
      <w:r>
        <w:rPr>
          <w:rFonts w:cs="Times New Roman"/>
          <w:color w:val="auto"/>
        </w:rPr>
        <w:t xml:space="preserve">（5）消防及火灾报警系统 </w:t>
      </w:r>
    </w:p>
    <w:p w14:paraId="5641B020">
      <w:pPr>
        <w:ind w:firstLine="480"/>
        <w:rPr>
          <w:rFonts w:cs="Times New Roman"/>
          <w:color w:val="auto"/>
        </w:rPr>
      </w:pPr>
      <w:r>
        <w:rPr>
          <w:rFonts w:cs="Times New Roman"/>
          <w:color w:val="auto"/>
        </w:rPr>
        <w:t>公司应建立健全各种有关消防与安全生产的规章制度及岗位责任制。贮存场所、生产车间严禁明火。根据GB50140-2005《建筑灭火器配置设计规范》和GB50016-2014《建筑设计防火规范》的规定，生产车间、公用工程、</w:t>
      </w:r>
      <w:r>
        <w:rPr>
          <w:rFonts w:hint="eastAsia" w:cs="Times New Roman"/>
          <w:color w:val="auto"/>
          <w:lang w:eastAsia="zh-CN"/>
        </w:rPr>
        <w:t>仓库</w:t>
      </w:r>
      <w:r>
        <w:rPr>
          <w:rFonts w:cs="Times New Roman"/>
          <w:color w:val="auto"/>
        </w:rPr>
        <w:t>等场所应配置足量的抗溶泡沫、泡沫、干粉等灭火器，并保持完好状态。设置消防水收集系统，所有厂区排水口（含雨水和污水）与外部水体之间安装切断设施，一旦发生事故，切断与外部水体的通道。厂区消防管道应为环状布置，在生产车间、贮存场所等公用工程设施室内设置符合要求的消火栓。</w:t>
      </w:r>
    </w:p>
    <w:p w14:paraId="0C84ED96">
      <w:pPr>
        <w:ind w:firstLine="480"/>
        <w:rPr>
          <w:rFonts w:hint="eastAsia" w:cs="Times New Roman"/>
          <w:color w:val="auto"/>
        </w:rPr>
      </w:pPr>
      <w:r>
        <w:rPr>
          <w:rFonts w:hint="eastAsia" w:cs="Times New Roman"/>
          <w:color w:val="auto"/>
        </w:rPr>
        <w:t>（6）建立</w:t>
      </w:r>
      <w:r>
        <w:rPr>
          <w:rFonts w:cs="Times New Roman"/>
          <w:color w:val="auto"/>
        </w:rPr>
        <w:t>事故的监测报警系统</w:t>
      </w:r>
    </w:p>
    <w:p w14:paraId="349934AF">
      <w:pPr>
        <w:ind w:firstLine="480"/>
        <w:rPr>
          <w:rFonts w:cs="Times New Roman"/>
          <w:color w:val="auto"/>
        </w:rPr>
      </w:pPr>
      <w:r>
        <w:rPr>
          <w:rFonts w:hint="eastAsia" w:cs="Times New Roman"/>
          <w:color w:val="auto"/>
        </w:rPr>
        <w:t>建议建设单位在废水的进、出口，建立事故的监测报警系统。对于废水处理系统的进口，应予以特别的重视，监测系统应确保完善可靠。污水处理站是对项目污水处理的最后过程，需对污水处理站提供双路电源和应急电源，保证污水处理站用电不会停止，重要的设备需设有备用品。</w:t>
      </w:r>
    </w:p>
    <w:p w14:paraId="1A26BAA6">
      <w:pPr>
        <w:ind w:firstLine="480"/>
        <w:rPr>
          <w:rFonts w:hint="eastAsia" w:cs="Times New Roman"/>
          <w:color w:val="auto"/>
        </w:rPr>
      </w:pPr>
      <w:r>
        <w:rPr>
          <w:rFonts w:hint="eastAsia" w:cs="Times New Roman"/>
          <w:color w:val="auto"/>
        </w:rPr>
        <w:t>（7）污染物</w:t>
      </w:r>
      <w:r>
        <w:rPr>
          <w:rFonts w:cs="Times New Roman"/>
          <w:color w:val="auto"/>
        </w:rPr>
        <w:t>收集措施</w:t>
      </w:r>
    </w:p>
    <w:p w14:paraId="1F0296A2">
      <w:pPr>
        <w:ind w:firstLine="480"/>
        <w:rPr>
          <w:rFonts w:hint="eastAsia" w:cs="Times New Roman"/>
          <w:color w:val="auto"/>
        </w:rPr>
      </w:pPr>
      <w:r>
        <w:rPr>
          <w:rFonts w:hint="eastAsia" w:cs="Times New Roman"/>
          <w:color w:val="auto"/>
        </w:rPr>
        <w:t>如发生液态化学品事故后，可依据泄漏出物料的不同量，采取不同的措施：少量泄漏时，用吸附材料进行吸收，按危险废弃物进行处理；较多泄漏时，用围堰进行围堵，用气动泵、槽桶进行收集回收。</w:t>
      </w:r>
    </w:p>
    <w:p w14:paraId="6DBA989E">
      <w:pPr>
        <w:ind w:firstLine="480"/>
        <w:rPr>
          <w:rFonts w:hint="eastAsia" w:cs="Times New Roman"/>
          <w:color w:val="auto"/>
        </w:rPr>
      </w:pPr>
      <w:r>
        <w:rPr>
          <w:rFonts w:hint="eastAsia" w:cs="Times New Roman"/>
          <w:color w:val="auto"/>
        </w:rPr>
        <w:t>大量泄漏时，用泡沫液覆盖，降低污染物挥发，将污染物冲入污染水收集池内；在污染水收集池内用气动泵、槽桶进行收集回收，污染水用固有的废水泵输送到废水处理系统。</w:t>
      </w:r>
    </w:p>
    <w:p w14:paraId="1A109AB9">
      <w:pPr>
        <w:ind w:firstLine="480"/>
        <w:rPr>
          <w:rFonts w:cs="Times New Roman"/>
          <w:color w:val="auto"/>
        </w:rPr>
      </w:pPr>
      <w:r>
        <w:rPr>
          <w:rFonts w:cs="Times New Roman"/>
          <w:color w:val="auto"/>
        </w:rPr>
        <w:t>工程防护措施汇总见表6.</w:t>
      </w:r>
      <w:r>
        <w:rPr>
          <w:rFonts w:hint="eastAsia" w:cs="Times New Roman"/>
          <w:color w:val="auto"/>
          <w:lang w:val="en-US" w:eastAsia="zh-CN"/>
        </w:rPr>
        <w:t>4</w:t>
      </w:r>
      <w:r>
        <w:rPr>
          <w:rFonts w:cs="Times New Roman"/>
          <w:color w:val="auto"/>
        </w:rPr>
        <w:t>-1。</w:t>
      </w:r>
    </w:p>
    <w:p w14:paraId="41D9C06B">
      <w:pPr>
        <w:pStyle w:val="1260"/>
        <w:rPr>
          <w:color w:val="auto"/>
        </w:rPr>
      </w:pPr>
      <w:r>
        <w:rPr>
          <w:color w:val="auto"/>
        </w:rPr>
        <w:t>表6.</w:t>
      </w:r>
      <w:r>
        <w:rPr>
          <w:rFonts w:hint="eastAsia"/>
          <w:color w:val="auto"/>
          <w:lang w:val="en-US" w:eastAsia="zh-CN"/>
        </w:rPr>
        <w:t>4</w:t>
      </w:r>
      <w:r>
        <w:rPr>
          <w:color w:val="auto"/>
        </w:rPr>
        <w:t>-1  工程防护措施汇总表</w:t>
      </w:r>
    </w:p>
    <w:tbl>
      <w:tblPr>
        <w:tblStyle w:val="6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89"/>
        <w:gridCol w:w="6845"/>
      </w:tblGrid>
      <w:tr w14:paraId="527D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14:paraId="7F0165DB">
            <w:pPr>
              <w:pStyle w:val="1261"/>
              <w:rPr>
                <w:rFonts w:cs="Times New Roman"/>
                <w:color w:val="auto"/>
              </w:rPr>
            </w:pPr>
            <w:r>
              <w:rPr>
                <w:rFonts w:cs="Times New Roman"/>
                <w:color w:val="auto"/>
                <w:lang w:bidi="ar"/>
              </w:rPr>
              <w:t>序号</w:t>
            </w:r>
          </w:p>
        </w:tc>
        <w:tc>
          <w:tcPr>
            <w:tcW w:w="989" w:type="dxa"/>
            <w:noWrap w:val="0"/>
            <w:vAlign w:val="center"/>
          </w:tcPr>
          <w:p w14:paraId="2E762E1C">
            <w:pPr>
              <w:pStyle w:val="1261"/>
              <w:rPr>
                <w:rFonts w:cs="Times New Roman"/>
                <w:color w:val="auto"/>
              </w:rPr>
            </w:pPr>
            <w:r>
              <w:rPr>
                <w:rFonts w:cs="Times New Roman"/>
                <w:color w:val="auto"/>
                <w:lang w:bidi="ar"/>
              </w:rPr>
              <w:t>类别</w:t>
            </w:r>
          </w:p>
        </w:tc>
        <w:tc>
          <w:tcPr>
            <w:tcW w:w="6845" w:type="dxa"/>
            <w:noWrap w:val="0"/>
            <w:vAlign w:val="center"/>
          </w:tcPr>
          <w:p w14:paraId="5D11531A">
            <w:pPr>
              <w:pStyle w:val="1261"/>
              <w:rPr>
                <w:rFonts w:cs="Times New Roman"/>
                <w:color w:val="auto"/>
              </w:rPr>
            </w:pPr>
            <w:r>
              <w:rPr>
                <w:rFonts w:cs="Times New Roman"/>
                <w:color w:val="auto"/>
                <w:lang w:bidi="ar"/>
              </w:rPr>
              <w:t>工程防护措施</w:t>
            </w:r>
          </w:p>
        </w:tc>
      </w:tr>
      <w:tr w14:paraId="7F6B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14:paraId="3C7CFE24">
            <w:pPr>
              <w:pStyle w:val="756"/>
              <w:rPr>
                <w:rFonts w:ascii="Times New Roman" w:hAnsi="Times New Roman" w:cs="Times New Roman"/>
                <w:color w:val="auto"/>
              </w:rPr>
            </w:pPr>
            <w:r>
              <w:rPr>
                <w:rFonts w:ascii="Times New Roman" w:hAnsi="Times New Roman" w:cs="Times New Roman"/>
                <w:color w:val="auto"/>
                <w:lang w:bidi="ar"/>
              </w:rPr>
              <w:t>1</w:t>
            </w:r>
          </w:p>
        </w:tc>
        <w:tc>
          <w:tcPr>
            <w:tcW w:w="989" w:type="dxa"/>
            <w:noWrap w:val="0"/>
            <w:vAlign w:val="center"/>
          </w:tcPr>
          <w:p w14:paraId="771E6647">
            <w:pPr>
              <w:pStyle w:val="756"/>
              <w:rPr>
                <w:rFonts w:ascii="Times New Roman" w:hAnsi="Times New Roman" w:cs="Times New Roman"/>
                <w:color w:val="auto"/>
              </w:rPr>
            </w:pPr>
            <w:r>
              <w:rPr>
                <w:rFonts w:ascii="Times New Roman" w:hAnsi="Times New Roman" w:cs="Times New Roman"/>
                <w:color w:val="auto"/>
                <w:lang w:bidi="ar"/>
              </w:rPr>
              <w:t>厂区平面布置</w:t>
            </w:r>
          </w:p>
        </w:tc>
        <w:tc>
          <w:tcPr>
            <w:tcW w:w="6845" w:type="dxa"/>
            <w:noWrap w:val="0"/>
            <w:vAlign w:val="center"/>
          </w:tcPr>
          <w:p w14:paraId="6E1913F6">
            <w:pPr>
              <w:pStyle w:val="756"/>
              <w:jc w:val="left"/>
              <w:rPr>
                <w:rFonts w:ascii="Times New Roman" w:hAnsi="Times New Roman" w:cs="Times New Roman"/>
                <w:color w:val="auto"/>
              </w:rPr>
            </w:pPr>
            <w:r>
              <w:rPr>
                <w:rFonts w:ascii="Times New Roman" w:hAnsi="Times New Roman" w:cs="Times New Roman"/>
                <w:color w:val="auto"/>
                <w:lang w:bidi="ar"/>
              </w:rPr>
              <w:t>1、严格按照《工业企业总平面设计规范》、《建筑设计防火规范》的要求；</w:t>
            </w:r>
            <w:r>
              <w:rPr>
                <w:rFonts w:ascii="Times New Roman" w:hAnsi="Times New Roman" w:cs="Times New Roman"/>
                <w:color w:val="auto"/>
                <w:lang w:bidi="ar"/>
              </w:rPr>
              <w:br w:type="textWrapping"/>
            </w:r>
            <w:r>
              <w:rPr>
                <w:rFonts w:ascii="Times New Roman" w:hAnsi="Times New Roman" w:cs="Times New Roman"/>
                <w:color w:val="auto"/>
                <w:lang w:bidi="ar"/>
              </w:rPr>
              <w:t>2、建筑物、厂区道路、给排水系统、供电通讯、消防设计、安全与卫生防护、绿化等平面与竖向布置满足国家相关规定的内容；</w:t>
            </w:r>
            <w:r>
              <w:rPr>
                <w:rFonts w:ascii="Times New Roman" w:hAnsi="Times New Roman" w:cs="Times New Roman"/>
                <w:color w:val="auto"/>
                <w:lang w:bidi="ar"/>
              </w:rPr>
              <w:br w:type="textWrapping"/>
            </w:r>
            <w:r>
              <w:rPr>
                <w:rFonts w:ascii="Times New Roman" w:hAnsi="Times New Roman" w:cs="Times New Roman"/>
                <w:color w:val="auto"/>
                <w:lang w:bidi="ar"/>
              </w:rPr>
              <w:t>3、危险品储存区、服饰仓库靠外墙布置；</w:t>
            </w:r>
          </w:p>
        </w:tc>
      </w:tr>
      <w:tr w14:paraId="464D3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14:paraId="4592180C">
            <w:pPr>
              <w:pStyle w:val="756"/>
              <w:rPr>
                <w:rFonts w:ascii="Times New Roman" w:hAnsi="Times New Roman" w:cs="Times New Roman"/>
                <w:color w:val="auto"/>
              </w:rPr>
            </w:pPr>
            <w:r>
              <w:rPr>
                <w:rFonts w:ascii="Times New Roman" w:hAnsi="Times New Roman" w:cs="Times New Roman"/>
                <w:color w:val="auto"/>
                <w:lang w:bidi="ar"/>
              </w:rPr>
              <w:t>2</w:t>
            </w:r>
          </w:p>
        </w:tc>
        <w:tc>
          <w:tcPr>
            <w:tcW w:w="989" w:type="dxa"/>
            <w:noWrap w:val="0"/>
            <w:vAlign w:val="center"/>
          </w:tcPr>
          <w:p w14:paraId="709E00E1">
            <w:pPr>
              <w:pStyle w:val="756"/>
              <w:rPr>
                <w:rFonts w:ascii="Times New Roman" w:hAnsi="Times New Roman" w:cs="Times New Roman"/>
                <w:color w:val="auto"/>
              </w:rPr>
            </w:pPr>
            <w:r>
              <w:rPr>
                <w:rFonts w:ascii="Times New Roman" w:hAnsi="Times New Roman" w:cs="Times New Roman"/>
                <w:color w:val="auto"/>
                <w:lang w:bidi="ar"/>
              </w:rPr>
              <w:t>生产装置方面</w:t>
            </w:r>
          </w:p>
        </w:tc>
        <w:tc>
          <w:tcPr>
            <w:tcW w:w="6845" w:type="dxa"/>
            <w:noWrap w:val="0"/>
            <w:vAlign w:val="center"/>
          </w:tcPr>
          <w:p w14:paraId="6DF9EAFF">
            <w:pPr>
              <w:pStyle w:val="756"/>
              <w:jc w:val="left"/>
              <w:rPr>
                <w:rFonts w:ascii="Times New Roman" w:hAnsi="Times New Roman" w:cs="Times New Roman"/>
                <w:color w:val="auto"/>
              </w:rPr>
            </w:pPr>
            <w:r>
              <w:rPr>
                <w:rFonts w:ascii="Times New Roman" w:hAnsi="Times New Roman" w:cs="Times New Roman"/>
                <w:color w:val="auto"/>
                <w:lang w:bidi="ar"/>
              </w:rPr>
              <w:t>1、生产装置在室内车间，设备配套的阀门、仪表接头等密闭，基本无跑、冒、滴、漏现象；</w:t>
            </w:r>
            <w:r>
              <w:rPr>
                <w:rFonts w:ascii="Times New Roman" w:hAnsi="Times New Roman" w:cs="Times New Roman"/>
                <w:color w:val="auto"/>
                <w:lang w:bidi="ar"/>
              </w:rPr>
              <w:br w:type="textWrapping"/>
            </w:r>
            <w:r>
              <w:rPr>
                <w:rFonts w:ascii="Times New Roman" w:hAnsi="Times New Roman" w:cs="Times New Roman"/>
                <w:color w:val="auto"/>
                <w:lang w:bidi="ar"/>
              </w:rPr>
              <w:t>2、在车间内装有视频监控装置；</w:t>
            </w:r>
            <w:r>
              <w:rPr>
                <w:rFonts w:ascii="Times New Roman" w:hAnsi="Times New Roman" w:cs="Times New Roman"/>
                <w:color w:val="auto"/>
                <w:lang w:bidi="ar"/>
              </w:rPr>
              <w:br w:type="textWrapping"/>
            </w:r>
            <w:r>
              <w:rPr>
                <w:rFonts w:ascii="Times New Roman" w:hAnsi="Times New Roman" w:cs="Times New Roman"/>
                <w:color w:val="auto"/>
                <w:lang w:bidi="ar"/>
              </w:rPr>
              <w:t>3、车间设有良好的机械排风系统，并满足防爆要求；</w:t>
            </w:r>
            <w:r>
              <w:rPr>
                <w:rFonts w:ascii="Times New Roman" w:hAnsi="Times New Roman" w:cs="Times New Roman"/>
                <w:color w:val="auto"/>
                <w:lang w:bidi="ar"/>
              </w:rPr>
              <w:br w:type="textWrapping"/>
            </w:r>
            <w:r>
              <w:rPr>
                <w:rFonts w:ascii="Times New Roman" w:hAnsi="Times New Roman" w:cs="Times New Roman"/>
                <w:color w:val="auto"/>
                <w:lang w:bidi="ar"/>
              </w:rPr>
              <w:t>4、操作人员经过专门培训，严格遵守操作规程。</w:t>
            </w:r>
          </w:p>
        </w:tc>
      </w:tr>
      <w:tr w14:paraId="6011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14:paraId="1C38C591">
            <w:pPr>
              <w:pStyle w:val="756"/>
              <w:rPr>
                <w:rFonts w:ascii="Times New Roman" w:hAnsi="Times New Roman" w:cs="Times New Roman"/>
                <w:color w:val="auto"/>
              </w:rPr>
            </w:pPr>
            <w:r>
              <w:rPr>
                <w:rFonts w:ascii="Times New Roman" w:hAnsi="Times New Roman" w:cs="Times New Roman"/>
                <w:color w:val="auto"/>
                <w:lang w:bidi="ar"/>
              </w:rPr>
              <w:t>3</w:t>
            </w:r>
          </w:p>
        </w:tc>
        <w:tc>
          <w:tcPr>
            <w:tcW w:w="989" w:type="dxa"/>
            <w:noWrap w:val="0"/>
            <w:vAlign w:val="center"/>
          </w:tcPr>
          <w:p w14:paraId="23947212">
            <w:pPr>
              <w:pStyle w:val="756"/>
              <w:rPr>
                <w:rFonts w:ascii="Times New Roman" w:hAnsi="Times New Roman" w:cs="Times New Roman"/>
                <w:color w:val="auto"/>
              </w:rPr>
            </w:pPr>
            <w:r>
              <w:rPr>
                <w:rFonts w:ascii="Times New Roman" w:hAnsi="Times New Roman" w:cs="Times New Roman"/>
                <w:color w:val="auto"/>
                <w:lang w:bidi="ar"/>
              </w:rPr>
              <w:t>储运设施方面</w:t>
            </w:r>
          </w:p>
        </w:tc>
        <w:tc>
          <w:tcPr>
            <w:tcW w:w="6845" w:type="dxa"/>
            <w:noWrap w:val="0"/>
            <w:vAlign w:val="center"/>
          </w:tcPr>
          <w:p w14:paraId="6108F1E0">
            <w:pPr>
              <w:pStyle w:val="756"/>
              <w:jc w:val="left"/>
              <w:rPr>
                <w:rFonts w:ascii="Times New Roman" w:hAnsi="Times New Roman" w:cs="Times New Roman"/>
                <w:color w:val="auto"/>
              </w:rPr>
            </w:pPr>
            <w:r>
              <w:rPr>
                <w:rFonts w:ascii="Times New Roman" w:hAnsi="Times New Roman" w:cs="Times New Roman"/>
                <w:color w:val="auto"/>
                <w:lang w:bidi="ar"/>
              </w:rPr>
              <w:t>1、化学品放置区采用防腐防渗材料铺设，区内严禁使用易产生火花的机械设备和工具。搬运时要轻装轻卸，防止包装及容器损坏；</w:t>
            </w:r>
            <w:r>
              <w:rPr>
                <w:rFonts w:ascii="Times New Roman" w:hAnsi="Times New Roman" w:cs="Times New Roman"/>
                <w:color w:val="auto"/>
                <w:lang w:bidi="ar"/>
              </w:rPr>
              <w:br w:type="textWrapping"/>
            </w:r>
            <w:r>
              <w:rPr>
                <w:rFonts w:ascii="Times New Roman" w:hAnsi="Times New Roman" w:cs="Times New Roman"/>
                <w:color w:val="auto"/>
                <w:lang w:bidi="ar"/>
              </w:rPr>
              <w:t>2、制定完善的管理制度，加强库房的机械通风，化学品放置区域要有禁火标志，禁止使用易产生火化的机械设备；</w:t>
            </w:r>
            <w:r>
              <w:rPr>
                <w:rFonts w:ascii="Times New Roman" w:hAnsi="Times New Roman" w:cs="Times New Roman"/>
                <w:color w:val="auto"/>
                <w:lang w:bidi="ar"/>
              </w:rPr>
              <w:br w:type="textWrapping"/>
            </w:r>
            <w:r>
              <w:rPr>
                <w:rFonts w:ascii="Times New Roman" w:hAnsi="Times New Roman" w:cs="Times New Roman"/>
                <w:color w:val="auto"/>
                <w:lang w:bidi="ar"/>
              </w:rPr>
              <w:t>3、严格限制各危险品的存货量，应尽量缩短物料储存周期。</w:t>
            </w:r>
          </w:p>
        </w:tc>
      </w:tr>
      <w:tr w14:paraId="6227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14:paraId="446DC49C">
            <w:pPr>
              <w:pStyle w:val="756"/>
              <w:rPr>
                <w:rFonts w:ascii="Times New Roman" w:hAnsi="Times New Roman" w:cs="Times New Roman"/>
                <w:color w:val="auto"/>
              </w:rPr>
            </w:pPr>
            <w:r>
              <w:rPr>
                <w:rFonts w:ascii="Times New Roman" w:hAnsi="Times New Roman" w:cs="Times New Roman"/>
                <w:color w:val="auto"/>
                <w:lang w:bidi="ar"/>
              </w:rPr>
              <w:t>4</w:t>
            </w:r>
          </w:p>
        </w:tc>
        <w:tc>
          <w:tcPr>
            <w:tcW w:w="989" w:type="dxa"/>
            <w:noWrap w:val="0"/>
            <w:vAlign w:val="center"/>
          </w:tcPr>
          <w:p w14:paraId="3430AF60">
            <w:pPr>
              <w:pStyle w:val="756"/>
              <w:rPr>
                <w:rFonts w:ascii="Times New Roman" w:hAnsi="Times New Roman" w:cs="Times New Roman"/>
                <w:color w:val="auto"/>
              </w:rPr>
            </w:pPr>
            <w:r>
              <w:rPr>
                <w:rFonts w:ascii="Times New Roman" w:hAnsi="Times New Roman" w:cs="Times New Roman"/>
                <w:color w:val="auto"/>
                <w:lang w:bidi="ar"/>
              </w:rPr>
              <w:t>工艺设计</w:t>
            </w:r>
          </w:p>
        </w:tc>
        <w:tc>
          <w:tcPr>
            <w:tcW w:w="6845" w:type="dxa"/>
            <w:noWrap w:val="0"/>
            <w:vAlign w:val="center"/>
          </w:tcPr>
          <w:p w14:paraId="048AB233">
            <w:pPr>
              <w:pStyle w:val="756"/>
              <w:jc w:val="left"/>
              <w:rPr>
                <w:rFonts w:ascii="Times New Roman" w:hAnsi="Times New Roman" w:cs="Times New Roman"/>
                <w:color w:val="auto"/>
              </w:rPr>
            </w:pPr>
            <w:r>
              <w:rPr>
                <w:rFonts w:ascii="Times New Roman" w:hAnsi="Times New Roman" w:cs="Times New Roman"/>
                <w:color w:val="auto"/>
                <w:lang w:bidi="ar"/>
              </w:rPr>
              <w:t>1、严格按《爆炸和火灾危险环境电力设置设计规范》进行危险区域划分及电气设备材料的选型；</w:t>
            </w:r>
            <w:r>
              <w:rPr>
                <w:rFonts w:ascii="Times New Roman" w:hAnsi="Times New Roman" w:cs="Times New Roman"/>
                <w:color w:val="auto"/>
                <w:lang w:bidi="ar"/>
              </w:rPr>
              <w:br w:type="textWrapping"/>
            </w:r>
            <w:r>
              <w:rPr>
                <w:rFonts w:ascii="Times New Roman" w:hAnsi="Times New Roman" w:cs="Times New Roman"/>
                <w:color w:val="auto"/>
                <w:lang w:bidi="ar"/>
              </w:rPr>
              <w:t>2、选用密封良好的输送泵；工艺管线密封防腐防泄漏；</w:t>
            </w:r>
            <w:r>
              <w:rPr>
                <w:rFonts w:ascii="Times New Roman" w:hAnsi="Times New Roman" w:cs="Times New Roman"/>
                <w:color w:val="auto"/>
                <w:lang w:bidi="ar"/>
              </w:rPr>
              <w:br w:type="textWrapping"/>
            </w:r>
            <w:r>
              <w:rPr>
                <w:rFonts w:ascii="Times New Roman" w:hAnsi="Times New Roman" w:cs="Times New Roman"/>
                <w:color w:val="auto"/>
                <w:lang w:bidi="ar"/>
              </w:rPr>
              <w:t>3、车间设有良好的机械排风系统；</w:t>
            </w:r>
            <w:r>
              <w:rPr>
                <w:rFonts w:ascii="Times New Roman" w:hAnsi="Times New Roman" w:cs="Times New Roman"/>
                <w:color w:val="auto"/>
                <w:lang w:bidi="ar"/>
              </w:rPr>
              <w:br w:type="textWrapping"/>
            </w:r>
            <w:r>
              <w:rPr>
                <w:rFonts w:ascii="Times New Roman" w:hAnsi="Times New Roman" w:cs="Times New Roman"/>
                <w:color w:val="auto"/>
                <w:lang w:bidi="ar"/>
              </w:rPr>
              <w:t>4、工艺管线设置膨胀节及固定管架等安全措施</w:t>
            </w:r>
          </w:p>
        </w:tc>
      </w:tr>
      <w:tr w14:paraId="74B2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4" w:type="dxa"/>
            <w:noWrap w:val="0"/>
            <w:vAlign w:val="center"/>
          </w:tcPr>
          <w:p w14:paraId="1E8EFC2F">
            <w:pPr>
              <w:pStyle w:val="756"/>
              <w:rPr>
                <w:rFonts w:ascii="Times New Roman" w:hAnsi="Times New Roman" w:cs="Times New Roman"/>
                <w:color w:val="auto"/>
              </w:rPr>
            </w:pPr>
            <w:r>
              <w:rPr>
                <w:rFonts w:ascii="Times New Roman" w:hAnsi="Times New Roman" w:cs="Times New Roman"/>
                <w:color w:val="auto"/>
                <w:lang w:bidi="ar"/>
              </w:rPr>
              <w:t>5</w:t>
            </w:r>
          </w:p>
        </w:tc>
        <w:tc>
          <w:tcPr>
            <w:tcW w:w="989" w:type="dxa"/>
            <w:noWrap w:val="0"/>
            <w:vAlign w:val="center"/>
          </w:tcPr>
          <w:p w14:paraId="15A244E0">
            <w:pPr>
              <w:pStyle w:val="756"/>
              <w:rPr>
                <w:rFonts w:ascii="Times New Roman" w:hAnsi="Times New Roman" w:cs="Times New Roman"/>
                <w:color w:val="auto"/>
              </w:rPr>
            </w:pPr>
            <w:r>
              <w:rPr>
                <w:rFonts w:ascii="Times New Roman" w:hAnsi="Times New Roman" w:cs="Times New Roman"/>
                <w:color w:val="auto"/>
                <w:lang w:bidi="ar"/>
              </w:rPr>
              <w:t>消防防护设施方面</w:t>
            </w:r>
          </w:p>
        </w:tc>
        <w:tc>
          <w:tcPr>
            <w:tcW w:w="6845" w:type="dxa"/>
            <w:noWrap w:val="0"/>
            <w:vAlign w:val="center"/>
          </w:tcPr>
          <w:p w14:paraId="6DBAB0C1">
            <w:pPr>
              <w:pStyle w:val="756"/>
              <w:jc w:val="left"/>
              <w:rPr>
                <w:rFonts w:ascii="Times New Roman" w:hAnsi="Times New Roman" w:cs="Times New Roman"/>
                <w:color w:val="auto"/>
                <w:szCs w:val="24"/>
              </w:rPr>
            </w:pPr>
            <w:r>
              <w:rPr>
                <w:rFonts w:ascii="Times New Roman" w:hAnsi="Times New Roman" w:cs="Times New Roman"/>
                <w:color w:val="auto"/>
                <w:lang w:bidi="ar"/>
              </w:rPr>
              <w:t>厂区配备有灭火器，并配备急救箱等</w:t>
            </w:r>
            <w:r>
              <w:rPr>
                <w:rFonts w:ascii="Times New Roman" w:hAnsi="Times New Roman" w:cs="Times New Roman"/>
                <w:color w:val="auto"/>
                <w:lang w:bidi="ar"/>
              </w:rPr>
              <w:br w:type="textWrapping"/>
            </w:r>
            <w:r>
              <w:rPr>
                <w:rFonts w:ascii="Times New Roman" w:hAnsi="Times New Roman" w:cs="Times New Roman"/>
                <w:color w:val="auto"/>
                <w:lang w:bidi="ar"/>
              </w:rPr>
              <w:t>2、</w:t>
            </w:r>
            <w:r>
              <w:rPr>
                <w:rFonts w:ascii="Times New Roman" w:hAnsi="Times New Roman" w:cs="Times New Roman"/>
                <w:color w:val="auto"/>
              </w:rPr>
              <w:t>本项目</w:t>
            </w:r>
            <w:r>
              <w:rPr>
                <w:rFonts w:hint="eastAsia" w:ascii="Times New Roman" w:hAnsi="Times New Roman" w:cs="Times New Roman"/>
                <w:color w:val="auto"/>
                <w:lang w:eastAsia="zh-CN"/>
              </w:rPr>
              <w:t>应急事故池</w:t>
            </w:r>
            <w:r>
              <w:rPr>
                <w:rFonts w:ascii="Times New Roman" w:hAnsi="Times New Roman" w:cs="Times New Roman"/>
                <w:color w:val="auto"/>
              </w:rPr>
              <w:t>容积为</w:t>
            </w:r>
            <w:r>
              <w:rPr>
                <w:rFonts w:hint="eastAsia" w:ascii="Times New Roman" w:hAnsi="Times New Roman" w:cs="Times New Roman"/>
                <w:color w:val="auto"/>
                <w:lang w:val="en-US" w:eastAsia="zh-CN"/>
              </w:rPr>
              <w:t>231</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，可以做厂区消防尾水池使用；</w:t>
            </w:r>
          </w:p>
          <w:p w14:paraId="1580BF83">
            <w:pPr>
              <w:pStyle w:val="756"/>
              <w:jc w:val="left"/>
              <w:rPr>
                <w:rFonts w:ascii="Times New Roman" w:hAnsi="Times New Roman" w:cs="Times New Roman"/>
                <w:color w:val="auto"/>
              </w:rPr>
            </w:pPr>
            <w:r>
              <w:rPr>
                <w:rFonts w:ascii="Times New Roman" w:hAnsi="Times New Roman" w:cs="Times New Roman"/>
                <w:color w:val="auto"/>
                <w:lang w:bidi="ar"/>
              </w:rPr>
              <w:t>3、消防器材、设施定期检查</w:t>
            </w:r>
            <w:r>
              <w:rPr>
                <w:rFonts w:ascii="Times New Roman" w:hAnsi="Times New Roman" w:cs="Times New Roman"/>
                <w:color w:val="auto"/>
                <w:lang w:bidi="ar"/>
              </w:rPr>
              <w:br w:type="textWrapping"/>
            </w:r>
            <w:r>
              <w:rPr>
                <w:rFonts w:ascii="Times New Roman" w:hAnsi="Times New Roman" w:cs="Times New Roman"/>
                <w:color w:val="auto"/>
                <w:lang w:bidi="ar"/>
              </w:rPr>
              <w:t>4、消防通道符合设计规范，保证在事故状态下，畅通无阻，满足要求</w:t>
            </w:r>
          </w:p>
        </w:tc>
      </w:tr>
    </w:tbl>
    <w:p w14:paraId="7E85C49E">
      <w:pPr>
        <w:autoSpaceDE w:val="0"/>
        <w:autoSpaceDN w:val="0"/>
        <w:adjustRightInd w:val="0"/>
        <w:ind w:firstLine="482" w:firstLineChars="200"/>
        <w:jc w:val="left"/>
        <w:rPr>
          <w:rFonts w:hint="default" w:ascii="Times New Roman" w:hAnsi="Times New Roman" w:eastAsia="宋体" w:cs="Times New Roman"/>
          <w:b/>
          <w:color w:val="auto"/>
          <w:kern w:val="0"/>
          <w:szCs w:val="24"/>
        </w:rPr>
      </w:pPr>
    </w:p>
    <w:p w14:paraId="6DE1DD12">
      <w:pPr>
        <w:autoSpaceDE w:val="0"/>
        <w:autoSpaceDN w:val="0"/>
        <w:adjustRightInd w:val="0"/>
        <w:ind w:firstLine="482" w:firstLineChars="200"/>
        <w:jc w:val="left"/>
        <w:rPr>
          <w:rFonts w:hint="default" w:ascii="Times New Roman" w:hAnsi="Times New Roman" w:eastAsia="宋体" w:cs="Times New Roman"/>
          <w:b/>
          <w:color w:val="auto"/>
          <w:kern w:val="0"/>
          <w:szCs w:val="24"/>
        </w:rPr>
      </w:pPr>
      <w:r>
        <w:rPr>
          <w:rFonts w:hint="default" w:ascii="Times New Roman" w:hAnsi="Times New Roman" w:eastAsia="宋体" w:cs="Times New Roman"/>
          <w:b/>
          <w:color w:val="auto"/>
          <w:kern w:val="0"/>
          <w:szCs w:val="24"/>
        </w:rPr>
        <w:t>（四）应急要求</w:t>
      </w:r>
    </w:p>
    <w:p w14:paraId="163DDD6E">
      <w:pPr>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rPr>
        <w:t>结合项目特点，提出本项目的环境风险事故应急预案，以便建设单位在建成投入试运行之前，制定详细的应急预案。</w:t>
      </w:r>
    </w:p>
    <w:p w14:paraId="695165CA">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表6.</w:t>
      </w:r>
      <w:r>
        <w:rPr>
          <w:rFonts w:hint="eastAsia" w:ascii="Times New Roman" w:hAnsi="Times New Roman" w:cs="Times New Roman"/>
          <w:b/>
          <w:color w:val="auto"/>
          <w:lang w:val="en-US" w:eastAsia="zh-CN"/>
        </w:rPr>
        <w:t>4</w:t>
      </w:r>
      <w:r>
        <w:rPr>
          <w:rFonts w:hint="default" w:ascii="Times New Roman" w:hAnsi="Times New Roman" w:eastAsia="宋体" w:cs="Times New Roman"/>
          <w:b/>
          <w:color w:val="auto"/>
        </w:rPr>
        <w:t>-</w:t>
      </w:r>
      <w:r>
        <w:rPr>
          <w:rFonts w:hint="eastAsia" w:ascii="Times New Roman" w:hAnsi="Times New Roman" w:cs="Times New Roman"/>
          <w:b/>
          <w:color w:val="auto"/>
          <w:lang w:val="en-US" w:eastAsia="zh-CN"/>
        </w:rPr>
        <w:t>2</w:t>
      </w:r>
      <w:r>
        <w:rPr>
          <w:rFonts w:hint="default" w:ascii="Times New Roman" w:hAnsi="Times New Roman" w:eastAsia="宋体" w:cs="Times New Roman"/>
          <w:b/>
          <w:color w:val="auto"/>
        </w:rPr>
        <w:t xml:space="preserve">  突发环境事件应急预案编制要点</w:t>
      </w:r>
    </w:p>
    <w:tbl>
      <w:tblPr>
        <w:tblStyle w:val="6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620"/>
        <w:gridCol w:w="2725"/>
        <w:gridCol w:w="3617"/>
      </w:tblGrid>
      <w:tr w14:paraId="54C5E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blHeader/>
          <w:jc w:val="center"/>
        </w:trPr>
        <w:tc>
          <w:tcPr>
            <w:tcW w:w="691" w:type="dxa"/>
            <w:tcBorders>
              <w:top w:val="single" w:color="auto" w:sz="4" w:space="0"/>
              <w:left w:val="single" w:color="auto" w:sz="4" w:space="0"/>
              <w:bottom w:val="single" w:color="auto" w:sz="4" w:space="0"/>
              <w:right w:val="single" w:color="auto" w:sz="4" w:space="0"/>
            </w:tcBorders>
            <w:vAlign w:val="center"/>
          </w:tcPr>
          <w:p w14:paraId="60A1138D">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100E7786">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编制条目</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627325D9">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编制要点</w:t>
            </w:r>
          </w:p>
        </w:tc>
      </w:tr>
      <w:tr w14:paraId="5870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4F488D3A">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01801D2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总则</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5FF8D32C">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（1）编制目的</w:t>
            </w:r>
          </w:p>
        </w:tc>
      </w:tr>
      <w:tr w14:paraId="6AA7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F596630">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2299C371">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31E99A8F">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（2）编制依据</w:t>
            </w:r>
          </w:p>
        </w:tc>
      </w:tr>
      <w:tr w14:paraId="7A1A4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0E26D7C">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6E00564">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758E239C">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（3）适用范围</w:t>
            </w:r>
          </w:p>
        </w:tc>
      </w:tr>
      <w:tr w14:paraId="0B0A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EAC361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06573A6">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6DFF5B8A">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（4）应急预案体系</w:t>
            </w:r>
          </w:p>
        </w:tc>
      </w:tr>
      <w:tr w14:paraId="45426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C2C7ADD">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BB2E45D">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34B74434">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（5）应急工作原则</w:t>
            </w:r>
          </w:p>
        </w:tc>
        <w:tc>
          <w:tcPr>
            <w:tcW w:w="3617" w:type="dxa"/>
            <w:tcBorders>
              <w:top w:val="single" w:color="auto" w:sz="4" w:space="0"/>
              <w:left w:val="single" w:color="auto" w:sz="4" w:space="0"/>
              <w:bottom w:val="single" w:color="auto" w:sz="4" w:space="0"/>
              <w:right w:val="single" w:color="auto" w:sz="4" w:space="0"/>
            </w:tcBorders>
            <w:vAlign w:val="center"/>
          </w:tcPr>
          <w:p w14:paraId="17914984">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①优先原则</w:t>
            </w:r>
          </w:p>
        </w:tc>
      </w:tr>
      <w:tr w14:paraId="5278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395B8C8">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546889F8">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62AB41C5">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2CD1A487">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②以人为本、减少危害原则</w:t>
            </w:r>
          </w:p>
        </w:tc>
      </w:tr>
      <w:tr w14:paraId="4D96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9CF047A">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1182603">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10372F99">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5D3EFC13">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③本预案突发环境事件分级原则</w:t>
            </w:r>
          </w:p>
        </w:tc>
      </w:tr>
      <w:tr w14:paraId="3C08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3D8E8516">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7186EA8F">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公司基本情况</w:t>
            </w: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0B2070FD">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（1）公司概况</w:t>
            </w:r>
          </w:p>
        </w:tc>
        <w:tc>
          <w:tcPr>
            <w:tcW w:w="3617" w:type="dxa"/>
            <w:tcBorders>
              <w:top w:val="single" w:color="auto" w:sz="4" w:space="0"/>
              <w:left w:val="single" w:color="auto" w:sz="4" w:space="0"/>
              <w:bottom w:val="single" w:color="auto" w:sz="4" w:space="0"/>
              <w:right w:val="single" w:color="auto" w:sz="4" w:space="0"/>
            </w:tcBorders>
            <w:vAlign w:val="center"/>
          </w:tcPr>
          <w:p w14:paraId="5315A06F">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①地理位置</w:t>
            </w:r>
          </w:p>
        </w:tc>
      </w:tr>
      <w:tr w14:paraId="02B2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036E92A2">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03ED627">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4E028223">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70D180B7">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②自然条件</w:t>
            </w:r>
          </w:p>
        </w:tc>
      </w:tr>
      <w:tr w14:paraId="4E50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B531DC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7EAF2AA">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6D5E7B1F">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410CA819">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③周边环境</w:t>
            </w:r>
          </w:p>
        </w:tc>
      </w:tr>
      <w:tr w14:paraId="2E272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158A91DF">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68D44880">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01DE9CD4">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04202068">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④厂区平面分布</w:t>
            </w:r>
          </w:p>
        </w:tc>
      </w:tr>
      <w:tr w14:paraId="3956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FFA0D51">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691580D1">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69CABC3E">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（2）生产工艺</w:t>
            </w:r>
          </w:p>
          <w:p w14:paraId="5BC1EB49">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基本情况</w:t>
            </w:r>
          </w:p>
        </w:tc>
        <w:tc>
          <w:tcPr>
            <w:tcW w:w="3617" w:type="dxa"/>
            <w:tcBorders>
              <w:top w:val="single" w:color="auto" w:sz="4" w:space="0"/>
              <w:left w:val="single" w:color="auto" w:sz="4" w:space="0"/>
              <w:bottom w:val="single" w:color="auto" w:sz="4" w:space="0"/>
              <w:right w:val="single" w:color="auto" w:sz="4" w:space="0"/>
            </w:tcBorders>
            <w:vAlign w:val="center"/>
          </w:tcPr>
          <w:p w14:paraId="3FC47386">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①生产原辅材料消耗量及贮存量</w:t>
            </w:r>
          </w:p>
        </w:tc>
      </w:tr>
      <w:tr w14:paraId="468D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2058E5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A9A8FF6">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028A3DCE">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4C4015FD">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②产品名称及产量</w:t>
            </w:r>
          </w:p>
        </w:tc>
      </w:tr>
      <w:tr w14:paraId="2971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BAD3EE4">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502B4914">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466B089E">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2EE33522">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③生产工艺流程</w:t>
            </w:r>
          </w:p>
        </w:tc>
      </w:tr>
      <w:tr w14:paraId="736A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0449F8A4">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0DCE88C">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2CFDC52E">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2AB0B46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④生产废弃物及储存处置情况</w:t>
            </w:r>
          </w:p>
        </w:tc>
      </w:tr>
      <w:tr w14:paraId="5BD7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5FE66CB2">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54D51C73">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环境风险源及环境风险评价</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574EF718">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（1）主要环境风险源识别</w:t>
            </w:r>
          </w:p>
        </w:tc>
      </w:tr>
      <w:tr w14:paraId="7DF2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51330DE">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1C74704">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70A7FDB7">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（2）风险源事故环境影响分析</w:t>
            </w:r>
          </w:p>
        </w:tc>
        <w:tc>
          <w:tcPr>
            <w:tcW w:w="3617" w:type="dxa"/>
            <w:tcBorders>
              <w:top w:val="single" w:color="auto" w:sz="4" w:space="0"/>
              <w:left w:val="single" w:color="auto" w:sz="4" w:space="0"/>
              <w:bottom w:val="single" w:color="auto" w:sz="4" w:space="0"/>
              <w:right w:val="single" w:color="auto" w:sz="4" w:space="0"/>
            </w:tcBorders>
            <w:vAlign w:val="center"/>
          </w:tcPr>
          <w:p w14:paraId="20D5015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①液态泄漏事故影响分析</w:t>
            </w:r>
          </w:p>
        </w:tc>
      </w:tr>
      <w:tr w14:paraId="7586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74A5268">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B3BF0C3">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03984E02">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5D8C11E9">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②固态泄漏事故影响分析</w:t>
            </w:r>
          </w:p>
        </w:tc>
      </w:tr>
      <w:tr w14:paraId="0B4E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10AE7D54">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C0A11F0">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4A46E494">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645B5585">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③气态系统影响分析</w:t>
            </w:r>
          </w:p>
        </w:tc>
      </w:tr>
      <w:tr w14:paraId="33C7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84DDE8A">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6D62C94">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253BA9B5">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（3）风险事故管理</w:t>
            </w:r>
          </w:p>
        </w:tc>
        <w:tc>
          <w:tcPr>
            <w:tcW w:w="3617" w:type="dxa"/>
            <w:tcBorders>
              <w:top w:val="single" w:color="auto" w:sz="4" w:space="0"/>
              <w:left w:val="single" w:color="auto" w:sz="4" w:space="0"/>
              <w:bottom w:val="single" w:color="auto" w:sz="4" w:space="0"/>
              <w:right w:val="single" w:color="auto" w:sz="4" w:space="0"/>
            </w:tcBorders>
            <w:vAlign w:val="center"/>
          </w:tcPr>
          <w:p w14:paraId="225CB7D7">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①环境事故预防措施</w:t>
            </w:r>
          </w:p>
        </w:tc>
      </w:tr>
      <w:tr w14:paraId="1C83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995D7C7">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CF364D1">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2FE9DEFC">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1FA8B104">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②环境事故发生后措施</w:t>
            </w:r>
          </w:p>
        </w:tc>
      </w:tr>
      <w:tr w14:paraId="5AA21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1E7D2536">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47B727C3">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组织机构及职责</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09E6F93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（1）应急组织体系</w:t>
            </w:r>
          </w:p>
        </w:tc>
      </w:tr>
      <w:tr w14:paraId="5925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A24A046">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4874F3B">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6BF0335F">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（2）指挥机构及职责</w:t>
            </w:r>
          </w:p>
        </w:tc>
        <w:tc>
          <w:tcPr>
            <w:tcW w:w="3617" w:type="dxa"/>
            <w:tcBorders>
              <w:top w:val="single" w:color="auto" w:sz="4" w:space="0"/>
              <w:left w:val="single" w:color="auto" w:sz="4" w:space="0"/>
              <w:bottom w:val="single" w:color="auto" w:sz="4" w:space="0"/>
              <w:right w:val="single" w:color="auto" w:sz="4" w:space="0"/>
            </w:tcBorders>
            <w:vAlign w:val="center"/>
          </w:tcPr>
          <w:p w14:paraId="5F058942">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①应急救援指挥部的组成及职责</w:t>
            </w:r>
          </w:p>
        </w:tc>
      </w:tr>
      <w:tr w14:paraId="6E1C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1C89D7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A0B9621">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3914C87B">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6CB00564">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②突发事件应急处置小组</w:t>
            </w:r>
          </w:p>
        </w:tc>
      </w:tr>
      <w:tr w14:paraId="6DAC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6334E11C">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7F1841C5">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预防和预警</w:t>
            </w: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5ED86DC5">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（1）环境风险源监控</w:t>
            </w:r>
          </w:p>
        </w:tc>
        <w:tc>
          <w:tcPr>
            <w:tcW w:w="3617" w:type="dxa"/>
            <w:tcBorders>
              <w:top w:val="single" w:color="auto" w:sz="4" w:space="0"/>
              <w:left w:val="single" w:color="auto" w:sz="4" w:space="0"/>
              <w:bottom w:val="single" w:color="auto" w:sz="4" w:space="0"/>
              <w:right w:val="single" w:color="auto" w:sz="4" w:space="0"/>
            </w:tcBorders>
            <w:vAlign w:val="center"/>
          </w:tcPr>
          <w:p w14:paraId="2E449A30">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①液态储罐区</w:t>
            </w:r>
          </w:p>
        </w:tc>
      </w:tr>
      <w:tr w14:paraId="7E5C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456F9C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C6BDD5F">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3C1051EE">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58665C96">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②固态储存区</w:t>
            </w:r>
          </w:p>
        </w:tc>
      </w:tr>
      <w:tr w14:paraId="2F6C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A612936">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B1E0263">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594AF9B1">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33F40FAF">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③气体系统</w:t>
            </w:r>
          </w:p>
        </w:tc>
      </w:tr>
      <w:tr w14:paraId="2342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6842A5F6">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3ED89E4">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3D697BB6">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63C8D9A4">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④运输</w:t>
            </w:r>
          </w:p>
        </w:tc>
      </w:tr>
      <w:tr w14:paraId="38230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6205DDDD">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1EC82805">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1A7B4585">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（2）预警行动</w:t>
            </w:r>
          </w:p>
        </w:tc>
      </w:tr>
      <w:tr w14:paraId="0897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617D50D8">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445C6C1">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03096DC9">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（3）报警、通讯及联络方式</w:t>
            </w:r>
          </w:p>
        </w:tc>
        <w:tc>
          <w:tcPr>
            <w:tcW w:w="3617" w:type="dxa"/>
            <w:tcBorders>
              <w:top w:val="single" w:color="auto" w:sz="4" w:space="0"/>
              <w:left w:val="single" w:color="auto" w:sz="4" w:space="0"/>
              <w:bottom w:val="single" w:color="auto" w:sz="4" w:space="0"/>
              <w:right w:val="single" w:color="auto" w:sz="4" w:space="0"/>
            </w:tcBorders>
            <w:vAlign w:val="center"/>
          </w:tcPr>
          <w:p w14:paraId="740A220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①报警联络方式</w:t>
            </w:r>
          </w:p>
        </w:tc>
      </w:tr>
      <w:tr w14:paraId="06E1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16EBD00">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5F6F2E11">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36B504B9">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3287EE0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②内部通讯方式</w:t>
            </w:r>
          </w:p>
        </w:tc>
      </w:tr>
      <w:tr w14:paraId="1C95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196379A">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25634C46">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703AC94D">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5F13EF42">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③外部通讯方式</w:t>
            </w:r>
          </w:p>
        </w:tc>
      </w:tr>
      <w:tr w14:paraId="0192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488CA4F1">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6F2648AF">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信息报告与通报</w:t>
            </w: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557139B8">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（1）内部报告</w:t>
            </w:r>
          </w:p>
        </w:tc>
        <w:tc>
          <w:tcPr>
            <w:tcW w:w="3617" w:type="dxa"/>
            <w:tcBorders>
              <w:top w:val="single" w:color="auto" w:sz="4" w:space="0"/>
              <w:left w:val="single" w:color="auto" w:sz="4" w:space="0"/>
              <w:bottom w:val="single" w:color="auto" w:sz="4" w:space="0"/>
              <w:right w:val="single" w:color="auto" w:sz="4" w:space="0"/>
            </w:tcBorders>
            <w:vAlign w:val="center"/>
          </w:tcPr>
          <w:p w14:paraId="1117DC23">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①事故信息报告</w:t>
            </w:r>
          </w:p>
        </w:tc>
      </w:tr>
      <w:tr w14:paraId="4C50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BB8268E">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013DEFB">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5652D2A3">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168AEC8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②事故信息通报</w:t>
            </w:r>
          </w:p>
        </w:tc>
      </w:tr>
      <w:tr w14:paraId="41CE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76F90A3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58DA6D8">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04AD70F3">
            <w:pPr>
              <w:widowControl/>
              <w:spacing w:line="240" w:lineRule="auto"/>
              <w:jc w:val="center"/>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46CFABF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③电话通报及联系词内容</w:t>
            </w:r>
          </w:p>
        </w:tc>
      </w:tr>
      <w:tr w14:paraId="0BD9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18D00364">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FAE8FDD">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34634CBC">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（2）信息上报</w:t>
            </w:r>
          </w:p>
        </w:tc>
      </w:tr>
      <w:tr w14:paraId="79E19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7DCC68D">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216601FE">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5018397B">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（3）事故报告内容</w:t>
            </w:r>
          </w:p>
        </w:tc>
      </w:tr>
      <w:tr w14:paraId="1A55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4CABB60B">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7</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371D7F7F">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应急响应与措施</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3B4715FD">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（1）分级响应机制</w:t>
            </w:r>
          </w:p>
        </w:tc>
      </w:tr>
      <w:tr w14:paraId="233D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0A355722">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FABF074">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78D72569">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（2）响应程序</w:t>
            </w:r>
          </w:p>
        </w:tc>
      </w:tr>
      <w:tr w14:paraId="0A92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501FA6C">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2C6704B6">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3F53BC9F">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（3）应急措施</w:t>
            </w:r>
          </w:p>
        </w:tc>
        <w:tc>
          <w:tcPr>
            <w:tcW w:w="3617" w:type="dxa"/>
            <w:tcBorders>
              <w:top w:val="single" w:color="auto" w:sz="4" w:space="0"/>
              <w:left w:val="single" w:color="auto" w:sz="4" w:space="0"/>
              <w:bottom w:val="single" w:color="auto" w:sz="4" w:space="0"/>
              <w:right w:val="single" w:color="auto" w:sz="4" w:space="0"/>
            </w:tcBorders>
            <w:vAlign w:val="center"/>
          </w:tcPr>
          <w:p w14:paraId="0DC2DC1B">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①泄漏事故应急措施</w:t>
            </w:r>
          </w:p>
        </w:tc>
      </w:tr>
      <w:tr w14:paraId="7A73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3F8EC84">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5D4BA25F">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17528AED">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0B8DE872">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②中毒应急措施</w:t>
            </w:r>
          </w:p>
        </w:tc>
      </w:tr>
      <w:tr w14:paraId="71A09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232CC09D">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7FD2DC9">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38585823">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7034A775">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③其他应急措施</w:t>
            </w:r>
          </w:p>
        </w:tc>
      </w:tr>
      <w:tr w14:paraId="790F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1C35738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15E57960">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04D1D664">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（4）应急终止</w:t>
            </w:r>
          </w:p>
        </w:tc>
        <w:tc>
          <w:tcPr>
            <w:tcW w:w="3617" w:type="dxa"/>
            <w:tcBorders>
              <w:top w:val="single" w:color="auto" w:sz="4" w:space="0"/>
              <w:left w:val="single" w:color="auto" w:sz="4" w:space="0"/>
              <w:bottom w:val="single" w:color="auto" w:sz="4" w:space="0"/>
              <w:right w:val="single" w:color="auto" w:sz="4" w:space="0"/>
            </w:tcBorders>
            <w:vAlign w:val="center"/>
          </w:tcPr>
          <w:p w14:paraId="31F7BF89">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①应急终止条件</w:t>
            </w:r>
          </w:p>
        </w:tc>
      </w:tr>
      <w:tr w14:paraId="19EEF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73D93C59">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5813D5D">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19CE8547">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235C2D19">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②应急终止的程序</w:t>
            </w:r>
          </w:p>
        </w:tc>
      </w:tr>
      <w:tr w14:paraId="2FDC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68839003">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20F31F40">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673D2CBC">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（5）应急终止后的行动</w:t>
            </w:r>
          </w:p>
        </w:tc>
      </w:tr>
      <w:tr w14:paraId="1505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74979BE6">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8</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3BBEDDFD">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后期处置</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01E1D42B">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（1）善后处置</w:t>
            </w:r>
          </w:p>
        </w:tc>
      </w:tr>
      <w:tr w14:paraId="219B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0A5F20E">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2DBE8EF4">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01973870">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（2）保险</w:t>
            </w:r>
          </w:p>
        </w:tc>
      </w:tr>
      <w:tr w14:paraId="2361A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19506DE2">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8D5267A">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4FA105DD">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（3）工作总结与评价</w:t>
            </w:r>
          </w:p>
        </w:tc>
      </w:tr>
      <w:tr w14:paraId="335F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1BB5596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9</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4C6AC0E6">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保障措施</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5047E6C8">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（1）通信与信息保障</w:t>
            </w:r>
          </w:p>
        </w:tc>
      </w:tr>
      <w:tr w14:paraId="1ACC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3997F50">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91CE52F">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017F4B2D">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（2）应急队伍保障</w:t>
            </w:r>
          </w:p>
        </w:tc>
      </w:tr>
      <w:tr w14:paraId="699D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20AE14A">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1D8A4E50">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60A025ED">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（3）应急物资装备保障</w:t>
            </w:r>
          </w:p>
        </w:tc>
      </w:tr>
      <w:tr w14:paraId="0E70A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4C29BAC">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2F35CA4">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76683E8A">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（4）经费保障</w:t>
            </w:r>
          </w:p>
        </w:tc>
      </w:tr>
      <w:tr w14:paraId="01A84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6D03629">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62A14402">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6F86C3A8">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（5）其他保障</w:t>
            </w:r>
          </w:p>
        </w:tc>
        <w:tc>
          <w:tcPr>
            <w:tcW w:w="3617" w:type="dxa"/>
            <w:tcBorders>
              <w:top w:val="single" w:color="auto" w:sz="4" w:space="0"/>
              <w:left w:val="single" w:color="auto" w:sz="4" w:space="0"/>
              <w:bottom w:val="single" w:color="auto" w:sz="4" w:space="0"/>
              <w:right w:val="single" w:color="auto" w:sz="4" w:space="0"/>
            </w:tcBorders>
            <w:vAlign w:val="center"/>
          </w:tcPr>
          <w:p w14:paraId="4D428FFB">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①已有救援装备保障</w:t>
            </w:r>
          </w:p>
        </w:tc>
      </w:tr>
      <w:tr w14:paraId="64EC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5320DF2">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6D92FB8">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19D2A856">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052E1200">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②交通运输保障</w:t>
            </w:r>
          </w:p>
        </w:tc>
      </w:tr>
      <w:tr w14:paraId="7518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E92D061">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28C093C0">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6A7DAE3A">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60C12C98">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③救援医疗保障</w:t>
            </w:r>
          </w:p>
        </w:tc>
      </w:tr>
      <w:tr w14:paraId="295C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15B35581">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1A3CB4D">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49F87BD5">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1CF7A5FF">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④治安保障</w:t>
            </w:r>
          </w:p>
        </w:tc>
      </w:tr>
      <w:tr w14:paraId="66BF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1502082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10</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486CE604">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培训与演练</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63143202">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（1）培训</w:t>
            </w:r>
          </w:p>
        </w:tc>
      </w:tr>
      <w:tr w14:paraId="2614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5E13AE1F">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12FBF90D">
            <w:pPr>
              <w:widowControl/>
              <w:spacing w:line="240" w:lineRule="auto"/>
              <w:jc w:val="both"/>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09429BBF">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（2）演练</w:t>
            </w:r>
          </w:p>
        </w:tc>
        <w:tc>
          <w:tcPr>
            <w:tcW w:w="3617" w:type="dxa"/>
            <w:tcBorders>
              <w:top w:val="single" w:color="auto" w:sz="4" w:space="0"/>
              <w:left w:val="single" w:color="auto" w:sz="4" w:space="0"/>
              <w:bottom w:val="single" w:color="auto" w:sz="4" w:space="0"/>
              <w:right w:val="single" w:color="auto" w:sz="4" w:space="0"/>
            </w:tcBorders>
            <w:vAlign w:val="center"/>
          </w:tcPr>
          <w:p w14:paraId="7396DBC6">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①演练内容</w:t>
            </w:r>
          </w:p>
        </w:tc>
      </w:tr>
      <w:tr w14:paraId="7791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07A7144E">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265001F">
            <w:pPr>
              <w:widowControl/>
              <w:spacing w:line="240" w:lineRule="auto"/>
              <w:jc w:val="both"/>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209D3E00">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21C3176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②演练方式</w:t>
            </w:r>
          </w:p>
        </w:tc>
      </w:tr>
      <w:tr w14:paraId="5ECD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03F17512">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A949571">
            <w:pPr>
              <w:widowControl/>
              <w:spacing w:line="240" w:lineRule="auto"/>
              <w:jc w:val="both"/>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0C66FDF0">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（3）记录与考核</w:t>
            </w:r>
          </w:p>
        </w:tc>
      </w:tr>
      <w:tr w14:paraId="636B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474B2D5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11</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3BECD5EB">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奖惩</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1B1887C6">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（1）事故应急救援工作实行奖励制</w:t>
            </w:r>
          </w:p>
        </w:tc>
      </w:tr>
      <w:tr w14:paraId="2F84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1E9BDBEA">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51B77AFC">
            <w:pPr>
              <w:widowControl/>
              <w:spacing w:line="240" w:lineRule="auto"/>
              <w:jc w:val="both"/>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325F2A60">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（2）事故应急救援工作实行责任追究制</w:t>
            </w:r>
          </w:p>
        </w:tc>
      </w:tr>
      <w:tr w14:paraId="01E5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14:paraId="46EA00B0">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12</w:t>
            </w:r>
          </w:p>
        </w:tc>
        <w:tc>
          <w:tcPr>
            <w:tcW w:w="7962" w:type="dxa"/>
            <w:gridSpan w:val="3"/>
            <w:tcBorders>
              <w:top w:val="single" w:color="auto" w:sz="4" w:space="0"/>
              <w:left w:val="single" w:color="auto" w:sz="4" w:space="0"/>
              <w:bottom w:val="single" w:color="auto" w:sz="4" w:space="0"/>
              <w:right w:val="single" w:color="auto" w:sz="4" w:space="0"/>
            </w:tcBorders>
            <w:vAlign w:val="center"/>
          </w:tcPr>
          <w:p w14:paraId="4EA2886C">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预案的评审、备案、发布和更新</w:t>
            </w:r>
          </w:p>
        </w:tc>
      </w:tr>
      <w:tr w14:paraId="5C29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14:paraId="00C267C3">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13</w:t>
            </w:r>
          </w:p>
        </w:tc>
        <w:tc>
          <w:tcPr>
            <w:tcW w:w="7962" w:type="dxa"/>
            <w:gridSpan w:val="3"/>
            <w:tcBorders>
              <w:top w:val="single" w:color="auto" w:sz="4" w:space="0"/>
              <w:left w:val="single" w:color="auto" w:sz="4" w:space="0"/>
              <w:bottom w:val="single" w:color="auto" w:sz="4" w:space="0"/>
              <w:right w:val="single" w:color="auto" w:sz="4" w:space="0"/>
            </w:tcBorders>
            <w:vAlign w:val="center"/>
          </w:tcPr>
          <w:p w14:paraId="4EB3C390">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预案的实施和生效时间</w:t>
            </w:r>
          </w:p>
        </w:tc>
      </w:tr>
      <w:tr w14:paraId="65C5A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14:paraId="07E801CB">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14</w:t>
            </w:r>
          </w:p>
        </w:tc>
        <w:tc>
          <w:tcPr>
            <w:tcW w:w="7962" w:type="dxa"/>
            <w:gridSpan w:val="3"/>
            <w:tcBorders>
              <w:top w:val="single" w:color="auto" w:sz="4" w:space="0"/>
              <w:left w:val="single" w:color="auto" w:sz="4" w:space="0"/>
              <w:bottom w:val="single" w:color="auto" w:sz="4" w:space="0"/>
              <w:right w:val="single" w:color="auto" w:sz="4" w:space="0"/>
            </w:tcBorders>
            <w:vAlign w:val="center"/>
          </w:tcPr>
          <w:p w14:paraId="3337A550">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附件、术语和定义</w:t>
            </w:r>
          </w:p>
        </w:tc>
      </w:tr>
      <w:tr w14:paraId="48CE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43FEE915">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15</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3EDFFADD">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附件</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43887B2B">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（1）应急救援通讯录</w:t>
            </w:r>
          </w:p>
        </w:tc>
      </w:tr>
      <w:tr w14:paraId="412D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6C265A82">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F7D4D9F">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12570F63">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（2）重要物资装备的清单</w:t>
            </w:r>
          </w:p>
        </w:tc>
      </w:tr>
      <w:tr w14:paraId="7B8E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BCE502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2C7AB81">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7DCDA1AC">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（3）规范化格式文本</w:t>
            </w:r>
          </w:p>
        </w:tc>
      </w:tr>
      <w:tr w14:paraId="414D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1C18182">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926D5D2">
            <w:pPr>
              <w:widowControl/>
              <w:spacing w:line="240" w:lineRule="auto"/>
              <w:jc w:val="center"/>
              <w:rPr>
                <w:rFonts w:hint="default" w:ascii="Times New Roman" w:hAnsi="Times New Roman" w:eastAsia="宋体" w:cs="Times New Roman"/>
                <w:color w:val="auto"/>
                <w:sz w:val="21"/>
              </w:rPr>
            </w:pPr>
          </w:p>
        </w:tc>
        <w:tc>
          <w:tcPr>
            <w:tcW w:w="2725" w:type="dxa"/>
            <w:vMerge w:val="restart"/>
            <w:tcBorders>
              <w:top w:val="single" w:color="auto" w:sz="4" w:space="0"/>
              <w:left w:val="single" w:color="auto" w:sz="4" w:space="0"/>
              <w:bottom w:val="single" w:color="auto" w:sz="4" w:space="0"/>
              <w:right w:val="single" w:color="auto" w:sz="4" w:space="0"/>
            </w:tcBorders>
            <w:vAlign w:val="center"/>
          </w:tcPr>
          <w:p w14:paraId="6E06C237">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（4）关键的路线、标识和图纸</w:t>
            </w:r>
          </w:p>
        </w:tc>
        <w:tc>
          <w:tcPr>
            <w:tcW w:w="3617" w:type="dxa"/>
            <w:tcBorders>
              <w:top w:val="single" w:color="auto" w:sz="4" w:space="0"/>
              <w:left w:val="single" w:color="auto" w:sz="4" w:space="0"/>
              <w:bottom w:val="single" w:color="auto" w:sz="4" w:space="0"/>
              <w:right w:val="single" w:color="auto" w:sz="4" w:space="0"/>
            </w:tcBorders>
            <w:vAlign w:val="center"/>
          </w:tcPr>
          <w:p w14:paraId="795C5512">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①警报系统分布及覆盖范围</w:t>
            </w:r>
          </w:p>
        </w:tc>
      </w:tr>
      <w:tr w14:paraId="0A81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78F09873">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0484211">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683AB9F2">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0FF66E3B">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②重要环境防护目标及分布图</w:t>
            </w:r>
          </w:p>
        </w:tc>
      </w:tr>
      <w:tr w14:paraId="3F4BE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40AA969A">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74CA5C65">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163EEB31">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38719C21">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③应急救援路线等相关分布图</w:t>
            </w:r>
          </w:p>
        </w:tc>
      </w:tr>
      <w:tr w14:paraId="5A1C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7E9FCFCB">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48D6FE50">
            <w:pPr>
              <w:widowControl/>
              <w:spacing w:line="240" w:lineRule="auto"/>
              <w:jc w:val="center"/>
              <w:rPr>
                <w:rFonts w:hint="default" w:ascii="Times New Roman" w:hAnsi="Times New Roman" w:eastAsia="宋体" w:cs="Times New Roman"/>
                <w:color w:val="auto"/>
                <w:sz w:val="21"/>
              </w:rPr>
            </w:pPr>
          </w:p>
        </w:tc>
        <w:tc>
          <w:tcPr>
            <w:tcW w:w="2725" w:type="dxa"/>
            <w:vMerge w:val="continue"/>
            <w:tcBorders>
              <w:top w:val="single" w:color="auto" w:sz="4" w:space="0"/>
              <w:left w:val="single" w:color="auto" w:sz="4" w:space="0"/>
              <w:bottom w:val="single" w:color="auto" w:sz="4" w:space="0"/>
              <w:right w:val="single" w:color="auto" w:sz="4" w:space="0"/>
            </w:tcBorders>
            <w:vAlign w:val="center"/>
          </w:tcPr>
          <w:p w14:paraId="2DFE1A8B">
            <w:pPr>
              <w:widowControl/>
              <w:spacing w:line="240" w:lineRule="auto"/>
              <w:jc w:val="both"/>
              <w:rPr>
                <w:rFonts w:hint="default" w:ascii="Times New Roman" w:hAnsi="Times New Roman" w:eastAsia="宋体" w:cs="Times New Roman"/>
                <w:color w:val="auto"/>
                <w:sz w:val="21"/>
              </w:rPr>
            </w:pPr>
          </w:p>
        </w:tc>
        <w:tc>
          <w:tcPr>
            <w:tcW w:w="3617" w:type="dxa"/>
            <w:tcBorders>
              <w:top w:val="single" w:color="auto" w:sz="4" w:space="0"/>
              <w:left w:val="single" w:color="auto" w:sz="4" w:space="0"/>
              <w:bottom w:val="single" w:color="auto" w:sz="4" w:space="0"/>
              <w:right w:val="single" w:color="auto" w:sz="4" w:space="0"/>
            </w:tcBorders>
            <w:vAlign w:val="center"/>
          </w:tcPr>
          <w:p w14:paraId="3497EA4A">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④主要环境风险源分布图</w:t>
            </w:r>
          </w:p>
        </w:tc>
      </w:tr>
      <w:tr w14:paraId="5653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0A9A9263">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8BBFE21">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3D3FF53B">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（5）相关应急预案名录</w:t>
            </w:r>
          </w:p>
        </w:tc>
      </w:tr>
      <w:tr w14:paraId="06E8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69FAD61E">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310F2D92">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033AA5F4">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（6）有关协议或备忘录</w:t>
            </w:r>
          </w:p>
        </w:tc>
      </w:tr>
      <w:tr w14:paraId="7053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691" w:type="dxa"/>
            <w:vMerge w:val="restart"/>
            <w:tcBorders>
              <w:top w:val="single" w:color="auto" w:sz="4" w:space="0"/>
              <w:left w:val="single" w:color="auto" w:sz="4" w:space="0"/>
              <w:bottom w:val="single" w:color="auto" w:sz="4" w:space="0"/>
              <w:right w:val="single" w:color="auto" w:sz="4" w:space="0"/>
            </w:tcBorders>
            <w:vAlign w:val="center"/>
          </w:tcPr>
          <w:p w14:paraId="5839A5E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16</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2CEF89C1">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预案格式规范和要求</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02842104">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（1）统一使用A4白色复印纸或胶版纸装订</w:t>
            </w:r>
          </w:p>
        </w:tc>
      </w:tr>
      <w:tr w14:paraId="617E0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38FE1BF5">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59EF7435">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6814B4F7">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应急预案封面应载明编制企业名称、应急预案名称、预案版本号、备案时间、备案登记编号，预案编制时间、预案实施时间、编制单位等内容，按照预案备案登记表、备案申请表、发布页、预案目录、正文、专家评估意见等顺序依次装订。</w:t>
            </w:r>
          </w:p>
        </w:tc>
      </w:tr>
      <w:tr w14:paraId="359F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0A7E7B39">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051A2E63">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6D629472">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（3）批准页：应急预案必须经发布单位主要负责人批准方可发布。</w:t>
            </w:r>
          </w:p>
        </w:tc>
      </w:tr>
      <w:tr w14:paraId="7EBE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691" w:type="dxa"/>
            <w:vMerge w:val="continue"/>
            <w:tcBorders>
              <w:top w:val="single" w:color="auto" w:sz="4" w:space="0"/>
              <w:left w:val="single" w:color="auto" w:sz="4" w:space="0"/>
              <w:bottom w:val="single" w:color="auto" w:sz="4" w:space="0"/>
              <w:right w:val="single" w:color="auto" w:sz="4" w:space="0"/>
            </w:tcBorders>
            <w:vAlign w:val="center"/>
          </w:tcPr>
          <w:p w14:paraId="00AADC16">
            <w:pPr>
              <w:widowControl/>
              <w:spacing w:line="240" w:lineRule="auto"/>
              <w:jc w:val="center"/>
              <w:rPr>
                <w:rFonts w:hint="default" w:ascii="Times New Roman" w:hAnsi="Times New Roman" w:eastAsia="宋体" w:cs="Times New Roman"/>
                <w:color w:val="auto"/>
                <w:sz w:val="21"/>
              </w:rPr>
            </w:pP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6EFD239C">
            <w:pPr>
              <w:widowControl/>
              <w:spacing w:line="240" w:lineRule="auto"/>
              <w:jc w:val="center"/>
              <w:rPr>
                <w:rFonts w:hint="default" w:ascii="Times New Roman" w:hAnsi="Times New Roman" w:eastAsia="宋体" w:cs="Times New Roman"/>
                <w:color w:val="auto"/>
                <w:sz w:val="21"/>
              </w:rPr>
            </w:pP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755A872F">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（4）正文使用4号仿宋字体，单倍行距。</w:t>
            </w:r>
          </w:p>
        </w:tc>
      </w:tr>
      <w:tr w14:paraId="5500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14:paraId="5C819EA3">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17</w:t>
            </w:r>
          </w:p>
        </w:tc>
        <w:tc>
          <w:tcPr>
            <w:tcW w:w="1620" w:type="dxa"/>
            <w:tcBorders>
              <w:top w:val="single" w:color="auto" w:sz="4" w:space="0"/>
              <w:left w:val="single" w:color="auto" w:sz="4" w:space="0"/>
              <w:bottom w:val="single" w:color="auto" w:sz="4" w:space="0"/>
              <w:right w:val="single" w:color="auto" w:sz="4" w:space="0"/>
            </w:tcBorders>
            <w:vAlign w:val="center"/>
          </w:tcPr>
          <w:p w14:paraId="7C1B053B">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备  注</w:t>
            </w:r>
          </w:p>
        </w:tc>
        <w:tc>
          <w:tcPr>
            <w:tcW w:w="6342" w:type="dxa"/>
            <w:gridSpan w:val="2"/>
            <w:tcBorders>
              <w:top w:val="single" w:color="auto" w:sz="4" w:space="0"/>
              <w:left w:val="single" w:color="auto" w:sz="4" w:space="0"/>
              <w:bottom w:val="single" w:color="auto" w:sz="4" w:space="0"/>
              <w:right w:val="single" w:color="auto" w:sz="4" w:space="0"/>
            </w:tcBorders>
            <w:vAlign w:val="center"/>
          </w:tcPr>
          <w:p w14:paraId="07900FDE">
            <w:pPr>
              <w:spacing w:line="240" w:lineRule="auto"/>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此编制要点是作为企业编制突发环境事件应急预案的参考，是</w:t>
            </w:r>
            <w:r>
              <w:rPr>
                <w:rFonts w:hint="eastAsia" w:ascii="Times New Roman" w:hAnsi="Times New Roman" w:cs="Times New Roman"/>
                <w:color w:val="auto"/>
                <w:sz w:val="21"/>
                <w:lang w:val="en-US" w:eastAsia="zh-CN"/>
              </w:rPr>
              <w:t>环保</w:t>
            </w:r>
            <w:r>
              <w:rPr>
                <w:rFonts w:hint="default" w:ascii="Times New Roman" w:hAnsi="Times New Roman" w:eastAsia="宋体" w:cs="Times New Roman"/>
                <w:color w:val="auto"/>
                <w:sz w:val="21"/>
              </w:rPr>
              <w:t>部门指导和规范企业预案编制评估、进行预案形式审查的主要依据。</w:t>
            </w:r>
          </w:p>
        </w:tc>
      </w:tr>
    </w:tbl>
    <w:p w14:paraId="2D0302F1">
      <w:pPr>
        <w:adjustRightInd w:val="0"/>
        <w:snapToGrid w:val="0"/>
        <w:spacing w:beforeLines="50"/>
        <w:outlineLvl w:val="1"/>
        <w:rPr>
          <w:rFonts w:hint="default" w:ascii="Times New Roman" w:hAnsi="Times New Roman" w:eastAsia="宋体" w:cs="Times New Roman"/>
          <w:b/>
          <w:color w:val="auto"/>
          <w:sz w:val="30"/>
          <w:szCs w:val="30"/>
        </w:rPr>
      </w:pPr>
      <w:bookmarkStart w:id="359" w:name="_Toc22323"/>
      <w:r>
        <w:rPr>
          <w:rFonts w:hint="default" w:ascii="Times New Roman" w:hAnsi="Times New Roman" w:eastAsia="宋体" w:cs="Times New Roman"/>
          <w:b/>
          <w:color w:val="auto"/>
          <w:sz w:val="30"/>
          <w:szCs w:val="30"/>
        </w:rPr>
        <w:t>6.</w:t>
      </w:r>
      <w:r>
        <w:rPr>
          <w:rFonts w:hint="eastAsia" w:ascii="Times New Roman" w:hAnsi="Times New Roman" w:cs="Times New Roman"/>
          <w:b/>
          <w:color w:val="auto"/>
          <w:sz w:val="30"/>
          <w:szCs w:val="30"/>
          <w:lang w:val="en-US" w:eastAsia="zh-CN"/>
        </w:rPr>
        <w:t xml:space="preserve">5 </w:t>
      </w:r>
      <w:r>
        <w:rPr>
          <w:rFonts w:hint="default" w:ascii="Times New Roman" w:hAnsi="Times New Roman" w:eastAsia="宋体" w:cs="Times New Roman"/>
          <w:b/>
          <w:color w:val="auto"/>
          <w:sz w:val="30"/>
          <w:szCs w:val="30"/>
          <w:lang w:eastAsia="zh-CN"/>
        </w:rPr>
        <w:t>环境风险评价</w:t>
      </w:r>
      <w:r>
        <w:rPr>
          <w:rFonts w:hint="default" w:ascii="Times New Roman" w:hAnsi="Times New Roman" w:eastAsia="宋体" w:cs="Times New Roman"/>
          <w:b/>
          <w:color w:val="auto"/>
          <w:sz w:val="30"/>
          <w:szCs w:val="30"/>
        </w:rPr>
        <w:t>结论</w:t>
      </w:r>
      <w:bookmarkEnd w:id="359"/>
    </w:p>
    <w:p w14:paraId="022CD508">
      <w:pPr>
        <w:ind w:firstLine="480" w:firstLineChars="200"/>
        <w:rPr>
          <w:rFonts w:hint="default" w:ascii="Times New Roman" w:hAnsi="Times New Roman" w:eastAsia="宋体" w:cs="Times New Roman"/>
          <w:color w:val="auto"/>
        </w:rPr>
        <w:sectPr>
          <w:pgSz w:w="11906" w:h="16838"/>
          <w:pgMar w:top="1440" w:right="1797" w:bottom="1440" w:left="1797" w:header="851" w:footer="992" w:gutter="0"/>
          <w:pgNumType w:fmt="decimal"/>
          <w:cols w:space="425" w:num="1"/>
          <w:docGrid w:linePitch="312" w:charSpace="0"/>
        </w:sectPr>
      </w:pPr>
      <w:r>
        <w:rPr>
          <w:rFonts w:hint="default" w:ascii="Times New Roman" w:hAnsi="Times New Roman" w:eastAsia="宋体" w:cs="Times New Roman"/>
          <w:color w:val="auto"/>
          <w:kern w:val="0"/>
          <w:szCs w:val="24"/>
          <w:lang w:eastAsia="zh-CN"/>
        </w:rPr>
        <w:t>综上所述，</w:t>
      </w:r>
      <w:r>
        <w:rPr>
          <w:rFonts w:hint="default" w:ascii="Times New Roman" w:hAnsi="Times New Roman" w:eastAsia="宋体" w:cs="Times New Roman"/>
          <w:color w:val="auto"/>
          <w:kern w:val="0"/>
          <w:szCs w:val="24"/>
        </w:rPr>
        <w:t>本项目存在一定的环境风险，项目环境风险潜势划分为</w:t>
      </w:r>
      <w:r>
        <w:rPr>
          <w:rFonts w:hint="eastAsia" w:ascii="Times New Roman" w:hAnsi="Times New Roman" w:cs="Times New Roman"/>
          <w:color w:val="auto"/>
          <w:kern w:val="0"/>
          <w:szCs w:val="24"/>
          <w:lang w:val="en-US" w:eastAsia="zh-CN"/>
        </w:rPr>
        <w:t>简单分析</w:t>
      </w:r>
      <w:r>
        <w:rPr>
          <w:rFonts w:hint="default" w:ascii="Times New Roman" w:hAnsi="Times New Roman" w:eastAsia="宋体" w:cs="Times New Roman"/>
          <w:color w:val="auto"/>
          <w:kern w:val="0"/>
          <w:szCs w:val="24"/>
        </w:rPr>
        <w:t>，为防范风险事故的发生，本项目采取了先进的工艺技术，而且按照有关安全理念进行工程设计，本报告中提出了相应的风险防范措施，企业在严格按照有关规范标准、规范及条例的要求，认真落实环境风险防范措施，编制完善的应急预案，并去相关部门备案的前提下，项目环境风险是可控的。</w:t>
      </w:r>
    </w:p>
    <w:p w14:paraId="486BD902">
      <w:pPr>
        <w:adjustRightInd w:val="0"/>
        <w:snapToGrid w:val="0"/>
        <w:spacing w:beforeLines="50"/>
        <w:jc w:val="center"/>
        <w:outlineLvl w:val="0"/>
        <w:rPr>
          <w:rFonts w:hint="default" w:ascii="Times New Roman" w:hAnsi="Times New Roman" w:eastAsia="宋体" w:cs="Times New Roman"/>
          <w:b/>
          <w:color w:val="auto"/>
          <w:sz w:val="36"/>
          <w:szCs w:val="36"/>
        </w:rPr>
      </w:pPr>
      <w:bookmarkStart w:id="360" w:name="_Toc283889199"/>
      <w:bookmarkStart w:id="361" w:name="_Toc329956101"/>
      <w:bookmarkStart w:id="362" w:name="_Toc32643"/>
      <w:bookmarkStart w:id="363" w:name="_Toc282262864"/>
      <w:bookmarkStart w:id="364" w:name="_Toc4131"/>
      <w:r>
        <w:rPr>
          <w:rFonts w:hint="default" w:ascii="Times New Roman" w:hAnsi="Times New Roman" w:eastAsia="宋体" w:cs="Times New Roman"/>
          <w:b/>
          <w:color w:val="auto"/>
          <w:sz w:val="36"/>
          <w:szCs w:val="36"/>
        </w:rPr>
        <w:t>7.项目选址与平面布置合理性分析</w:t>
      </w:r>
      <w:bookmarkEnd w:id="360"/>
      <w:bookmarkEnd w:id="361"/>
      <w:bookmarkEnd w:id="362"/>
      <w:bookmarkEnd w:id="363"/>
      <w:bookmarkEnd w:id="364"/>
    </w:p>
    <w:p w14:paraId="3E385D5B">
      <w:pPr>
        <w:adjustRightInd w:val="0"/>
        <w:snapToGrid w:val="0"/>
        <w:spacing w:beforeLines="50"/>
        <w:outlineLvl w:val="1"/>
        <w:rPr>
          <w:rFonts w:hint="default" w:ascii="Times New Roman" w:hAnsi="Times New Roman" w:eastAsia="宋体" w:cs="Times New Roman"/>
          <w:b/>
          <w:bCs w:val="0"/>
          <w:color w:val="auto"/>
          <w:sz w:val="30"/>
          <w:szCs w:val="30"/>
        </w:rPr>
      </w:pPr>
      <w:bookmarkStart w:id="365" w:name="_Toc470775896"/>
      <w:bookmarkStart w:id="366" w:name="_Toc759"/>
      <w:bookmarkStart w:id="367" w:name="_Toc27298"/>
      <w:bookmarkStart w:id="368" w:name="_Toc329956103"/>
      <w:bookmarkStart w:id="369" w:name="_Toc299349010"/>
      <w:r>
        <w:rPr>
          <w:rFonts w:hint="default" w:ascii="Times New Roman" w:hAnsi="Times New Roman" w:eastAsia="宋体" w:cs="Times New Roman"/>
          <w:b/>
          <w:bCs w:val="0"/>
          <w:color w:val="auto"/>
          <w:sz w:val="30"/>
          <w:szCs w:val="30"/>
          <w:lang w:eastAsia="zh-CN"/>
        </w:rPr>
        <w:t>7</w:t>
      </w:r>
      <w:r>
        <w:rPr>
          <w:rFonts w:hint="default" w:ascii="Times New Roman" w:hAnsi="Times New Roman" w:eastAsia="宋体" w:cs="Times New Roman"/>
          <w:b/>
          <w:bCs w:val="0"/>
          <w:color w:val="auto"/>
          <w:sz w:val="30"/>
          <w:szCs w:val="30"/>
        </w:rPr>
        <w:t>.1产业政策符合性分析</w:t>
      </w:r>
      <w:bookmarkEnd w:id="365"/>
      <w:bookmarkEnd w:id="366"/>
    </w:p>
    <w:p w14:paraId="2DC8F7CB">
      <w:pPr>
        <w:spacing w:line="360" w:lineRule="auto"/>
        <w:ind w:firstLine="480" w:firstLineChars="200"/>
        <w:jc w:val="left"/>
        <w:rPr>
          <w:rFonts w:hint="default" w:ascii="Times New Roman" w:hAnsi="Times New Roman" w:eastAsia="宋体" w:cs="Times New Roman"/>
          <w:color w:val="auto"/>
          <w:sz w:val="24"/>
        </w:rPr>
      </w:pPr>
      <w:bookmarkStart w:id="370" w:name="_Toc470775897"/>
      <w:r>
        <w:rPr>
          <w:rFonts w:hint="default" w:ascii="Times New Roman" w:hAnsi="Times New Roman" w:eastAsia="宋体" w:cs="Times New Roman"/>
          <w:color w:val="auto"/>
          <w:sz w:val="24"/>
        </w:rPr>
        <w:t>1、与《产业结构调整指导目录（2011本修正）》的符合性</w:t>
      </w:r>
    </w:p>
    <w:p w14:paraId="1E8E9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rPr>
        <w:t>本项目属于</w:t>
      </w:r>
      <w:r>
        <w:rPr>
          <w:rFonts w:hint="default" w:ascii="Times New Roman" w:hAnsi="Times New Roman" w:eastAsia="宋体" w:cs="Times New Roman"/>
          <w:bCs/>
          <w:color w:val="auto"/>
          <w:lang w:eastAsia="zh-CN"/>
        </w:rPr>
        <w:t>服装制造建设项目，主要进行服装生产及水洗</w:t>
      </w:r>
      <w:r>
        <w:rPr>
          <w:rFonts w:hint="default" w:ascii="Times New Roman" w:hAnsi="Times New Roman" w:eastAsia="宋体" w:cs="Times New Roman"/>
          <w:bCs/>
          <w:color w:val="auto"/>
        </w:rPr>
        <w:t>。</w:t>
      </w:r>
      <w:r>
        <w:rPr>
          <w:rFonts w:hint="default" w:ascii="Times New Roman" w:hAnsi="Times New Roman" w:eastAsia="宋体" w:cs="Times New Roman"/>
          <w:bCs/>
          <w:color w:val="auto"/>
          <w:lang w:eastAsia="zh-CN"/>
        </w:rPr>
        <w:t>经查阅国务院批准</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lang w:eastAsia="zh-CN"/>
        </w:rPr>
        <w:t>颁布的中华人民共和国</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lang w:eastAsia="zh-CN"/>
        </w:rPr>
        <w:t>[2011]第9号令《产业结构调整指导目录(2011年本）》以及</w:t>
      </w:r>
      <w:r>
        <w:rPr>
          <w:rFonts w:hint="eastAsia" w:ascii="Times New Roman" w:hAnsi="Times New Roman" w:cs="Times New Roman"/>
          <w:bCs/>
          <w:color w:val="auto"/>
          <w:lang w:eastAsia="zh-CN"/>
        </w:rPr>
        <w:t>国家发展和改革委员会</w:t>
      </w:r>
      <w:r>
        <w:rPr>
          <w:rFonts w:hint="default" w:ascii="Times New Roman" w:hAnsi="Times New Roman" w:eastAsia="宋体" w:cs="Times New Roman"/>
          <w:bCs/>
          <w:color w:val="auto"/>
          <w:lang w:eastAsia="zh-CN"/>
        </w:rPr>
        <w:t>[2013]第21号令“关于修改《产业结构调整指导目录(2011年本）》有关条款的决定”和《云南省产业结构调整指导目录》（2006年本），本项目不属于国家产业政策鼓励类、限制类及淘汰类项目；同时根据国务院《促进产业结构调整暂行规定》(国发[2005]40号)，第十三条“不属于鼓励类、限制类及淘汰类，且符合国家有关法律、法规和政策规定的，为允许类”。因此，项目符合国家产业政策。</w:t>
      </w:r>
    </w:p>
    <w:p w14:paraId="277DD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bCs/>
          <w:color w:val="auto"/>
          <w:lang w:eastAsia="zh-CN"/>
        </w:rPr>
      </w:pPr>
      <w:r>
        <w:rPr>
          <w:rFonts w:hint="default" w:ascii="Times New Roman" w:hAnsi="Times New Roman" w:eastAsia="宋体" w:cs="Times New Roman"/>
          <w:bCs/>
          <w:color w:val="auto"/>
          <w:lang w:eastAsia="zh-CN"/>
        </w:rPr>
        <w:t>根据《淘汰落后生产能力、工艺、产品的目录（第一批、第二批、第三批）》，项目所使用的设备均不属于落后生产工艺装备；同时对照《云南省工业产业结构调整指导目录》（2006年本），项目不在限制类及淘汰类之列。</w:t>
      </w:r>
    </w:p>
    <w:p w14:paraId="45FB18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bCs/>
          <w:color w:val="auto"/>
          <w:lang w:eastAsia="zh-CN"/>
        </w:rPr>
        <w:t>该项目建设有利于促进当地的经济发展，增加当地的财政收入，提高劳动就业率。</w:t>
      </w:r>
      <w:r>
        <w:rPr>
          <w:rFonts w:hint="default" w:ascii="Times New Roman" w:hAnsi="Times New Roman" w:eastAsia="宋体" w:cs="Times New Roman"/>
          <w:color w:val="auto"/>
          <w:lang w:eastAsia="zh-CN"/>
        </w:rPr>
        <w:t>且项目已取得投资项目备案证（项目代码：</w:t>
      </w:r>
      <w:r>
        <w:rPr>
          <w:rFonts w:hint="default" w:ascii="Times New Roman" w:hAnsi="Times New Roman" w:eastAsia="宋体" w:cs="Times New Roman"/>
          <w:color w:val="auto"/>
          <w:lang w:val="en-US" w:eastAsia="zh-CN"/>
        </w:rPr>
        <w:t>2019-533103-18-03-005323</w:t>
      </w:r>
      <w:r>
        <w:rPr>
          <w:rFonts w:hint="default" w:ascii="Times New Roman" w:hAnsi="Times New Roman" w:eastAsia="宋体" w:cs="Times New Roman"/>
          <w:color w:val="auto"/>
          <w:lang w:eastAsia="zh-CN"/>
        </w:rPr>
        <w:t>）</w:t>
      </w:r>
      <w:r>
        <w:rPr>
          <w:rFonts w:hint="default" w:ascii="Times New Roman" w:hAnsi="Times New Roman" w:eastAsia="宋体" w:cs="Times New Roman"/>
          <w:bCs/>
          <w:color w:val="auto"/>
        </w:rPr>
        <w:t>。</w:t>
      </w:r>
    </w:p>
    <w:p w14:paraId="72296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rPr>
        <w:t>综上所述，项目的建设符合国家有关产业政策要求</w:t>
      </w:r>
      <w:r>
        <w:rPr>
          <w:rFonts w:hint="default" w:ascii="Times New Roman" w:hAnsi="Times New Roman" w:eastAsia="宋体" w:cs="Times New Roman"/>
          <w:color w:val="auto"/>
        </w:rPr>
        <w:t>。</w:t>
      </w:r>
    </w:p>
    <w:p w14:paraId="693C6478">
      <w:pPr>
        <w:adjustRightInd w:val="0"/>
        <w:snapToGrid w:val="0"/>
        <w:spacing w:beforeLines="50"/>
        <w:outlineLvl w:val="1"/>
        <w:rPr>
          <w:rFonts w:hint="default" w:ascii="Times New Roman" w:hAnsi="Times New Roman" w:eastAsia="宋体" w:cs="Times New Roman"/>
          <w:b/>
          <w:bCs w:val="0"/>
          <w:color w:val="auto"/>
          <w:sz w:val="30"/>
          <w:szCs w:val="30"/>
          <w:lang w:eastAsia="zh-CN"/>
        </w:rPr>
      </w:pPr>
      <w:bookmarkStart w:id="371" w:name="_Toc9600"/>
      <w:r>
        <w:rPr>
          <w:rFonts w:hint="default" w:ascii="Times New Roman" w:hAnsi="Times New Roman" w:eastAsia="宋体" w:cs="Times New Roman"/>
          <w:b/>
          <w:bCs w:val="0"/>
          <w:color w:val="auto"/>
          <w:sz w:val="30"/>
          <w:szCs w:val="30"/>
          <w:lang w:eastAsia="zh-CN"/>
        </w:rPr>
        <w:t>7.2选址环境合理性分析</w:t>
      </w:r>
      <w:bookmarkEnd w:id="370"/>
      <w:bookmarkEnd w:id="371"/>
    </w:p>
    <w:p w14:paraId="5C655AEA">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w:t>
      </w:r>
      <w:r>
        <w:rPr>
          <w:rFonts w:hint="default" w:ascii="Times New Roman" w:hAnsi="Times New Roman" w:eastAsia="宋体" w:cs="Times New Roman"/>
          <w:color w:val="auto"/>
          <w:sz w:val="28"/>
        </w:rPr>
        <w:t>.2.1</w:t>
      </w:r>
      <w:r>
        <w:rPr>
          <w:rFonts w:hint="default" w:ascii="Times New Roman" w:hAnsi="Times New Roman" w:eastAsia="宋体" w:cs="Times New Roman"/>
          <w:color w:val="auto"/>
          <w:sz w:val="28"/>
          <w:lang w:eastAsia="zh-CN"/>
        </w:rPr>
        <w:t>区域规划层次</w:t>
      </w:r>
    </w:p>
    <w:p w14:paraId="7A0F3F05">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hd w:val="clear" w:color="auto" w:fill="FFFFFF"/>
        </w:rPr>
        <w:t>2010-2012年，国务院陆续下发《中共中央、国务院关于深入实施西部大开发战略的若干意见》（中发［2010］11号）、《国务院关于支持云南省加快建设面向西南开放重要桥头堡的意见》（国发［2011］11号）和《国务院办公厅关于同意广西东兴、云南瑞丽、内蒙古满洲里重点开发开放试验区建设实施方案的函》（国办函［2012］103号）。批准了云南瑞丽重点开发开放试验区建设实施方案的要求，并于2013年编制了《云南瑞丽重点开发开放试验区建设总体规划》并经</w:t>
      </w:r>
      <w:r>
        <w:rPr>
          <w:rFonts w:hint="eastAsia" w:ascii="Times New Roman" w:hAnsi="Times New Roman" w:cs="Times New Roman"/>
          <w:color w:val="auto"/>
          <w:sz w:val="24"/>
          <w:shd w:val="clear" w:color="auto" w:fill="FFFFFF"/>
          <w:lang w:eastAsia="zh-CN"/>
        </w:rPr>
        <w:t>国家发展和改革委员会</w:t>
      </w:r>
      <w:r>
        <w:rPr>
          <w:rFonts w:hint="default" w:ascii="Times New Roman" w:hAnsi="Times New Roman" w:eastAsia="宋体" w:cs="Times New Roman"/>
          <w:color w:val="auto"/>
          <w:sz w:val="24"/>
          <w:shd w:val="clear" w:color="auto" w:fill="FFFFFF"/>
        </w:rPr>
        <w:t>批复同意实施（发改西部［2013］1554号）。规划范围为瑞丽市全境，产业布局辐射芒市、陇川等周边县（市）。规划期限为2013-2022年。2014年8月编制完成了《云南瑞丽重点开发开放试验区建设总体规划环境影响报告书》并于</w:t>
      </w:r>
      <w:r>
        <w:rPr>
          <w:rFonts w:hint="default" w:ascii="Times New Roman" w:hAnsi="Times New Roman" w:eastAsia="宋体" w:cs="Times New Roman"/>
          <w:color w:val="auto"/>
          <w:sz w:val="24"/>
        </w:rPr>
        <w:t>2014年10月31日，</w:t>
      </w:r>
      <w:r>
        <w:rPr>
          <w:rFonts w:hint="eastAsia" w:ascii="Times New Roman" w:hAnsi="Times New Roman" w:cs="Times New Roman"/>
          <w:color w:val="auto"/>
          <w:sz w:val="24"/>
          <w:lang w:eastAsia="zh-CN"/>
        </w:rPr>
        <w:t>生态环境局部</w:t>
      </w:r>
      <w:r>
        <w:rPr>
          <w:rFonts w:hint="default" w:ascii="Times New Roman" w:hAnsi="Times New Roman" w:eastAsia="宋体" w:cs="Times New Roman"/>
          <w:color w:val="auto"/>
          <w:sz w:val="24"/>
        </w:rPr>
        <w:t>环境影响评价司在北京市主持召开了《云南瑞丽重点开发开放试验区建设总体规划环境影响报告书》进行了专家论证会。</w:t>
      </w:r>
      <w:r>
        <w:rPr>
          <w:rFonts w:hint="default" w:ascii="Times New Roman" w:hAnsi="Times New Roman" w:eastAsia="宋体" w:cs="Times New Roman"/>
          <w:color w:val="auto"/>
          <w:sz w:val="24"/>
          <w:shd w:val="clear" w:color="auto" w:fill="FFFFFF"/>
        </w:rPr>
        <w:t>2014年12月22日，国家</w:t>
      </w:r>
      <w:r>
        <w:rPr>
          <w:rFonts w:hint="eastAsia" w:ascii="Times New Roman" w:hAnsi="Times New Roman" w:cs="Times New Roman"/>
          <w:color w:val="auto"/>
          <w:sz w:val="24"/>
          <w:shd w:val="clear" w:color="auto" w:fill="FFFFFF"/>
          <w:lang w:eastAsia="zh-CN"/>
        </w:rPr>
        <w:t>生态环境局部</w:t>
      </w:r>
      <w:r>
        <w:rPr>
          <w:rFonts w:hint="default" w:ascii="Times New Roman" w:hAnsi="Times New Roman" w:eastAsia="宋体" w:cs="Times New Roman"/>
          <w:color w:val="auto"/>
          <w:sz w:val="24"/>
          <w:shd w:val="clear" w:color="auto" w:fill="FFFFFF"/>
        </w:rPr>
        <w:t>下发了《关于云南瑞丽重点开发开放试验区建设总体规划环境影响评价工作意见的函》(环办函〔2014〕1776号文)</w:t>
      </w:r>
      <w:r>
        <w:rPr>
          <w:rFonts w:hint="default" w:ascii="Times New Roman" w:hAnsi="Times New Roman" w:eastAsia="宋体" w:cs="Times New Roman"/>
          <w:color w:val="auto"/>
          <w:sz w:val="24"/>
        </w:rPr>
        <w:t xml:space="preserve"> 对</w:t>
      </w:r>
      <w:r>
        <w:rPr>
          <w:rFonts w:hint="default" w:ascii="Times New Roman" w:hAnsi="Times New Roman" w:eastAsia="宋体" w:cs="Times New Roman"/>
          <w:bCs/>
          <w:color w:val="auto"/>
          <w:sz w:val="24"/>
        </w:rPr>
        <w:t>云南瑞丽重点开发开放试验区建设总体规划实施中的环境保护提出了相关要求</w:t>
      </w:r>
      <w:r>
        <w:rPr>
          <w:rFonts w:hint="default" w:ascii="Times New Roman" w:hAnsi="Times New Roman" w:eastAsia="宋体" w:cs="Times New Roman"/>
          <w:color w:val="auto"/>
          <w:sz w:val="24"/>
        </w:rPr>
        <w:t>。试验区范围内的各规划均均依托《云南瑞丽重点开发开放试验区建设总体规划》进行规划。</w:t>
      </w:r>
    </w:p>
    <w:p w14:paraId="6E2A0EA6">
      <w:pPr>
        <w:spacing w:line="360" w:lineRule="auto"/>
        <w:ind w:firstLine="480" w:firstLineChars="200"/>
        <w:jc w:val="left"/>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shd w:val="clear" w:color="auto" w:fill="FFFFFF"/>
        </w:rPr>
        <w:t>综上所述，芒市工业园区于2013年纳入云南瑞丽重点开发开放试验区范围。</w:t>
      </w:r>
    </w:p>
    <w:p w14:paraId="3916A2B6">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7.2.2与</w:t>
      </w:r>
      <w:r>
        <w:rPr>
          <w:rFonts w:hint="default" w:ascii="Times New Roman" w:hAnsi="Times New Roman" w:eastAsia="宋体" w:cs="Times New Roman"/>
          <w:color w:val="auto"/>
          <w:sz w:val="28"/>
          <w:lang w:val="en-US" w:eastAsia="zh-CN"/>
        </w:rPr>
        <w:t>《云南瑞丽重点开发开放试验区建设总体规划》</w:t>
      </w:r>
      <w:r>
        <w:rPr>
          <w:rFonts w:hint="default" w:ascii="Times New Roman" w:hAnsi="Times New Roman" w:eastAsia="宋体" w:cs="Times New Roman"/>
          <w:color w:val="auto"/>
          <w:sz w:val="28"/>
          <w:lang w:eastAsia="zh-CN"/>
        </w:rPr>
        <w:t>相符性</w:t>
      </w:r>
    </w:p>
    <w:p w14:paraId="5023E6B1">
      <w:pPr>
        <w:spacing w:line="360" w:lineRule="auto"/>
        <w:ind w:firstLine="480" w:firstLineChars="200"/>
        <w:jc w:val="left"/>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rPr>
        <w:t>本项目位于芒市工业园区帕底片区，</w:t>
      </w:r>
      <w:r>
        <w:rPr>
          <w:rFonts w:hint="default" w:ascii="Times New Roman" w:hAnsi="Times New Roman" w:eastAsia="宋体" w:cs="Times New Roman"/>
          <w:color w:val="auto"/>
          <w:sz w:val="24"/>
          <w:shd w:val="clear" w:color="auto" w:fill="FFFFFF"/>
        </w:rPr>
        <w:t>于2013年纳入云南瑞丽重点开发开放试验区范围。目前，片区规划主要按照《云南瑞丽重点开发开放试验区建设总体规划》进行规划建设。</w:t>
      </w:r>
    </w:p>
    <w:p w14:paraId="09CEAB8E">
      <w:pPr>
        <w:spacing w:line="360" w:lineRule="auto"/>
        <w:ind w:firstLine="424" w:firstLineChars="177"/>
        <w:rPr>
          <w:rFonts w:hint="default" w:ascii="Times New Roman" w:hAnsi="Times New Roman" w:eastAsia="宋体" w:cs="Times New Roman"/>
          <w:color w:val="auto"/>
          <w:sz w:val="24"/>
          <w:shd w:val="clear" w:color="auto" w:fill="FFFFFF"/>
        </w:rPr>
      </w:pPr>
      <w:r>
        <w:rPr>
          <w:rFonts w:hint="default" w:ascii="Times New Roman" w:hAnsi="Times New Roman" w:eastAsia="宋体" w:cs="Times New Roman"/>
          <w:color w:val="auto"/>
          <w:sz w:val="24"/>
        </w:rPr>
        <w:t>按照《云南瑞丽重点开发开放试验区建设总体规划》（以下简称“规划”）</w:t>
      </w:r>
      <w:r>
        <w:rPr>
          <w:rFonts w:hint="default" w:ascii="Times New Roman" w:hAnsi="Times New Roman" w:eastAsia="宋体" w:cs="Times New Roman"/>
          <w:color w:val="auto"/>
          <w:sz w:val="24"/>
          <w:shd w:val="clear" w:color="auto" w:fill="FFFFFF"/>
        </w:rPr>
        <w:t>规划范围：瑞丽市全境，产业布局辐射芒市、陇川等周边县（市）。规划期限为2013-2022年。规划产业空间布局为构件“</w:t>
      </w:r>
      <w:r>
        <w:rPr>
          <w:rFonts w:hint="default" w:ascii="Times New Roman" w:hAnsi="Times New Roman" w:eastAsia="宋体" w:cs="Times New Roman"/>
          <w:bCs/>
          <w:color w:val="auto"/>
          <w:sz w:val="24"/>
        </w:rPr>
        <w:t>一核两翼</w:t>
      </w:r>
      <w:r>
        <w:rPr>
          <w:rFonts w:hint="default" w:ascii="Times New Roman" w:hAnsi="Times New Roman" w:eastAsia="宋体" w:cs="Times New Roman"/>
          <w:color w:val="auto"/>
          <w:sz w:val="24"/>
          <w:shd w:val="clear" w:color="auto" w:fill="FFFFFF"/>
        </w:rPr>
        <w:t>”空间发展格局，辐射周边县市重点规划建设6个功能区。</w:t>
      </w:r>
    </w:p>
    <w:p w14:paraId="1B8933DC">
      <w:pPr>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hd w:val="clear" w:color="auto" w:fill="FFFFFF"/>
        </w:rPr>
        <w:t>本项目位于</w:t>
      </w:r>
      <w:r>
        <w:rPr>
          <w:rFonts w:hint="default" w:ascii="Times New Roman" w:hAnsi="Times New Roman" w:eastAsia="宋体" w:cs="Times New Roman"/>
          <w:color w:val="auto"/>
          <w:sz w:val="24"/>
        </w:rPr>
        <w:t>芒市工业园区帕底片区</w:t>
      </w:r>
      <w:r>
        <w:rPr>
          <w:rFonts w:hint="default" w:ascii="Times New Roman" w:hAnsi="Times New Roman" w:eastAsia="宋体" w:cs="Times New Roman"/>
          <w:color w:val="auto"/>
          <w:sz w:val="24"/>
          <w:shd w:val="clear" w:color="auto" w:fill="FFFFFF"/>
        </w:rPr>
        <w:t>，项目所在区域属于《规划》“一核”中的重点发展区</w:t>
      </w:r>
      <w:r>
        <w:rPr>
          <w:rFonts w:hint="default" w:ascii="Times New Roman" w:hAnsi="Times New Roman" w:eastAsia="宋体" w:cs="Times New Roman"/>
          <w:bCs/>
          <w:color w:val="auto"/>
          <w:sz w:val="24"/>
        </w:rPr>
        <w:t>。按照六大功能区的产业空间布局，本项目所在区域属于规划中的风平工业园区、定位为</w:t>
      </w:r>
      <w:r>
        <w:rPr>
          <w:rFonts w:hint="default" w:ascii="Times New Roman" w:hAnsi="Times New Roman" w:eastAsia="宋体" w:cs="Times New Roman"/>
          <w:color w:val="auto"/>
          <w:sz w:val="24"/>
        </w:rPr>
        <w:t>进出口加工、商贸物流产业区。</w:t>
      </w:r>
    </w:p>
    <w:p w14:paraId="775D6BDA">
      <w:pPr>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布局规划进出口加工产业区是以瑞丽市为中心，以陇川县、芒市为两翼。布局建设各具特色的进出口加工产业基地。在瑞丽市勐卯镇、畹町镇、弄岛镇，建设进出口加工基地，巩固提升珠宝玉石、幼稚木材、天然橡胶等特色资源深加工产业，重点发展面向南亚、东南亚市场的机械制造、家用电器、电子信息、轻纺服装、生物制药等出口加工产业。在陇川县章凤镇，建设进口资源加工基地，发展具有资源和产业优势的清洁载能产业，配套发展出口加工装配业。在芒市遮放镇、风平镇、轩岗乡，建设进口能源等资源加工基地，重点发展天然气综合利用为主的现代化工等产业。</w:t>
      </w:r>
    </w:p>
    <w:p w14:paraId="3931366C">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w:t>
      </w:r>
      <w:r>
        <w:rPr>
          <w:rFonts w:hint="eastAsia" w:ascii="Times New Roman" w:hAnsi="Times New Roman" w:cs="Times New Roman"/>
          <w:color w:val="auto"/>
          <w:sz w:val="24"/>
          <w:lang w:eastAsia="zh-CN"/>
        </w:rPr>
        <w:t>服装制造业</w:t>
      </w:r>
      <w:r>
        <w:rPr>
          <w:rFonts w:hint="default" w:ascii="Times New Roman" w:hAnsi="Times New Roman" w:eastAsia="宋体" w:cs="Times New Roman"/>
          <w:color w:val="auto"/>
          <w:sz w:val="24"/>
        </w:rPr>
        <w:t>，产品主要面向南亚、东南亚。与进出口加工产业区重点发展面向南亚、东南亚市场的机械制造加工产业的规划发展方向相一致。且本项目经芒市工业园区管委会同意项目入住。因此认为本项目产业布局符合《规划》的产业及布局要求。本项目与试验区规划布局图的位置关系见图</w:t>
      </w:r>
      <w:r>
        <w:rPr>
          <w:rFonts w:hint="eastAsia" w:ascii="Times New Roman" w:hAnsi="Times New Roman" w:cs="Times New Roman"/>
          <w:color w:val="auto"/>
          <w:sz w:val="24"/>
          <w:lang w:val="en-US" w:eastAsia="zh-CN"/>
        </w:rPr>
        <w:t>4</w:t>
      </w:r>
      <w:r>
        <w:rPr>
          <w:rFonts w:hint="default" w:ascii="Times New Roman" w:hAnsi="Times New Roman" w:eastAsia="宋体" w:cs="Times New Roman"/>
          <w:color w:val="auto"/>
          <w:sz w:val="24"/>
        </w:rPr>
        <w:t>。</w:t>
      </w:r>
    </w:p>
    <w:p w14:paraId="2E8F2691">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7.2.3与</w:t>
      </w:r>
      <w:r>
        <w:rPr>
          <w:rFonts w:hint="default" w:ascii="Times New Roman" w:hAnsi="Times New Roman" w:eastAsia="宋体" w:cs="Times New Roman"/>
          <w:color w:val="auto"/>
          <w:sz w:val="28"/>
          <w:lang w:val="en-US" w:eastAsia="zh-CN"/>
        </w:rPr>
        <w:t>《云南瑞丽重点开发开放试验区建设总体规划环境影响报告书》</w:t>
      </w:r>
      <w:r>
        <w:rPr>
          <w:rFonts w:hint="default" w:ascii="Times New Roman" w:hAnsi="Times New Roman" w:eastAsia="宋体" w:cs="Times New Roman"/>
          <w:color w:val="auto"/>
          <w:sz w:val="28"/>
          <w:lang w:eastAsia="zh-CN"/>
        </w:rPr>
        <w:t>相符性</w:t>
      </w:r>
    </w:p>
    <w:p w14:paraId="24E9E69E">
      <w:pPr>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shd w:val="clear" w:color="auto" w:fill="FFFFFF"/>
        </w:rPr>
        <w:t>2014年8月由南开大学及云南省环境工程评估中心编制完成了《云南瑞丽重点开发开放试验区建设总体规划环境影响报告书》并于</w:t>
      </w:r>
      <w:r>
        <w:rPr>
          <w:rFonts w:hint="default" w:ascii="Times New Roman" w:hAnsi="Times New Roman" w:eastAsia="宋体" w:cs="Times New Roman"/>
          <w:color w:val="auto"/>
          <w:sz w:val="24"/>
        </w:rPr>
        <w:t>2014年10月31日，</w:t>
      </w:r>
      <w:r>
        <w:rPr>
          <w:rFonts w:hint="eastAsia" w:ascii="Times New Roman" w:hAnsi="Times New Roman" w:cs="Times New Roman"/>
          <w:color w:val="auto"/>
          <w:sz w:val="24"/>
          <w:lang w:eastAsia="zh-CN"/>
        </w:rPr>
        <w:t>生态环境局部</w:t>
      </w:r>
      <w:r>
        <w:rPr>
          <w:rFonts w:hint="default" w:ascii="Times New Roman" w:hAnsi="Times New Roman" w:eastAsia="宋体" w:cs="Times New Roman"/>
          <w:color w:val="auto"/>
          <w:sz w:val="24"/>
        </w:rPr>
        <w:t>环境影响评价司在北京市主持召开了《云南瑞丽重点开发开放试验区建设总体规划环境影响报告书》进行了专家论证会。</w:t>
      </w:r>
      <w:r>
        <w:rPr>
          <w:rFonts w:hint="default" w:ascii="Times New Roman" w:hAnsi="Times New Roman" w:eastAsia="宋体" w:cs="Times New Roman"/>
          <w:color w:val="auto"/>
          <w:sz w:val="24"/>
          <w:shd w:val="clear" w:color="auto" w:fill="FFFFFF"/>
        </w:rPr>
        <w:t>2014年12月22日，国家</w:t>
      </w:r>
      <w:r>
        <w:rPr>
          <w:rFonts w:hint="eastAsia" w:ascii="Times New Roman" w:hAnsi="Times New Roman" w:cs="Times New Roman"/>
          <w:color w:val="auto"/>
          <w:sz w:val="24"/>
          <w:shd w:val="clear" w:color="auto" w:fill="FFFFFF"/>
          <w:lang w:eastAsia="zh-CN"/>
        </w:rPr>
        <w:t>生态环境局部</w:t>
      </w:r>
      <w:r>
        <w:rPr>
          <w:rFonts w:hint="default" w:ascii="Times New Roman" w:hAnsi="Times New Roman" w:eastAsia="宋体" w:cs="Times New Roman"/>
          <w:color w:val="auto"/>
          <w:sz w:val="24"/>
          <w:shd w:val="clear" w:color="auto" w:fill="FFFFFF"/>
        </w:rPr>
        <w:t>下发了《关于云南瑞丽重点开发开放试验区建设总体规划环境影响评价工作意见的函》(环办函〔2014〕1776号文)</w:t>
      </w:r>
      <w:r>
        <w:rPr>
          <w:rFonts w:hint="default" w:ascii="Times New Roman" w:hAnsi="Times New Roman" w:eastAsia="宋体" w:cs="Times New Roman"/>
          <w:color w:val="auto"/>
          <w:sz w:val="24"/>
        </w:rPr>
        <w:t>。根据规划环评及规划环评论证、审查意见对</w:t>
      </w:r>
      <w:r>
        <w:rPr>
          <w:rFonts w:hint="default" w:ascii="Times New Roman" w:hAnsi="Times New Roman" w:eastAsia="宋体" w:cs="Times New Roman"/>
          <w:bCs/>
          <w:color w:val="auto"/>
          <w:sz w:val="24"/>
        </w:rPr>
        <w:t>云南瑞丽重点开发开放试验区建设总体规划实施中的环境保护提出的相关要求：</w:t>
      </w:r>
    </w:p>
    <w:p w14:paraId="2FA9968B">
      <w:pPr>
        <w:spacing w:line="360" w:lineRule="auto"/>
        <w:ind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rPr>
        <w:t>（一）按照国家、地方有关区域功能定位和产业发展的战略、规划，以及</w:t>
      </w:r>
      <w:r>
        <w:rPr>
          <w:rFonts w:hint="eastAsia" w:ascii="Times New Roman" w:hAnsi="Times New Roman" w:cs="Times New Roman"/>
          <w:color w:val="auto"/>
          <w:sz w:val="24"/>
          <w:lang w:val="en-US" w:eastAsia="zh-CN"/>
        </w:rPr>
        <w:t>生态环境部</w:t>
      </w:r>
      <w:r>
        <w:rPr>
          <w:rFonts w:hint="default" w:ascii="Times New Roman" w:hAnsi="Times New Roman" w:eastAsia="宋体" w:cs="Times New Roman"/>
          <w:color w:val="auto"/>
          <w:sz w:val="24"/>
        </w:rPr>
        <w:t>西部大开发战略环境评价相关成果要求，统筹考虑城镇化、工业化、农业现代化、边贸通道等发展目标，以构建产业结构合理、经济效益较高、环境友好型产业体系为主线，进一步优化《规划》产业布局、结构、规模和开发时序。逐步缩减矿产资源开发规模，提升环境准入要求；严格控制生物医药、制糖等产能无序扩张，逐步淘汰硅冶炼产业。结合区域农产品主产区的功能定位，合理调控三产比例，提升产业发展的质量和层次。控制好城镇和产业发展规模，着力提高土地集约利用水平，坚守耕地红线，确保基本农田生态系统安全。旅游产业的发展应严格树立“生态红线”理念。</w:t>
      </w:r>
    </w:p>
    <w:p w14:paraId="00EAFBE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二）按照“尊重自然、顺应自然、保护自然”的理念，协调好试验区开发开放与区域生态环境保护的关系。加强对铜壁关省级自然保护区、瑞丽江-大盈江国家级风景名胜区、章凤国家森林公园、畹町国家森林公园、史迪威湿地码头，以及区域特有的萼翅藤、滇藏榄等珍稀濒危物种的保护，确保区域重要生态功能不退化。进一步细化生态控制分区要求，加强热带雨林等特有生态系统和生物多样性保护，切实维护区域生态安全格局。</w:t>
      </w:r>
    </w:p>
    <w:p w14:paraId="31DF5DA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（三）进一步研究“工业上山、城镇上山”的环境合理性和环境保护要求。以“在保护中发展，在发展中保护，生态优先，确保底线”为原则，合理控制空间开发范围，审慎推进低丘缓坡开发战略。</w:t>
      </w:r>
    </w:p>
    <w:p w14:paraId="1A84A3D8">
      <w:pPr>
        <w:spacing w:line="360" w:lineRule="auto"/>
        <w:ind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color w:val="auto"/>
          <w:sz w:val="24"/>
        </w:rPr>
        <w:t>（四）建议完善并尽快实施试验区生态环境保护规划，统筹考虑和安排试验区生态环境保护的机制体制建设、污染物排放与管理、生态保护与恢复、环境保护基础设施建设等事宜。严格落实污染物总量控制要求，采取有效措施减少污染物排放量。深入研究论证《规划》实施的资源环境支撑能力，特别是水环境、土地资源的支撑能力。</w:t>
      </w:r>
    </w:p>
    <w:p w14:paraId="0A9D65A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五）加快推进试验区内各工业园区的规划编制和规划环境影响评价工作。依据区域的资源环境承载能力，综合论证园区产业定位、布局、结构、规模以及重大基础设施建设的环境合理性，统筹考虑区域环境风险防控，作为各园区规划实施和建设项目准入的基础和依据。</w:t>
      </w:r>
    </w:p>
    <w:p w14:paraId="0EA11B1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六）加强《规划》实施的跟踪监测与管理。对进出口加工产业分布区、铜壁关省级自然保护区等重要生态敏感区、瑞丽江等跨境河流开展长期动态跟踪监测，根据监测评估结果对规划实施中出现的突出环境问题及时采取措施，适时优化调整产业发展规划和城镇发展规划。</w:t>
      </w:r>
    </w:p>
    <w:p w14:paraId="6256CC34">
      <w:pPr>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本项目产业布局符合《规划》的产业及布局要求，不属于规划环评中提出的需严格控制的生物医药、制糖等产业，也不属于需逐步淘汰的硅冶炼产业。本项目使用清洁能源，采取有效措施减少项目产生的污染物排放量，并且确保所产生的污染物能达标排放，不改变区域环境功能质量，严格落实污染物总量控制要求。本项目建设符合规划环评及规划环评论证、审查意见对</w:t>
      </w:r>
      <w:r>
        <w:rPr>
          <w:rFonts w:hint="default" w:ascii="Times New Roman" w:hAnsi="Times New Roman" w:eastAsia="宋体" w:cs="Times New Roman"/>
          <w:bCs/>
          <w:color w:val="auto"/>
          <w:sz w:val="24"/>
        </w:rPr>
        <w:t>云南瑞丽重点开发开放试验区建设总体规划实施中的环境保护要求。</w:t>
      </w:r>
    </w:p>
    <w:p w14:paraId="7563BE4F">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7.2.</w:t>
      </w:r>
      <w:r>
        <w:rPr>
          <w:rFonts w:hint="eastAsia" w:ascii="Times New Roman" w:hAnsi="Times New Roman" w:cs="Times New Roman"/>
          <w:color w:val="auto"/>
          <w:sz w:val="28"/>
          <w:lang w:val="en-US" w:eastAsia="zh-CN"/>
        </w:rPr>
        <w:t>4</w:t>
      </w:r>
      <w:r>
        <w:rPr>
          <w:rFonts w:hint="default" w:ascii="Times New Roman" w:hAnsi="Times New Roman" w:eastAsia="宋体" w:cs="Times New Roman"/>
          <w:color w:val="auto"/>
          <w:sz w:val="28"/>
          <w:lang w:eastAsia="zh-CN"/>
        </w:rPr>
        <w:t>与</w:t>
      </w:r>
      <w:r>
        <w:rPr>
          <w:rFonts w:hint="default" w:ascii="Times New Roman" w:hAnsi="Times New Roman" w:eastAsia="宋体" w:cs="Times New Roman"/>
          <w:color w:val="auto"/>
          <w:sz w:val="28"/>
          <w:lang w:val="en-US" w:eastAsia="zh-CN"/>
        </w:rPr>
        <w:t>《</w:t>
      </w:r>
      <w:r>
        <w:rPr>
          <w:rFonts w:hint="eastAsia" w:ascii="Times New Roman" w:hAnsi="Times New Roman" w:cs="Times New Roman"/>
          <w:color w:val="auto"/>
          <w:sz w:val="28"/>
          <w:lang w:val="en-US" w:eastAsia="zh-CN"/>
        </w:rPr>
        <w:t>芒市工业园区</w:t>
      </w:r>
      <w:r>
        <w:rPr>
          <w:rFonts w:hint="default" w:ascii="Times New Roman" w:hAnsi="Times New Roman" w:eastAsia="宋体" w:cs="Times New Roman"/>
          <w:color w:val="auto"/>
          <w:sz w:val="28"/>
          <w:lang w:val="en-US" w:eastAsia="zh-CN"/>
        </w:rPr>
        <w:t>总体规划</w:t>
      </w:r>
      <w:r>
        <w:rPr>
          <w:rFonts w:hint="eastAsia" w:ascii="Times New Roman" w:hAnsi="Times New Roman" w:cs="Times New Roman"/>
          <w:color w:val="auto"/>
          <w:sz w:val="28"/>
          <w:lang w:val="en-US" w:eastAsia="zh-CN"/>
        </w:rPr>
        <w:t>（2018-2035）</w:t>
      </w:r>
      <w:r>
        <w:rPr>
          <w:rFonts w:hint="default" w:ascii="Times New Roman" w:hAnsi="Times New Roman" w:eastAsia="宋体" w:cs="Times New Roman"/>
          <w:color w:val="auto"/>
          <w:sz w:val="28"/>
          <w:lang w:val="en-US" w:eastAsia="zh-CN"/>
        </w:rPr>
        <w:t>》</w:t>
      </w:r>
      <w:r>
        <w:rPr>
          <w:rFonts w:hint="default" w:ascii="Times New Roman" w:hAnsi="Times New Roman" w:eastAsia="宋体" w:cs="Times New Roman"/>
          <w:color w:val="auto"/>
          <w:sz w:val="28"/>
          <w:lang w:eastAsia="zh-CN"/>
        </w:rPr>
        <w:t>相符性</w:t>
      </w:r>
    </w:p>
    <w:p w14:paraId="60DE743B">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2018年10月10日在德宏州工信委一楼会议室召开芒市工业园区总体规划</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rPr>
        <w:t>2018-2035</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rPr>
        <w:t>州级专家评审会议。会议邀请州直相关部门专家组成专家组，专家组在听取规划编制单位昆明市规划设计研究院的汇报并认真审阅了相关图件后认为</w:t>
      </w:r>
      <w:r>
        <w:rPr>
          <w:rFonts w:hint="eastAsia" w:ascii="Times New Roman" w:hAnsi="Times New Roman" w:cs="Times New Roman"/>
          <w:color w:val="auto"/>
          <w:sz w:val="24"/>
          <w:lang w:eastAsia="zh-CN"/>
        </w:rPr>
        <w:t>：</w:t>
      </w:r>
      <w:r>
        <w:rPr>
          <w:rFonts w:hint="default" w:ascii="Times New Roman" w:hAnsi="Times New Roman" w:eastAsia="宋体" w:cs="Times New Roman"/>
          <w:color w:val="auto"/>
          <w:sz w:val="24"/>
        </w:rPr>
        <w:t>本规划对园区现状分析遗衔，规划科学、布局合理、四至范園清晰、体现了“多规合一，瘦身强体”的要求，对园区的长远发展具有较好的指导作用。专家组原则同意通过该规划。</w:t>
      </w:r>
    </w:p>
    <w:p w14:paraId="24AE372D">
      <w:pPr>
        <w:spacing w:line="360" w:lineRule="auto"/>
        <w:ind w:firstLine="480" w:firstLineChars="200"/>
        <w:jc w:val="left"/>
        <w:rPr>
          <w:rFonts w:hint="default" w:ascii="Times New Roman" w:hAnsi="Times New Roman" w:eastAsia="宋体" w:cs="Times New Roman"/>
          <w:color w:val="auto"/>
          <w:sz w:val="28"/>
          <w:lang w:eastAsia="zh-CN"/>
        </w:rPr>
      </w:pPr>
      <w:r>
        <w:rPr>
          <w:rFonts w:hint="eastAsia" w:ascii="Times New Roman" w:hAnsi="Times New Roman" w:cs="Times New Roman"/>
          <w:color w:val="auto"/>
          <w:sz w:val="24"/>
          <w:lang w:eastAsia="zh-CN"/>
        </w:rPr>
        <w:t>根据关于《德宏州生态分局芒市分局关于再次征求芒市帕底工业园区完成调规时限的函》的回函可知，</w:t>
      </w:r>
      <w:r>
        <w:rPr>
          <w:rFonts w:hint="default" w:ascii="Times New Roman" w:hAnsi="Times New Roman" w:eastAsia="宋体" w:cs="Times New Roman"/>
          <w:color w:val="auto"/>
          <w:sz w:val="24"/>
        </w:rPr>
        <w:t>云南业勤服饰有限公司服装厂建设项目为芒市2019年重大招商引资项目，项目位于芒市工业园帕底片区，项目符合《芒市工业园总体规划(2018-2035 年)》，该规划于2018年10月10日通过州级评审。根据先环评后规划的审批流程，现已完成规划和规划环评的编制，待规划环评通过省级审查批准后，再经市级规委会审查、市人民政府批准，预计2020年1且能完成。</w:t>
      </w:r>
    </w:p>
    <w:p w14:paraId="08EF54D2">
      <w:pPr>
        <w:pStyle w:val="11"/>
        <w:adjustRightInd w:val="0"/>
        <w:snapToGrid w:val="0"/>
        <w:spacing w:before="0" w:after="0" w:line="360" w:lineRule="auto"/>
        <w:rPr>
          <w:rFonts w:hint="default" w:ascii="Times New Roman" w:hAnsi="Times New Roman" w:eastAsia="宋体" w:cs="Times New Roman"/>
          <w:color w:val="auto"/>
          <w:sz w:val="28"/>
          <w:lang w:val="en-US" w:eastAsia="zh-CN"/>
        </w:rPr>
      </w:pPr>
      <w:r>
        <w:rPr>
          <w:rFonts w:hint="default" w:ascii="Times New Roman" w:hAnsi="Times New Roman" w:eastAsia="宋体" w:cs="Times New Roman"/>
          <w:color w:val="auto"/>
          <w:sz w:val="28"/>
          <w:lang w:eastAsia="zh-CN"/>
        </w:rPr>
        <w:t>7.2.</w:t>
      </w:r>
      <w:r>
        <w:rPr>
          <w:rFonts w:hint="eastAsia" w:ascii="Times New Roman" w:hAnsi="Times New Roman" w:cs="Times New Roman"/>
          <w:color w:val="auto"/>
          <w:sz w:val="28"/>
          <w:lang w:val="en-US" w:eastAsia="zh-CN"/>
        </w:rPr>
        <w:t>5</w:t>
      </w:r>
      <w:r>
        <w:rPr>
          <w:rFonts w:hint="default" w:ascii="Times New Roman" w:hAnsi="Times New Roman" w:eastAsia="宋体" w:cs="Times New Roman"/>
          <w:color w:val="auto"/>
          <w:sz w:val="28"/>
          <w:lang w:eastAsia="zh-CN"/>
        </w:rPr>
        <w:t>土地利用规划符合性</w:t>
      </w:r>
    </w:p>
    <w:p w14:paraId="55E8560D">
      <w:pPr>
        <w:spacing w:line="360" w:lineRule="auto"/>
        <w:ind w:firstLine="482"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1.规划区域范围</w:t>
      </w:r>
    </w:p>
    <w:p w14:paraId="436744B8">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云南瑞丽重点开发开放试验区建设总体规划（2013-2022）》的要求，按照辐射周边、联动发展的思路，瑞丽重点开发开放试验区的范围包括瑞丽试验区全境（含勐卯、畹町、弄岛3镇，姐相、勐秀、户育3乡）和联动发展的芒市遮放镇、风平镇、轩岗2镇1乡及陇川县章凤镇，共有“4乡6镇”组成，总面积为207051.75公顷。</w:t>
      </w:r>
    </w:p>
    <w:p w14:paraId="4952A152">
      <w:pPr>
        <w:spacing w:line="360" w:lineRule="auto"/>
        <w:ind w:firstLine="482"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2.规划期限</w:t>
      </w:r>
    </w:p>
    <w:p w14:paraId="2BC2A72B">
      <w:pPr>
        <w:widowControl/>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以2012年为规划基期年，规划期限为2013～2022年，以2017年为规划中期目标年，以2022年为规划目标年。</w:t>
      </w:r>
    </w:p>
    <w:p w14:paraId="251DBA87">
      <w:pPr>
        <w:spacing w:line="360" w:lineRule="auto"/>
        <w:ind w:firstLine="482" w:firstLineChars="200"/>
        <w:jc w:val="left"/>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3.总体目标</w:t>
      </w:r>
    </w:p>
    <w:p w14:paraId="717143D0">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适应试验区实施方案和总体发展规划的要求，以保护耕地资源和生态环境为核心，统筹土地供给和需求的关系，通过控制总量、优化结构、盘活存量、挖掘潜力，提高土地节约和集约利用水平，形成“人口向城镇集中，城镇上山布局、产业向园区集中，园区向两翼联动，住宅向社区集中，社区向农村延伸”的土地利用模式，建立集约式、规模化发展的土地利用结构，实现土地资源优化配置和高效利用，单位土地面积产出水平翻番，土地生态环境步入良性循环的轨道。创建一个高效的、具有活力的可持续土地经济环境。</w:t>
      </w:r>
    </w:p>
    <w:p w14:paraId="777F558C">
      <w:pPr>
        <w:spacing w:line="360" w:lineRule="auto"/>
        <w:ind w:firstLine="482"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b/>
          <w:color w:val="auto"/>
          <w:sz w:val="24"/>
        </w:rPr>
        <w:t>4.</w:t>
      </w:r>
      <w:r>
        <w:rPr>
          <w:rFonts w:hint="default" w:ascii="Times New Roman" w:hAnsi="Times New Roman" w:eastAsia="宋体" w:cs="Times New Roman"/>
          <w:b/>
          <w:color w:val="auto"/>
          <w:kern w:val="0"/>
          <w:sz w:val="24"/>
        </w:rPr>
        <w:t xml:space="preserve"> 芒市土地利用总体规划目标</w:t>
      </w:r>
    </w:p>
    <w:p w14:paraId="225AA10C">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（1）保护耕地特别是基本农田</w:t>
      </w:r>
    </w:p>
    <w:p w14:paraId="5C6C1311">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期末（2020年）全市耕地保有量不少于65445.33公顷，其中中期年耕地保有量不少于60462.65公顷，实现德宏州下达的耕地保有量目标。规划期内全市划定基本农田保护面积不少于50120.00公顷，应逐步有计划地加强基本农田质量建设，努力建成高产稳产农田。</w:t>
      </w:r>
    </w:p>
    <w:p w14:paraId="2BF9DD99">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规划期（2010-2020年）全市新增建设占用耕地规模控制在1162.41公顷以内。其中，中期（2010-2015年），全市新增建设占用耕地规模控制在640.00公顷以内。</w:t>
      </w:r>
    </w:p>
    <w:p w14:paraId="60B86448">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（2）保障经济社会发展的必要用地</w:t>
      </w:r>
    </w:p>
    <w:p w14:paraId="7D6B8351">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到2015年和2020年，全市建设用地总量控制在10900.96公顷和12082.13公顷，中期和规划期建设用地净增量</w:t>
      </w:r>
      <w:r>
        <w:rPr>
          <w:rFonts w:hint="default" w:ascii="Times New Roman" w:hAnsi="Times New Roman" w:eastAsia="宋体" w:cs="Times New Roman"/>
          <w:color w:val="auto"/>
          <w:sz w:val="24"/>
          <w:lang w:val="zh-CN"/>
        </w:rPr>
        <w:t>分别控制在1417. 41公</w:t>
      </w:r>
      <w:r>
        <w:rPr>
          <w:rFonts w:hint="default" w:ascii="Times New Roman" w:hAnsi="Times New Roman" w:eastAsia="宋体" w:cs="Times New Roman"/>
          <w:color w:val="auto"/>
          <w:sz w:val="24"/>
        </w:rPr>
        <w:t>顷和2598.58公顷。</w:t>
      </w:r>
    </w:p>
    <w:p w14:paraId="38920559">
      <w:pPr>
        <w:spacing w:line="480" w:lineRule="exact"/>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全市2015年和2020年城乡建设用地规模分别控制在</w:t>
      </w:r>
      <w:r>
        <w:rPr>
          <w:rFonts w:hint="default" w:ascii="Times New Roman" w:hAnsi="Times New Roman" w:eastAsia="宋体" w:cs="Times New Roman"/>
          <w:color w:val="auto"/>
          <w:sz w:val="24"/>
        </w:rPr>
        <w:t>8593.72</w:t>
      </w:r>
      <w:r>
        <w:rPr>
          <w:rFonts w:hint="default" w:ascii="Times New Roman" w:hAnsi="Times New Roman" w:eastAsia="宋体" w:cs="Times New Roman"/>
          <w:color w:val="auto"/>
          <w:sz w:val="24"/>
          <w:lang w:val="zh-CN"/>
        </w:rPr>
        <w:t>公顷和</w:t>
      </w:r>
      <w:r>
        <w:rPr>
          <w:rFonts w:hint="default" w:ascii="Times New Roman" w:hAnsi="Times New Roman" w:eastAsia="宋体" w:cs="Times New Roman"/>
          <w:color w:val="auto"/>
          <w:sz w:val="24"/>
        </w:rPr>
        <w:t>9014.13</w:t>
      </w:r>
      <w:r>
        <w:rPr>
          <w:rFonts w:hint="default" w:ascii="Times New Roman" w:hAnsi="Times New Roman" w:eastAsia="宋体" w:cs="Times New Roman"/>
          <w:color w:val="auto"/>
          <w:sz w:val="24"/>
          <w:lang w:val="zh-CN"/>
        </w:rPr>
        <w:t>公顷以内，中期和规划期净增量分别控制在504.64公顷和</w:t>
      </w:r>
      <w:r>
        <w:rPr>
          <w:rFonts w:hint="default" w:ascii="Times New Roman" w:hAnsi="Times New Roman" w:eastAsia="宋体" w:cs="Times New Roman"/>
          <w:color w:val="auto"/>
          <w:sz w:val="24"/>
        </w:rPr>
        <w:t>925.05</w:t>
      </w:r>
      <w:r>
        <w:rPr>
          <w:rFonts w:hint="default" w:ascii="Times New Roman" w:hAnsi="Times New Roman" w:eastAsia="宋体" w:cs="Times New Roman"/>
          <w:color w:val="auto"/>
          <w:sz w:val="24"/>
          <w:lang w:val="zh-CN"/>
        </w:rPr>
        <w:t>公顷。</w:t>
      </w:r>
    </w:p>
    <w:p w14:paraId="1DAA113F">
      <w:pPr>
        <w:spacing w:line="480" w:lineRule="exact"/>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2015年和2020年全市交通、水利及其他建设（旅游等）用地规模分别控制在2307.23公顷和3068.00公顷，其增量分别控制在912.76公顷和1673.53公顷。</w:t>
      </w:r>
    </w:p>
    <w:p w14:paraId="43494376">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（3）保护和改善生态环境</w:t>
      </w:r>
    </w:p>
    <w:p w14:paraId="64D494FE">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规划期末全市生态用地（包括园地、林地、牧草地和水域）规模达186781.12公顷，占土地总面积</w:t>
      </w:r>
      <w:r>
        <w:rPr>
          <w:rFonts w:hint="eastAsia" w:ascii="Times New Roman" w:hAnsi="Times New Roman" w:cs="Times New Roman"/>
          <w:color w:val="auto"/>
          <w:sz w:val="24"/>
          <w:lang w:eastAsia="zh-CN"/>
        </w:rPr>
        <w:t>的</w:t>
      </w:r>
      <w:r>
        <w:rPr>
          <w:rFonts w:hint="default" w:ascii="Times New Roman" w:hAnsi="Times New Roman" w:eastAsia="宋体" w:cs="Times New Roman"/>
          <w:color w:val="auto"/>
          <w:sz w:val="24"/>
        </w:rPr>
        <w:t>64.39%。2020年林地面积达174758.42公顷，森林覆盖率约达60%。到2020年完成小流域综合治理和水土流失治理面积1.2万公顷。规划期内洪水、滑坡、泥石流等灾害损毁耕地明显减少。</w:t>
      </w:r>
    </w:p>
    <w:p w14:paraId="5B87BF51">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（4）推进节约集约用地和农村土地整治</w:t>
      </w:r>
    </w:p>
    <w:p w14:paraId="6F335AA5">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推进节约集约用地，使土地集约利用水平更趋合理，全市人均城镇工矿用地2015年控制在155平方米/人以内，2020年控制在140平方米/人以内。预计远期（2030年）人均城镇工矿建设用地规模为115平方米。</w:t>
      </w:r>
    </w:p>
    <w:p w14:paraId="573C32D4">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积极推进土地整治，努力改造中低产田地。规划期（2010 ～ 2020年）内，全市土地整治补充耕地规模达12124.44公顷，切实完成州政府下达的补充耕地任务量，保障全市经济建设的健康发展。</w:t>
      </w:r>
    </w:p>
    <w:p w14:paraId="2ACE9071">
      <w:pPr>
        <w:spacing w:line="360" w:lineRule="auto"/>
        <w:ind w:firstLine="482"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rPr>
        <w:t>5.工业（产业）园用地规划</w:t>
      </w:r>
    </w:p>
    <w:p w14:paraId="53C5810B">
      <w:pPr>
        <w:spacing w:line="480" w:lineRule="exact"/>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（1）瑞丽组团用地布局</w:t>
      </w:r>
    </w:p>
    <w:p w14:paraId="3CEB7329">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照国家《云南瑞丽重点开发开放试验区建设实施方案》的要求，规划将瑞丽铁路客运站周边的区域纳入到国家批准的瑞丽边境经济合作区内，整体规模扩大至7平方公里，利用客流优势，建成以商贸、交易、服务为主的经济功能区。发挥政策和口岸的优势，发展外向型加工业、国际商贸业、国际物流业、珠宝家具产业、旅游度假养生产业、文化创意业、国际会展业、特色生物产业，着力打造中缅边境经济贸易中心和德宏州经济发展核心城市；依托国际大通道，着力加快试验区及周边地区基础设施和口岸体系建设，强化“陆港”订舱、报关、报检、提单签发、货代、船代、资金融通等服务功能，实现太平洋与印度洋国际港口的物流连接，建成面向印度洋沿岸国家的贸易通道。瑞丽组团至2022年建设用地规模为7000公顷。</w:t>
      </w:r>
    </w:p>
    <w:p w14:paraId="11A83295">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重点建设4大片区。</w:t>
      </w:r>
    </w:p>
    <w:p w14:paraId="7ACDAECC">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（1）瑞丽主城片区。由规划畹町火车站以西至瑞丽主城飞海地区的带状区域，包括了芒满地区、芒令地区、瑞丽主城三大部分，是试验区外向型产业发展的核心区域。</w:t>
      </w:r>
    </w:p>
    <w:p w14:paraId="685A7858">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（2）户育片区。依据云南省“保护坝区农田，推进城镇上山、工业上山”的新型土地保护和利用思路，依托近邻主城区和高速公路出入口的区位优势，在原户育乡驻地以东打造环山工业园。</w:t>
      </w:r>
    </w:p>
    <w:p w14:paraId="25A55CC5">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弄岛片区。凭借弄岛通道的口岸交通优势及中缅边境的资源优势，推动中缅合作，建立出口加工区和仓储物流区，重点发展面向南亚、东南亚市场的电子信息、轻纺服装、生物制药等出口加工产业和仓储物流功能，并结合农业优势发展优势农产品深加工产业。</w:t>
      </w:r>
    </w:p>
    <w:p w14:paraId="1439A3E6">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（4）姐告片区。对现有的姐告片区进行功能的优化和用地空间的扩展，进一步提升姐告海关特殊监管区的地位和作用。</w:t>
      </w:r>
    </w:p>
    <w:p w14:paraId="535BD57B">
      <w:pPr>
        <w:spacing w:line="480" w:lineRule="exact"/>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（2）畹町组团用地布局</w:t>
      </w:r>
    </w:p>
    <w:p w14:paraId="269E0E10">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按照国家《云南瑞丽重点开发开放试验区建设实施方案》的要求，将原国家批准的畹町边境经济合作区规模扩大至9平方公里，结合规划芒满口岸的区位和交通优势，建设成为集边境贸易、加工制造、生产服务、物流采购等功能为一体的经济功能区。随着商贸物流口岸向芒令、曼满通道的逐步转移，引导畹町功能转型，使之成为瑞丽市内独树一帜的国际边关文化旅游度假区。规划整合畹町国家森林公园、莫里热带雨林景区、九谷桥、史迪威公路旧址、万佛寺、鹦鹉塔、金龟塔等良好的生态、文化旅游资源，以边关物质和非物质历史文化资源为核心依托，以中缅边境别具一格的民族文化、抗战文化、丝路文化及和平外交文化等系列边关文化和历史积淀为重要内涵，以畹町周边的山林、水系、地热等自然资源为物质支撑，全力打造边关文化休闲生活品牌，开发中高端休闲度假产品，进而拓展以之为核心的边境旅游集贸、旅游地产等周边产业。至2022年建设用地规模为500公顷。</w:t>
      </w:r>
    </w:p>
    <w:p w14:paraId="5AF0D86E">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点建设畹町芒令综合保税片区。综合发挥瑞丽国内国外两个市场、两种资源的条件，充分利用瑞丽“国际陆港”的便利通港区联动关条件，在瑞丽火车货运站北侧地区，布局以保税物流、保税加工等功能为主的综合保税区。</w:t>
      </w:r>
    </w:p>
    <w:p w14:paraId="1F2445E7">
      <w:pPr>
        <w:spacing w:line="480" w:lineRule="exact"/>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（3）章凤组团用地布局</w:t>
      </w:r>
    </w:p>
    <w:p w14:paraId="17A5651A">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以陇川县城为依托，加强公共服务、商业贸易等功能的建设，提升城市民族文化特色和城市居住环境，建设为服务于试验区北部和陇川县域广大地区的重要服务中心。至2022年，章风组团建设用地规模为1950公顷。</w:t>
      </w:r>
    </w:p>
    <w:p w14:paraId="3408239B">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点建设章风口岸片区。在章风口岸地区，结合口岸优势和中缅陆水联运通道交通条件，发展对外贸易、以进口资源为基础的清洁载能产业和进出口加工业以及仓储物流等相关产业，形成试验区重要的外向型产业片区，为陇川作为试验区加工中心的地位建立基础。</w:t>
      </w:r>
    </w:p>
    <w:p w14:paraId="30E17F11">
      <w:pPr>
        <w:spacing w:line="480" w:lineRule="exact"/>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（4）芒市组团用地布局</w:t>
      </w:r>
    </w:p>
    <w:p w14:paraId="5B76F9FA">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提升和改造芒市机场为口岸机场，规划在大瑞铁路的基础上引入机场客运专线，设置城际列车机场站，并建设联系龙瑞高速公路的联络线，形成空地一体的快速交通体系，提升机场的航空运输优势。至2022年，芒市组团建设用地规模为2550公顷。重点建设三大片区：</w:t>
      </w:r>
    </w:p>
    <w:p w14:paraId="64FD9A59">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遮放中心片区。以遮放集镇至南部户拉地区为核心建设遮放中心片区。近期以“遮放贡米”为品牌，发展生态型农业；远期，利用交通、区位及发展空间优势，作为瑞丽经济贸易中心功能和芒市服务中心功能的外溢空问——形成面向西南的商务平台、贸易平台、金融平台和信息平台于一体的生态型现代化新城。在遮放坝区北部地区，结合龙江、芒市大河两江并流及现状良好的湿地资源及山地景观资源，建设以自然生态景观为核心的旅游功能区。</w:t>
      </w:r>
    </w:p>
    <w:p w14:paraId="5CB2155B">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（2）轩岗片区。依托中缅油气管道建设，以现状轩岗集镇为基础，建设天然气工业园，并努力向下延伸产业链，形成天然气化工产业集群。</w:t>
      </w:r>
    </w:p>
    <w:p w14:paraId="1AAEC747">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风平片区。依托泛亚通道的建设，围绕机场建设具有短小轻薄特点的航空物流、加工、仓储等临空型产业，形成试验区重要的航空交通枢纽和临空产业发展区。以帕底省级工业园区为基础，积极推进市政基础设施建设，布局加工制造业和现代物流业，形成试验区东北部重要的产业园区。</w:t>
      </w:r>
    </w:p>
    <w:p w14:paraId="21D09C8B">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选址位于芒市（芒市）工业园风平帕底片区（规划中风平片区），属于云南瑞丽重点开发开放试验区范围内、属于规划产业发展适宜区，项目用地类型为建设用地且本项目经芒市工业园区管委会同意项目入住。因此认为本项目产业布局符合规划用地要求。本项目与试验区土地利用规划布局的位置关系见图</w:t>
      </w:r>
      <w:r>
        <w:rPr>
          <w:rFonts w:hint="eastAsia" w:ascii="Times New Roman" w:hAnsi="Times New Roman" w:cs="Times New Roman"/>
          <w:color w:val="auto"/>
          <w:sz w:val="24"/>
          <w:lang w:val="en-US" w:eastAsia="zh-CN"/>
        </w:rPr>
        <w:t>5</w:t>
      </w:r>
      <w:r>
        <w:rPr>
          <w:rFonts w:hint="default" w:ascii="Times New Roman" w:hAnsi="Times New Roman" w:eastAsia="宋体" w:cs="Times New Roman"/>
          <w:color w:val="auto"/>
          <w:sz w:val="24"/>
        </w:rPr>
        <w:t>。</w:t>
      </w:r>
    </w:p>
    <w:p w14:paraId="24242D82">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7.2.</w:t>
      </w:r>
      <w:r>
        <w:rPr>
          <w:rFonts w:hint="eastAsia" w:ascii="Times New Roman" w:hAnsi="Times New Roman" w:cs="Times New Roman"/>
          <w:color w:val="auto"/>
          <w:sz w:val="28"/>
          <w:lang w:val="en-US" w:eastAsia="zh-CN"/>
        </w:rPr>
        <w:t>6</w:t>
      </w:r>
      <w:r>
        <w:rPr>
          <w:rFonts w:hint="default" w:ascii="Times New Roman" w:hAnsi="Times New Roman" w:eastAsia="宋体" w:cs="Times New Roman"/>
          <w:color w:val="auto"/>
          <w:sz w:val="28"/>
          <w:lang w:eastAsia="zh-CN"/>
        </w:rPr>
        <w:t>环境敏感目标</w:t>
      </w:r>
    </w:p>
    <w:p w14:paraId="36024A59">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拟选厂址不涉及国务院、国家有关部门和省（自治区、直辖市）人民政府规定的生态保护区、自然保护区、风景名胜区区、文化遗产保护区以及饮用水水源保护区等。</w:t>
      </w:r>
    </w:p>
    <w:p w14:paraId="5D4AF7D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厂址周围村庄、人口及河流分布见表1.8-1。</w:t>
      </w:r>
    </w:p>
    <w:p w14:paraId="3B04EC8F">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7.2.</w:t>
      </w:r>
      <w:r>
        <w:rPr>
          <w:rFonts w:hint="eastAsia" w:ascii="Times New Roman" w:hAnsi="Times New Roman" w:cs="Times New Roman"/>
          <w:color w:val="auto"/>
          <w:sz w:val="28"/>
          <w:lang w:val="en-US" w:eastAsia="zh-CN"/>
        </w:rPr>
        <w:t>7</w:t>
      </w:r>
      <w:r>
        <w:rPr>
          <w:rFonts w:hint="default" w:ascii="Times New Roman" w:hAnsi="Times New Roman" w:eastAsia="宋体" w:cs="Times New Roman"/>
          <w:color w:val="auto"/>
          <w:sz w:val="28"/>
          <w:lang w:eastAsia="zh-CN"/>
        </w:rPr>
        <w:t>对厂址周围环境的影响</w:t>
      </w:r>
    </w:p>
    <w:p w14:paraId="7E97678E">
      <w:pPr>
        <w:pStyle w:val="15"/>
        <w:spacing w:line="360" w:lineRule="auto"/>
        <w:ind w:firstLine="482"/>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1.对环境空气质量影响</w:t>
      </w:r>
    </w:p>
    <w:p w14:paraId="759005D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项目生产废气主要为TSP</w:t>
      </w:r>
      <w:r>
        <w:rPr>
          <w:rFonts w:hint="eastAsia" w:ascii="Times New Roman" w:hAnsi="Times New Roman" w:cs="Times New Roman"/>
          <w:color w:val="auto"/>
          <w:sz w:val="24"/>
          <w:lang w:eastAsia="zh-CN"/>
        </w:rPr>
        <w:t>、硫化氢、氨气</w:t>
      </w:r>
      <w:r>
        <w:rPr>
          <w:rFonts w:hint="default" w:ascii="Times New Roman" w:hAnsi="Times New Roman" w:eastAsia="宋体" w:cs="Times New Roman"/>
          <w:color w:val="auto"/>
          <w:sz w:val="24"/>
        </w:rPr>
        <w:t>，根据预测结果，建设项目在正常工况下</w:t>
      </w:r>
      <w:r>
        <w:rPr>
          <w:rFonts w:hint="eastAsia" w:ascii="Times New Roman" w:hAnsi="Times New Roman" w:eastAsia="宋体" w:cs="Times New Roman"/>
          <w:color w:val="auto"/>
          <w:sz w:val="24"/>
          <w:lang w:eastAsia="zh-CN"/>
        </w:rPr>
        <w:t>无</w:t>
      </w:r>
      <w:r>
        <w:rPr>
          <w:rFonts w:hint="default" w:ascii="Times New Roman" w:hAnsi="Times New Roman" w:eastAsia="宋体" w:cs="Times New Roman"/>
          <w:color w:val="auto"/>
          <w:sz w:val="24"/>
        </w:rPr>
        <w:t>组织废气对评价区内环境空气影响很小，不会造成评价范围内区域环境空气质量下降。</w:t>
      </w:r>
      <w:r>
        <w:rPr>
          <w:rFonts w:hint="default" w:ascii="Times New Roman" w:hAnsi="Times New Roman" w:eastAsia="宋体" w:cs="Times New Roman"/>
          <w:color w:val="auto"/>
          <w:kern w:val="0"/>
          <w:sz w:val="24"/>
        </w:rPr>
        <w:t>无组织排放的污染物浓度均在厂界能实现达标排放，不需要设置大气环境防护距离。</w:t>
      </w:r>
    </w:p>
    <w:p w14:paraId="1D27F879">
      <w:pPr>
        <w:pStyle w:val="15"/>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2.对水环境的影响</w:t>
      </w:r>
    </w:p>
    <w:p w14:paraId="40689AC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项目产生的</w:t>
      </w:r>
      <w:r>
        <w:rPr>
          <w:rFonts w:hint="default" w:ascii="Times New Roman" w:hAnsi="Times New Roman" w:eastAsia="宋体" w:cs="Times New Roman"/>
          <w:bCs/>
          <w:color w:val="auto"/>
          <w:sz w:val="24"/>
        </w:rPr>
        <w:t>生产废水</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生活污水经预处理后</w:t>
      </w:r>
      <w:r>
        <w:rPr>
          <w:rFonts w:hint="default" w:ascii="Times New Roman" w:hAnsi="Times New Roman" w:eastAsia="宋体" w:cs="Times New Roman"/>
          <w:color w:val="auto"/>
          <w:kern w:val="10"/>
          <w:sz w:val="24"/>
        </w:rPr>
        <w:t>排入园区污水管网</w:t>
      </w:r>
      <w:r>
        <w:rPr>
          <w:rFonts w:hint="default" w:ascii="Times New Roman" w:hAnsi="Times New Roman" w:eastAsia="宋体" w:cs="Times New Roman"/>
          <w:color w:val="auto"/>
          <w:sz w:val="24"/>
        </w:rPr>
        <w:t>，项目废水对区域地表水环境的影响不大。</w:t>
      </w:r>
    </w:p>
    <w:p w14:paraId="1889C902">
      <w:pPr>
        <w:pStyle w:val="15"/>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w:t>
      </w:r>
    </w:p>
    <w:p w14:paraId="0D3688E5">
      <w:pPr>
        <w:spacing w:line="360" w:lineRule="auto"/>
        <w:ind w:firstLine="480" w:firstLineChars="200"/>
        <w:rPr>
          <w:rFonts w:hint="default" w:ascii="Times New Roman" w:hAnsi="Times New Roman" w:eastAsia="宋体" w:cs="Times New Roman"/>
          <w:color w:val="auto"/>
          <w:sz w:val="24"/>
          <w:highlight w:val="yellow"/>
        </w:rPr>
      </w:pPr>
      <w:r>
        <w:rPr>
          <w:rFonts w:hint="default" w:ascii="Times New Roman" w:hAnsi="Times New Roman" w:eastAsia="宋体" w:cs="Times New Roman"/>
          <w:bCs/>
          <w:color w:val="auto"/>
          <w:sz w:val="24"/>
        </w:rPr>
        <w:t>建设单位采取了严格的噪声防治措施，噪声防治措施较为有效，</w:t>
      </w:r>
      <w:r>
        <w:rPr>
          <w:rFonts w:hint="default" w:ascii="Times New Roman" w:hAnsi="Times New Roman" w:eastAsia="宋体" w:cs="Times New Roman"/>
          <w:color w:val="auto"/>
          <w:sz w:val="24"/>
        </w:rPr>
        <w:t>根据以上预测结果可知，项目厂界昼、夜噪声预测值均可达GB12348—2008《工业企业厂界环境噪声排放标准》3类标准，在采取降噪措施后，项目区域环境噪声可以达标。</w:t>
      </w:r>
    </w:p>
    <w:p w14:paraId="1BA5D50A">
      <w:pPr>
        <w:pStyle w:val="15"/>
        <w:spacing w:line="360" w:lineRule="auto"/>
        <w:ind w:firstLine="48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4.固废</w:t>
      </w:r>
    </w:p>
    <w:p w14:paraId="34278B3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本项目产生的可利用的固体废物尽量采取综合利用，不能综合利用的固体废物分类收集、分类处置，固废处置率100%。</w:t>
      </w:r>
    </w:p>
    <w:p w14:paraId="712E6A71">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5.清洁生产</w:t>
      </w:r>
    </w:p>
    <w:p w14:paraId="12A5B992">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通过清洁生产水平分析，本项目生产工艺较先进，做到节能、节耗，使用清洁能源；做到了在生产过程中控制污染物产生和排放。项目能达到清洁生产二级指标，属国内清洁生产先进水平，满足清洁生产要求。</w:t>
      </w:r>
    </w:p>
    <w:p w14:paraId="0A52258A">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7.2.</w:t>
      </w:r>
      <w:r>
        <w:rPr>
          <w:rFonts w:hint="eastAsia" w:ascii="Times New Roman" w:hAnsi="Times New Roman" w:cs="Times New Roman"/>
          <w:color w:val="auto"/>
          <w:sz w:val="28"/>
          <w:lang w:val="en-US" w:eastAsia="zh-CN"/>
        </w:rPr>
        <w:t>8</w:t>
      </w:r>
      <w:r>
        <w:rPr>
          <w:rFonts w:hint="default" w:ascii="Times New Roman" w:hAnsi="Times New Roman" w:eastAsia="宋体" w:cs="Times New Roman"/>
          <w:color w:val="auto"/>
          <w:sz w:val="28"/>
          <w:lang w:eastAsia="zh-CN"/>
        </w:rPr>
        <w:t>项目建设对机场的影响</w:t>
      </w:r>
    </w:p>
    <w:p w14:paraId="7822820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本项目位于芒市工业园区帕底组团内，与机场直线距离为</w:t>
      </w:r>
      <w:r>
        <w:rPr>
          <w:rFonts w:hint="eastAsia" w:ascii="Times New Roman" w:hAnsi="Times New Roman" w:eastAsia="宋体" w:cs="Times New Roman"/>
          <w:color w:val="auto"/>
          <w:sz w:val="24"/>
          <w:lang w:val="en-US" w:eastAsia="zh-CN"/>
        </w:rPr>
        <w:t>5720</w:t>
      </w:r>
      <w:r>
        <w:rPr>
          <w:rFonts w:hint="default" w:ascii="Times New Roman" w:hAnsi="Times New Roman" w:eastAsia="宋体" w:cs="Times New Roman"/>
          <w:color w:val="auto"/>
          <w:sz w:val="24"/>
        </w:rPr>
        <w:t>m米，位于芒市机场净空保护区范围内，</w:t>
      </w:r>
      <w:r>
        <w:rPr>
          <w:rFonts w:hint="eastAsia" w:ascii="Times New Roman" w:hAnsi="Times New Roman" w:eastAsia="宋体" w:cs="Times New Roman"/>
          <w:color w:val="auto"/>
          <w:sz w:val="24"/>
          <w:lang w:eastAsia="zh-CN"/>
        </w:rPr>
        <w:t>不会对飞行安全造成影响</w:t>
      </w:r>
      <w:r>
        <w:rPr>
          <w:rFonts w:hint="default" w:ascii="Times New Roman" w:hAnsi="Times New Roman" w:eastAsia="宋体" w:cs="Times New Roman"/>
          <w:color w:val="auto"/>
          <w:sz w:val="24"/>
        </w:rPr>
        <w:t>。</w:t>
      </w:r>
    </w:p>
    <w:p w14:paraId="2CC492EC">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7.2.</w:t>
      </w:r>
      <w:r>
        <w:rPr>
          <w:rFonts w:hint="eastAsia" w:ascii="Times New Roman" w:hAnsi="Times New Roman" w:cs="Times New Roman"/>
          <w:color w:val="auto"/>
          <w:sz w:val="28"/>
          <w:lang w:val="en-US" w:eastAsia="zh-CN"/>
        </w:rPr>
        <w:t>9</w:t>
      </w:r>
      <w:r>
        <w:rPr>
          <w:rFonts w:hint="default" w:ascii="Times New Roman" w:hAnsi="Times New Roman" w:eastAsia="宋体" w:cs="Times New Roman"/>
          <w:color w:val="auto"/>
          <w:sz w:val="28"/>
          <w:lang w:eastAsia="zh-CN"/>
        </w:rPr>
        <w:t>公众参与</w:t>
      </w:r>
    </w:p>
    <w:p w14:paraId="3995F667">
      <w:pPr>
        <w:spacing w:line="360" w:lineRule="auto"/>
        <w:ind w:firstLine="482"/>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本项目的建设得到了政府相关部门的支持，本次公众调查结果也表明当地企事业团体和建设地周边公众支持项目建设。</w:t>
      </w:r>
    </w:p>
    <w:p w14:paraId="115E4DC5">
      <w:pPr>
        <w:pStyle w:val="11"/>
        <w:adjustRightInd w:val="0"/>
        <w:snapToGrid w:val="0"/>
        <w:spacing w:before="0" w:after="0" w:line="360" w:lineRule="auto"/>
        <w:rPr>
          <w:rFonts w:hint="default" w:ascii="Times New Roman" w:hAnsi="Times New Roman" w:eastAsia="宋体" w:cs="Times New Roman"/>
          <w:color w:val="auto"/>
          <w:sz w:val="28"/>
          <w:lang w:eastAsia="zh-CN"/>
        </w:rPr>
      </w:pPr>
      <w:r>
        <w:rPr>
          <w:rFonts w:hint="default" w:ascii="Times New Roman" w:hAnsi="Times New Roman" w:eastAsia="宋体" w:cs="Times New Roman"/>
          <w:color w:val="auto"/>
          <w:sz w:val="28"/>
          <w:lang w:eastAsia="zh-CN"/>
        </w:rPr>
        <w:t>7.2.</w:t>
      </w:r>
      <w:r>
        <w:rPr>
          <w:rFonts w:hint="eastAsia" w:ascii="Times New Roman" w:hAnsi="Times New Roman" w:cs="Times New Roman"/>
          <w:color w:val="auto"/>
          <w:sz w:val="28"/>
          <w:lang w:val="en-US" w:eastAsia="zh-CN"/>
        </w:rPr>
        <w:t>10</w:t>
      </w:r>
      <w:r>
        <w:rPr>
          <w:rFonts w:hint="default" w:ascii="Times New Roman" w:hAnsi="Times New Roman" w:eastAsia="宋体" w:cs="Times New Roman"/>
          <w:color w:val="auto"/>
          <w:sz w:val="28"/>
          <w:lang w:eastAsia="zh-CN"/>
        </w:rPr>
        <w:t>结论</w:t>
      </w:r>
    </w:p>
    <w:p w14:paraId="02D19E15">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（1）本项目符合实验区相关规划</w:t>
      </w:r>
      <w:r>
        <w:rPr>
          <w:rFonts w:hint="default" w:ascii="Times New Roman" w:hAnsi="Times New Roman" w:eastAsia="宋体" w:cs="Times New Roman"/>
          <w:bCs/>
          <w:color w:val="auto"/>
          <w:sz w:val="24"/>
        </w:rPr>
        <w:t>。</w:t>
      </w:r>
    </w:p>
    <w:p w14:paraId="7AFDA82E">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（2）本项目厂址所在地不属于县级以上人民政府批准的饮用水源保护区、自然保护区、风景名胜区、生态功能保护区等敏感区域内。</w:t>
      </w:r>
    </w:p>
    <w:p w14:paraId="74238C65">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（3）从</w:t>
      </w:r>
      <w:r>
        <w:rPr>
          <w:rFonts w:hint="default" w:ascii="Times New Roman" w:hAnsi="Times New Roman" w:eastAsia="宋体" w:cs="Times New Roman"/>
          <w:color w:val="auto"/>
          <w:sz w:val="24"/>
        </w:rPr>
        <w:t>现状监测结果分析本项目周边环境质量良好，项目投入生产后</w:t>
      </w:r>
      <w:r>
        <w:rPr>
          <w:rFonts w:hint="default" w:ascii="Times New Roman" w:hAnsi="Times New Roman" w:eastAsia="宋体" w:cs="Times New Roman"/>
          <w:bCs/>
          <w:color w:val="auto"/>
          <w:sz w:val="24"/>
        </w:rPr>
        <w:t>对环境影响可接受、项目的建设运行不会改变项目区的环境功能。</w:t>
      </w:r>
    </w:p>
    <w:p w14:paraId="4A82A00B">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（4）</w:t>
      </w:r>
      <w:r>
        <w:rPr>
          <w:rFonts w:hint="default" w:ascii="Times New Roman" w:hAnsi="Times New Roman" w:eastAsia="宋体" w:cs="Times New Roman"/>
          <w:color w:val="auto"/>
          <w:sz w:val="24"/>
        </w:rPr>
        <w:t>本项目的建设得到周边企事业单位和群众的支持。</w:t>
      </w:r>
    </w:p>
    <w:p w14:paraId="72A032F3">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（5）本项目的建设不会影响芒市机场的安全运行。</w:t>
      </w:r>
    </w:p>
    <w:p w14:paraId="06FA2300">
      <w:pPr>
        <w:pStyle w:val="1265"/>
        <w:spacing w:line="360" w:lineRule="auto"/>
        <w:ind w:left="210" w:right="210"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vanish/>
          <w:color w:val="auto"/>
          <w:sz w:val="24"/>
        </w:rPr>
        <w:cr/>
      </w:r>
      <w:r>
        <w:rPr>
          <w:rFonts w:hint="default" w:ascii="Times New Roman" w:hAnsi="Times New Roman" w:eastAsia="宋体" w:cs="Times New Roman"/>
          <w:vanish/>
          <w:color w:val="auto"/>
          <w:sz w:val="24"/>
        </w:rPr>
        <w:t>方面综合考虑，项目在现有厂区进行扩建是合理的，项目的选址合理。</w:t>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vanish/>
          <w:color w:val="auto"/>
          <w:sz w:val="24"/>
        </w:rPr>
        <w:pgNum/>
      </w:r>
      <w:r>
        <w:rPr>
          <w:rFonts w:hint="default" w:ascii="Times New Roman" w:hAnsi="Times New Roman" w:eastAsia="宋体" w:cs="Times New Roman"/>
          <w:color w:val="auto"/>
          <w:sz w:val="24"/>
        </w:rPr>
        <w:t>综上所述，本项目选址整体上符合环境保护等要求，具有良好的社会经济效益，该项目在所选择的厂址是合理可行的。</w:t>
      </w:r>
    </w:p>
    <w:p w14:paraId="7D3DE0C5">
      <w:pPr>
        <w:adjustRightInd w:val="0"/>
        <w:snapToGrid w:val="0"/>
        <w:spacing w:beforeLines="50"/>
        <w:outlineLvl w:val="1"/>
        <w:rPr>
          <w:rFonts w:hint="default" w:ascii="Times New Roman" w:hAnsi="Times New Roman" w:eastAsia="宋体" w:cs="Times New Roman"/>
          <w:b/>
          <w:bCs w:val="0"/>
          <w:color w:val="auto"/>
          <w:sz w:val="30"/>
          <w:szCs w:val="30"/>
          <w:lang w:eastAsia="zh-CN"/>
        </w:rPr>
      </w:pPr>
      <w:bookmarkStart w:id="372" w:name="_Toc470775898"/>
      <w:bookmarkStart w:id="373" w:name="_Toc4363"/>
      <w:r>
        <w:rPr>
          <w:rFonts w:hint="default" w:ascii="Times New Roman" w:hAnsi="Times New Roman" w:eastAsia="宋体" w:cs="Times New Roman"/>
          <w:b/>
          <w:bCs w:val="0"/>
          <w:color w:val="auto"/>
          <w:sz w:val="30"/>
          <w:szCs w:val="30"/>
          <w:lang w:eastAsia="zh-CN"/>
        </w:rPr>
        <w:t>7.3平面布局合理性</w:t>
      </w:r>
      <w:bookmarkEnd w:id="372"/>
      <w:bookmarkEnd w:id="373"/>
    </w:p>
    <w:p w14:paraId="526F5658">
      <w:pPr>
        <w:adjustRightInd w:val="0"/>
        <w:snapToGrid w:val="0"/>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项目占地</w:t>
      </w:r>
      <w:r>
        <w:rPr>
          <w:rFonts w:hint="default" w:ascii="Times New Roman" w:hAnsi="Times New Roman" w:eastAsia="宋体" w:cs="Times New Roman"/>
          <w:color w:val="auto"/>
          <w:lang w:eastAsia="zh-CN"/>
        </w:rPr>
        <w:t>总体</w:t>
      </w:r>
      <w:r>
        <w:rPr>
          <w:rFonts w:hint="default" w:ascii="Times New Roman" w:hAnsi="Times New Roman" w:eastAsia="宋体" w:cs="Times New Roman"/>
          <w:color w:val="auto"/>
        </w:rPr>
        <w:t>呈一个矩形，</w:t>
      </w:r>
      <w:r>
        <w:rPr>
          <w:rFonts w:hint="default" w:ascii="Times New Roman" w:hAnsi="Times New Roman" w:eastAsia="宋体" w:cs="Times New Roman"/>
          <w:color w:val="auto"/>
          <w:lang w:eastAsia="zh-CN"/>
        </w:rPr>
        <w:t>北</w:t>
      </w:r>
      <w:r>
        <w:rPr>
          <w:rFonts w:hint="default" w:ascii="Times New Roman" w:hAnsi="Times New Roman" w:eastAsia="宋体" w:cs="Times New Roman"/>
          <w:color w:val="auto"/>
        </w:rPr>
        <w:t>侧为</w:t>
      </w:r>
      <w:r>
        <w:rPr>
          <w:rFonts w:hint="eastAsia" w:ascii="Times New Roman" w:hAnsi="Times New Roman" w:cs="Times New Roman"/>
          <w:color w:val="auto"/>
          <w:lang w:eastAsia="zh-CN"/>
        </w:rPr>
        <w:t>食堂</w:t>
      </w:r>
      <w:r>
        <w:rPr>
          <w:rFonts w:hint="default" w:ascii="Times New Roman" w:hAnsi="Times New Roman" w:eastAsia="宋体" w:cs="Times New Roman"/>
          <w:color w:val="auto"/>
          <w:lang w:eastAsia="zh-CN"/>
        </w:rPr>
        <w:t>，</w:t>
      </w:r>
      <w:r>
        <w:rPr>
          <w:rFonts w:hint="eastAsia" w:ascii="Times New Roman" w:hAnsi="Times New Roman" w:cs="Times New Roman"/>
          <w:color w:val="auto"/>
          <w:lang w:eastAsia="zh-CN"/>
        </w:rPr>
        <w:t>南</w:t>
      </w:r>
      <w:r>
        <w:rPr>
          <w:rFonts w:hint="default" w:ascii="Times New Roman" w:hAnsi="Times New Roman" w:eastAsia="宋体" w:cs="Times New Roman"/>
          <w:color w:val="auto"/>
          <w:lang w:eastAsia="zh-CN"/>
        </w:rPr>
        <w:t>侧为</w:t>
      </w:r>
      <w:r>
        <w:rPr>
          <w:rFonts w:hint="eastAsia" w:ascii="Times New Roman" w:hAnsi="Times New Roman" w:cs="Times New Roman"/>
          <w:color w:val="auto"/>
          <w:lang w:eastAsia="zh-CN"/>
        </w:rPr>
        <w:t>水洗车间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w:t>
      </w:r>
      <w:r>
        <w:rPr>
          <w:rFonts w:hint="eastAsia" w:ascii="Times New Roman" w:hAnsi="Times New Roman" w:cs="Times New Roman"/>
          <w:color w:val="auto"/>
          <w:lang w:eastAsia="zh-CN"/>
        </w:rPr>
        <w:t>水洗车间和食堂中部为生产厂房</w:t>
      </w:r>
      <w:r>
        <w:rPr>
          <w:rFonts w:hint="default" w:ascii="Times New Roman" w:hAnsi="Times New Roman" w:eastAsia="宋体" w:cs="Times New Roman"/>
          <w:color w:val="auto"/>
          <w:lang w:eastAsia="zh-CN"/>
        </w:rPr>
        <w:t>，裁剪区位于项目生产厂房东部。缝制区位于项目生产厂房南部，为一层建筑，钢架结构，设置有缝制生产线12条</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整烫包装车间位于项目厂区东部，为一层建筑，钢架结构，成品仓位于项目整烫包装车间西部，为一层建筑，钢架结构，原料仓库位于项目裁剪区东部，为一层建筑，钢架结构，</w:t>
      </w:r>
    </w:p>
    <w:p w14:paraId="07E49A11">
      <w:pPr>
        <w:adjustRightInd w:val="0"/>
        <w:snapToGrid w:val="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机修车间位于项目原料仓库南部，为一层建筑，钢架结构，水洗车间位于项目区南部，生产厂房南部，办公楼位于项目厂区北侧，食堂位于项目厂区北侧，卫生间设置于生产厂房内，位于就修车间东部，化粪池设置于项目区卫生间南侧，隔油池设置于食堂西侧</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一体化设备拟设置于项目区西南侧，三级沉淀池设置于水洗车间北侧</w:t>
      </w:r>
      <w:r>
        <w:rPr>
          <w:rFonts w:hint="eastAsia" w:ascii="Times New Roman" w:hAnsi="Times New Roman" w:cs="Times New Roman"/>
          <w:color w:val="auto"/>
          <w:lang w:eastAsia="zh-CN"/>
        </w:rPr>
        <w:t>，</w:t>
      </w:r>
      <w:r>
        <w:rPr>
          <w:rFonts w:hint="default" w:ascii="Times New Roman" w:hAnsi="Times New Roman" w:eastAsia="宋体" w:cs="Times New Roman"/>
          <w:color w:val="auto"/>
          <w:lang w:eastAsia="zh-CN"/>
        </w:rPr>
        <w:t>危险废物暂存间拟设置于项目机修车间南侧，一般固废间</w:t>
      </w:r>
      <w:r>
        <w:rPr>
          <w:rFonts w:hint="eastAsia" w:ascii="Times New Roman" w:hAnsi="Times New Roman" w:cs="Times New Roman"/>
          <w:color w:val="auto"/>
          <w:lang w:eastAsia="zh-CN"/>
        </w:rPr>
        <w:t>设置于</w:t>
      </w:r>
      <w:r>
        <w:rPr>
          <w:rFonts w:hint="default" w:ascii="Times New Roman" w:hAnsi="Times New Roman" w:eastAsia="宋体" w:cs="Times New Roman"/>
          <w:color w:val="auto"/>
          <w:lang w:eastAsia="zh-CN"/>
        </w:rPr>
        <w:t>项目成品仓库西侧</w:t>
      </w:r>
      <w:r>
        <w:rPr>
          <w:rFonts w:hint="eastAsia" w:ascii="Times New Roman" w:hAnsi="Times New Roman" w:cs="Times New Roman"/>
          <w:color w:val="auto"/>
          <w:lang w:eastAsia="zh-CN"/>
        </w:rPr>
        <w:t>。</w:t>
      </w:r>
    </w:p>
    <w:p w14:paraId="673314BA">
      <w:pPr>
        <w:spacing w:line="360" w:lineRule="auto"/>
        <w:jc w:val="left"/>
        <w:rPr>
          <w:rFonts w:hint="default" w:ascii="Times New Roman" w:hAnsi="Times New Roman" w:eastAsia="宋体" w:cs="Times New Roman"/>
          <w:bCs/>
          <w:color w:val="auto"/>
          <w:sz w:val="24"/>
        </w:rPr>
      </w:pPr>
      <w:r>
        <w:rPr>
          <w:rFonts w:hint="default" w:ascii="Times New Roman" w:hAnsi="Times New Roman" w:eastAsia="宋体" w:cs="Times New Roman"/>
          <w:color w:val="auto"/>
          <w:sz w:val="24"/>
        </w:rPr>
        <w:t xml:space="preserve">    综合上述，本项目总平面布置充分考虑了厂区的配合、分区功能明确，总体布局较为合理。</w:t>
      </w:r>
    </w:p>
    <w:p w14:paraId="374F816E">
      <w:pPr>
        <w:adjustRightInd w:val="0"/>
        <w:snapToGrid w:val="0"/>
        <w:spacing w:beforeLines="50"/>
        <w:outlineLvl w:val="1"/>
        <w:rPr>
          <w:rFonts w:hint="default" w:ascii="Times New Roman" w:hAnsi="Times New Roman" w:eastAsia="宋体" w:cs="Times New Roman"/>
          <w:b/>
          <w:color w:val="auto"/>
          <w:sz w:val="32"/>
          <w:szCs w:val="32"/>
        </w:rPr>
      </w:pPr>
      <w:bookmarkStart w:id="374" w:name="_Toc18535"/>
      <w:r>
        <w:rPr>
          <w:rFonts w:hint="default" w:ascii="Times New Roman" w:hAnsi="Times New Roman" w:eastAsia="宋体" w:cs="Times New Roman"/>
          <w:b/>
          <w:color w:val="auto"/>
          <w:sz w:val="32"/>
          <w:szCs w:val="32"/>
        </w:rPr>
        <w:t>7.</w:t>
      </w:r>
      <w:bookmarkEnd w:id="367"/>
      <w:r>
        <w:rPr>
          <w:rFonts w:hint="eastAsia" w:ascii="Times New Roman" w:hAnsi="Times New Roman" w:eastAsia="宋体" w:cs="Times New Roman"/>
          <w:b/>
          <w:color w:val="auto"/>
          <w:sz w:val="32"/>
          <w:szCs w:val="32"/>
          <w:lang w:val="en-US" w:eastAsia="zh-CN"/>
        </w:rPr>
        <w:t>4</w:t>
      </w:r>
      <w:r>
        <w:rPr>
          <w:rFonts w:hint="default" w:ascii="Times New Roman" w:hAnsi="Times New Roman" w:eastAsia="宋体" w:cs="Times New Roman"/>
          <w:b/>
          <w:color w:val="auto"/>
          <w:sz w:val="32"/>
          <w:szCs w:val="32"/>
        </w:rPr>
        <w:t>与</w:t>
      </w:r>
      <w:r>
        <w:rPr>
          <w:rFonts w:hint="default" w:ascii="Times New Roman" w:hAnsi="Times New Roman" w:eastAsia="宋体" w:cs="Times New Roman"/>
          <w:b/>
          <w:bCs/>
          <w:color w:val="auto"/>
          <w:sz w:val="32"/>
          <w:szCs w:val="32"/>
        </w:rPr>
        <w:t>“三线一单”符合性分析</w:t>
      </w:r>
      <w:bookmarkEnd w:id="374"/>
    </w:p>
    <w:bookmarkEnd w:id="368"/>
    <w:bookmarkEnd w:id="369"/>
    <w:p w14:paraId="54A2865C">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根据《关于以改善环境质量为核心加强环境影响评价管理的通知》（环环评[2016]150号）：“为适应以改善环境质量为核心的环境管理要求，切实加强环境影响评价（以下简称环评）管理，落实“生态保护红线、环境质量底线、资源利用上线和环境准入负面清单”（以下简称“三线一单”）约束”。</w:t>
      </w:r>
    </w:p>
    <w:p w14:paraId="58E31464">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fldChar w:fldCharType="begin"/>
      </w:r>
      <w:r>
        <w:rPr>
          <w:rFonts w:hint="default" w:ascii="Times New Roman" w:hAnsi="Times New Roman" w:eastAsia="宋体" w:cs="Times New Roman"/>
          <w:color w:val="auto"/>
          <w:kern w:val="0"/>
          <w:szCs w:val="24"/>
          <w:lang w:eastAsia="zh-CN"/>
        </w:rPr>
        <w:instrText xml:space="preserve"> = 1 \* GB3 </w:instrText>
      </w:r>
      <w:r>
        <w:rPr>
          <w:rFonts w:hint="default" w:ascii="Times New Roman" w:hAnsi="Times New Roman" w:eastAsia="宋体" w:cs="Times New Roman"/>
          <w:color w:val="auto"/>
          <w:kern w:val="0"/>
          <w:szCs w:val="24"/>
          <w:lang w:eastAsia="zh-CN"/>
        </w:rPr>
        <w:fldChar w:fldCharType="separate"/>
      </w:r>
      <w:r>
        <w:rPr>
          <w:rFonts w:hint="default" w:ascii="Times New Roman" w:hAnsi="Times New Roman" w:eastAsia="宋体" w:cs="Times New Roman"/>
          <w:color w:val="auto"/>
          <w:kern w:val="0"/>
          <w:szCs w:val="24"/>
          <w:lang w:eastAsia="zh-CN"/>
        </w:rPr>
        <w:t>①</w:t>
      </w:r>
      <w:r>
        <w:rPr>
          <w:rFonts w:hint="default" w:ascii="Times New Roman" w:hAnsi="Times New Roman" w:eastAsia="宋体" w:cs="Times New Roman"/>
          <w:color w:val="auto"/>
          <w:kern w:val="0"/>
          <w:szCs w:val="24"/>
          <w:lang w:eastAsia="zh-CN"/>
        </w:rPr>
        <w:fldChar w:fldCharType="end"/>
      </w:r>
      <w:r>
        <w:rPr>
          <w:rFonts w:hint="default" w:ascii="Times New Roman" w:hAnsi="Times New Roman" w:eastAsia="宋体" w:cs="Times New Roman"/>
          <w:color w:val="auto"/>
          <w:kern w:val="0"/>
          <w:szCs w:val="24"/>
          <w:lang w:eastAsia="zh-CN"/>
        </w:rPr>
        <w:t xml:space="preserve"> 与生态红线区域保护规划的相符性</w:t>
      </w:r>
    </w:p>
    <w:p w14:paraId="38E4CE1D">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本项目位于芒市帕底工业园区内，项目不涉及生态红线保护区域，不会导致辖区内生态红线区域生态服务功能下降。</w:t>
      </w:r>
    </w:p>
    <w:p w14:paraId="1B3A153C">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fldChar w:fldCharType="begin"/>
      </w:r>
      <w:r>
        <w:rPr>
          <w:rFonts w:hint="default" w:ascii="Times New Roman" w:hAnsi="Times New Roman" w:eastAsia="宋体" w:cs="Times New Roman"/>
          <w:color w:val="auto"/>
          <w:kern w:val="0"/>
          <w:szCs w:val="24"/>
          <w:lang w:eastAsia="zh-CN"/>
        </w:rPr>
        <w:instrText xml:space="preserve"> = 2 \* GB3 </w:instrText>
      </w:r>
      <w:r>
        <w:rPr>
          <w:rFonts w:hint="default" w:ascii="Times New Roman" w:hAnsi="Times New Roman" w:eastAsia="宋体" w:cs="Times New Roman"/>
          <w:color w:val="auto"/>
          <w:kern w:val="0"/>
          <w:szCs w:val="24"/>
          <w:lang w:eastAsia="zh-CN"/>
        </w:rPr>
        <w:fldChar w:fldCharType="separate"/>
      </w:r>
      <w:r>
        <w:rPr>
          <w:rFonts w:hint="default" w:ascii="Times New Roman" w:hAnsi="Times New Roman" w:eastAsia="宋体" w:cs="Times New Roman"/>
          <w:color w:val="auto"/>
          <w:kern w:val="0"/>
          <w:szCs w:val="24"/>
          <w:lang w:eastAsia="zh-CN"/>
        </w:rPr>
        <w:t>②</w:t>
      </w:r>
      <w:r>
        <w:rPr>
          <w:rFonts w:hint="default" w:ascii="Times New Roman" w:hAnsi="Times New Roman" w:eastAsia="宋体" w:cs="Times New Roman"/>
          <w:color w:val="auto"/>
          <w:kern w:val="0"/>
          <w:szCs w:val="24"/>
          <w:lang w:eastAsia="zh-CN"/>
        </w:rPr>
        <w:fldChar w:fldCharType="end"/>
      </w:r>
      <w:r>
        <w:rPr>
          <w:rFonts w:hint="default" w:ascii="Times New Roman" w:hAnsi="Times New Roman" w:eastAsia="宋体" w:cs="Times New Roman"/>
          <w:color w:val="auto"/>
          <w:kern w:val="0"/>
          <w:szCs w:val="24"/>
          <w:lang w:eastAsia="zh-CN"/>
        </w:rPr>
        <w:t xml:space="preserve"> 环境质量底线相符性</w:t>
      </w:r>
    </w:p>
    <w:p w14:paraId="43ABBC96">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监测数据表明：本项目周边环境质量现状良好，满足各类环境功能区划，不存在对本项目建设的制约因素；拟建项目产生的废气、废水均进行分类收集、分质处理，在达标的基础上选用处理效率和可靠性高的处理工艺，尽可能减少污染物的排放。拟建项目主要废气污染物的产生工序均在密闭的操作环境中进行，密闭收集，经处理后排放；废水中污染物产生量较小，经厂内自建污水站预处理达标后排入工业园区污水管道；固体废物均按照要求委托相关单位进行妥善处置。上述措施能够确保拟建项目污染物排放对环境的影响降到最低。</w:t>
      </w:r>
    </w:p>
    <w:p w14:paraId="3FAC5F88">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fldChar w:fldCharType="begin"/>
      </w:r>
      <w:r>
        <w:rPr>
          <w:rFonts w:hint="default" w:ascii="Times New Roman" w:hAnsi="Times New Roman" w:eastAsia="宋体" w:cs="Times New Roman"/>
          <w:color w:val="auto"/>
          <w:kern w:val="0"/>
          <w:szCs w:val="24"/>
          <w:lang w:eastAsia="zh-CN"/>
        </w:rPr>
        <w:instrText xml:space="preserve"> = 3 \* GB3 </w:instrText>
      </w:r>
      <w:r>
        <w:rPr>
          <w:rFonts w:hint="default" w:ascii="Times New Roman" w:hAnsi="Times New Roman" w:eastAsia="宋体" w:cs="Times New Roman"/>
          <w:color w:val="auto"/>
          <w:kern w:val="0"/>
          <w:szCs w:val="24"/>
          <w:lang w:eastAsia="zh-CN"/>
        </w:rPr>
        <w:fldChar w:fldCharType="separate"/>
      </w:r>
      <w:r>
        <w:rPr>
          <w:rFonts w:hint="default" w:ascii="Times New Roman" w:hAnsi="Times New Roman" w:eastAsia="宋体" w:cs="Times New Roman"/>
          <w:color w:val="auto"/>
          <w:kern w:val="0"/>
          <w:szCs w:val="24"/>
          <w:lang w:eastAsia="zh-CN"/>
        </w:rPr>
        <w:t>③</w:t>
      </w:r>
      <w:r>
        <w:rPr>
          <w:rFonts w:hint="default" w:ascii="Times New Roman" w:hAnsi="Times New Roman" w:eastAsia="宋体" w:cs="Times New Roman"/>
          <w:color w:val="auto"/>
          <w:kern w:val="0"/>
          <w:szCs w:val="24"/>
          <w:lang w:eastAsia="zh-CN"/>
        </w:rPr>
        <w:fldChar w:fldCharType="end"/>
      </w:r>
      <w:r>
        <w:rPr>
          <w:rFonts w:hint="default" w:ascii="Times New Roman" w:hAnsi="Times New Roman" w:eastAsia="宋体" w:cs="Times New Roman"/>
          <w:color w:val="auto"/>
          <w:kern w:val="0"/>
          <w:szCs w:val="24"/>
          <w:lang w:eastAsia="zh-CN"/>
        </w:rPr>
        <w:t xml:space="preserve"> 资源利用上线相符性</w:t>
      </w:r>
    </w:p>
    <w:p w14:paraId="202693CC">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项目位于芒市帕底工业园区内，项目用水来源为市政自来水，使用量较小，当地自来水厂能够满足本项目的新鲜水使用要求。</w:t>
      </w:r>
    </w:p>
    <w:p w14:paraId="6CDE8850">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项目主要采用了如下节能和节水措施：1）优先选用低能耗设备；2）通过减小退水次数降低新鲜水的消耗。上述措施尽可能降低建设项目的能耗与水耗，总体而言拟建项目建设与资源利用上线相符。</w:t>
      </w:r>
    </w:p>
    <w:p w14:paraId="1FC3D059">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fldChar w:fldCharType="begin"/>
      </w:r>
      <w:r>
        <w:rPr>
          <w:rFonts w:hint="default" w:ascii="Times New Roman" w:hAnsi="Times New Roman" w:eastAsia="宋体" w:cs="Times New Roman"/>
          <w:color w:val="auto"/>
          <w:kern w:val="0"/>
          <w:szCs w:val="24"/>
          <w:lang w:eastAsia="zh-CN"/>
        </w:rPr>
        <w:instrText xml:space="preserve"> = 4 \* GB3 </w:instrText>
      </w:r>
      <w:r>
        <w:rPr>
          <w:rFonts w:hint="default" w:ascii="Times New Roman" w:hAnsi="Times New Roman" w:eastAsia="宋体" w:cs="Times New Roman"/>
          <w:color w:val="auto"/>
          <w:kern w:val="0"/>
          <w:szCs w:val="24"/>
          <w:lang w:eastAsia="zh-CN"/>
        </w:rPr>
        <w:fldChar w:fldCharType="separate"/>
      </w:r>
      <w:r>
        <w:rPr>
          <w:rFonts w:hint="default" w:ascii="Times New Roman" w:hAnsi="Times New Roman" w:eastAsia="宋体" w:cs="Times New Roman"/>
          <w:color w:val="auto"/>
          <w:kern w:val="0"/>
          <w:szCs w:val="24"/>
          <w:lang w:eastAsia="zh-CN"/>
        </w:rPr>
        <w:t>④</w:t>
      </w:r>
      <w:r>
        <w:rPr>
          <w:rFonts w:hint="default" w:ascii="Times New Roman" w:hAnsi="Times New Roman" w:eastAsia="宋体" w:cs="Times New Roman"/>
          <w:color w:val="auto"/>
          <w:kern w:val="0"/>
          <w:szCs w:val="24"/>
          <w:lang w:eastAsia="zh-CN"/>
        </w:rPr>
        <w:fldChar w:fldCharType="end"/>
      </w:r>
      <w:r>
        <w:rPr>
          <w:rFonts w:hint="default" w:ascii="Times New Roman" w:hAnsi="Times New Roman" w:eastAsia="宋体" w:cs="Times New Roman"/>
          <w:color w:val="auto"/>
          <w:kern w:val="0"/>
          <w:szCs w:val="24"/>
          <w:lang w:eastAsia="zh-CN"/>
        </w:rPr>
        <w:t xml:space="preserve"> 环境准入负面清单</w:t>
      </w:r>
    </w:p>
    <w:p w14:paraId="6B208BDB">
      <w:pPr>
        <w:ind w:firstLine="480"/>
        <w:rPr>
          <w:rFonts w:hint="default" w:ascii="Times New Roman" w:hAnsi="Times New Roman" w:eastAsia="宋体" w:cs="Times New Roman"/>
          <w:color w:val="auto"/>
          <w:kern w:val="0"/>
          <w:szCs w:val="24"/>
          <w:lang w:eastAsia="zh-CN"/>
        </w:rPr>
      </w:pPr>
      <w:r>
        <w:rPr>
          <w:rFonts w:hint="default" w:ascii="Times New Roman" w:hAnsi="Times New Roman" w:eastAsia="宋体" w:cs="Times New Roman"/>
          <w:color w:val="auto"/>
          <w:kern w:val="0"/>
          <w:szCs w:val="24"/>
          <w:lang w:eastAsia="zh-CN"/>
        </w:rPr>
        <w:t>项目不属于采用落后的生产工艺或生产设备，符合国家相关产业政策，项目已取得芒市工业园区管理委员会关于云南业勤服饰有限公司建设项目生产厂房使用的证明，不属于工业园区准入负面清单规定的范围内，符合环境准入负面清单要求。</w:t>
      </w:r>
    </w:p>
    <w:p w14:paraId="4AF11298">
      <w:pPr>
        <w:rPr>
          <w:rFonts w:hint="default" w:ascii="Times New Roman" w:hAnsi="Times New Roman" w:eastAsia="宋体" w:cs="Times New Roman"/>
          <w:color w:val="auto"/>
        </w:rPr>
        <w:sectPr>
          <w:pgSz w:w="11906" w:h="16838"/>
          <w:pgMar w:top="1440" w:right="1797" w:bottom="1440" w:left="1797" w:header="851" w:footer="992" w:gutter="0"/>
          <w:pgNumType w:fmt="decimal"/>
          <w:cols w:space="425" w:num="1"/>
          <w:docGrid w:linePitch="312" w:charSpace="0"/>
        </w:sectPr>
      </w:pPr>
      <w:r>
        <w:rPr>
          <w:rFonts w:hint="default" w:ascii="Times New Roman" w:hAnsi="Times New Roman" w:eastAsia="宋体" w:cs="Times New Roman"/>
          <w:color w:val="auto"/>
        </w:rPr>
        <w:t>综上所述，项目符合《关于以改善环境质量为核心加强环境影响评价管理的通知》（环环评[2016]150号）中“三线一单”要求</w:t>
      </w:r>
      <w:r>
        <w:rPr>
          <w:rFonts w:hint="default" w:ascii="Times New Roman" w:hAnsi="Times New Roman" w:eastAsia="宋体" w:cs="Times New Roman"/>
          <w:color w:val="auto"/>
          <w:lang w:eastAsia="zh-CN"/>
        </w:rPr>
        <w:t>。</w:t>
      </w:r>
    </w:p>
    <w:p w14:paraId="47DC58D1">
      <w:pPr>
        <w:adjustRightInd w:val="0"/>
        <w:snapToGrid w:val="0"/>
        <w:spacing w:beforeLines="50"/>
        <w:jc w:val="both"/>
        <w:outlineLvl w:val="0"/>
        <w:rPr>
          <w:rFonts w:hint="default" w:ascii="Times New Roman" w:hAnsi="Times New Roman" w:eastAsia="宋体" w:cs="Times New Roman"/>
          <w:b/>
          <w:color w:val="auto"/>
          <w:sz w:val="36"/>
          <w:szCs w:val="36"/>
        </w:rPr>
      </w:pPr>
      <w:bookmarkStart w:id="375" w:name="_Toc6666"/>
      <w:r>
        <w:rPr>
          <w:rFonts w:hint="default" w:ascii="Times New Roman" w:hAnsi="Times New Roman" w:eastAsia="宋体" w:cs="Times New Roman"/>
          <w:b/>
          <w:color w:val="auto"/>
          <w:sz w:val="36"/>
          <w:szCs w:val="36"/>
        </w:rPr>
        <w:t>8.污染物防治措施及其可行性论证</w:t>
      </w:r>
      <w:bookmarkEnd w:id="375"/>
    </w:p>
    <w:p w14:paraId="77702556">
      <w:pPr>
        <w:keepNext/>
        <w:keepLines/>
        <w:adjustRightInd w:val="0"/>
        <w:snapToGrid w:val="0"/>
        <w:spacing w:beforeLines="50"/>
        <w:outlineLvl w:val="1"/>
        <w:rPr>
          <w:rFonts w:hint="default" w:ascii="Times New Roman" w:hAnsi="Times New Roman" w:eastAsia="宋体" w:cs="Times New Roman"/>
          <w:b/>
          <w:bCs/>
          <w:color w:val="auto"/>
          <w:sz w:val="32"/>
          <w:szCs w:val="32"/>
        </w:rPr>
      </w:pPr>
      <w:bookmarkStart w:id="376" w:name="_Toc28177"/>
      <w:bookmarkStart w:id="377" w:name="_Toc19693"/>
      <w:r>
        <w:rPr>
          <w:rFonts w:hint="default" w:ascii="Times New Roman" w:hAnsi="Times New Roman" w:eastAsia="宋体" w:cs="Times New Roman"/>
          <w:b/>
          <w:bCs/>
          <w:color w:val="auto"/>
          <w:sz w:val="32"/>
          <w:szCs w:val="32"/>
        </w:rPr>
        <w:t>8.1施工期污染防治措施</w:t>
      </w:r>
      <w:bookmarkEnd w:id="376"/>
      <w:bookmarkEnd w:id="377"/>
    </w:p>
    <w:p w14:paraId="18C4E8E2">
      <w:pPr>
        <w:autoSpaceDE w:val="0"/>
        <w:autoSpaceDN w:val="0"/>
        <w:adjustRightInd w:val="0"/>
        <w:snapToGrid w:val="0"/>
        <w:rPr>
          <w:rFonts w:hint="default" w:ascii="Times New Roman" w:hAnsi="Times New Roman" w:eastAsia="宋体" w:cs="Times New Roman"/>
          <w:b/>
          <w:color w:val="auto"/>
          <w:szCs w:val="24"/>
        </w:rPr>
      </w:pPr>
      <w:bookmarkStart w:id="378" w:name="_Toc329956128"/>
      <w:bookmarkStart w:id="379" w:name="_Toc377779385"/>
      <w:bookmarkStart w:id="380" w:name="_Toc281999406"/>
      <w:bookmarkStart w:id="381" w:name="_Toc283889164"/>
      <w:r>
        <w:rPr>
          <w:rFonts w:hint="default" w:ascii="Times New Roman" w:hAnsi="Times New Roman" w:eastAsia="宋体" w:cs="Times New Roman"/>
          <w:b/>
          <w:color w:val="auto"/>
          <w:szCs w:val="24"/>
        </w:rPr>
        <w:t>（一）环境空气污染物防治措施</w:t>
      </w:r>
      <w:bookmarkEnd w:id="378"/>
      <w:bookmarkEnd w:id="379"/>
    </w:p>
    <w:p w14:paraId="61DF072A">
      <w:pPr>
        <w:autoSpaceDE w:val="0"/>
        <w:autoSpaceDN w:val="0"/>
        <w:adjustRightInd w:val="0"/>
        <w:snapToGrid w:val="0"/>
        <w:ind w:firstLine="480" w:firstLineChars="200"/>
        <w:rPr>
          <w:rFonts w:hint="default" w:ascii="Times New Roman" w:hAnsi="Times New Roman" w:eastAsia="宋体" w:cs="Times New Roman"/>
          <w:color w:val="auto"/>
          <w:szCs w:val="24"/>
        </w:rPr>
      </w:pPr>
      <w:bookmarkStart w:id="382" w:name="_Toc329956129"/>
      <w:r>
        <w:rPr>
          <w:rFonts w:hint="default" w:ascii="Times New Roman" w:hAnsi="Times New Roman" w:eastAsia="宋体" w:cs="Times New Roman"/>
          <w:color w:val="auto"/>
          <w:szCs w:val="24"/>
        </w:rPr>
        <w:t>1、在施工场地安排施工人员定期对施工场地洒水以减少扬尘量，施工场地土石方开挖、回填应避免在大风天气时进行。</w:t>
      </w:r>
    </w:p>
    <w:p w14:paraId="20AFB1C4">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2、水泥等粉细散装材料，应尽量采取库内存放，如露天存放应采用严密遮盖，卸运时要采取有效措施；建筑材料、建筑垃圾应密闭运输，防止尘土飞扬；施工垃圾应及时清运，适量洒水，减少扬尘。</w:t>
      </w:r>
    </w:p>
    <w:p w14:paraId="309DF36C">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3</w:t>
      </w:r>
      <w:r>
        <w:rPr>
          <w:rFonts w:hint="default" w:ascii="Times New Roman" w:hAnsi="Times New Roman" w:eastAsia="宋体" w:cs="Times New Roman"/>
          <w:color w:val="auto"/>
          <w:szCs w:val="24"/>
        </w:rPr>
        <w:t>、进出工地的运输车辆减速行驶，施工工地进出口处地面设置草垫、钢板并配备高压水枪冲洗带泥土的汽车轮胎和底盘下方；限制车辆行驶速度以及保持路面的清洁。</w:t>
      </w:r>
    </w:p>
    <w:p w14:paraId="5F47F0C7">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4</w:t>
      </w:r>
      <w:r>
        <w:rPr>
          <w:rFonts w:hint="default" w:ascii="Times New Roman" w:hAnsi="Times New Roman" w:eastAsia="宋体" w:cs="Times New Roman"/>
          <w:color w:val="auto"/>
          <w:szCs w:val="24"/>
        </w:rPr>
        <w:t>、装修阶段的材料尽量选用环保型装修材料。</w:t>
      </w:r>
    </w:p>
    <w:p w14:paraId="7F189CCE">
      <w:pPr>
        <w:autoSpaceDE w:val="0"/>
        <w:autoSpaceDN w:val="0"/>
        <w:adjustRightInd w:val="0"/>
        <w:snapToGrid w:val="0"/>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5、加强施工期环境管理，合理安排施工进度并尽量缩短工期。</w:t>
      </w:r>
    </w:p>
    <w:p w14:paraId="796C315C">
      <w:pPr>
        <w:autoSpaceDE w:val="0"/>
        <w:autoSpaceDN w:val="0"/>
        <w:adjustRightInd w:val="0"/>
        <w:snapToGrid w:val="0"/>
        <w:rPr>
          <w:rFonts w:hint="default" w:ascii="Times New Roman" w:hAnsi="Times New Roman" w:eastAsia="宋体" w:cs="Times New Roman"/>
          <w:b/>
          <w:color w:val="auto"/>
          <w:szCs w:val="24"/>
        </w:rPr>
      </w:pPr>
      <w:bookmarkStart w:id="383" w:name="_Toc377779386"/>
      <w:r>
        <w:rPr>
          <w:rFonts w:hint="default" w:ascii="Times New Roman" w:hAnsi="Times New Roman" w:eastAsia="宋体" w:cs="Times New Roman"/>
          <w:b/>
          <w:color w:val="auto"/>
          <w:szCs w:val="24"/>
        </w:rPr>
        <w:t>（二）水环境防治措施</w:t>
      </w:r>
      <w:bookmarkEnd w:id="382"/>
      <w:bookmarkEnd w:id="383"/>
    </w:p>
    <w:p w14:paraId="2E21D45B">
      <w:pPr>
        <w:autoSpaceDE w:val="0"/>
        <w:autoSpaceDN w:val="0"/>
        <w:adjustRightInd w:val="0"/>
        <w:snapToGrid w:val="0"/>
        <w:ind w:firstLine="480" w:firstLineChars="200"/>
        <w:rPr>
          <w:rFonts w:hint="default" w:ascii="Times New Roman" w:hAnsi="Times New Roman" w:eastAsia="宋体" w:cs="Times New Roman"/>
          <w:color w:val="auto"/>
        </w:rPr>
      </w:pPr>
      <w:bookmarkStart w:id="384" w:name="_Toc329956130"/>
      <w:r>
        <w:rPr>
          <w:rFonts w:hint="default" w:ascii="Times New Roman" w:hAnsi="Times New Roman" w:eastAsia="宋体" w:cs="Times New Roman"/>
          <w:color w:val="auto"/>
        </w:rPr>
        <w:t>1、注意施工期节约用水，减少施工废水的产生。</w:t>
      </w:r>
    </w:p>
    <w:p w14:paraId="4316F0E6">
      <w:pPr>
        <w:autoSpaceDE w:val="0"/>
        <w:autoSpaceDN w:val="0"/>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2、在施工过程中应设置施工废水沉</w:t>
      </w:r>
      <w:r>
        <w:rPr>
          <w:rFonts w:hint="default" w:ascii="Times New Roman" w:hAnsi="Times New Roman" w:eastAsia="宋体" w:cs="Times New Roman"/>
          <w:color w:val="auto"/>
          <w:lang w:eastAsia="zh-CN"/>
        </w:rPr>
        <w:t>砂</w:t>
      </w:r>
      <w:r>
        <w:rPr>
          <w:rFonts w:hint="default" w:ascii="Times New Roman" w:hAnsi="Times New Roman" w:eastAsia="宋体" w:cs="Times New Roman"/>
          <w:color w:val="auto"/>
        </w:rPr>
        <w:t>池1个，容积</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，施工废水引入池中进行沉淀处理后回用于施工场地洒水降尘，不外排。</w:t>
      </w:r>
    </w:p>
    <w:p w14:paraId="64B33110">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3、施工出入口设置车辆清洗池1个，容积</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rPr>
        <w:t>，车辆轮胎清洗废水沉淀后循环使用，不外排。</w:t>
      </w:r>
    </w:p>
    <w:p w14:paraId="7EE2F129">
      <w:pPr>
        <w:autoSpaceDE w:val="0"/>
        <w:autoSpaceDN w:val="0"/>
        <w:adjustRightInd w:val="0"/>
        <w:snapToGrid w:val="0"/>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（三）噪声污染防治措施</w:t>
      </w:r>
      <w:bookmarkEnd w:id="380"/>
      <w:bookmarkEnd w:id="381"/>
      <w:bookmarkEnd w:id="384"/>
    </w:p>
    <w:p w14:paraId="4EAADA7B">
      <w:pPr>
        <w:autoSpaceDE w:val="0"/>
        <w:autoSpaceDN w:val="0"/>
        <w:adjustRightInd w:val="0"/>
        <w:snapToGrid w:val="0"/>
        <w:ind w:firstLine="480" w:firstLineChars="200"/>
        <w:rPr>
          <w:rFonts w:hint="default" w:ascii="Times New Roman" w:hAnsi="Times New Roman" w:eastAsia="宋体" w:cs="Times New Roman"/>
          <w:color w:val="auto"/>
          <w:szCs w:val="24"/>
        </w:rPr>
      </w:pPr>
      <w:bookmarkStart w:id="385" w:name="_Toc329956131"/>
      <w:r>
        <w:rPr>
          <w:rFonts w:hint="default" w:ascii="Times New Roman" w:hAnsi="Times New Roman" w:eastAsia="宋体" w:cs="Times New Roman"/>
          <w:color w:val="auto"/>
          <w:szCs w:val="24"/>
        </w:rPr>
        <w:t>1、场地四周设置2.5m高围</w:t>
      </w:r>
      <w:r>
        <w:rPr>
          <w:rFonts w:hint="default" w:ascii="Times New Roman" w:hAnsi="Times New Roman" w:eastAsia="宋体" w:cs="Times New Roman"/>
          <w:color w:val="auto"/>
          <w:szCs w:val="24"/>
          <w:lang w:eastAsia="zh-CN"/>
        </w:rPr>
        <w:t>挡</w:t>
      </w:r>
      <w:r>
        <w:rPr>
          <w:rFonts w:hint="default" w:ascii="Times New Roman" w:hAnsi="Times New Roman" w:eastAsia="宋体" w:cs="Times New Roman"/>
          <w:color w:val="auto"/>
          <w:szCs w:val="24"/>
        </w:rPr>
        <w:t>，降低施工噪声影响；</w:t>
      </w:r>
    </w:p>
    <w:p w14:paraId="4CC11044">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2、选用性能良好的低噪声施工机械设备；</w:t>
      </w:r>
    </w:p>
    <w:p w14:paraId="413F6B90">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3、加强施工机械的维修、管理，保证施工机械处于低噪声、高效率的良好工作状态；</w:t>
      </w:r>
    </w:p>
    <w:p w14:paraId="03829F27">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4、施工期运输车辆应尽量保持良好车况，合理调度，尽可能匀速慢行</w:t>
      </w:r>
      <w:r>
        <w:rPr>
          <w:rFonts w:hint="default" w:ascii="Times New Roman" w:hAnsi="Times New Roman" w:eastAsia="宋体" w:cs="Times New Roman"/>
          <w:color w:val="auto"/>
          <w:szCs w:val="24"/>
          <w:lang w:eastAsia="zh-CN"/>
        </w:rPr>
        <w:t>，</w:t>
      </w:r>
      <w:r>
        <w:rPr>
          <w:rFonts w:hint="default" w:ascii="Times New Roman" w:hAnsi="Times New Roman" w:eastAsia="宋体" w:cs="Times New Roman"/>
          <w:color w:val="auto"/>
          <w:szCs w:val="24"/>
        </w:rPr>
        <w:t>并控制车辆鸣笛；</w:t>
      </w:r>
    </w:p>
    <w:p w14:paraId="6BB0D2C5">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5、加强施工管理，合理安排作业时间，严格按照施工噪声管理的有关规定，避免夜间进行施工作业。</w:t>
      </w:r>
    </w:p>
    <w:p w14:paraId="22EDA32B">
      <w:pPr>
        <w:autoSpaceDE w:val="0"/>
        <w:autoSpaceDN w:val="0"/>
        <w:adjustRightInd w:val="0"/>
        <w:snapToGrid w:val="0"/>
        <w:rPr>
          <w:rFonts w:hint="default" w:ascii="Times New Roman" w:hAnsi="Times New Roman" w:eastAsia="宋体" w:cs="Times New Roman"/>
          <w:b/>
          <w:color w:val="auto"/>
          <w:szCs w:val="24"/>
        </w:rPr>
      </w:pPr>
      <w:bookmarkStart w:id="386" w:name="_Toc377779388"/>
      <w:r>
        <w:rPr>
          <w:rFonts w:hint="default" w:ascii="Times New Roman" w:hAnsi="Times New Roman" w:eastAsia="宋体" w:cs="Times New Roman"/>
          <w:b/>
          <w:color w:val="auto"/>
          <w:szCs w:val="24"/>
        </w:rPr>
        <w:t>（四）固体废物污染防治措施</w:t>
      </w:r>
      <w:bookmarkEnd w:id="385"/>
      <w:bookmarkEnd w:id="386"/>
    </w:p>
    <w:p w14:paraId="561DDE6B">
      <w:pPr>
        <w:autoSpaceDE w:val="0"/>
        <w:autoSpaceDN w:val="0"/>
        <w:adjustRightInd w:val="0"/>
        <w:snapToGrid w:val="0"/>
        <w:ind w:firstLine="480" w:firstLineChars="200"/>
        <w:rPr>
          <w:rFonts w:hint="default" w:ascii="Times New Roman" w:hAnsi="Times New Roman" w:eastAsia="宋体" w:cs="Times New Roman"/>
          <w:color w:val="auto"/>
        </w:rPr>
      </w:pPr>
      <w:bookmarkStart w:id="387" w:name="_Toc329956132"/>
      <w:r>
        <w:rPr>
          <w:rFonts w:hint="default" w:ascii="Times New Roman" w:hAnsi="Times New Roman" w:eastAsia="宋体" w:cs="Times New Roman"/>
          <w:color w:val="auto"/>
        </w:rPr>
        <w:t>施工期产生的固体废弃物主要是建筑垃圾。建筑垃圾成分较为简单，应集中处理，及时清运，根据不同的成分采用不同的处理方式：</w:t>
      </w:r>
    </w:p>
    <w:p w14:paraId="026F1BD9">
      <w:pPr>
        <w:autoSpaceDE w:val="0"/>
        <w:autoSpaceDN w:val="0"/>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1、项目建设不涉及地下室建设，土石方主要来自项目</w:t>
      </w:r>
      <w:r>
        <w:rPr>
          <w:rFonts w:hint="eastAsia" w:ascii="Times New Roman" w:hAnsi="Times New Roman" w:cs="Times New Roman"/>
          <w:color w:val="auto"/>
          <w:lang w:eastAsia="zh-CN"/>
        </w:rPr>
        <w:t>污水处理站安装</w:t>
      </w:r>
      <w:r>
        <w:rPr>
          <w:rFonts w:hint="default" w:ascii="Times New Roman" w:hAnsi="Times New Roman" w:eastAsia="宋体" w:cs="Times New Roman"/>
          <w:color w:val="auto"/>
        </w:rPr>
        <w:t>，项目用地地势较平整，开挖土石方较少，施工期土石方基本能实现土石方平衡。</w:t>
      </w:r>
    </w:p>
    <w:p w14:paraId="0DFE5C77">
      <w:pPr>
        <w:autoSpaceDE w:val="0"/>
        <w:autoSpaceDN w:val="0"/>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2、废弃建筑材料应对其进行分类集中堆存，能回收利用的部分，</w:t>
      </w:r>
      <w:r>
        <w:rPr>
          <w:rFonts w:hint="default" w:ascii="Times New Roman" w:hAnsi="Times New Roman" w:eastAsia="宋体" w:cs="Times New Roman"/>
          <w:color w:val="auto"/>
          <w:lang w:eastAsia="zh-CN"/>
        </w:rPr>
        <w:t>出售给废旧资源中心进行</w:t>
      </w:r>
      <w:r>
        <w:rPr>
          <w:rFonts w:hint="default" w:ascii="Times New Roman" w:hAnsi="Times New Roman" w:eastAsia="宋体" w:cs="Times New Roman"/>
          <w:color w:val="auto"/>
        </w:rPr>
        <w:t>综合利用；不能回收利用的部分由具有处理资质的单位运至指定的堆放点</w:t>
      </w:r>
      <w:r>
        <w:rPr>
          <w:rFonts w:hint="default" w:ascii="Times New Roman" w:hAnsi="Times New Roman" w:eastAsia="宋体" w:cs="Times New Roman"/>
          <w:color w:val="auto"/>
          <w:lang w:eastAsia="zh-CN"/>
        </w:rPr>
        <w:t>进行合理处置</w:t>
      </w:r>
      <w:r>
        <w:rPr>
          <w:rFonts w:hint="default" w:ascii="Times New Roman" w:hAnsi="Times New Roman" w:eastAsia="宋体" w:cs="Times New Roman"/>
          <w:color w:val="auto"/>
        </w:rPr>
        <w:t>，禁止与生活垃圾混合处置，禁止随意丢弃；</w:t>
      </w:r>
    </w:p>
    <w:p w14:paraId="63B684AE">
      <w:pPr>
        <w:autoSpaceDE w:val="0"/>
        <w:autoSpaceDN w:val="0"/>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3、生活垃圾委托环卫部门清运处置。</w:t>
      </w:r>
    </w:p>
    <w:bookmarkEnd w:id="387"/>
    <w:p w14:paraId="6F7E50B0">
      <w:pPr>
        <w:keepNext/>
        <w:keepLines/>
        <w:adjustRightInd w:val="0"/>
        <w:snapToGrid w:val="0"/>
        <w:spacing w:beforeLines="50"/>
        <w:outlineLvl w:val="1"/>
        <w:rPr>
          <w:rFonts w:hint="default" w:ascii="Times New Roman" w:hAnsi="Times New Roman" w:eastAsia="宋体" w:cs="Times New Roman"/>
          <w:b/>
          <w:bCs/>
          <w:color w:val="auto"/>
          <w:sz w:val="32"/>
          <w:szCs w:val="32"/>
        </w:rPr>
      </w:pPr>
      <w:bookmarkStart w:id="388" w:name="_Toc20497"/>
      <w:bookmarkStart w:id="389" w:name="_Toc349"/>
      <w:r>
        <w:rPr>
          <w:rFonts w:hint="default" w:ascii="Times New Roman" w:hAnsi="Times New Roman" w:eastAsia="宋体" w:cs="Times New Roman"/>
          <w:b/>
          <w:bCs/>
          <w:color w:val="auto"/>
          <w:sz w:val="32"/>
          <w:szCs w:val="32"/>
        </w:rPr>
        <w:t>8.2运营期污染防治措施</w:t>
      </w:r>
      <w:bookmarkEnd w:id="388"/>
      <w:bookmarkEnd w:id="389"/>
    </w:p>
    <w:p w14:paraId="2434395D">
      <w:pPr>
        <w:keepNext/>
        <w:keepLines/>
        <w:adjustRightInd w:val="0"/>
        <w:snapToGrid w:val="0"/>
        <w:outlineLvl w:val="2"/>
        <w:rPr>
          <w:rFonts w:hint="default" w:ascii="Times New Roman" w:hAnsi="Times New Roman" w:eastAsia="宋体" w:cs="Times New Roman"/>
          <w:b/>
          <w:bCs/>
          <w:color w:val="auto"/>
          <w:sz w:val="28"/>
          <w:szCs w:val="28"/>
        </w:rPr>
      </w:pPr>
      <w:bookmarkStart w:id="390" w:name="_Toc31347"/>
      <w:r>
        <w:rPr>
          <w:rFonts w:hint="default" w:ascii="Times New Roman" w:hAnsi="Times New Roman" w:eastAsia="宋体" w:cs="Times New Roman"/>
          <w:b/>
          <w:bCs/>
          <w:color w:val="auto"/>
          <w:sz w:val="28"/>
          <w:szCs w:val="28"/>
        </w:rPr>
        <w:t>8.2.1大气污染防治措施及可行性分析</w:t>
      </w:r>
      <w:bookmarkEnd w:id="390"/>
    </w:p>
    <w:p w14:paraId="6096A631">
      <w:pPr>
        <w:ind w:firstLine="482" w:firstLineChars="20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1、大气污染防治措施</w:t>
      </w:r>
    </w:p>
    <w:p w14:paraId="234728CA">
      <w:pPr>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项目在</w:t>
      </w:r>
      <w:r>
        <w:rPr>
          <w:rFonts w:hint="eastAsia" w:ascii="Times New Roman" w:hAnsi="Times New Roman" w:cs="Times New Roman"/>
          <w:color w:val="auto"/>
          <w:lang w:eastAsia="zh-CN"/>
        </w:rPr>
        <w:t>服装制造阶段会有</w:t>
      </w:r>
      <w:r>
        <w:rPr>
          <w:rFonts w:hint="default" w:ascii="Times New Roman" w:hAnsi="Times New Roman" w:eastAsia="宋体" w:cs="Times New Roman"/>
          <w:color w:val="auto"/>
        </w:rPr>
        <w:t>粉尘产生</w:t>
      </w:r>
      <w:r>
        <w:rPr>
          <w:rFonts w:hint="eastAsia" w:ascii="Times New Roman" w:hAnsi="Times New Roman" w:cs="Times New Roman"/>
          <w:color w:val="auto"/>
          <w:lang w:eastAsia="zh-CN"/>
        </w:rPr>
        <w:t>，污水处理设备会有异味产生</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根据工程分析，</w:t>
      </w:r>
      <w:r>
        <w:rPr>
          <w:rFonts w:hint="default" w:ascii="Times New Roman" w:hAnsi="Times New Roman" w:eastAsia="宋体" w:cs="Times New Roman"/>
          <w:color w:val="auto"/>
        </w:rPr>
        <w:t>粉尘产生量约为</w:t>
      </w:r>
      <w:r>
        <w:rPr>
          <w:rFonts w:hint="eastAsia" w:ascii="Times New Roman" w:hAnsi="Times New Roman" w:cs="Times New Roman"/>
          <w:color w:val="auto"/>
          <w:lang w:val="en-US" w:eastAsia="zh-CN"/>
        </w:rPr>
        <w:t>0.018</w:t>
      </w:r>
      <w:r>
        <w:rPr>
          <w:rFonts w:hint="default" w:ascii="Times New Roman" w:hAnsi="Times New Roman" w:eastAsia="宋体" w:cs="Times New Roman"/>
          <w:color w:val="auto"/>
        </w:rPr>
        <w:t>t/a</w:t>
      </w:r>
      <w:r>
        <w:rPr>
          <w:rFonts w:hint="eastAsia" w:ascii="Times New Roman" w:hAnsi="Times New Roman" w:cs="Times New Roman"/>
          <w:color w:val="auto"/>
          <w:lang w:eastAsia="zh-CN"/>
        </w:rPr>
        <w:t>，硫化氢</w:t>
      </w:r>
      <w:r>
        <w:rPr>
          <w:rFonts w:hint="default" w:ascii="Times New Roman" w:hAnsi="Times New Roman" w:eastAsia="宋体" w:cs="Times New Roman"/>
          <w:color w:val="auto"/>
        </w:rPr>
        <w:t>产生量约为</w:t>
      </w:r>
      <w:r>
        <w:rPr>
          <w:rFonts w:hint="eastAsia" w:ascii="Times New Roman" w:hAnsi="Times New Roman" w:cs="Times New Roman"/>
          <w:color w:val="auto"/>
          <w:lang w:val="en-US" w:eastAsia="zh-CN"/>
        </w:rPr>
        <w:t>0.0003</w:t>
      </w:r>
      <w:r>
        <w:rPr>
          <w:rFonts w:hint="default" w:ascii="Times New Roman" w:hAnsi="Times New Roman" w:eastAsia="宋体" w:cs="Times New Roman"/>
          <w:color w:val="auto"/>
        </w:rPr>
        <w:t>t/a</w:t>
      </w:r>
      <w:r>
        <w:rPr>
          <w:rFonts w:hint="eastAsia" w:ascii="Times New Roman" w:hAnsi="Times New Roman" w:cs="Times New Roman"/>
          <w:color w:val="auto"/>
          <w:lang w:eastAsia="zh-CN"/>
        </w:rPr>
        <w:t>、氨气</w:t>
      </w:r>
      <w:r>
        <w:rPr>
          <w:rFonts w:hint="default" w:ascii="Times New Roman" w:hAnsi="Times New Roman" w:eastAsia="宋体" w:cs="Times New Roman"/>
          <w:color w:val="auto"/>
        </w:rPr>
        <w:t>产生量约为</w:t>
      </w:r>
      <w:r>
        <w:rPr>
          <w:rFonts w:hint="eastAsia" w:ascii="Times New Roman" w:hAnsi="Times New Roman" w:cs="Times New Roman"/>
          <w:color w:val="auto"/>
          <w:lang w:val="en-US" w:eastAsia="zh-CN"/>
        </w:rPr>
        <w:t>0.0018</w:t>
      </w:r>
      <w:r>
        <w:rPr>
          <w:rFonts w:hint="default" w:ascii="Times New Roman" w:hAnsi="Times New Roman" w:eastAsia="宋体" w:cs="Times New Roman"/>
          <w:color w:val="auto"/>
        </w:rPr>
        <w:t>t/a，呈无组织排放。本次评价要求建设单位生产时</w:t>
      </w:r>
      <w:r>
        <w:rPr>
          <w:rFonts w:hint="eastAsia" w:ascii="Times New Roman" w:hAnsi="Times New Roman" w:cs="Times New Roman"/>
          <w:color w:val="auto"/>
          <w:lang w:eastAsia="zh-CN"/>
        </w:rPr>
        <w:t>打开排风扇</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加强车间通风</w:t>
      </w:r>
      <w:r>
        <w:rPr>
          <w:rFonts w:hint="eastAsia" w:ascii="Times New Roman" w:hAnsi="Times New Roman" w:cs="Times New Roman"/>
          <w:color w:val="auto"/>
          <w:lang w:eastAsia="zh-CN"/>
        </w:rPr>
        <w:t>，污水处理站周边加强绿化</w:t>
      </w:r>
      <w:r>
        <w:rPr>
          <w:rFonts w:hint="default" w:ascii="Times New Roman" w:hAnsi="Times New Roman" w:eastAsia="宋体" w:cs="Times New Roman"/>
          <w:color w:val="auto"/>
        </w:rPr>
        <w:t>。在采取相应措施后，评价范围内无组织排放粉尘（TSP）最大地面浓度0.0613ug/m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，能达到《环境空气质量标准》（GB3095-2012）二级标准限值；无组织排放</w:t>
      </w:r>
      <w:r>
        <w:rPr>
          <w:rFonts w:hint="eastAsia" w:ascii="Times New Roman" w:hAnsi="Times New Roman" w:cs="Times New Roman"/>
          <w:color w:val="auto"/>
          <w:lang w:eastAsia="zh-CN"/>
        </w:rPr>
        <w:t>硫化氢</w:t>
      </w:r>
      <w:r>
        <w:rPr>
          <w:rFonts w:hint="default" w:ascii="Times New Roman" w:hAnsi="Times New Roman" w:eastAsia="宋体" w:cs="Times New Roman"/>
          <w:color w:val="auto"/>
        </w:rPr>
        <w:t>最大落地浓度为0.0753ug/m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，无组织排放</w:t>
      </w:r>
      <w:r>
        <w:rPr>
          <w:rFonts w:hint="eastAsia" w:ascii="Times New Roman" w:hAnsi="Times New Roman" w:cs="Times New Roman"/>
          <w:color w:val="auto"/>
          <w:lang w:eastAsia="zh-CN"/>
        </w:rPr>
        <w:t>氨气</w:t>
      </w:r>
      <w:r>
        <w:rPr>
          <w:rFonts w:hint="default" w:ascii="Times New Roman" w:hAnsi="Times New Roman" w:eastAsia="宋体" w:cs="Times New Roman"/>
          <w:color w:val="auto"/>
        </w:rPr>
        <w:t>最大落地浓度为</w:t>
      </w:r>
      <w:r>
        <w:rPr>
          <w:rFonts w:hint="eastAsia" w:ascii="Times New Roman" w:hAnsi="Times New Roman" w:cs="Times New Roman"/>
          <w:color w:val="auto"/>
          <w:lang w:val="en-US" w:eastAsia="zh-CN"/>
        </w:rPr>
        <w:t>0.8063</w:t>
      </w:r>
      <w:r>
        <w:rPr>
          <w:rFonts w:hint="default" w:ascii="Times New Roman" w:hAnsi="Times New Roman" w:eastAsia="宋体" w:cs="Times New Roman"/>
          <w:color w:val="auto"/>
        </w:rPr>
        <w:t>ug/m</w:t>
      </w:r>
      <w:r>
        <w:rPr>
          <w:rFonts w:hint="default" w:ascii="Times New Roman" w:hAnsi="Times New Roman" w:eastAsia="宋体" w:cs="Times New Roman"/>
          <w:color w:val="auto"/>
          <w:vertAlign w:val="superscript"/>
        </w:rPr>
        <w:t>3</w:t>
      </w:r>
      <w:r>
        <w:rPr>
          <w:rFonts w:hint="eastAsia" w:ascii="Times New Roman" w:hAnsi="Times New Roman" w:cs="Times New Roman"/>
          <w:color w:val="auto"/>
          <w:lang w:eastAsia="zh-CN"/>
        </w:rPr>
        <w:t>，</w:t>
      </w:r>
      <w:r>
        <w:rPr>
          <w:rFonts w:hint="default" w:ascii="Times New Roman" w:hAnsi="Times New Roman" w:eastAsia="宋体" w:cs="Times New Roman"/>
          <w:color w:val="auto"/>
        </w:rPr>
        <w:t>满足《工业企业设计卫生标准》（TJ36-79）表4最高允许浓度</w:t>
      </w:r>
      <w:r>
        <w:rPr>
          <w:rFonts w:hint="default" w:ascii="Times New Roman" w:hAnsi="Times New Roman" w:eastAsia="宋体" w:cs="Times New Roman"/>
          <w:color w:val="auto"/>
          <w:szCs w:val="24"/>
          <w:lang w:eastAsia="zh-CN"/>
        </w:rPr>
        <w:t>。</w:t>
      </w:r>
    </w:p>
    <w:p w14:paraId="38440DFB">
      <w:pPr>
        <w:ind w:firstLine="42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项目食堂采用清洁燃料，因此食堂仅产生少量食堂油烟，食堂油烟机的风量为</w:t>
      </w:r>
      <w:r>
        <w:rPr>
          <w:rFonts w:hint="eastAsia" w:ascii="Times New Roman" w:hAnsi="Times New Roman" w:cs="Times New Roman"/>
          <w:color w:val="auto"/>
          <w:szCs w:val="24"/>
          <w:lang w:val="en-US" w:eastAsia="zh-CN"/>
        </w:rPr>
        <w:t>2000</w:t>
      </w:r>
      <w:r>
        <w:rPr>
          <w:rFonts w:hint="default" w:ascii="Times New Roman" w:hAnsi="Times New Roman" w:eastAsia="宋体" w:cs="Times New Roman"/>
          <w:color w:val="auto"/>
          <w:szCs w:val="24"/>
        </w:rPr>
        <w:t>m</w:t>
      </w:r>
      <w:r>
        <w:rPr>
          <w:rFonts w:hint="default" w:ascii="Times New Roman" w:hAnsi="Times New Roman" w:eastAsia="宋体" w:cs="Times New Roman"/>
          <w:color w:val="auto"/>
          <w:szCs w:val="24"/>
          <w:vertAlign w:val="superscript"/>
        </w:rPr>
        <w:t>3</w:t>
      </w:r>
      <w:r>
        <w:rPr>
          <w:rFonts w:hint="default" w:ascii="Times New Roman" w:hAnsi="Times New Roman" w:eastAsia="宋体" w:cs="Times New Roman"/>
          <w:color w:val="auto"/>
          <w:szCs w:val="24"/>
        </w:rPr>
        <w:t>/h，本项目有</w:t>
      </w:r>
      <w:r>
        <w:rPr>
          <w:rFonts w:hint="default" w:ascii="Times New Roman" w:hAnsi="Times New Roman" w:eastAsia="宋体" w:cs="Times New Roman"/>
          <w:color w:val="auto"/>
          <w:szCs w:val="24"/>
          <w:lang w:val="en-US" w:eastAsia="zh-CN"/>
        </w:rPr>
        <w:t>580</w:t>
      </w:r>
      <w:r>
        <w:rPr>
          <w:rFonts w:hint="default" w:ascii="Times New Roman" w:hAnsi="Times New Roman" w:eastAsia="宋体" w:cs="Times New Roman"/>
          <w:color w:val="auto"/>
          <w:szCs w:val="24"/>
        </w:rPr>
        <w:t>名员工在项目内</w:t>
      </w:r>
      <w:r>
        <w:rPr>
          <w:rFonts w:hint="default" w:ascii="Times New Roman" w:hAnsi="Times New Roman" w:eastAsia="宋体" w:cs="Times New Roman"/>
          <w:color w:val="auto"/>
          <w:szCs w:val="24"/>
          <w:lang w:eastAsia="zh-CN"/>
        </w:rPr>
        <w:t>用餐</w:t>
      </w:r>
      <w:r>
        <w:rPr>
          <w:rFonts w:hint="default" w:ascii="Times New Roman" w:hAnsi="Times New Roman" w:eastAsia="宋体" w:cs="Times New Roman"/>
          <w:color w:val="auto"/>
          <w:szCs w:val="24"/>
        </w:rPr>
        <w:t>，</w:t>
      </w:r>
      <w:r>
        <w:rPr>
          <w:rFonts w:hint="default" w:ascii="Times New Roman" w:hAnsi="Times New Roman" w:eastAsia="宋体" w:cs="Times New Roman"/>
          <w:color w:val="auto"/>
        </w:rPr>
        <w:t>根据《饮食业油烟排放标准》</w:t>
      </w:r>
      <w:r>
        <w:rPr>
          <w:rFonts w:hint="default" w:ascii="Times New Roman" w:hAnsi="Times New Roman" w:eastAsia="宋体" w:cs="Times New Roman"/>
          <w:bCs/>
          <w:color w:val="auto"/>
          <w:kern w:val="0"/>
        </w:rPr>
        <w:t>(GB 18483-2001)，食堂需要油烟净化器</w:t>
      </w:r>
      <w:r>
        <w:rPr>
          <w:rFonts w:hint="default" w:ascii="Times New Roman" w:hAnsi="Times New Roman" w:eastAsia="宋体" w:cs="Times New Roman"/>
          <w:color w:val="auto"/>
        </w:rPr>
        <w:t>，油烟净化器的净化效率≥</w:t>
      </w:r>
      <w:r>
        <w:rPr>
          <w:rFonts w:hint="default" w:ascii="Times New Roman" w:hAnsi="Times New Roman" w:eastAsia="宋体" w:cs="Times New Roman"/>
          <w:color w:val="auto"/>
          <w:lang w:val="en-US" w:eastAsia="zh-CN"/>
        </w:rPr>
        <w:t>75</w:t>
      </w:r>
      <w:r>
        <w:rPr>
          <w:rFonts w:hint="default" w:ascii="Times New Roman" w:hAnsi="Times New Roman" w:eastAsia="宋体" w:cs="Times New Roman"/>
          <w:color w:val="auto"/>
        </w:rPr>
        <w:t>％，则</w:t>
      </w:r>
      <w:r>
        <w:rPr>
          <w:rFonts w:hint="default" w:ascii="Times New Roman" w:hAnsi="Times New Roman" w:eastAsia="宋体" w:cs="Times New Roman"/>
          <w:color w:val="auto"/>
          <w:lang w:eastAsia="zh-CN"/>
        </w:rPr>
        <w:t>食堂油烟</w:t>
      </w:r>
      <w:r>
        <w:rPr>
          <w:rFonts w:hint="default" w:ascii="Times New Roman" w:hAnsi="Times New Roman" w:eastAsia="宋体" w:cs="Times New Roman"/>
          <w:color w:val="auto"/>
        </w:rPr>
        <w:t>排放浓度为：</w:t>
      </w:r>
      <w:r>
        <w:rPr>
          <w:rFonts w:hint="default" w:ascii="Times New Roman" w:hAnsi="Times New Roman" w:eastAsia="宋体" w:cs="Times New Roman"/>
          <w:color w:val="auto"/>
          <w:lang w:val="en-US" w:eastAsia="zh-CN"/>
        </w:rPr>
        <w:t>0.94</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，能够达到标准排放浓度≤2.0mg/m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的要求</w:t>
      </w:r>
      <w:r>
        <w:rPr>
          <w:rFonts w:hint="default" w:ascii="Times New Roman" w:hAnsi="Times New Roman" w:eastAsia="宋体" w:cs="Times New Roman"/>
          <w:color w:val="auto"/>
          <w:szCs w:val="24"/>
        </w:rPr>
        <w:t>，项目油烟达标排放后对周围环境影响较小。</w:t>
      </w:r>
    </w:p>
    <w:p w14:paraId="430F085F">
      <w:pPr>
        <w:keepNext/>
        <w:keepLines/>
        <w:adjustRightInd w:val="0"/>
        <w:snapToGrid w:val="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8.2.2废水污染防治措施及可行性分析</w:t>
      </w:r>
    </w:p>
    <w:p w14:paraId="5633DA53">
      <w:pPr>
        <w:autoSpaceDE w:val="0"/>
        <w:autoSpaceDN w:val="0"/>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1</w:t>
      </w:r>
      <w:r>
        <w:rPr>
          <w:rFonts w:hint="default" w:ascii="Times New Roman" w:hAnsi="Times New Roman" w:eastAsia="宋体" w:cs="Times New Roman"/>
          <w:b/>
          <w:color w:val="auto"/>
        </w:rPr>
        <w:t>）废水治理要求</w:t>
      </w:r>
    </w:p>
    <w:p w14:paraId="5F6AB3ED">
      <w:pPr>
        <w:ind w:firstLine="48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①</w:t>
      </w:r>
      <w:r>
        <w:rPr>
          <w:rFonts w:hint="default" w:ascii="Times New Roman" w:hAnsi="Times New Roman" w:eastAsia="宋体" w:cs="Times New Roman"/>
          <w:color w:val="auto"/>
          <w:sz w:val="24"/>
          <w:szCs w:val="24"/>
          <w:lang w:eastAsia="zh-CN"/>
        </w:rPr>
        <w:t>本项目生产废水</w:t>
      </w:r>
      <w:r>
        <w:rPr>
          <w:rFonts w:hint="default" w:ascii="Times New Roman" w:hAnsi="Times New Roman" w:eastAsia="宋体" w:cs="Times New Roman"/>
          <w:color w:val="auto"/>
          <w:sz w:val="24"/>
          <w:lang w:eastAsia="zh-CN"/>
        </w:rPr>
        <w:t>经三级沉淀池处理后排入项目自建污水处理设施内，经处理后排入</w:t>
      </w:r>
      <w:r>
        <w:rPr>
          <w:rFonts w:hint="default" w:ascii="Times New Roman" w:hAnsi="Times New Roman" w:eastAsia="宋体" w:cs="Times New Roman"/>
          <w:color w:val="auto"/>
          <w:sz w:val="24"/>
        </w:rPr>
        <w:t>工业园区污水管网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kern w:val="24"/>
          <w:sz w:val="24"/>
          <w:szCs w:val="24"/>
          <w:lang w:val="en-US" w:eastAsia="zh-CN" w:bidi="ar-SA"/>
        </w:rPr>
        <w:t>生活污水经隔油池/化粪池处理后排入园区污水管网</w:t>
      </w:r>
      <w:r>
        <w:rPr>
          <w:rFonts w:hint="default" w:ascii="Times New Roman" w:hAnsi="Times New Roman" w:eastAsia="宋体" w:cs="Times New Roman"/>
          <w:bCs/>
          <w:color w:val="auto"/>
          <w:sz w:val="24"/>
          <w:szCs w:val="24"/>
        </w:rPr>
        <w:t>；</w:t>
      </w:r>
    </w:p>
    <w:p w14:paraId="2641F40A">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w:t>
      </w:r>
      <w:r>
        <w:rPr>
          <w:rFonts w:hint="default" w:ascii="Times New Roman" w:hAnsi="Times New Roman" w:eastAsia="宋体" w:cs="Times New Roman"/>
          <w:bCs/>
          <w:color w:val="auto"/>
          <w:sz w:val="24"/>
          <w:szCs w:val="24"/>
          <w:lang w:eastAsia="zh-CN"/>
        </w:rPr>
        <w:t>项目</w:t>
      </w:r>
      <w:r>
        <w:rPr>
          <w:rFonts w:hint="default" w:ascii="Times New Roman" w:hAnsi="Times New Roman" w:eastAsia="宋体" w:cs="Times New Roman"/>
          <w:bCs/>
          <w:color w:val="auto"/>
          <w:sz w:val="24"/>
          <w:szCs w:val="24"/>
        </w:rPr>
        <w:t>建设容积</w:t>
      </w:r>
      <w:r>
        <w:rPr>
          <w:rFonts w:hint="eastAsia" w:ascii="Times New Roman" w:hAnsi="Times New Roman" w:cs="Times New Roman"/>
          <w:bCs/>
          <w:color w:val="auto"/>
          <w:sz w:val="24"/>
          <w:szCs w:val="24"/>
          <w:lang w:val="en-US" w:eastAsia="zh-CN"/>
        </w:rPr>
        <w:t>5</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的隔油池1个，容积</w:t>
      </w:r>
      <w:r>
        <w:rPr>
          <w:rFonts w:hint="eastAsia" w:ascii="Times New Roman" w:hAnsi="Times New Roman" w:cs="Times New Roman"/>
          <w:bCs/>
          <w:color w:val="auto"/>
          <w:sz w:val="24"/>
          <w:szCs w:val="24"/>
          <w:lang w:val="en-US" w:eastAsia="zh-CN"/>
        </w:rPr>
        <w:t>50</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的化粪池1个，生活污水经隔油池/化粪池预处理后</w:t>
      </w:r>
      <w:r>
        <w:rPr>
          <w:rFonts w:hint="eastAsia" w:ascii="Times New Roman" w:hAnsi="Times New Roman" w:cs="Times New Roman"/>
          <w:bCs/>
          <w:color w:val="auto"/>
          <w:sz w:val="24"/>
          <w:szCs w:val="24"/>
          <w:lang w:eastAsia="zh-CN"/>
        </w:rPr>
        <w:t>排入园区污水管网，生产废水经三级沉淀池处理后</w:t>
      </w:r>
      <w:r>
        <w:rPr>
          <w:rFonts w:hint="default" w:ascii="Times New Roman" w:hAnsi="Times New Roman" w:eastAsia="宋体" w:cs="Times New Roman"/>
          <w:bCs/>
          <w:color w:val="auto"/>
          <w:sz w:val="24"/>
          <w:szCs w:val="24"/>
        </w:rPr>
        <w:t>进入处理规模为</w:t>
      </w:r>
      <w:r>
        <w:rPr>
          <w:rFonts w:hint="eastAsia" w:ascii="Times New Roman" w:hAnsi="Times New Roman" w:cs="Times New Roman"/>
          <w:bCs/>
          <w:color w:val="auto"/>
          <w:sz w:val="24"/>
          <w:szCs w:val="24"/>
          <w:lang w:val="en-US" w:eastAsia="zh-CN"/>
        </w:rPr>
        <w:t>20</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lang w:val="en-US" w:eastAsia="zh-CN"/>
        </w:rPr>
        <w:t>3</w:t>
      </w:r>
      <w:r>
        <w:rPr>
          <w:rFonts w:hint="default" w:ascii="Times New Roman" w:hAnsi="Times New Roman" w:eastAsia="宋体" w:cs="Times New Roman"/>
          <w:bCs/>
          <w:color w:val="auto"/>
          <w:sz w:val="24"/>
          <w:szCs w:val="24"/>
        </w:rPr>
        <w:t>/d的一体化污水处理设备进行处理</w:t>
      </w:r>
      <w:r>
        <w:rPr>
          <w:rFonts w:hint="eastAsia" w:ascii="Times New Roman" w:hAnsi="Times New Roman" w:cs="Times New Roman"/>
          <w:bCs/>
          <w:color w:val="auto"/>
          <w:sz w:val="24"/>
          <w:szCs w:val="24"/>
          <w:lang w:eastAsia="zh-CN"/>
        </w:rPr>
        <w:t>，外排废水</w:t>
      </w:r>
      <w:r>
        <w:rPr>
          <w:rFonts w:hint="default" w:ascii="Times New Roman" w:hAnsi="Times New Roman" w:eastAsia="宋体" w:cs="Times New Roman"/>
          <w:bCs/>
          <w:color w:val="auto"/>
          <w:sz w:val="24"/>
          <w:szCs w:val="24"/>
        </w:rPr>
        <w:t>达</w:t>
      </w:r>
      <w:r>
        <w:rPr>
          <w:rFonts w:hint="default" w:ascii="Times New Roman" w:hAnsi="Times New Roman" w:eastAsia="宋体" w:cs="Times New Roman"/>
          <w:bCs/>
          <w:color w:val="auto"/>
          <w:sz w:val="24"/>
          <w:szCs w:val="24"/>
          <w:lang w:eastAsia="zh-CN"/>
        </w:rPr>
        <w:t>达</w:t>
      </w:r>
      <w:r>
        <w:rPr>
          <w:rFonts w:hint="default" w:ascii="Times New Roman" w:hAnsi="Times New Roman" w:eastAsia="宋体" w:cs="Times New Roman"/>
          <w:bCs/>
          <w:color w:val="auto"/>
          <w:sz w:val="24"/>
          <w:szCs w:val="24"/>
        </w:rPr>
        <w:t>《污水综合排放标准》（GB8978-1996）中三级标准和《污水排入城镇下水道水质标准》（GB/T31962-2015）表1中B级标准</w:t>
      </w:r>
      <w:r>
        <w:rPr>
          <w:rFonts w:hint="eastAsia" w:ascii="Times New Roman" w:hAnsi="Times New Roman" w:cs="Times New Roman"/>
          <w:bCs/>
          <w:color w:val="auto"/>
          <w:sz w:val="24"/>
          <w:szCs w:val="24"/>
          <w:lang w:eastAsia="zh-CN"/>
        </w:rPr>
        <w:t>后排入园区污水管网</w:t>
      </w:r>
      <w:r>
        <w:rPr>
          <w:rFonts w:hint="default" w:ascii="Times New Roman" w:hAnsi="Times New Roman" w:eastAsia="宋体" w:cs="Times New Roman"/>
          <w:bCs/>
          <w:color w:val="auto"/>
          <w:sz w:val="24"/>
          <w:szCs w:val="24"/>
        </w:rPr>
        <w:t>。</w:t>
      </w:r>
    </w:p>
    <w:p w14:paraId="5A07B76F">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③建设1个容积</w:t>
      </w:r>
      <w:r>
        <w:rPr>
          <w:rFonts w:hint="default" w:ascii="Times New Roman" w:hAnsi="Times New Roman" w:eastAsia="宋体" w:cs="Times New Roman"/>
          <w:bCs/>
          <w:color w:val="auto"/>
          <w:sz w:val="24"/>
          <w:szCs w:val="24"/>
          <w:lang w:eastAsia="zh-CN"/>
        </w:rPr>
        <w:t>不低于</w:t>
      </w:r>
      <w:r>
        <w:rPr>
          <w:rFonts w:hint="eastAsia" w:ascii="Times New Roman" w:hAnsi="Times New Roman" w:cs="Times New Roman"/>
          <w:bCs/>
          <w:color w:val="auto"/>
          <w:sz w:val="24"/>
          <w:szCs w:val="24"/>
          <w:lang w:val="en-US" w:eastAsia="zh-CN"/>
        </w:rPr>
        <w:t>231</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的事故应急池，事故应急池必须有严格的防渗措施。</w:t>
      </w:r>
    </w:p>
    <w:p w14:paraId="7F955745">
      <w:pPr>
        <w:autoSpaceDE w:val="0"/>
        <w:autoSpaceDN w:val="0"/>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w:t>
      </w:r>
      <w:r>
        <w:rPr>
          <w:rFonts w:hint="eastAsia" w:ascii="Times New Roman" w:hAnsi="Times New Roman" w:cs="Times New Roman"/>
          <w:b/>
          <w:color w:val="auto"/>
          <w:lang w:val="en-US" w:eastAsia="zh-CN"/>
        </w:rPr>
        <w:t>2</w:t>
      </w:r>
      <w:r>
        <w:rPr>
          <w:rFonts w:hint="default" w:ascii="Times New Roman" w:hAnsi="Times New Roman" w:eastAsia="宋体" w:cs="Times New Roman"/>
          <w:b/>
          <w:color w:val="auto"/>
        </w:rPr>
        <w:t>）项目化粪池</w:t>
      </w:r>
      <w:r>
        <w:rPr>
          <w:rFonts w:hint="default" w:ascii="Times New Roman" w:hAnsi="Times New Roman" w:eastAsia="宋体" w:cs="Times New Roman"/>
          <w:b/>
          <w:color w:val="auto"/>
          <w:lang w:eastAsia="zh-CN"/>
        </w:rPr>
        <w:t>、</w:t>
      </w:r>
      <w:r>
        <w:rPr>
          <w:rFonts w:hint="eastAsia" w:ascii="Times New Roman" w:hAnsi="Times New Roman" w:cs="Times New Roman"/>
          <w:b/>
          <w:color w:val="auto"/>
          <w:lang w:eastAsia="zh-CN"/>
        </w:rPr>
        <w:t>三级沉淀池</w:t>
      </w:r>
      <w:r>
        <w:rPr>
          <w:rFonts w:hint="default" w:ascii="Times New Roman" w:hAnsi="Times New Roman" w:eastAsia="宋体" w:cs="Times New Roman"/>
          <w:b/>
          <w:color w:val="auto"/>
          <w:lang w:eastAsia="zh-CN"/>
        </w:rPr>
        <w:t>、污水处理站</w:t>
      </w:r>
      <w:r>
        <w:rPr>
          <w:rFonts w:hint="default" w:ascii="Times New Roman" w:hAnsi="Times New Roman" w:eastAsia="宋体" w:cs="Times New Roman"/>
          <w:b/>
          <w:color w:val="auto"/>
        </w:rPr>
        <w:t>容积合理性分析</w:t>
      </w:r>
    </w:p>
    <w:p w14:paraId="35B92FBD">
      <w:pPr>
        <w:widowControl/>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kern w:val="0"/>
          <w:sz w:val="24"/>
        </w:rPr>
        <w:t>化粪池：进入项目化粪池的污水量（</w:t>
      </w:r>
      <w:r>
        <w:rPr>
          <w:rFonts w:hint="eastAsia" w:ascii="Times New Roman" w:hAnsi="Times New Roman" w:cs="Times New Roman"/>
          <w:b w:val="0"/>
          <w:bCs/>
          <w:color w:val="auto"/>
          <w:sz w:val="24"/>
          <w:lang w:val="en-US" w:eastAsia="zh-CN"/>
        </w:rPr>
        <w:t>23.2</w:t>
      </w:r>
      <w:r>
        <w:rPr>
          <w:rFonts w:hint="default" w:ascii="Times New Roman" w:hAnsi="Times New Roman" w:eastAsia="宋体" w:cs="Times New Roman"/>
          <w:b w:val="0"/>
          <w:bCs/>
          <w:color w:val="auto"/>
          <w:sz w:val="24"/>
        </w:rPr>
        <w:t>m</w:t>
      </w:r>
      <w:r>
        <w:rPr>
          <w:rFonts w:hint="default" w:ascii="Times New Roman" w:hAnsi="Times New Roman" w:eastAsia="宋体" w:cs="Times New Roman"/>
          <w:b w:val="0"/>
          <w:bCs/>
          <w:color w:val="auto"/>
          <w:sz w:val="24"/>
          <w:vertAlign w:val="superscript"/>
        </w:rPr>
        <w:t>3</w:t>
      </w:r>
      <w:r>
        <w:rPr>
          <w:rFonts w:hint="default" w:ascii="Times New Roman" w:hAnsi="Times New Roman" w:eastAsia="宋体" w:cs="Times New Roman"/>
          <w:b w:val="0"/>
          <w:bCs/>
          <w:color w:val="auto"/>
          <w:sz w:val="24"/>
        </w:rPr>
        <w:t>/d），根据相关规定排入到化粪池的污水能够在化粪池内沉淀24小时以上。本项目设置</w:t>
      </w:r>
      <w:r>
        <w:rPr>
          <w:rFonts w:hint="default"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rPr>
        <w:t>座化粪池总容积为（</w:t>
      </w:r>
      <w:r>
        <w:rPr>
          <w:rFonts w:hint="eastAsia" w:ascii="Times New Roman" w:hAnsi="Times New Roman" w:eastAsia="宋体" w:cs="Times New Roman"/>
          <w:b w:val="0"/>
          <w:bCs/>
          <w:color w:val="auto"/>
          <w:sz w:val="24"/>
          <w:lang w:val="en-US" w:eastAsia="zh-CN"/>
        </w:rPr>
        <w:t>50</w:t>
      </w:r>
      <w:r>
        <w:rPr>
          <w:rFonts w:hint="default" w:ascii="Times New Roman" w:hAnsi="Times New Roman" w:eastAsia="宋体" w:cs="Times New Roman"/>
          <w:b w:val="0"/>
          <w:bCs/>
          <w:color w:val="auto"/>
          <w:sz w:val="24"/>
        </w:rPr>
        <w:t>m</w:t>
      </w:r>
      <w:r>
        <w:rPr>
          <w:rFonts w:hint="default" w:ascii="Times New Roman" w:hAnsi="Times New Roman" w:eastAsia="宋体" w:cs="Times New Roman"/>
          <w:b w:val="0"/>
          <w:bCs/>
          <w:color w:val="auto"/>
          <w:sz w:val="24"/>
          <w:vertAlign w:val="superscript"/>
        </w:rPr>
        <w:t>3</w:t>
      </w:r>
      <w:r>
        <w:rPr>
          <w:rFonts w:hint="default" w:ascii="Times New Roman" w:hAnsi="Times New Roman" w:eastAsia="宋体" w:cs="Times New Roman"/>
          <w:b w:val="0"/>
          <w:bCs/>
          <w:color w:val="auto"/>
          <w:sz w:val="24"/>
        </w:rPr>
        <w:t>），化粪池容量能够满足整个项目区的需求。化粪池定期委托环卫部门清掏淤泥。</w:t>
      </w:r>
    </w:p>
    <w:p w14:paraId="7A71AAE8">
      <w:pPr>
        <w:widowControl/>
        <w:spacing w:line="360" w:lineRule="auto"/>
        <w:ind w:firstLine="480" w:firstLineChars="200"/>
        <w:rPr>
          <w:rFonts w:hint="default" w:ascii="Times New Roman" w:hAnsi="Times New Roman" w:eastAsia="宋体" w:cs="Times New Roman"/>
          <w:b w:val="0"/>
          <w:bCs/>
          <w:color w:val="auto"/>
          <w:sz w:val="24"/>
          <w:lang w:eastAsia="zh-CN"/>
        </w:rPr>
      </w:pPr>
      <w:r>
        <w:rPr>
          <w:rFonts w:hint="eastAsia" w:ascii="Times New Roman" w:hAnsi="Times New Roman" w:eastAsia="宋体" w:cs="Times New Roman"/>
          <w:b w:val="0"/>
          <w:bCs/>
          <w:color w:val="auto"/>
          <w:sz w:val="24"/>
          <w:lang w:eastAsia="zh-CN"/>
        </w:rPr>
        <w:t>三级沉淀池</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color w:val="auto"/>
          <w:sz w:val="24"/>
          <w:szCs w:val="24"/>
          <w:lang w:eastAsia="zh-CN"/>
        </w:rPr>
        <w:t>生产废水</w:t>
      </w:r>
      <w:r>
        <w:rPr>
          <w:rFonts w:hint="default" w:ascii="Times New Roman" w:hAnsi="Times New Roman" w:eastAsia="宋体" w:cs="Times New Roman"/>
          <w:color w:val="auto"/>
          <w:sz w:val="24"/>
          <w:lang w:eastAsia="zh-CN"/>
        </w:rPr>
        <w:t>经三级沉淀池处理后排入项目自建污水处理设施内</w:t>
      </w:r>
      <w:r>
        <w:rPr>
          <w:rFonts w:hint="default" w:ascii="Times New Roman" w:hAnsi="Times New Roman" w:eastAsia="宋体" w:cs="Times New Roman"/>
          <w:b w:val="0"/>
          <w:bCs/>
          <w:color w:val="auto"/>
          <w:sz w:val="24"/>
          <w:lang w:val="en-US" w:eastAsia="zh-CN"/>
        </w:rPr>
        <w:t>。根据工程分析，项目生产过程中产生的废水量为</w:t>
      </w:r>
      <w:r>
        <w:rPr>
          <w:rFonts w:hint="eastAsia" w:ascii="Times New Roman" w:hAnsi="Times New Roman" w:eastAsia="宋体" w:cs="Times New Roman"/>
          <w:b w:val="0"/>
          <w:bCs/>
          <w:color w:val="auto"/>
          <w:sz w:val="24"/>
          <w:lang w:val="en-US" w:eastAsia="zh-CN"/>
        </w:rPr>
        <w:t>14.775</w:t>
      </w:r>
      <w:r>
        <w:rPr>
          <w:rFonts w:hint="default" w:ascii="Times New Roman" w:hAnsi="Times New Roman" w:eastAsia="宋体" w:cs="Times New Roman"/>
          <w:b w:val="0"/>
          <w:bCs/>
          <w:color w:val="auto"/>
          <w:sz w:val="24"/>
          <w:lang w:val="en-US" w:eastAsia="zh-CN"/>
        </w:rPr>
        <w:t>m</w:t>
      </w:r>
      <w:r>
        <w:rPr>
          <w:rFonts w:hint="default" w:ascii="Times New Roman" w:hAnsi="Times New Roman" w:eastAsia="宋体" w:cs="Times New Roman"/>
          <w:b w:val="0"/>
          <w:bCs/>
          <w:color w:val="auto"/>
          <w:sz w:val="24"/>
          <w:vertAlign w:val="superscript"/>
          <w:lang w:val="en-US" w:eastAsia="zh-CN"/>
        </w:rPr>
        <w:t>3</w:t>
      </w:r>
      <w:r>
        <w:rPr>
          <w:rFonts w:hint="default" w:ascii="Times New Roman" w:hAnsi="Times New Roman" w:eastAsia="宋体" w:cs="Times New Roman"/>
          <w:b w:val="0"/>
          <w:bCs/>
          <w:color w:val="auto"/>
          <w:sz w:val="24"/>
          <w:lang w:val="en-US" w:eastAsia="zh-CN"/>
        </w:rPr>
        <w:t>/d，根据</w:t>
      </w:r>
      <w:r>
        <w:rPr>
          <w:rFonts w:hint="eastAsia" w:ascii="Times New Roman" w:hAnsi="Times New Roman" w:eastAsia="宋体" w:cs="Times New Roman"/>
          <w:b w:val="0"/>
          <w:bCs/>
          <w:color w:val="auto"/>
          <w:sz w:val="24"/>
          <w:lang w:val="en-US" w:eastAsia="zh-CN"/>
        </w:rPr>
        <w:t>沉淀</w:t>
      </w:r>
      <w:r>
        <w:rPr>
          <w:rFonts w:hint="default" w:ascii="Times New Roman" w:hAnsi="Times New Roman" w:eastAsia="宋体" w:cs="Times New Roman"/>
          <w:b w:val="0"/>
          <w:bCs/>
          <w:color w:val="auto"/>
          <w:sz w:val="24"/>
          <w:lang w:val="en-US" w:eastAsia="zh-CN"/>
        </w:rPr>
        <w:t>时间，</w:t>
      </w:r>
      <w:r>
        <w:rPr>
          <w:rFonts w:hint="eastAsia" w:ascii="Times New Roman" w:hAnsi="Times New Roman" w:eastAsia="宋体" w:cs="Times New Roman"/>
          <w:b w:val="0"/>
          <w:bCs/>
          <w:color w:val="auto"/>
          <w:sz w:val="24"/>
          <w:lang w:val="en-US" w:eastAsia="zh-CN"/>
        </w:rPr>
        <w:t>沉淀</w:t>
      </w:r>
      <w:r>
        <w:rPr>
          <w:rFonts w:hint="default" w:ascii="Times New Roman" w:hAnsi="Times New Roman" w:eastAsia="宋体" w:cs="Times New Roman"/>
          <w:b w:val="0"/>
          <w:bCs/>
          <w:color w:val="auto"/>
          <w:sz w:val="24"/>
          <w:lang w:val="en-US" w:eastAsia="zh-CN"/>
        </w:rPr>
        <w:t>需要</w:t>
      </w:r>
      <w:r>
        <w:rPr>
          <w:rFonts w:hint="eastAsia" w:ascii="Times New Roman" w:hAnsi="Times New Roman" w:cs="Times New Roman"/>
          <w:b w:val="0"/>
          <w:bCs/>
          <w:color w:val="auto"/>
          <w:sz w:val="24"/>
          <w:lang w:val="en-US" w:eastAsia="zh-CN"/>
        </w:rPr>
        <w:t>3-5</w:t>
      </w:r>
      <w:r>
        <w:rPr>
          <w:rFonts w:hint="default" w:ascii="Times New Roman" w:hAnsi="Times New Roman" w:eastAsia="宋体" w:cs="Times New Roman"/>
          <w:b w:val="0"/>
          <w:bCs/>
          <w:color w:val="auto"/>
          <w:sz w:val="24"/>
          <w:lang w:val="en-US" w:eastAsia="zh-CN"/>
        </w:rPr>
        <w:t>天左右，项目</w:t>
      </w:r>
      <w:r>
        <w:rPr>
          <w:rFonts w:hint="eastAsia" w:ascii="Times New Roman" w:hAnsi="Times New Roman" w:eastAsia="宋体" w:cs="Times New Roman"/>
          <w:b w:val="0"/>
          <w:bCs/>
          <w:color w:val="auto"/>
          <w:sz w:val="24"/>
          <w:lang w:val="en-US" w:eastAsia="zh-CN"/>
        </w:rPr>
        <w:t>修建三级沉淀池</w:t>
      </w:r>
      <w:r>
        <w:rPr>
          <w:rFonts w:hint="default" w:ascii="Times New Roman" w:hAnsi="Times New Roman" w:eastAsia="宋体" w:cs="Times New Roman"/>
          <w:b w:val="0"/>
          <w:bCs/>
          <w:color w:val="auto"/>
          <w:sz w:val="24"/>
          <w:lang w:val="en-US" w:eastAsia="zh-CN"/>
        </w:rPr>
        <w:t>容积按最大量要能容纳</w:t>
      </w:r>
      <w:r>
        <w:rPr>
          <w:rFonts w:hint="eastAsia" w:ascii="Times New Roman" w:hAnsi="Times New Roman" w:cs="Times New Roman"/>
          <w:b w:val="0"/>
          <w:bCs/>
          <w:color w:val="auto"/>
          <w:sz w:val="24"/>
          <w:lang w:val="en-US" w:eastAsia="zh-CN"/>
        </w:rPr>
        <w:t>5</w:t>
      </w:r>
      <w:r>
        <w:rPr>
          <w:rFonts w:hint="default" w:ascii="Times New Roman" w:hAnsi="Times New Roman" w:eastAsia="宋体" w:cs="Times New Roman"/>
          <w:b w:val="0"/>
          <w:bCs/>
          <w:color w:val="auto"/>
          <w:sz w:val="24"/>
          <w:lang w:val="en-US" w:eastAsia="zh-CN"/>
        </w:rPr>
        <w:t>天的废水量，</w:t>
      </w:r>
      <w:r>
        <w:rPr>
          <w:rFonts w:hint="eastAsia" w:ascii="Times New Roman" w:hAnsi="Times New Roman" w:eastAsia="宋体" w:cs="Times New Roman"/>
          <w:b w:val="0"/>
          <w:bCs/>
          <w:color w:val="auto"/>
          <w:sz w:val="24"/>
          <w:lang w:val="en-US" w:eastAsia="zh-CN"/>
        </w:rPr>
        <w:t>项目已设置一个169m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的三级沉淀池，能满足要求</w:t>
      </w:r>
      <w:r>
        <w:rPr>
          <w:rFonts w:hint="eastAsia" w:ascii="Times New Roman" w:hAnsi="Times New Roman" w:cs="Times New Roman"/>
          <w:b w:val="0"/>
          <w:bCs/>
          <w:color w:val="auto"/>
          <w:sz w:val="24"/>
          <w:lang w:val="en-US" w:eastAsia="zh-CN"/>
        </w:rPr>
        <w:t>；</w:t>
      </w:r>
    </w:p>
    <w:p w14:paraId="38C6E6B7">
      <w:pPr>
        <w:widowControl/>
        <w:spacing w:line="360" w:lineRule="auto"/>
        <w:ind w:firstLine="480"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val="0"/>
          <w:bCs/>
          <w:color w:val="auto"/>
          <w:sz w:val="24"/>
          <w:lang w:eastAsia="zh-CN"/>
        </w:rPr>
        <w:t>污水处理站：</w:t>
      </w:r>
      <w:r>
        <w:rPr>
          <w:rFonts w:hint="default" w:ascii="Times New Roman" w:hAnsi="Times New Roman" w:eastAsia="宋体" w:cs="Times New Roman"/>
          <w:color w:val="auto"/>
          <w:sz w:val="24"/>
          <w:szCs w:val="24"/>
          <w:lang w:eastAsia="zh-CN"/>
        </w:rPr>
        <w:t>生产废水</w:t>
      </w:r>
      <w:r>
        <w:rPr>
          <w:rFonts w:hint="default" w:ascii="Times New Roman" w:hAnsi="Times New Roman" w:eastAsia="宋体" w:cs="Times New Roman"/>
          <w:color w:val="auto"/>
          <w:sz w:val="24"/>
          <w:lang w:eastAsia="zh-CN"/>
        </w:rPr>
        <w:t>经三级沉淀池处理后排入项目自建污水处理设施内</w:t>
      </w:r>
      <w:r>
        <w:rPr>
          <w:rFonts w:hint="default" w:ascii="Times New Roman" w:hAnsi="Times New Roman" w:eastAsia="宋体" w:cs="Times New Roman"/>
          <w:b w:val="0"/>
          <w:bCs/>
          <w:color w:val="auto"/>
          <w:sz w:val="24"/>
          <w:lang w:val="en-US" w:eastAsia="zh-CN"/>
        </w:rPr>
        <w:t>。根据工程分析，项目生产过程中产生的废水量为</w:t>
      </w:r>
      <w:r>
        <w:rPr>
          <w:rFonts w:hint="eastAsia" w:ascii="Times New Roman" w:hAnsi="Times New Roman" w:eastAsia="宋体" w:cs="Times New Roman"/>
          <w:b w:val="0"/>
          <w:bCs/>
          <w:color w:val="auto"/>
          <w:sz w:val="24"/>
          <w:lang w:val="en-US" w:eastAsia="zh-CN"/>
        </w:rPr>
        <w:t>14.775</w:t>
      </w:r>
      <w:r>
        <w:rPr>
          <w:rFonts w:hint="default" w:ascii="Times New Roman" w:hAnsi="Times New Roman" w:eastAsia="宋体" w:cs="Times New Roman"/>
          <w:b w:val="0"/>
          <w:bCs/>
          <w:color w:val="auto"/>
          <w:sz w:val="24"/>
          <w:lang w:val="en-US" w:eastAsia="zh-CN"/>
        </w:rPr>
        <w:t>m</w:t>
      </w:r>
      <w:r>
        <w:rPr>
          <w:rFonts w:hint="default" w:ascii="Times New Roman" w:hAnsi="Times New Roman" w:eastAsia="宋体" w:cs="Times New Roman"/>
          <w:b w:val="0"/>
          <w:bCs/>
          <w:color w:val="auto"/>
          <w:sz w:val="24"/>
          <w:vertAlign w:val="superscript"/>
          <w:lang w:val="en-US" w:eastAsia="zh-CN"/>
        </w:rPr>
        <w:t>3</w:t>
      </w:r>
      <w:r>
        <w:rPr>
          <w:rFonts w:hint="default" w:ascii="Times New Roman" w:hAnsi="Times New Roman" w:eastAsia="宋体" w:cs="Times New Roman"/>
          <w:b w:val="0"/>
          <w:bCs/>
          <w:color w:val="auto"/>
          <w:sz w:val="24"/>
          <w:lang w:val="en-US" w:eastAsia="zh-CN"/>
        </w:rPr>
        <w:t>/d，</w:t>
      </w:r>
      <w:r>
        <w:rPr>
          <w:rFonts w:hint="eastAsia" w:ascii="Times New Roman" w:hAnsi="Times New Roman" w:eastAsia="宋体" w:cs="Times New Roman"/>
          <w:b w:val="0"/>
          <w:bCs/>
          <w:color w:val="auto"/>
          <w:sz w:val="24"/>
          <w:lang w:val="en-US" w:eastAsia="zh-CN"/>
        </w:rPr>
        <w:t>项目污水处理站规模为20m</w:t>
      </w:r>
      <w:r>
        <w:rPr>
          <w:rFonts w:hint="eastAsia" w:ascii="Times New Roman" w:hAnsi="Times New Roman" w:eastAsia="宋体" w:cs="Times New Roman"/>
          <w:b w:val="0"/>
          <w:bCs/>
          <w:color w:val="auto"/>
          <w:sz w:val="24"/>
          <w:vertAlign w:val="superscript"/>
          <w:lang w:val="en-US" w:eastAsia="zh-CN"/>
        </w:rPr>
        <w:t>3</w:t>
      </w:r>
      <w:r>
        <w:rPr>
          <w:rFonts w:hint="eastAsia" w:ascii="Times New Roman" w:hAnsi="Times New Roman" w:eastAsia="宋体" w:cs="Times New Roman"/>
          <w:b w:val="0"/>
          <w:bCs/>
          <w:color w:val="auto"/>
          <w:sz w:val="24"/>
          <w:lang w:val="en-US" w:eastAsia="zh-CN"/>
        </w:rPr>
        <w:t>/d，</w:t>
      </w:r>
      <w:r>
        <w:rPr>
          <w:rFonts w:hint="default" w:ascii="Times New Roman" w:hAnsi="Times New Roman" w:eastAsia="宋体" w:cs="Times New Roman"/>
          <w:b w:val="0"/>
          <w:bCs/>
          <w:color w:val="auto"/>
          <w:sz w:val="24"/>
          <w:lang w:val="en-US" w:eastAsia="zh-CN"/>
        </w:rPr>
        <w:t>能满足需求。</w:t>
      </w:r>
    </w:p>
    <w:p w14:paraId="7C51C8DA">
      <w:pPr>
        <w:autoSpaceDE w:val="0"/>
        <w:autoSpaceDN w:val="0"/>
        <w:adjustRightInd w:val="0"/>
        <w:snapToGrid w:val="0"/>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w:t>
      </w:r>
      <w:r>
        <w:rPr>
          <w:rFonts w:hint="eastAsia" w:ascii="Times New Roman" w:hAnsi="Times New Roman"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rPr>
        <w:t>）污水站处理工艺及可行性</w:t>
      </w:r>
    </w:p>
    <w:p w14:paraId="2DC25351">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根据5.2.2.3章节分析，项目污水站处理工艺、处理规模是能满足</w:t>
      </w:r>
      <w:r>
        <w:rPr>
          <w:rFonts w:hint="default" w:ascii="Times New Roman" w:hAnsi="Times New Roman" w:eastAsia="宋体" w:cs="Times New Roman"/>
          <w:bCs/>
          <w:color w:val="auto"/>
          <w:sz w:val="24"/>
          <w:szCs w:val="24"/>
          <w:lang w:eastAsia="zh-CN"/>
        </w:rPr>
        <w:t>项目</w:t>
      </w:r>
      <w:r>
        <w:rPr>
          <w:rFonts w:hint="default" w:ascii="Times New Roman" w:hAnsi="Times New Roman" w:eastAsia="宋体" w:cs="Times New Roman"/>
          <w:bCs/>
          <w:color w:val="auto"/>
          <w:sz w:val="24"/>
          <w:szCs w:val="24"/>
        </w:rPr>
        <w:t>废水回用要求的，此处不再重复分析。</w:t>
      </w:r>
    </w:p>
    <w:p w14:paraId="6E07022A">
      <w:pPr>
        <w:autoSpaceDE w:val="0"/>
        <w:autoSpaceDN w:val="0"/>
        <w:adjustRightInd w:val="0"/>
        <w:snapToGrid w:val="0"/>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w:t>
      </w:r>
      <w:r>
        <w:rPr>
          <w:rFonts w:hint="eastAsia" w:ascii="Times New Roman" w:hAnsi="Times New Roman" w:cs="Times New Roman"/>
          <w:b/>
          <w:bCs w:val="0"/>
          <w:color w:val="auto"/>
          <w:sz w:val="24"/>
          <w:szCs w:val="24"/>
          <w:lang w:val="en-US" w:eastAsia="zh-CN"/>
        </w:rPr>
        <w:t>4</w:t>
      </w:r>
      <w:r>
        <w:rPr>
          <w:rFonts w:hint="default" w:ascii="Times New Roman" w:hAnsi="Times New Roman" w:eastAsia="宋体" w:cs="Times New Roman"/>
          <w:b/>
          <w:bCs w:val="0"/>
          <w:color w:val="auto"/>
          <w:sz w:val="24"/>
          <w:szCs w:val="24"/>
        </w:rPr>
        <w:t>）废水防治措施经济可行性分析</w:t>
      </w:r>
    </w:p>
    <w:p w14:paraId="2F60ECB8">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废水处理设施投入运行后的运行费用的高低是考察其经济可行性的重要因素，本工艺投入使用后的运行费用主要从电费、药剂费、维修费、人工费用4个方面考虑。</w:t>
      </w:r>
    </w:p>
    <w:p w14:paraId="32B235E4">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电费E1</w:t>
      </w:r>
    </w:p>
    <w:p w14:paraId="24D817A0">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一级物化处理：电耗1.38kwh/m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，电价1.2元/kwh，则电费为1.66kwh/m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30351DA5">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二级+三级处理：电耗1.2kwh/m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，电价1.2元/kwh，则电费为1.44kwh/m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6D12E937">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药剂费E2</w:t>
      </w:r>
    </w:p>
    <w:p w14:paraId="44ED75F7">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一级物化处理：PAC（絮凝剂）、PAM费用根据同类工程经验，所需费用0.22元/m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785E809A">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二级+三级处理：N/P营养盐等费用根据同类工程经验，所需费用0.4元/m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4E783611">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维修费E3</w:t>
      </w:r>
    </w:p>
    <w:p w14:paraId="74A7DBF9">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一级物化处理：0.01元/m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04A75101">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二级+三级处理：0.02元/m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6EE8B183">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人员工资E4</w:t>
      </w:r>
    </w:p>
    <w:p w14:paraId="057F8844">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废水处理系统操作</w:t>
      </w:r>
      <w:r>
        <w:rPr>
          <w:rFonts w:hint="default" w:ascii="Times New Roman" w:hAnsi="Times New Roman" w:eastAsia="宋体" w:cs="Times New Roman"/>
          <w:bCs/>
          <w:color w:val="auto"/>
          <w:sz w:val="24"/>
          <w:szCs w:val="24"/>
          <w:lang w:eastAsia="zh-CN"/>
        </w:rPr>
        <w:t>、维护</w:t>
      </w:r>
      <w:r>
        <w:rPr>
          <w:rFonts w:hint="default" w:ascii="Times New Roman" w:hAnsi="Times New Roman" w:eastAsia="宋体" w:cs="Times New Roman"/>
          <w:bCs/>
          <w:color w:val="auto"/>
          <w:sz w:val="24"/>
          <w:szCs w:val="24"/>
        </w:rPr>
        <w:t>人员</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名，每人每月平均工资按3000.0元计，则人工费为</w:t>
      </w:r>
      <w:r>
        <w:rPr>
          <w:rFonts w:hint="default" w:ascii="Times New Roman" w:hAnsi="Times New Roman" w:eastAsia="宋体" w:cs="Times New Roman"/>
          <w:bCs/>
          <w:color w:val="auto"/>
          <w:sz w:val="24"/>
          <w:szCs w:val="24"/>
          <w:lang w:val="en-US" w:eastAsia="zh-CN"/>
        </w:rPr>
        <w:t>3000</w:t>
      </w:r>
      <w:r>
        <w:rPr>
          <w:rFonts w:hint="default" w:ascii="Times New Roman" w:hAnsi="Times New Roman" w:eastAsia="宋体" w:cs="Times New Roman"/>
          <w:bCs/>
          <w:color w:val="auto"/>
          <w:sz w:val="24"/>
          <w:szCs w:val="24"/>
        </w:rPr>
        <w:t>元/月，</w:t>
      </w:r>
      <w:r>
        <w:rPr>
          <w:rFonts w:hint="default" w:ascii="Times New Roman" w:hAnsi="Times New Roman" w:eastAsia="宋体" w:cs="Times New Roman"/>
          <w:bCs/>
          <w:color w:val="auto"/>
          <w:sz w:val="24"/>
          <w:szCs w:val="24"/>
          <w:lang w:val="en-US" w:eastAsia="zh-CN"/>
        </w:rPr>
        <w:t>1.15</w:t>
      </w:r>
      <w:r>
        <w:rPr>
          <w:rFonts w:hint="default" w:ascii="Times New Roman" w:hAnsi="Times New Roman" w:eastAsia="宋体" w:cs="Times New Roman"/>
          <w:bCs/>
          <w:color w:val="auto"/>
          <w:sz w:val="24"/>
          <w:szCs w:val="24"/>
        </w:rPr>
        <w:t>元/m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1211E3E3">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总直接运行费用ΣE（满负荷运行计）：</w:t>
      </w:r>
    </w:p>
    <w:p w14:paraId="11A1094B">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（E1＋E2＋E3+E4）=[（1.66+0.22+0.02）×</w:t>
      </w:r>
      <w:r>
        <w:rPr>
          <w:rFonts w:hint="default" w:ascii="Times New Roman" w:hAnsi="Times New Roman" w:eastAsia="宋体" w:cs="Times New Roman"/>
          <w:bCs/>
          <w:color w:val="auto"/>
          <w:sz w:val="24"/>
          <w:szCs w:val="24"/>
          <w:lang w:val="en-US" w:eastAsia="zh-CN"/>
        </w:rPr>
        <w:t>1032</w:t>
      </w:r>
      <w:r>
        <w:rPr>
          <w:rFonts w:hint="default" w:ascii="Times New Roman" w:hAnsi="Times New Roman" w:eastAsia="宋体" w:cs="Times New Roman"/>
          <w:bCs/>
          <w:color w:val="auto"/>
          <w:sz w:val="24"/>
          <w:szCs w:val="24"/>
        </w:rPr>
        <w:t>+（1.44+0.3+0.02）×</w:t>
      </w:r>
      <w:r>
        <w:rPr>
          <w:rFonts w:hint="default" w:ascii="Times New Roman" w:hAnsi="Times New Roman" w:eastAsia="宋体" w:cs="Times New Roman"/>
          <w:bCs/>
          <w:color w:val="auto"/>
          <w:sz w:val="24"/>
          <w:szCs w:val="24"/>
          <w:lang w:val="en-US" w:eastAsia="zh-CN"/>
        </w:rPr>
        <w:t>1032</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1032</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1032</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1.15</w:t>
      </w: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2.98</w:t>
      </w:r>
      <w:r>
        <w:rPr>
          <w:rFonts w:hint="default" w:ascii="Times New Roman" w:hAnsi="Times New Roman" w:eastAsia="宋体" w:cs="Times New Roman"/>
          <w:bCs/>
          <w:color w:val="auto"/>
          <w:sz w:val="24"/>
          <w:szCs w:val="24"/>
        </w:rPr>
        <w:t>元/m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w:t>
      </w:r>
    </w:p>
    <w:p w14:paraId="03C1D2ED">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通过核算可以看出，项目废水处理设施的运转费用不高，经济上可行。</w:t>
      </w:r>
    </w:p>
    <w:p w14:paraId="0217E65C">
      <w:pPr>
        <w:autoSpaceDE w:val="0"/>
        <w:autoSpaceDN w:val="0"/>
        <w:adjustRightInd w:val="0"/>
        <w:snapToGrid w:val="0"/>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rPr>
        <w:t>（</w:t>
      </w:r>
      <w:r>
        <w:rPr>
          <w:rFonts w:hint="eastAsia" w:ascii="Times New Roman" w:hAnsi="Times New Roman" w:cs="Times New Roman"/>
          <w:b/>
          <w:bCs w:val="0"/>
          <w:color w:val="auto"/>
          <w:sz w:val="24"/>
          <w:szCs w:val="24"/>
          <w:lang w:val="en-US" w:eastAsia="zh-CN"/>
        </w:rPr>
        <w:t>5</w:t>
      </w:r>
      <w:r>
        <w:rPr>
          <w:rFonts w:hint="default" w:ascii="Times New Roman" w:hAnsi="Times New Roman" w:eastAsia="宋体" w:cs="Times New Roman"/>
          <w:b/>
          <w:bCs w:val="0"/>
          <w:color w:val="auto"/>
          <w:sz w:val="24"/>
          <w:szCs w:val="24"/>
        </w:rPr>
        <w:t>）非正常排放控制措施</w:t>
      </w:r>
    </w:p>
    <w:p w14:paraId="4684E3C2">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针对项目非正常排放情况（主要是污水处理设施出现故障时处理效率降低时废水不能正常回用），本次环评提出措施如下：</w:t>
      </w:r>
    </w:p>
    <w:p w14:paraId="2AE34675">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①建设容积</w:t>
      </w:r>
      <w:r>
        <w:rPr>
          <w:rFonts w:hint="default" w:ascii="Times New Roman" w:hAnsi="Times New Roman" w:eastAsia="宋体" w:cs="Times New Roman"/>
          <w:bCs/>
          <w:color w:val="auto"/>
          <w:sz w:val="24"/>
          <w:szCs w:val="24"/>
          <w:lang w:eastAsia="zh-CN"/>
        </w:rPr>
        <w:t>不低于</w:t>
      </w:r>
      <w:r>
        <w:rPr>
          <w:rFonts w:hint="eastAsia" w:ascii="Times New Roman" w:hAnsi="Times New Roman" w:cs="Times New Roman"/>
          <w:bCs/>
          <w:color w:val="auto"/>
          <w:sz w:val="24"/>
          <w:szCs w:val="24"/>
          <w:lang w:val="en-US" w:eastAsia="zh-CN"/>
        </w:rPr>
        <w:t>231</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事故池1个，确保在发生非正常排放的情况下，可暂存</w:t>
      </w:r>
      <w:r>
        <w:rPr>
          <w:rFonts w:hint="default" w:ascii="Times New Roman" w:hAnsi="Times New Roman" w:eastAsia="宋体" w:cs="Times New Roman"/>
          <w:bCs/>
          <w:color w:val="auto"/>
          <w:sz w:val="24"/>
          <w:szCs w:val="24"/>
          <w:lang w:eastAsia="zh-CN"/>
        </w:rPr>
        <w:t>项目产生</w:t>
      </w:r>
      <w:r>
        <w:rPr>
          <w:rFonts w:hint="default" w:ascii="Times New Roman" w:hAnsi="Times New Roman" w:eastAsia="宋体" w:cs="Times New Roman"/>
          <w:bCs/>
          <w:color w:val="auto"/>
          <w:sz w:val="24"/>
          <w:szCs w:val="24"/>
        </w:rPr>
        <w:t>的</w:t>
      </w:r>
      <w:r>
        <w:rPr>
          <w:rFonts w:hint="default" w:ascii="Times New Roman" w:hAnsi="Times New Roman" w:eastAsia="宋体" w:cs="Times New Roman"/>
          <w:bCs/>
          <w:color w:val="auto"/>
          <w:sz w:val="24"/>
          <w:szCs w:val="24"/>
          <w:lang w:eastAsia="zh-CN"/>
        </w:rPr>
        <w:t>生活、消防</w:t>
      </w:r>
      <w:r>
        <w:rPr>
          <w:rFonts w:hint="default" w:ascii="Times New Roman" w:hAnsi="Times New Roman" w:eastAsia="宋体" w:cs="Times New Roman"/>
          <w:bCs/>
          <w:color w:val="auto"/>
          <w:sz w:val="24"/>
          <w:szCs w:val="24"/>
        </w:rPr>
        <w:t>废水。在清除完厂区生产设备及污水处理设备故障后，将事故水池内废水用泵抽回废水处理系统处理</w:t>
      </w:r>
      <w:r>
        <w:rPr>
          <w:rFonts w:hint="eastAsia" w:ascii="Times New Roman" w:hAnsi="Times New Roman" w:cs="Times New Roman"/>
          <w:bCs/>
          <w:color w:val="auto"/>
          <w:sz w:val="24"/>
          <w:szCs w:val="24"/>
          <w:lang w:eastAsia="zh-CN"/>
        </w:rPr>
        <w:t>达标后排入园区污水管网</w:t>
      </w:r>
      <w:r>
        <w:rPr>
          <w:rFonts w:hint="default" w:ascii="Times New Roman" w:hAnsi="Times New Roman" w:eastAsia="宋体" w:cs="Times New Roman"/>
          <w:bCs/>
          <w:color w:val="auto"/>
          <w:sz w:val="24"/>
          <w:szCs w:val="24"/>
        </w:rPr>
        <w:t>。</w:t>
      </w:r>
    </w:p>
    <w:p w14:paraId="7292B148">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②化粪池、隔油池以及</w:t>
      </w:r>
      <w:r>
        <w:rPr>
          <w:rFonts w:hint="eastAsia" w:ascii="Times New Roman" w:hAnsi="Times New Roman" w:cs="Times New Roman"/>
          <w:bCs/>
          <w:color w:val="auto"/>
          <w:sz w:val="24"/>
          <w:szCs w:val="24"/>
          <w:lang w:eastAsia="zh-CN"/>
        </w:rPr>
        <w:t>污水处理</w:t>
      </w:r>
      <w:r>
        <w:rPr>
          <w:rFonts w:hint="default" w:ascii="Times New Roman" w:hAnsi="Times New Roman" w:eastAsia="宋体" w:cs="Times New Roman"/>
          <w:bCs/>
          <w:color w:val="auto"/>
          <w:sz w:val="24"/>
          <w:szCs w:val="24"/>
        </w:rPr>
        <w:t>设备应按照设计单位的水处理方案，并委托有施工资质的单位进行施工或购买，确保废水经处理后可以达到相应的标准要求。</w:t>
      </w:r>
    </w:p>
    <w:p w14:paraId="5EBB24FE">
      <w:pPr>
        <w:autoSpaceDE w:val="0"/>
        <w:autoSpaceDN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t>③</w:t>
      </w:r>
      <w:r>
        <w:rPr>
          <w:rFonts w:hint="default" w:ascii="Times New Roman" w:hAnsi="Times New Roman" w:eastAsia="宋体" w:cs="Times New Roman"/>
          <w:bCs/>
          <w:color w:val="auto"/>
          <w:sz w:val="24"/>
          <w:szCs w:val="24"/>
        </w:rPr>
        <w:t>指定专人负责项目内废水回收系统和污水处理系统的日常管理及维护，定期检修设备，做好设备运行情况的记录，确保设施持续稳定运行。</w:t>
      </w:r>
    </w:p>
    <w:p w14:paraId="5016A402">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eastAsia="zh-CN"/>
        </w:rPr>
        <w:t>④</w:t>
      </w:r>
      <w:r>
        <w:rPr>
          <w:rFonts w:hint="default" w:ascii="Times New Roman" w:hAnsi="Times New Roman" w:eastAsia="宋体" w:cs="Times New Roman"/>
          <w:bCs/>
          <w:color w:val="auto"/>
          <w:sz w:val="24"/>
          <w:szCs w:val="24"/>
        </w:rPr>
        <w:t>项目运行期要禁止发生废水非正常排放，一体化污水处理设备故障时，生活污水禁止排入</w:t>
      </w:r>
      <w:r>
        <w:rPr>
          <w:rFonts w:hint="default" w:ascii="Times New Roman" w:hAnsi="Times New Roman" w:eastAsia="宋体" w:cs="Times New Roman"/>
          <w:color w:val="auto"/>
          <w:sz w:val="24"/>
          <w:szCs w:val="24"/>
        </w:rPr>
        <w:t>。</w:t>
      </w:r>
    </w:p>
    <w:p w14:paraId="32C9D6EF">
      <w:pPr>
        <w:keepNext/>
        <w:keepLines/>
        <w:widowControl w:val="0"/>
        <w:adjustRightInd w:val="0"/>
        <w:snapToGrid w:val="0"/>
        <w:spacing w:before="120" w:beforeLines="50" w:after="0" w:line="360" w:lineRule="auto"/>
        <w:jc w:val="both"/>
        <w:outlineLvl w:val="2"/>
        <w:rPr>
          <w:rFonts w:hint="default" w:ascii="Times New Roman" w:hAnsi="Times New Roman" w:eastAsia="宋体" w:cs="Times New Roman"/>
          <w:b/>
          <w:bCs/>
          <w:color w:val="auto"/>
          <w:kern w:val="2"/>
          <w:sz w:val="28"/>
          <w:szCs w:val="28"/>
          <w:lang w:val="en-US" w:eastAsia="zh-CN" w:bidi="ar-SA"/>
        </w:rPr>
      </w:pPr>
      <w:bookmarkStart w:id="391" w:name="_Toc535"/>
      <w:r>
        <w:rPr>
          <w:rFonts w:hint="default" w:ascii="Times New Roman" w:hAnsi="Times New Roman" w:eastAsia="宋体" w:cs="Times New Roman"/>
          <w:b/>
          <w:bCs/>
          <w:color w:val="auto"/>
          <w:kern w:val="2"/>
          <w:sz w:val="28"/>
          <w:szCs w:val="28"/>
          <w:lang w:val="en-US" w:eastAsia="zh-CN" w:bidi="ar-SA"/>
        </w:rPr>
        <w:t>8.2.3地下水污染防治措施</w:t>
      </w:r>
      <w:bookmarkEnd w:id="391"/>
    </w:p>
    <w:p w14:paraId="222F136B">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（1）防渗为重。厂区除绿地以外全部进行地面固化、硬化处理，并对一体化污水处理设施、生产车间、污水管道区域、化粪池、危险废物暂存间采取防渗措施，防止物料、废水发生泄漏，具体防渗要求见表8.2-1。</w:t>
      </w:r>
    </w:p>
    <w:p w14:paraId="3F7EC038">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施工期委托第三方做好环境监理，按设计的防渗要求进行施工，重点在污水处理设施、污水管沟、危险废物暂存间等基坑、垫层、底板、防水等隐蔽工程进行施工时，应保留防渗层施工影像记录，施工单位、监理单位及主管部门盖章确认；高质量完成各项防渗设计指标。</w:t>
      </w:r>
    </w:p>
    <w:p w14:paraId="3250EA14">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（3）成品库、原料库等按照设计要求全部布置于车间内，禁止露天堆放。</w:t>
      </w:r>
    </w:p>
    <w:p w14:paraId="326ED737">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（4）实施清洁生产及各类废物循环利用方案，减少污染物的排放量，防治污染物跑、冒、滴、漏，将污染物的泄漏环境风险事故降到最低限度；</w:t>
      </w:r>
    </w:p>
    <w:p w14:paraId="4B7B422E">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（5）加强污水管网巡视和日常管理，定期进行生产设备、储罐、输送管线的检修与维护，及时掌控污水管是否破损渗漏，并充分利用事故水池，避免物料、污水渗漏污染地下水。</w:t>
      </w:r>
    </w:p>
    <w:p w14:paraId="2BAE4665">
      <w:pPr>
        <w:adjustRightInd w:val="0"/>
        <w:snapToGrid w:val="0"/>
        <w:spacing w:line="360" w:lineRule="auto"/>
        <w:ind w:firstLine="480"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rPr>
        <w:t>（6）建立地下水风险事故应急响应预案，明确风险事故状态下应采取的封闭措施。</w:t>
      </w:r>
    </w:p>
    <w:p w14:paraId="6DAA06A5">
      <w:pPr>
        <w:adjustRightInd w:val="0"/>
        <w:snapToGrid w:val="0"/>
        <w:spacing w:line="360" w:lineRule="auto"/>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表8.2-1  项目分区分级防渗要求</w:t>
      </w:r>
    </w:p>
    <w:tbl>
      <w:tblPr>
        <w:tblStyle w:val="66"/>
        <w:tblW w:w="8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2711"/>
        <w:gridCol w:w="813"/>
        <w:gridCol w:w="1108"/>
        <w:gridCol w:w="3215"/>
      </w:tblGrid>
      <w:tr w14:paraId="3EE5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blHeader/>
        </w:trPr>
        <w:tc>
          <w:tcPr>
            <w:tcW w:w="740" w:type="dxa"/>
            <w:noWrap w:val="0"/>
            <w:vAlign w:val="center"/>
          </w:tcPr>
          <w:p w14:paraId="20E6C97B">
            <w:pPr>
              <w:adjustRightInd w:val="0"/>
              <w:snapToGrid w:val="0"/>
              <w:spacing w:line="32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711" w:type="dxa"/>
            <w:noWrap w:val="0"/>
            <w:vAlign w:val="center"/>
          </w:tcPr>
          <w:p w14:paraId="0052B749">
            <w:pPr>
              <w:adjustRightInd w:val="0"/>
              <w:snapToGrid w:val="0"/>
              <w:spacing w:line="32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单元</w:t>
            </w:r>
          </w:p>
        </w:tc>
        <w:tc>
          <w:tcPr>
            <w:tcW w:w="813" w:type="dxa"/>
            <w:noWrap w:val="0"/>
            <w:vAlign w:val="center"/>
          </w:tcPr>
          <w:p w14:paraId="54CBC8B8">
            <w:pPr>
              <w:adjustRightInd w:val="0"/>
              <w:snapToGrid w:val="0"/>
              <w:spacing w:line="32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分区</w:t>
            </w:r>
          </w:p>
        </w:tc>
        <w:tc>
          <w:tcPr>
            <w:tcW w:w="1108" w:type="dxa"/>
            <w:noWrap w:val="0"/>
            <w:vAlign w:val="center"/>
          </w:tcPr>
          <w:p w14:paraId="067237AB">
            <w:pPr>
              <w:adjustRightInd w:val="0"/>
              <w:snapToGrid w:val="0"/>
              <w:spacing w:line="32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防渗结构形式</w:t>
            </w:r>
          </w:p>
        </w:tc>
        <w:tc>
          <w:tcPr>
            <w:tcW w:w="3215" w:type="dxa"/>
            <w:noWrap w:val="0"/>
            <w:vAlign w:val="center"/>
          </w:tcPr>
          <w:p w14:paraId="734B8434">
            <w:pPr>
              <w:adjustRightInd w:val="0"/>
              <w:snapToGrid w:val="0"/>
              <w:spacing w:line="320" w:lineRule="atLeast"/>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具体结构、渗透系数</w:t>
            </w:r>
          </w:p>
        </w:tc>
      </w:tr>
      <w:tr w14:paraId="5F1F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trPr>
        <w:tc>
          <w:tcPr>
            <w:tcW w:w="740" w:type="dxa"/>
            <w:vMerge w:val="restart"/>
            <w:noWrap w:val="0"/>
            <w:vAlign w:val="center"/>
          </w:tcPr>
          <w:p w14:paraId="0394B4BB">
            <w:pPr>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rPr>
              <w:t>区</w:t>
            </w:r>
          </w:p>
        </w:tc>
        <w:tc>
          <w:tcPr>
            <w:tcW w:w="2711" w:type="dxa"/>
            <w:noWrap w:val="0"/>
            <w:vAlign w:val="center"/>
          </w:tcPr>
          <w:p w14:paraId="5CADABD7">
            <w:pPr>
              <w:adjustRightInd w:val="0"/>
              <w:snapToGrid w:val="0"/>
              <w:spacing w:line="360" w:lineRule="atLeas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危险废物暂存间</w:t>
            </w:r>
          </w:p>
        </w:tc>
        <w:tc>
          <w:tcPr>
            <w:tcW w:w="813" w:type="dxa"/>
            <w:noWrap w:val="0"/>
            <w:vAlign w:val="center"/>
          </w:tcPr>
          <w:p w14:paraId="5D19978C">
            <w:pPr>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重点防渗区</w:t>
            </w:r>
          </w:p>
        </w:tc>
        <w:tc>
          <w:tcPr>
            <w:tcW w:w="1108" w:type="dxa"/>
            <w:noWrap w:val="0"/>
            <w:vAlign w:val="center"/>
          </w:tcPr>
          <w:p w14:paraId="71E46F42">
            <w:pPr>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黏土层或人工材料防渗</w:t>
            </w:r>
          </w:p>
        </w:tc>
        <w:tc>
          <w:tcPr>
            <w:tcW w:w="3215" w:type="dxa"/>
            <w:noWrap w:val="0"/>
            <w:vAlign w:val="center"/>
          </w:tcPr>
          <w:p w14:paraId="069903BD">
            <w:pPr>
              <w:adjustRightInd w:val="0"/>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基础必须防渗，</w:t>
            </w:r>
            <w:r>
              <w:rPr>
                <w:rFonts w:hint="default" w:ascii="Times New Roman" w:hAnsi="Times New Roman" w:eastAsia="宋体" w:cs="Times New Roman"/>
                <w:color w:val="auto"/>
                <w:sz w:val="21"/>
                <w:highlight w:val="none"/>
                <w:lang w:eastAsia="zh-CN"/>
              </w:rPr>
              <w:t>项目重点防渗区采用</w:t>
            </w:r>
            <w:r>
              <w:rPr>
                <w:rFonts w:hint="default" w:ascii="Times New Roman" w:hAnsi="Times New Roman" w:eastAsia="宋体" w:cs="Times New Roman"/>
                <w:color w:val="auto"/>
                <w:sz w:val="21"/>
                <w:highlight w:val="none"/>
              </w:rPr>
              <w:t>2mm厚高密度聚乙烯，或至少2mm厚的其他人工材料，</w:t>
            </w:r>
            <w:r>
              <w:rPr>
                <w:rFonts w:hint="default" w:ascii="Times New Roman" w:hAnsi="Times New Roman" w:eastAsia="宋体" w:cs="Times New Roman"/>
                <w:color w:val="auto"/>
                <w:sz w:val="21"/>
                <w:highlight w:val="none"/>
                <w:lang w:eastAsia="zh-CN"/>
              </w:rPr>
              <w:t>或者等效黏土防渗层</w:t>
            </w:r>
            <w:r>
              <w:rPr>
                <w:rFonts w:hint="default" w:ascii="Times New Roman" w:hAnsi="Times New Roman" w:eastAsia="宋体" w:cs="Times New Roman"/>
                <w:color w:val="auto"/>
                <w:sz w:val="21"/>
                <w:highlight w:val="none"/>
                <w:lang w:val="en-US" w:eastAsia="zh-CN"/>
              </w:rPr>
              <w:t>Mb≥6.0m，</w:t>
            </w:r>
            <w:r>
              <w:rPr>
                <w:rFonts w:hint="default" w:ascii="Times New Roman" w:hAnsi="Times New Roman" w:eastAsia="宋体" w:cs="Times New Roman"/>
                <w:color w:val="auto"/>
                <w:sz w:val="21"/>
                <w:highlight w:val="none"/>
              </w:rPr>
              <w:t>渗透系数≤10</w:t>
            </w:r>
            <w:r>
              <w:rPr>
                <w:rFonts w:hint="default" w:ascii="Times New Roman" w:hAnsi="Times New Roman" w:eastAsia="宋体" w:cs="Times New Roman"/>
                <w:color w:val="auto"/>
                <w:sz w:val="21"/>
                <w:highlight w:val="none"/>
                <w:vertAlign w:val="superscript"/>
              </w:rPr>
              <w:t>-</w:t>
            </w:r>
            <w:r>
              <w:rPr>
                <w:rFonts w:hint="default" w:ascii="Times New Roman" w:hAnsi="Times New Roman" w:eastAsia="宋体" w:cs="Times New Roman"/>
                <w:color w:val="auto"/>
                <w:sz w:val="21"/>
                <w:highlight w:val="none"/>
                <w:vertAlign w:val="superscript"/>
                <w:lang w:val="en-US" w:eastAsia="zh-CN"/>
              </w:rPr>
              <w:t>7</w:t>
            </w:r>
            <w:r>
              <w:rPr>
                <w:rFonts w:hint="default" w:ascii="Times New Roman" w:hAnsi="Times New Roman" w:eastAsia="宋体" w:cs="Times New Roman"/>
                <w:color w:val="auto"/>
                <w:sz w:val="21"/>
                <w:highlight w:val="none"/>
              </w:rPr>
              <w:t>cm/s。</w:t>
            </w:r>
            <w:r>
              <w:rPr>
                <w:rFonts w:hint="default" w:ascii="Times New Roman" w:hAnsi="Times New Roman" w:eastAsia="宋体" w:cs="Times New Roman"/>
                <w:color w:val="auto"/>
                <w:sz w:val="21"/>
                <w:highlight w:val="none"/>
                <w:lang w:eastAsia="zh-CN"/>
              </w:rPr>
              <w:t>或参照</w:t>
            </w:r>
            <w:r>
              <w:rPr>
                <w:rFonts w:hint="default" w:ascii="Times New Roman" w:hAnsi="Times New Roman" w:eastAsia="宋体" w:cs="Times New Roman"/>
                <w:color w:val="auto"/>
                <w:sz w:val="21"/>
                <w:highlight w:val="none"/>
                <w:lang w:val="en-US" w:eastAsia="zh-CN"/>
              </w:rPr>
              <w:t>GB18598执行</w:t>
            </w:r>
          </w:p>
        </w:tc>
      </w:tr>
      <w:tr w14:paraId="7999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740" w:type="dxa"/>
            <w:vMerge w:val="continue"/>
            <w:noWrap w:val="0"/>
            <w:vAlign w:val="center"/>
          </w:tcPr>
          <w:p w14:paraId="04D9643B">
            <w:pPr>
              <w:adjustRightInd w:val="0"/>
              <w:snapToGrid w:val="0"/>
              <w:spacing w:line="360" w:lineRule="atLeast"/>
              <w:jc w:val="center"/>
              <w:rPr>
                <w:rFonts w:hint="default" w:ascii="Times New Roman" w:hAnsi="Times New Roman" w:eastAsia="宋体" w:cs="Times New Roman"/>
                <w:color w:val="auto"/>
                <w:sz w:val="21"/>
                <w:szCs w:val="21"/>
              </w:rPr>
            </w:pPr>
          </w:p>
        </w:tc>
        <w:tc>
          <w:tcPr>
            <w:tcW w:w="2711" w:type="dxa"/>
            <w:noWrap w:val="0"/>
            <w:vAlign w:val="center"/>
          </w:tcPr>
          <w:p w14:paraId="6D4E46C4">
            <w:pPr>
              <w:adjustRightInd w:val="0"/>
              <w:snapToGrid w:val="0"/>
              <w:spacing w:line="36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污水处理</w:t>
            </w:r>
            <w:r>
              <w:rPr>
                <w:rFonts w:hint="default" w:ascii="Times New Roman" w:hAnsi="Times New Roman" w:eastAsia="宋体" w:cs="Times New Roman"/>
                <w:color w:val="auto"/>
                <w:sz w:val="21"/>
                <w:szCs w:val="21"/>
                <w:lang w:eastAsia="zh-CN"/>
              </w:rPr>
              <w:t>系统</w:t>
            </w:r>
            <w:r>
              <w:rPr>
                <w:rFonts w:hint="default" w:ascii="Times New Roman" w:hAnsi="Times New Roman" w:eastAsia="宋体" w:cs="Times New Roman"/>
                <w:color w:val="auto"/>
                <w:sz w:val="21"/>
                <w:szCs w:val="21"/>
              </w:rPr>
              <w:t>（含</w:t>
            </w:r>
            <w:r>
              <w:rPr>
                <w:rFonts w:hint="default" w:ascii="Times New Roman" w:hAnsi="Times New Roman" w:eastAsia="宋体" w:cs="Times New Roman"/>
                <w:color w:val="auto"/>
                <w:sz w:val="21"/>
                <w:szCs w:val="21"/>
                <w:lang w:eastAsia="zh-CN"/>
              </w:rPr>
              <w:t>污水处理设备、化粪池、隔油池、</w:t>
            </w:r>
            <w:r>
              <w:rPr>
                <w:rFonts w:hint="default" w:ascii="Times New Roman" w:hAnsi="Times New Roman" w:eastAsia="宋体" w:cs="Times New Roman"/>
                <w:color w:val="auto"/>
                <w:sz w:val="21"/>
                <w:szCs w:val="21"/>
              </w:rPr>
              <w:t>事故池、污水收集管网）</w:t>
            </w:r>
          </w:p>
        </w:tc>
        <w:tc>
          <w:tcPr>
            <w:tcW w:w="813" w:type="dxa"/>
            <w:noWrap w:val="0"/>
            <w:vAlign w:val="center"/>
          </w:tcPr>
          <w:p w14:paraId="7E0183D9">
            <w:pPr>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一般防渗区</w:t>
            </w:r>
          </w:p>
        </w:tc>
        <w:tc>
          <w:tcPr>
            <w:tcW w:w="1108" w:type="dxa"/>
            <w:noWrap w:val="0"/>
            <w:vAlign w:val="center"/>
          </w:tcPr>
          <w:p w14:paraId="23BDB9BF">
            <w:pPr>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刚性防渗结构</w:t>
            </w:r>
          </w:p>
        </w:tc>
        <w:tc>
          <w:tcPr>
            <w:tcW w:w="3215" w:type="dxa"/>
            <w:noWrap w:val="0"/>
            <w:vAlign w:val="center"/>
          </w:tcPr>
          <w:p w14:paraId="44214E4B">
            <w:pPr>
              <w:adjustRightIn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highlight w:val="none"/>
                <w:lang w:eastAsia="zh-CN"/>
              </w:rPr>
              <w:t>项目一般防渗区采用等效黏土防渗层</w:t>
            </w:r>
            <w:r>
              <w:rPr>
                <w:rFonts w:hint="default" w:ascii="Times New Roman" w:hAnsi="Times New Roman" w:eastAsia="宋体" w:cs="Times New Roman"/>
                <w:color w:val="auto"/>
                <w:sz w:val="21"/>
                <w:highlight w:val="none"/>
                <w:lang w:val="en-US" w:eastAsia="zh-CN"/>
              </w:rPr>
              <w:t>Mb≥1.5m，</w:t>
            </w:r>
            <w:r>
              <w:rPr>
                <w:rFonts w:hint="default" w:ascii="Times New Roman" w:hAnsi="Times New Roman" w:eastAsia="宋体" w:cs="Times New Roman"/>
                <w:color w:val="auto"/>
                <w:sz w:val="21"/>
                <w:highlight w:val="none"/>
              </w:rPr>
              <w:t>渗透系数≤10</w:t>
            </w:r>
            <w:r>
              <w:rPr>
                <w:rFonts w:hint="default" w:ascii="Times New Roman" w:hAnsi="Times New Roman" w:eastAsia="宋体" w:cs="Times New Roman"/>
                <w:color w:val="auto"/>
                <w:sz w:val="21"/>
                <w:highlight w:val="none"/>
                <w:vertAlign w:val="superscript"/>
              </w:rPr>
              <w:t>-</w:t>
            </w:r>
            <w:r>
              <w:rPr>
                <w:rFonts w:hint="default" w:ascii="Times New Roman" w:hAnsi="Times New Roman" w:eastAsia="宋体" w:cs="Times New Roman"/>
                <w:color w:val="auto"/>
                <w:sz w:val="21"/>
                <w:highlight w:val="none"/>
                <w:vertAlign w:val="superscript"/>
                <w:lang w:val="en-US" w:eastAsia="zh-CN"/>
              </w:rPr>
              <w:t>7</w:t>
            </w:r>
            <w:r>
              <w:rPr>
                <w:rFonts w:hint="default" w:ascii="Times New Roman" w:hAnsi="Times New Roman" w:eastAsia="宋体" w:cs="Times New Roman"/>
                <w:color w:val="auto"/>
                <w:sz w:val="21"/>
                <w:highlight w:val="none"/>
              </w:rPr>
              <w:t>cm/s。</w:t>
            </w:r>
            <w:r>
              <w:rPr>
                <w:rFonts w:hint="default" w:ascii="Times New Roman" w:hAnsi="Times New Roman" w:eastAsia="宋体" w:cs="Times New Roman"/>
                <w:color w:val="auto"/>
                <w:sz w:val="21"/>
                <w:highlight w:val="none"/>
                <w:lang w:eastAsia="zh-CN"/>
              </w:rPr>
              <w:t>或参照</w:t>
            </w:r>
            <w:r>
              <w:rPr>
                <w:rFonts w:hint="default" w:ascii="Times New Roman" w:hAnsi="Times New Roman" w:eastAsia="宋体" w:cs="Times New Roman"/>
                <w:color w:val="auto"/>
                <w:sz w:val="21"/>
                <w:highlight w:val="none"/>
                <w:lang w:val="en-US" w:eastAsia="zh-CN"/>
              </w:rPr>
              <w:t>GB18598执行</w:t>
            </w:r>
          </w:p>
        </w:tc>
      </w:tr>
      <w:tr w14:paraId="347C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Merge w:val="continue"/>
            <w:noWrap w:val="0"/>
            <w:vAlign w:val="center"/>
          </w:tcPr>
          <w:p w14:paraId="63C6CEAE">
            <w:pPr>
              <w:adjustRightInd w:val="0"/>
              <w:snapToGrid w:val="0"/>
              <w:spacing w:line="360" w:lineRule="atLeast"/>
              <w:jc w:val="center"/>
              <w:rPr>
                <w:rFonts w:hint="default" w:ascii="Times New Roman" w:hAnsi="Times New Roman" w:eastAsia="宋体" w:cs="Times New Roman"/>
                <w:color w:val="auto"/>
                <w:sz w:val="21"/>
                <w:szCs w:val="21"/>
              </w:rPr>
            </w:pPr>
          </w:p>
        </w:tc>
        <w:tc>
          <w:tcPr>
            <w:tcW w:w="2711" w:type="dxa"/>
            <w:noWrap w:val="0"/>
            <w:vAlign w:val="center"/>
          </w:tcPr>
          <w:p w14:paraId="12851522">
            <w:pPr>
              <w:adjustRightInd w:val="0"/>
              <w:snapToGrid w:val="0"/>
              <w:spacing w:line="360" w:lineRule="atLeast"/>
              <w:jc w:val="center"/>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车间</w:t>
            </w:r>
            <w:r>
              <w:rPr>
                <w:rFonts w:hint="default" w:ascii="Times New Roman" w:hAnsi="Times New Roman" w:eastAsia="宋体" w:cs="Times New Roman"/>
                <w:color w:val="auto"/>
                <w:sz w:val="21"/>
                <w:szCs w:val="21"/>
              </w:rPr>
              <w:t>、办公生活区等</w:t>
            </w:r>
          </w:p>
        </w:tc>
        <w:tc>
          <w:tcPr>
            <w:tcW w:w="813" w:type="dxa"/>
            <w:noWrap w:val="0"/>
            <w:vAlign w:val="center"/>
          </w:tcPr>
          <w:p w14:paraId="0A13EEBD">
            <w:pPr>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简单防渗区</w:t>
            </w:r>
          </w:p>
        </w:tc>
        <w:tc>
          <w:tcPr>
            <w:tcW w:w="1108" w:type="dxa"/>
            <w:noWrap w:val="0"/>
            <w:vAlign w:val="center"/>
          </w:tcPr>
          <w:p w14:paraId="4A8D83CF">
            <w:pPr>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一般地面硬化</w:t>
            </w:r>
          </w:p>
        </w:tc>
        <w:tc>
          <w:tcPr>
            <w:tcW w:w="3215" w:type="dxa"/>
            <w:noWrap w:val="0"/>
            <w:vAlign w:val="center"/>
          </w:tcPr>
          <w:p w14:paraId="1DE3E54F">
            <w:pPr>
              <w:adjustRightInd w:val="0"/>
              <w:snapToGrid w:val="0"/>
              <w:spacing w:line="36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不需要设置专门的防渗层，场地硬化即可</w:t>
            </w:r>
          </w:p>
        </w:tc>
      </w:tr>
    </w:tbl>
    <w:p w14:paraId="575A1FFC">
      <w:pPr>
        <w:keepNext/>
        <w:keepLines/>
        <w:adjustRightInd w:val="0"/>
        <w:snapToGrid w:val="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8.2.4噪声治措施及可行性分析</w:t>
      </w:r>
    </w:p>
    <w:p w14:paraId="66C158AE">
      <w:pPr>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（1）尽量选用低噪声设备，加强设备维护，确保设备处于良好的运转状态。</w:t>
      </w:r>
    </w:p>
    <w:p w14:paraId="1501B5DD">
      <w:pPr>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（2）将产生噪声较高的声源设置在远离厂界的位置，利用厂内建筑物和绿色植物的阻隔作用及声波本身的衰减来减少对周围环境的影响。</w:t>
      </w:r>
    </w:p>
    <w:p w14:paraId="4595C6AA">
      <w:pPr>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（3）建设必须严格按照设计单位的治理措施，对高噪声进行消声处理（对风机类的噪声设备）、减振隔音等降噪措施，以使厂界噪声符合相关标准要求。</w:t>
      </w:r>
    </w:p>
    <w:p w14:paraId="17948132">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szCs w:val="24"/>
        </w:rPr>
        <w:t>（4）合理制定生产计划，严格控制作业时间，夜间不得进行生产。</w:t>
      </w:r>
    </w:p>
    <w:p w14:paraId="5FC3AAE1">
      <w:pPr>
        <w:keepNext/>
        <w:keepLines/>
        <w:adjustRightInd w:val="0"/>
        <w:snapToGrid w:val="0"/>
        <w:outlineLvl w:val="2"/>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8.2.5固废处置措施性分析</w:t>
      </w:r>
    </w:p>
    <w:p w14:paraId="0DDBF4EB">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1、设置一般固废暂存</w:t>
      </w:r>
      <w:r>
        <w:rPr>
          <w:rFonts w:hint="default" w:ascii="Times New Roman" w:hAnsi="Times New Roman" w:eastAsia="宋体" w:cs="Times New Roman"/>
          <w:color w:val="auto"/>
          <w:sz w:val="24"/>
          <w:lang w:eastAsia="zh-CN"/>
        </w:rPr>
        <w:t>间</w:t>
      </w:r>
      <w:r>
        <w:rPr>
          <w:rFonts w:hint="default" w:ascii="Times New Roman" w:hAnsi="Times New Roman" w:eastAsia="宋体" w:cs="Times New Roman"/>
          <w:color w:val="auto"/>
          <w:sz w:val="24"/>
        </w:rPr>
        <w:t>，面积</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，四周设围墙和顶棚。生产过程中产生的边角料</w:t>
      </w:r>
      <w:r>
        <w:rPr>
          <w:rFonts w:hint="eastAsia" w:ascii="Times New Roman" w:hAnsi="Times New Roman" w:cs="Times New Roman"/>
          <w:color w:val="auto"/>
          <w:sz w:val="24"/>
          <w:lang w:eastAsia="zh-CN"/>
        </w:rPr>
        <w:t>、废弃包装材料等</w:t>
      </w:r>
      <w:r>
        <w:rPr>
          <w:rFonts w:hint="default" w:ascii="Times New Roman" w:hAnsi="Times New Roman" w:eastAsia="宋体" w:cs="Times New Roman"/>
          <w:color w:val="auto"/>
          <w:sz w:val="24"/>
        </w:rPr>
        <w:t>暂存在一般固废堆场内</w:t>
      </w:r>
      <w:r>
        <w:rPr>
          <w:rFonts w:hint="default" w:ascii="Times New Roman" w:hAnsi="Times New Roman" w:eastAsia="宋体" w:cs="Times New Roman"/>
          <w:color w:val="auto"/>
          <w:sz w:val="24"/>
          <w:lang w:eastAsia="zh-CN"/>
        </w:rPr>
        <w:t>，</w:t>
      </w:r>
      <w:r>
        <w:rPr>
          <w:rFonts w:hint="eastAsia" w:ascii="Times New Roman" w:hAnsi="Times New Roman" w:cs="Times New Roman"/>
          <w:color w:val="auto"/>
          <w:sz w:val="24"/>
          <w:lang w:eastAsia="zh-CN"/>
        </w:rPr>
        <w:t>边角料</w:t>
      </w:r>
      <w:r>
        <w:rPr>
          <w:rFonts w:hint="default" w:ascii="Times New Roman" w:hAnsi="Times New Roman" w:eastAsia="宋体" w:cs="Times New Roman"/>
          <w:color w:val="auto"/>
          <w:sz w:val="24"/>
        </w:rPr>
        <w:t>定期</w:t>
      </w:r>
      <w:r>
        <w:rPr>
          <w:rFonts w:hint="eastAsia" w:ascii="Times New Roman" w:hAnsi="Times New Roman" w:cs="Times New Roman"/>
          <w:color w:val="auto"/>
          <w:sz w:val="24"/>
          <w:lang w:eastAsia="zh-CN"/>
        </w:rPr>
        <w:t>交由环卫部门处置</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eastAsia="zh-CN"/>
        </w:rPr>
        <w:t>废弃包装材料</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定期出售给</w:t>
      </w:r>
      <w:r>
        <w:rPr>
          <w:rFonts w:hint="default" w:ascii="Times New Roman" w:hAnsi="Times New Roman" w:eastAsia="宋体" w:cs="Times New Roman"/>
          <w:color w:val="auto"/>
          <w:sz w:val="24"/>
          <w:lang w:eastAsia="zh-CN"/>
        </w:rPr>
        <w:t>废旧资源回收中心。</w:t>
      </w:r>
    </w:p>
    <w:p w14:paraId="183DE8D6">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w:t>
      </w:r>
      <w:r>
        <w:rPr>
          <w:rFonts w:hint="default" w:ascii="Times New Roman" w:hAnsi="Times New Roman" w:eastAsia="宋体" w:cs="Times New Roman"/>
          <w:color w:val="auto"/>
          <w:sz w:val="24"/>
          <w:lang w:eastAsia="zh-CN"/>
        </w:rPr>
        <w:t>污水处理设备污泥、定期收集后通过密封袋袋装暂存于一般固废暂存间，并委托环卫部门及时清运</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食堂泔水及废油用塑料桶单独收集后，委托环卫部门进行处理。</w:t>
      </w:r>
    </w:p>
    <w:p w14:paraId="5AEF5218">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default" w:ascii="Times New Roman" w:hAnsi="Times New Roman" w:eastAsia="宋体" w:cs="Times New Roman"/>
          <w:color w:val="auto"/>
          <w:sz w:val="24"/>
          <w:lang w:eastAsia="zh-CN"/>
        </w:rPr>
        <w:t>生活垃圾集中收集</w:t>
      </w:r>
      <w:r>
        <w:rPr>
          <w:rFonts w:hint="default" w:ascii="Times New Roman" w:hAnsi="Times New Roman" w:eastAsia="宋体" w:cs="Times New Roman"/>
          <w:color w:val="auto"/>
          <w:sz w:val="24"/>
        </w:rPr>
        <w:t>后委托环卫部门清运处置</w:t>
      </w:r>
      <w:r>
        <w:rPr>
          <w:rFonts w:hint="default" w:ascii="Times New Roman" w:hAnsi="Times New Roman" w:eastAsia="宋体" w:cs="Times New Roman"/>
          <w:color w:val="auto"/>
          <w:sz w:val="24"/>
          <w:lang w:eastAsia="zh-CN"/>
        </w:rPr>
        <w:t>。</w:t>
      </w:r>
    </w:p>
    <w:p w14:paraId="3D7A6F96">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lang w:val="en-US" w:eastAsia="zh-CN"/>
        </w:rPr>
        <w:t>4、废机油</w:t>
      </w:r>
      <w:r>
        <w:rPr>
          <w:rFonts w:hint="default" w:ascii="Times New Roman" w:hAnsi="Times New Roman" w:eastAsia="宋体" w:cs="Times New Roman"/>
          <w:bCs/>
          <w:color w:val="auto"/>
          <w:sz w:val="24"/>
        </w:rPr>
        <w:t>属于危险危废，应按照GB18597-2001《危险废物贮存污染控制标准》及其修改单的要求进行贮存。</w:t>
      </w:r>
    </w:p>
    <w:p w14:paraId="2BD901F9">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5</w:t>
      </w:r>
      <w:r>
        <w:rPr>
          <w:rFonts w:hint="default" w:ascii="Times New Roman" w:hAnsi="Times New Roman" w:eastAsia="宋体" w:cs="Times New Roman"/>
          <w:bCs/>
          <w:color w:val="auto"/>
          <w:sz w:val="24"/>
        </w:rPr>
        <w:t>、项目内产生危险废物设置独立的危险废物暂存间贮存，面积为</w:t>
      </w:r>
      <w:r>
        <w:rPr>
          <w:rFonts w:hint="eastAsia" w:ascii="Times New Roman" w:hAnsi="Times New Roman" w:cs="Times New Roman"/>
          <w:bCs/>
          <w:color w:val="auto"/>
          <w:sz w:val="24"/>
          <w:lang w:val="en-US" w:eastAsia="zh-CN"/>
        </w:rPr>
        <w:t>10</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kern w:val="0"/>
          <w:sz w:val="24"/>
        </w:rPr>
        <w:t>为密闭建筑，该暂存点具备防渗防漏、防扩散、防雨淋、防流失的措施。</w:t>
      </w:r>
      <w:r>
        <w:rPr>
          <w:rFonts w:hint="default" w:ascii="Times New Roman" w:hAnsi="Times New Roman" w:eastAsia="宋体" w:cs="Times New Roman"/>
          <w:bCs/>
          <w:color w:val="auto"/>
          <w:sz w:val="24"/>
        </w:rPr>
        <w:t>本次故环评要求液体废物及固体废物分开放置。项目区产生的所有危险废物均统一收集，分类、分区暂存于危废</w:t>
      </w:r>
      <w:r>
        <w:rPr>
          <w:rFonts w:hint="default" w:ascii="Times New Roman" w:hAnsi="Times New Roman" w:eastAsia="宋体" w:cs="Times New Roman"/>
          <w:bCs/>
          <w:color w:val="auto"/>
          <w:sz w:val="24"/>
          <w:lang w:eastAsia="zh-CN"/>
        </w:rPr>
        <w:t>暂</w:t>
      </w:r>
      <w:r>
        <w:rPr>
          <w:rFonts w:hint="default" w:ascii="Times New Roman" w:hAnsi="Times New Roman" w:eastAsia="宋体" w:cs="Times New Roman"/>
          <w:bCs/>
          <w:color w:val="auto"/>
          <w:sz w:val="24"/>
        </w:rPr>
        <w:t>存间内，各区相互隔离，互不干扰，并分别设置危险废物识别标志，上锁，钥匙由专人进行管理。</w:t>
      </w:r>
    </w:p>
    <w:p w14:paraId="5C47D90E">
      <w:pPr>
        <w:adjustRightInd w:val="0"/>
        <w:snapToGrid w:val="0"/>
        <w:ind w:firstLine="480" w:firstLineChars="200"/>
        <w:rPr>
          <w:rFonts w:hint="default" w:ascii="Times New Roman" w:hAnsi="Times New Roman" w:eastAsia="宋体" w:cs="Times New Roman"/>
          <w:bCs/>
          <w:color w:val="auto"/>
        </w:rPr>
      </w:pP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w:t>
      </w:r>
      <w:r>
        <w:rPr>
          <w:rFonts w:hint="default" w:ascii="Times New Roman" w:hAnsi="Times New Roman" w:eastAsia="宋体" w:cs="Times New Roman"/>
          <w:bCs/>
          <w:color w:val="auto"/>
          <w:sz w:val="24"/>
        </w:rPr>
        <w:t>危险废物分类收集，采用危险废物收集桶收集后再暂存间内存放，定期委托有资质的单位清运处置。危险废物清运按照《危险废物转移联单管理办法》执行，企业应委托具有资质的专门单位处置危险废物。为便于项目建成后运行管理，公司应与有危险废物处置资质的单位签订处置合同或协议，危险废物清运建立转移联单登记，记录危险废物数量、废物属性、转移时间、去向等，保证将生产中产生的危险废物得到安全、经济的处理处置，最大限制地降低对环境的影响</w:t>
      </w:r>
      <w:r>
        <w:rPr>
          <w:rFonts w:hint="default" w:ascii="Times New Roman" w:hAnsi="Times New Roman" w:eastAsia="宋体" w:cs="Times New Roman"/>
          <w:bCs/>
          <w:color w:val="auto"/>
        </w:rPr>
        <w:t>。</w:t>
      </w:r>
    </w:p>
    <w:p w14:paraId="7CE8C75B">
      <w:pPr>
        <w:keepNext/>
        <w:keepLines/>
        <w:adjustRightInd w:val="0"/>
        <w:snapToGrid w:val="0"/>
        <w:outlineLvl w:val="2"/>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rPr>
        <w:t>8.2.</w:t>
      </w:r>
      <w:r>
        <w:rPr>
          <w:rFonts w:hint="default" w:ascii="Times New Roman" w:hAnsi="Times New Roman" w:eastAsia="宋体" w:cs="Times New Roman"/>
          <w:b/>
          <w:bCs/>
          <w:color w:val="auto"/>
          <w:sz w:val="28"/>
          <w:szCs w:val="28"/>
          <w:lang w:val="en-US" w:eastAsia="zh-CN"/>
        </w:rPr>
        <w:t>6</w:t>
      </w:r>
      <w:r>
        <w:rPr>
          <w:rFonts w:hint="default" w:ascii="Times New Roman" w:hAnsi="Times New Roman" w:eastAsia="宋体" w:cs="Times New Roman"/>
          <w:b/>
          <w:bCs/>
          <w:color w:val="auto"/>
          <w:sz w:val="28"/>
          <w:szCs w:val="28"/>
          <w:lang w:eastAsia="zh-CN"/>
        </w:rPr>
        <w:t>土壤污染防治措施</w:t>
      </w:r>
    </w:p>
    <w:p w14:paraId="17A1E5B5">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为了尽可能降低项目对周围土壤的污染，项目必须采取有效措施。对照HJ964-2018中9.2.3.3条污染影响型的防控措施：</w:t>
      </w:r>
    </w:p>
    <w:p w14:paraId="1EB99FBD">
      <w:pPr>
        <w:numPr>
          <w:ilvl w:val="0"/>
          <w:numId w:val="0"/>
        </w:numPr>
        <w:adjustRightInd w:val="0"/>
        <w:snapToGrid w:val="0"/>
        <w:ind w:firstLine="482"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eastAsia="zh-CN"/>
        </w:rPr>
        <w:t>（</w:t>
      </w:r>
      <w:r>
        <w:rPr>
          <w:rFonts w:hint="default" w:ascii="Times New Roman" w:hAnsi="Times New Roman" w:eastAsia="宋体" w:cs="Times New Roman"/>
          <w:b/>
          <w:bCs/>
          <w:color w:val="auto"/>
          <w:szCs w:val="24"/>
          <w:lang w:val="en-US" w:eastAsia="zh-CN"/>
        </w:rPr>
        <w:t>1</w:t>
      </w:r>
      <w:r>
        <w:rPr>
          <w:rFonts w:hint="default" w:ascii="Times New Roman" w:hAnsi="Times New Roman" w:eastAsia="宋体" w:cs="Times New Roman"/>
          <w:b/>
          <w:bCs/>
          <w:color w:val="auto"/>
          <w:szCs w:val="24"/>
          <w:lang w:eastAsia="zh-CN"/>
        </w:rPr>
        <w:t>）源头控制措施</w:t>
      </w:r>
    </w:p>
    <w:p w14:paraId="14671355">
      <w:pPr>
        <w:numPr>
          <w:ilvl w:val="0"/>
          <w:numId w:val="0"/>
        </w:num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14:paraId="18AE11C6">
      <w:pPr>
        <w:numPr>
          <w:ilvl w:val="0"/>
          <w:numId w:val="0"/>
        </w:num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01322EF5">
      <w:pPr>
        <w:numPr>
          <w:ilvl w:val="0"/>
          <w:numId w:val="0"/>
        </w:numPr>
        <w:adjustRightInd w:val="0"/>
        <w:snapToGrid w:val="0"/>
        <w:ind w:left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eastAsia="zh-CN"/>
        </w:rPr>
        <w:t>（</w:t>
      </w:r>
      <w:r>
        <w:rPr>
          <w:rFonts w:hint="default" w:ascii="Times New Roman" w:hAnsi="Times New Roman" w:eastAsia="宋体" w:cs="Times New Roman"/>
          <w:b/>
          <w:bCs/>
          <w:color w:val="auto"/>
          <w:szCs w:val="24"/>
          <w:lang w:val="en-US" w:eastAsia="zh-CN"/>
        </w:rPr>
        <w:t>2</w:t>
      </w:r>
      <w:r>
        <w:rPr>
          <w:rFonts w:hint="default" w:ascii="Times New Roman" w:hAnsi="Times New Roman" w:eastAsia="宋体" w:cs="Times New Roman"/>
          <w:b/>
          <w:bCs/>
          <w:color w:val="auto"/>
          <w:szCs w:val="24"/>
          <w:lang w:eastAsia="zh-CN"/>
        </w:rPr>
        <w:t>）过程控制措施</w:t>
      </w:r>
    </w:p>
    <w:p w14:paraId="36A3D088">
      <w:pPr>
        <w:numPr>
          <w:ilvl w:val="0"/>
          <w:numId w:val="0"/>
        </w:numPr>
        <w:adjustRightInd w:val="0"/>
        <w:snapToGrid w:val="0"/>
        <w:ind w:left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从地面漫流、垂直入渗三个途径分别进行控制。</w:t>
      </w:r>
    </w:p>
    <w:p w14:paraId="2E3CB153">
      <w:pPr>
        <w:numPr>
          <w:ilvl w:val="0"/>
          <w:numId w:val="10"/>
        </w:numPr>
        <w:adjustRightInd w:val="0"/>
        <w:snapToGrid w:val="0"/>
        <w:ind w:left="480" w:leftChars="200" w:firstLine="0" w:firstLineChars="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b/>
          <w:bCs/>
          <w:color w:val="auto"/>
          <w:szCs w:val="24"/>
          <w:lang w:val="en-US" w:eastAsia="zh-CN"/>
        </w:rPr>
        <w:t>地面漫流污染途径治理措施及效果</w:t>
      </w:r>
    </w:p>
    <w:p w14:paraId="38CD4B3F">
      <w:pPr>
        <w:numPr>
          <w:ilvl w:val="0"/>
          <w:numId w:val="0"/>
        </w:numPr>
        <w:adjustRightInd w:val="0"/>
        <w:snapToGrid w:val="0"/>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对于项目事故状态的废水，必须保证在未经处理满足要求的前提下不得流出</w:t>
      </w:r>
    </w:p>
    <w:p w14:paraId="57CB7272">
      <w:pPr>
        <w:adjustRightInd w:val="0"/>
        <w:snapToGrid w:val="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厂界。项目须贯彻“围、追、堵、截”的原则，采取多级防护措施，确保事故废</w:t>
      </w:r>
    </w:p>
    <w:p w14:paraId="72E3D61C">
      <w:pPr>
        <w:adjustRightInd w:val="0"/>
        <w:snapToGrid w:val="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水未经处理不得排出厂界。</w:t>
      </w:r>
    </w:p>
    <w:p w14:paraId="3D1E908B">
      <w:pPr>
        <w:adjustRightInd w:val="0"/>
        <w:snapToGrid w:val="0"/>
        <w:ind w:firstLine="480" w:firstLineChars="200"/>
        <w:rPr>
          <w:rFonts w:hint="default" w:ascii="Times New Roman" w:hAnsi="Times New Roman" w:eastAsia="宋体" w:cs="Times New Roman"/>
          <w:color w:val="auto"/>
          <w:szCs w:val="24"/>
          <w:lang w:val="en-US" w:eastAsia="zh-CN"/>
        </w:rPr>
      </w:pPr>
      <w:r>
        <w:rPr>
          <w:rFonts w:hint="default" w:ascii="Times New Roman" w:hAnsi="Times New Roman" w:eastAsia="宋体" w:cs="Times New Roman"/>
          <w:color w:val="auto"/>
          <w:szCs w:val="24"/>
          <w:lang w:val="en-US" w:eastAsia="zh-CN"/>
        </w:rPr>
        <w:t>项目设置一个不低于</w:t>
      </w:r>
      <w:r>
        <w:rPr>
          <w:rFonts w:hint="eastAsia" w:ascii="Times New Roman" w:hAnsi="Times New Roman" w:cs="Times New Roman"/>
          <w:color w:val="auto"/>
          <w:szCs w:val="24"/>
          <w:lang w:val="en-US" w:eastAsia="zh-CN"/>
        </w:rPr>
        <w:t>231</w:t>
      </w:r>
      <w:r>
        <w:rPr>
          <w:rFonts w:hint="default" w:ascii="Times New Roman" w:hAnsi="Times New Roman" w:eastAsia="宋体" w:cs="Times New Roman"/>
          <w:color w:val="auto"/>
          <w:szCs w:val="24"/>
          <w:lang w:val="en-US" w:eastAsia="zh-CN"/>
        </w:rPr>
        <w:t>m</w:t>
      </w:r>
      <w:r>
        <w:rPr>
          <w:rFonts w:hint="default" w:ascii="Times New Roman" w:hAnsi="Times New Roman" w:eastAsia="宋体" w:cs="Times New Roman"/>
          <w:color w:val="auto"/>
          <w:szCs w:val="24"/>
          <w:vertAlign w:val="superscript"/>
          <w:lang w:val="en-US" w:eastAsia="zh-CN"/>
        </w:rPr>
        <w:t>3</w:t>
      </w:r>
      <w:r>
        <w:rPr>
          <w:rFonts w:hint="default" w:ascii="Times New Roman" w:hAnsi="Times New Roman" w:eastAsia="宋体" w:cs="Times New Roman"/>
          <w:color w:val="auto"/>
          <w:szCs w:val="24"/>
          <w:lang w:val="en-US" w:eastAsia="zh-CN"/>
        </w:rPr>
        <w:t>的事故应急池，加强对项目污水处理系统（化粪池、</w:t>
      </w:r>
      <w:r>
        <w:rPr>
          <w:rFonts w:hint="eastAsia" w:ascii="Times New Roman" w:hAnsi="Times New Roman" w:cs="Times New Roman"/>
          <w:color w:val="auto"/>
          <w:szCs w:val="24"/>
          <w:lang w:val="en-US" w:eastAsia="zh-CN"/>
        </w:rPr>
        <w:t>污水处理设备、隔油池、三级沉淀池</w:t>
      </w:r>
      <w:r>
        <w:rPr>
          <w:rFonts w:hint="default" w:ascii="Times New Roman" w:hAnsi="Times New Roman" w:eastAsia="宋体" w:cs="Times New Roman"/>
          <w:color w:val="auto"/>
          <w:szCs w:val="24"/>
          <w:lang w:val="en-US" w:eastAsia="zh-CN"/>
        </w:rPr>
        <w:t>）的管理，杜绝事故排放，此外，一旦发现污染，立即启动应急预案、采取应急措施控制土壤污染，并使污染得到治理。</w:t>
      </w:r>
    </w:p>
    <w:p w14:paraId="5538543A">
      <w:pPr>
        <w:numPr>
          <w:ilvl w:val="0"/>
          <w:numId w:val="10"/>
        </w:numPr>
        <w:adjustRightInd w:val="0"/>
        <w:snapToGrid w:val="0"/>
        <w:ind w:left="480" w:leftChars="200" w:firstLine="0" w:firstLineChars="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eastAsia="zh-CN"/>
        </w:rPr>
        <w:t>垂直入渗污染途径治理措施及效果</w:t>
      </w:r>
    </w:p>
    <w:p w14:paraId="1607F1DA">
      <w:pPr>
        <w:adjustRightInd w:val="0"/>
        <w:snapToGrid w:val="0"/>
        <w:spacing w:line="360" w:lineRule="auto"/>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项目按重点污染防治区、一般污染防治区、简单防渗区分别采取不同等级的防渗措。防渗层尽量在地表铺设，防渗材料拟选取环氧树脂和水泥基渗透结晶型防渗材料，按照污染防治分区采取不同的设计方案。其中重点防渗区应选用人工防渗材料，防渗系数K≤10</w:t>
      </w:r>
      <w:r>
        <w:rPr>
          <w:rFonts w:hint="default" w:ascii="Times New Roman" w:hAnsi="Times New Roman" w:eastAsia="宋体" w:cs="Times New Roman"/>
          <w:color w:val="auto"/>
          <w:szCs w:val="24"/>
          <w:vertAlign w:val="superscript"/>
          <w:lang w:eastAsia="zh-CN"/>
        </w:rPr>
        <w:t>-7</w:t>
      </w:r>
      <w:r>
        <w:rPr>
          <w:rFonts w:hint="default" w:ascii="Times New Roman" w:hAnsi="Times New Roman" w:eastAsia="宋体" w:cs="Times New Roman"/>
          <w:color w:val="auto"/>
          <w:szCs w:val="24"/>
          <w:lang w:eastAsia="zh-CN"/>
        </w:rPr>
        <w:t>cm/s。另外，重点防渗区还应满足《危险废物贮存污染控制标准》（GB18597-2001）及其修改单中要求，采用2毫米厚高密度聚乙烯，或至少2毫米厚的其他人工材料，渗透系数K≤10</w:t>
      </w:r>
      <w:r>
        <w:rPr>
          <w:rFonts w:hint="default" w:ascii="Times New Roman" w:hAnsi="Times New Roman" w:eastAsia="宋体" w:cs="Times New Roman"/>
          <w:color w:val="auto"/>
          <w:szCs w:val="24"/>
          <w:vertAlign w:val="superscript"/>
          <w:lang w:eastAsia="zh-CN"/>
        </w:rPr>
        <w:t>-10</w:t>
      </w:r>
      <w:r>
        <w:rPr>
          <w:rFonts w:hint="default" w:ascii="Times New Roman" w:hAnsi="Times New Roman" w:eastAsia="宋体" w:cs="Times New Roman"/>
          <w:color w:val="auto"/>
          <w:szCs w:val="24"/>
          <w:lang w:eastAsia="zh-CN"/>
        </w:rPr>
        <w:t>cm/s。一般防渗区要求为：</w:t>
      </w:r>
      <w:r>
        <w:rPr>
          <w:rFonts w:hint="default" w:ascii="Times New Roman" w:hAnsi="Times New Roman" w:eastAsia="宋体" w:cs="Times New Roman"/>
          <w:color w:val="auto"/>
          <w:sz w:val="24"/>
          <w:szCs w:val="24"/>
        </w:rPr>
        <w:t>等效黏土防渗层Mb≥1.5m，渗透系数K≤1×10</w:t>
      </w:r>
      <w:r>
        <w:rPr>
          <w:rFonts w:hint="default" w:ascii="Times New Roman" w:hAnsi="Times New Roman" w:eastAsia="宋体" w:cs="Times New Roman"/>
          <w:color w:val="auto"/>
          <w:sz w:val="24"/>
          <w:szCs w:val="24"/>
          <w:vertAlign w:val="superscript"/>
        </w:rPr>
        <w:t>-7</w:t>
      </w:r>
      <w:r>
        <w:rPr>
          <w:rFonts w:hint="default" w:ascii="Times New Roman" w:hAnsi="Times New Roman" w:eastAsia="宋体" w:cs="Times New Roman"/>
          <w:color w:val="auto"/>
          <w:sz w:val="24"/>
          <w:szCs w:val="24"/>
        </w:rPr>
        <w:t>cm/s。简单防渗区不需要设置专门的防渗层，一般地面硬化即可</w:t>
      </w:r>
      <w:r>
        <w:rPr>
          <w:rFonts w:hint="default" w:ascii="Times New Roman" w:hAnsi="Times New Roman" w:eastAsia="宋体" w:cs="Times New Roman"/>
          <w:color w:val="auto"/>
          <w:szCs w:val="24"/>
          <w:lang w:eastAsia="zh-CN"/>
        </w:rPr>
        <w:t>。</w:t>
      </w:r>
    </w:p>
    <w:p w14:paraId="362B635D">
      <w:pPr>
        <w:adjustRightInd w:val="0"/>
        <w:snapToGrid w:val="0"/>
        <w:spacing w:line="360" w:lineRule="auto"/>
        <w:ind w:firstLine="480" w:firstLineChars="200"/>
        <w:rPr>
          <w:rFonts w:hint="default" w:ascii="Times New Roman" w:hAnsi="Times New Roman" w:eastAsia="宋体" w:cs="Times New Roman"/>
          <w:b/>
          <w:bCs/>
          <w:color w:val="auto"/>
          <w:szCs w:val="24"/>
          <w:lang w:val="en-US" w:eastAsia="zh-CN"/>
        </w:rPr>
      </w:pPr>
      <w:r>
        <w:rPr>
          <w:rFonts w:hint="default" w:ascii="Times New Roman" w:hAnsi="Times New Roman" w:eastAsia="宋体" w:cs="Times New Roman"/>
          <w:color w:val="auto"/>
          <w:szCs w:val="24"/>
          <w:lang w:eastAsia="zh-CN"/>
        </w:rPr>
        <w:t>企业在运营过程中加强管理，并采取相应的防渗措施可有效防治危险废物暂存间、原辅料仓库和生产过程中因物料泄漏造成对区域土壤环境的污染。</w:t>
      </w:r>
    </w:p>
    <w:p w14:paraId="0EA4CA3B">
      <w:pPr>
        <w:adjustRightInd w:val="0"/>
        <w:snapToGrid w:val="0"/>
        <w:ind w:firstLine="482" w:firstLineChars="200"/>
        <w:rPr>
          <w:rFonts w:hint="default" w:ascii="Times New Roman" w:hAnsi="Times New Roman" w:eastAsia="宋体" w:cs="Times New Roman"/>
          <w:b/>
          <w:bCs/>
          <w:color w:val="auto"/>
          <w:szCs w:val="24"/>
          <w:lang w:eastAsia="zh-CN"/>
        </w:rPr>
      </w:pPr>
      <w:r>
        <w:rPr>
          <w:rFonts w:hint="default" w:ascii="Times New Roman" w:hAnsi="Times New Roman" w:eastAsia="宋体" w:cs="Times New Roman"/>
          <w:b/>
          <w:bCs/>
          <w:color w:val="auto"/>
          <w:szCs w:val="24"/>
          <w:lang w:val="en-US" w:eastAsia="zh-CN"/>
        </w:rPr>
        <w:t>4</w:t>
      </w:r>
      <w:r>
        <w:rPr>
          <w:rFonts w:hint="default" w:ascii="Times New Roman" w:hAnsi="Times New Roman" w:eastAsia="宋体" w:cs="Times New Roman"/>
          <w:b/>
          <w:bCs/>
          <w:color w:val="auto"/>
          <w:szCs w:val="24"/>
          <w:lang w:eastAsia="zh-CN"/>
        </w:rPr>
        <w:t>）土壤跟踪监测</w:t>
      </w:r>
    </w:p>
    <w:p w14:paraId="798B63F0">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对项目区的土壤定期监测，发现污染土壤时，及时查找泄漏源，防止污染源的进一步下渗，必要时对已污染的土壤进行替换或修复。对于监测结果应按项目有关规定及时建立档案，并定期向建设单位、生态环境部门汇报，对于常规监测数据应该进行公开，如发现异常或发生事故，加强监测频次，并分析污染原因，确定泄漏污染源，及时采取对应应急措施。</w:t>
      </w:r>
    </w:p>
    <w:p w14:paraId="5E993D8F">
      <w:pPr>
        <w:keepNext/>
        <w:keepLines/>
        <w:adjustRightInd w:val="0"/>
        <w:snapToGrid w:val="0"/>
        <w:spacing w:beforeLines="50"/>
        <w:outlineLvl w:val="1"/>
        <w:rPr>
          <w:rFonts w:hint="default" w:ascii="Times New Roman" w:hAnsi="Times New Roman" w:eastAsia="宋体" w:cs="Times New Roman"/>
          <w:b/>
          <w:bCs/>
          <w:color w:val="auto"/>
          <w:sz w:val="32"/>
          <w:szCs w:val="32"/>
        </w:rPr>
      </w:pPr>
      <w:bookmarkStart w:id="392" w:name="_Toc31144"/>
      <w:r>
        <w:rPr>
          <w:rFonts w:hint="default" w:ascii="Times New Roman" w:hAnsi="Times New Roman" w:eastAsia="宋体" w:cs="Times New Roman"/>
          <w:b/>
          <w:bCs/>
          <w:color w:val="auto"/>
          <w:sz w:val="32"/>
          <w:szCs w:val="32"/>
        </w:rPr>
        <w:t>8.3环境保护措施一览表</w:t>
      </w:r>
      <w:bookmarkEnd w:id="392"/>
    </w:p>
    <w:p w14:paraId="36D31C43">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rPr>
        <w:t>本项目采取的环境污染防治措施见表8.3-1。</w:t>
      </w:r>
    </w:p>
    <w:p w14:paraId="6047DC92">
      <w:pPr>
        <w:autoSpaceDE w:val="0"/>
        <w:autoSpaceDN w:val="0"/>
        <w:adjustRightInd w:val="0"/>
        <w:ind w:firstLine="480" w:firstLineChars="200"/>
        <w:jc w:val="left"/>
        <w:rPr>
          <w:rFonts w:hint="default" w:ascii="Times New Roman" w:hAnsi="Times New Roman" w:eastAsia="宋体" w:cs="Times New Roman"/>
          <w:color w:val="auto"/>
          <w:kern w:val="0"/>
          <w:szCs w:val="24"/>
        </w:rPr>
      </w:pPr>
    </w:p>
    <w:p w14:paraId="7855BEA3">
      <w:pPr>
        <w:autoSpaceDE w:val="0"/>
        <w:autoSpaceDN w:val="0"/>
        <w:adjustRightInd w:val="0"/>
        <w:ind w:firstLine="480" w:firstLineChars="200"/>
        <w:jc w:val="left"/>
        <w:rPr>
          <w:rFonts w:hint="default" w:ascii="Times New Roman" w:hAnsi="Times New Roman" w:eastAsia="宋体" w:cs="Times New Roman"/>
          <w:color w:val="auto"/>
          <w:kern w:val="0"/>
          <w:szCs w:val="24"/>
        </w:rPr>
      </w:pPr>
    </w:p>
    <w:p w14:paraId="29752002">
      <w:pPr>
        <w:autoSpaceDE w:val="0"/>
        <w:autoSpaceDN w:val="0"/>
        <w:adjustRightInd w:val="0"/>
        <w:ind w:firstLine="480" w:firstLineChars="200"/>
        <w:jc w:val="left"/>
        <w:rPr>
          <w:rFonts w:hint="default" w:ascii="Times New Roman" w:hAnsi="Times New Roman" w:eastAsia="宋体" w:cs="Times New Roman"/>
          <w:color w:val="auto"/>
          <w:kern w:val="0"/>
          <w:szCs w:val="24"/>
        </w:rPr>
      </w:pPr>
    </w:p>
    <w:p w14:paraId="0CC8C40E">
      <w:pPr>
        <w:autoSpaceDE w:val="0"/>
        <w:autoSpaceDN w:val="0"/>
        <w:adjustRightInd w:val="0"/>
        <w:ind w:firstLine="480" w:firstLineChars="200"/>
        <w:jc w:val="left"/>
        <w:rPr>
          <w:rFonts w:hint="default" w:ascii="Times New Roman" w:hAnsi="Times New Roman" w:eastAsia="宋体" w:cs="Times New Roman"/>
          <w:color w:val="auto"/>
          <w:kern w:val="0"/>
          <w:szCs w:val="24"/>
        </w:rPr>
        <w:sectPr>
          <w:pgSz w:w="11906" w:h="16838"/>
          <w:pgMar w:top="1440" w:right="1797" w:bottom="1440" w:left="1797" w:header="851" w:footer="992" w:gutter="0"/>
          <w:pgNumType w:fmt="decimal"/>
          <w:cols w:space="425" w:num="1"/>
          <w:docGrid w:linePitch="312" w:charSpace="0"/>
        </w:sectPr>
      </w:pPr>
    </w:p>
    <w:p w14:paraId="64243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szCs w:val="24"/>
        </w:rPr>
        <w:t xml:space="preserve">表8.3-1     </w:t>
      </w:r>
      <w:r>
        <w:rPr>
          <w:rFonts w:hint="default" w:ascii="Times New Roman" w:hAnsi="Times New Roman" w:eastAsia="宋体" w:cs="Times New Roman"/>
          <w:b/>
          <w:color w:val="auto"/>
          <w:szCs w:val="24"/>
          <w:lang w:eastAsia="zh-CN"/>
        </w:rPr>
        <w:t>项目</w:t>
      </w:r>
      <w:r>
        <w:rPr>
          <w:rFonts w:hint="default" w:ascii="Times New Roman" w:hAnsi="Times New Roman" w:eastAsia="宋体" w:cs="Times New Roman"/>
          <w:b/>
          <w:color w:val="auto"/>
          <w:szCs w:val="24"/>
        </w:rPr>
        <w:t>环保措施对策一览表</w:t>
      </w:r>
    </w:p>
    <w:tbl>
      <w:tblPr>
        <w:tblStyle w:val="66"/>
        <w:tblW w:w="14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40"/>
        <w:gridCol w:w="10714"/>
        <w:gridCol w:w="2516"/>
      </w:tblGrid>
      <w:tr w14:paraId="4FA9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14:paraId="4260CB92">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时段</w:t>
            </w:r>
          </w:p>
        </w:tc>
        <w:tc>
          <w:tcPr>
            <w:tcW w:w="840" w:type="dxa"/>
            <w:tcBorders>
              <w:top w:val="single" w:color="auto" w:sz="4" w:space="0"/>
              <w:left w:val="single" w:color="auto" w:sz="4" w:space="0"/>
              <w:bottom w:val="single" w:color="auto" w:sz="4" w:space="0"/>
              <w:right w:val="single" w:color="auto" w:sz="4" w:space="0"/>
            </w:tcBorders>
            <w:vAlign w:val="center"/>
          </w:tcPr>
          <w:p w14:paraId="520387D9">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环境要素</w:t>
            </w:r>
          </w:p>
        </w:tc>
        <w:tc>
          <w:tcPr>
            <w:tcW w:w="10714" w:type="dxa"/>
            <w:tcBorders>
              <w:top w:val="single" w:color="auto" w:sz="4" w:space="0"/>
              <w:left w:val="single" w:color="auto" w:sz="4" w:space="0"/>
              <w:bottom w:val="single" w:color="auto" w:sz="4" w:space="0"/>
              <w:right w:val="single" w:color="auto" w:sz="4" w:space="0"/>
            </w:tcBorders>
            <w:vAlign w:val="center"/>
          </w:tcPr>
          <w:p w14:paraId="7E93E43B">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对策措施</w:t>
            </w:r>
          </w:p>
        </w:tc>
        <w:tc>
          <w:tcPr>
            <w:tcW w:w="2516" w:type="dxa"/>
            <w:tcBorders>
              <w:top w:val="single" w:color="auto" w:sz="4" w:space="0"/>
              <w:left w:val="single" w:color="auto" w:sz="4" w:space="0"/>
              <w:bottom w:val="single" w:color="auto" w:sz="4" w:space="0"/>
              <w:right w:val="single" w:color="auto" w:sz="4" w:space="0"/>
            </w:tcBorders>
            <w:vAlign w:val="center"/>
          </w:tcPr>
          <w:p w14:paraId="45C9EFF0">
            <w:pPr>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预期治理效果</w:t>
            </w:r>
          </w:p>
        </w:tc>
      </w:tr>
      <w:tr w14:paraId="45F0E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528" w:type="dxa"/>
            <w:vMerge w:val="restart"/>
            <w:tcBorders>
              <w:top w:val="single" w:color="auto" w:sz="4" w:space="0"/>
              <w:left w:val="single" w:color="auto" w:sz="4" w:space="0"/>
              <w:bottom w:val="single" w:color="auto" w:sz="4" w:space="0"/>
              <w:right w:val="single" w:color="auto" w:sz="4" w:space="0"/>
            </w:tcBorders>
            <w:vAlign w:val="center"/>
          </w:tcPr>
          <w:p w14:paraId="0F05B5CF">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施工期</w:t>
            </w:r>
          </w:p>
        </w:tc>
        <w:tc>
          <w:tcPr>
            <w:tcW w:w="840" w:type="dxa"/>
            <w:tcBorders>
              <w:top w:val="single" w:color="auto" w:sz="4" w:space="0"/>
              <w:left w:val="single" w:color="auto" w:sz="4" w:space="0"/>
              <w:bottom w:val="single" w:color="auto" w:sz="4" w:space="0"/>
              <w:right w:val="single" w:color="auto" w:sz="4" w:space="0"/>
            </w:tcBorders>
            <w:vAlign w:val="center"/>
          </w:tcPr>
          <w:p w14:paraId="331B6839">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废气</w:t>
            </w:r>
          </w:p>
        </w:tc>
        <w:tc>
          <w:tcPr>
            <w:tcW w:w="10714" w:type="dxa"/>
            <w:tcBorders>
              <w:top w:val="single" w:color="auto" w:sz="4" w:space="0"/>
              <w:left w:val="single" w:color="auto" w:sz="4" w:space="0"/>
              <w:bottom w:val="single" w:color="auto" w:sz="4" w:space="0"/>
              <w:right w:val="single" w:color="auto" w:sz="4" w:space="0"/>
            </w:tcBorders>
            <w:vAlign w:val="center"/>
          </w:tcPr>
          <w:p w14:paraId="370D3D0B">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1、在施工场地安排施工人员定期对施工场地洒水以减少扬尘量，施工场地土石方开挖、回填应避免在大风天气时进行。</w:t>
            </w:r>
          </w:p>
          <w:p w14:paraId="632BAC22">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2、水泥等粉细散装材料，应尽量采取库内存放，如露天存放应采用严密遮盖，卸运时要采取有效措施；建筑材料、建筑垃圾应密闭运输，防止尘土飞扬；施工垃圾应及时清运，适量洒水，减少扬尘。</w:t>
            </w:r>
          </w:p>
          <w:p w14:paraId="57905114">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3、进出工地的运输车辆减速行驶，施工工地进出口处地面设置草垫、钢板并配备高压水枪冲洗带泥土的汽车轮胎和底盘下方；限制车辆行驶速度以及保持路面的清洁。</w:t>
            </w:r>
          </w:p>
          <w:p w14:paraId="4BFCAEA1">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4、装修阶段的材料尽量选用环保型装修材料。</w:t>
            </w:r>
          </w:p>
          <w:p w14:paraId="6047B328">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5、加强施工期环境管理，合理安排施工进度并尽量缩短工期。</w:t>
            </w:r>
          </w:p>
        </w:tc>
        <w:tc>
          <w:tcPr>
            <w:tcW w:w="2516" w:type="dxa"/>
            <w:tcBorders>
              <w:top w:val="single" w:color="auto" w:sz="4" w:space="0"/>
              <w:left w:val="single" w:color="auto" w:sz="4" w:space="0"/>
              <w:bottom w:val="single" w:color="auto" w:sz="4" w:space="0"/>
              <w:right w:val="single" w:color="auto" w:sz="4" w:space="0"/>
            </w:tcBorders>
            <w:vAlign w:val="center"/>
          </w:tcPr>
          <w:p w14:paraId="3E8E3847">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降低扬尘产生量及影响范围</w:t>
            </w:r>
          </w:p>
        </w:tc>
      </w:tr>
      <w:tr w14:paraId="1B9C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28" w:type="dxa"/>
            <w:vMerge w:val="continue"/>
            <w:tcBorders>
              <w:top w:val="single" w:color="auto" w:sz="4" w:space="0"/>
              <w:left w:val="single" w:color="auto" w:sz="4" w:space="0"/>
              <w:bottom w:val="single" w:color="auto" w:sz="4" w:space="0"/>
              <w:right w:val="single" w:color="auto" w:sz="4" w:space="0"/>
            </w:tcBorders>
            <w:vAlign w:val="center"/>
          </w:tcPr>
          <w:p w14:paraId="07FAE86B">
            <w:pPr>
              <w:widowControl/>
              <w:spacing w:line="240" w:lineRule="auto"/>
              <w:jc w:val="left"/>
              <w:rPr>
                <w:rFonts w:hint="default" w:ascii="Times New Roman" w:hAnsi="Times New Roman" w:eastAsia="宋体" w:cs="Times New Roman"/>
                <w:bCs/>
                <w:color w:val="auto"/>
                <w:sz w:val="21"/>
              </w:rPr>
            </w:pPr>
          </w:p>
        </w:tc>
        <w:tc>
          <w:tcPr>
            <w:tcW w:w="840" w:type="dxa"/>
            <w:tcBorders>
              <w:top w:val="single" w:color="auto" w:sz="4" w:space="0"/>
              <w:left w:val="single" w:color="auto" w:sz="4" w:space="0"/>
              <w:bottom w:val="single" w:color="auto" w:sz="4" w:space="0"/>
              <w:right w:val="single" w:color="auto" w:sz="4" w:space="0"/>
            </w:tcBorders>
            <w:vAlign w:val="center"/>
          </w:tcPr>
          <w:p w14:paraId="516A808F">
            <w:pPr>
              <w:spacing w:line="240" w:lineRule="auto"/>
              <w:jc w:val="center"/>
              <w:rPr>
                <w:rFonts w:hint="default" w:ascii="Times New Roman" w:hAnsi="Times New Roman" w:eastAsia="宋体" w:cs="Times New Roman"/>
                <w:bCs/>
                <w:color w:val="auto"/>
                <w:sz w:val="21"/>
                <w:highlight w:val="yellow"/>
              </w:rPr>
            </w:pPr>
            <w:r>
              <w:rPr>
                <w:rFonts w:hint="default" w:ascii="Times New Roman" w:hAnsi="Times New Roman" w:eastAsia="宋体" w:cs="Times New Roman"/>
                <w:bCs/>
                <w:color w:val="auto"/>
                <w:sz w:val="21"/>
              </w:rPr>
              <w:t>废水</w:t>
            </w:r>
          </w:p>
        </w:tc>
        <w:tc>
          <w:tcPr>
            <w:tcW w:w="10714" w:type="dxa"/>
            <w:tcBorders>
              <w:top w:val="single" w:color="auto" w:sz="4" w:space="0"/>
              <w:left w:val="single" w:color="auto" w:sz="4" w:space="0"/>
              <w:bottom w:val="single" w:color="auto" w:sz="4" w:space="0"/>
              <w:right w:val="single" w:color="auto" w:sz="4" w:space="0"/>
            </w:tcBorders>
            <w:vAlign w:val="center"/>
          </w:tcPr>
          <w:p w14:paraId="3F721E02">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1、注意施工期节约用水，减少施工废水的产生。</w:t>
            </w:r>
          </w:p>
          <w:p w14:paraId="4718D2A2">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2、在施工过程中应设置施工废水沉砂池1个，容积5m</w:t>
            </w:r>
            <w:r>
              <w:rPr>
                <w:rFonts w:hint="default" w:ascii="Times New Roman" w:hAnsi="Times New Roman" w:eastAsia="宋体" w:cs="Times New Roman"/>
                <w:bCs/>
                <w:color w:val="auto"/>
                <w:sz w:val="21"/>
                <w:vertAlign w:val="superscript"/>
              </w:rPr>
              <w:t>3</w:t>
            </w:r>
            <w:r>
              <w:rPr>
                <w:rFonts w:hint="default" w:ascii="Times New Roman" w:hAnsi="Times New Roman" w:eastAsia="宋体" w:cs="Times New Roman"/>
                <w:bCs/>
                <w:color w:val="auto"/>
                <w:sz w:val="21"/>
              </w:rPr>
              <w:t>，施工废水引入池中进行沉淀处理后回用于施工场地洒水降尘，不外排。</w:t>
            </w:r>
          </w:p>
          <w:p w14:paraId="732FCEFB">
            <w:pPr>
              <w:autoSpaceDE w:val="0"/>
              <w:autoSpaceDN w:val="0"/>
              <w:adjustRightInd w:val="0"/>
              <w:snapToGrid w:val="0"/>
              <w:spacing w:line="240" w:lineRule="auto"/>
              <w:rPr>
                <w:rFonts w:hint="default" w:ascii="Times New Roman" w:hAnsi="Times New Roman" w:eastAsia="宋体" w:cs="Times New Roman"/>
                <w:bCs/>
                <w:color w:val="auto"/>
                <w:sz w:val="21"/>
                <w:highlight w:val="yellow"/>
              </w:rPr>
            </w:pPr>
            <w:r>
              <w:rPr>
                <w:rFonts w:hint="default" w:ascii="Times New Roman" w:hAnsi="Times New Roman" w:eastAsia="宋体" w:cs="Times New Roman"/>
                <w:bCs/>
                <w:color w:val="auto"/>
                <w:sz w:val="21"/>
              </w:rPr>
              <w:t>3、施工出入口设置车辆清洗池1个，容积3m</w:t>
            </w:r>
            <w:r>
              <w:rPr>
                <w:rFonts w:hint="default" w:ascii="Times New Roman" w:hAnsi="Times New Roman" w:eastAsia="宋体" w:cs="Times New Roman"/>
                <w:bCs/>
                <w:color w:val="auto"/>
                <w:sz w:val="21"/>
                <w:vertAlign w:val="superscript"/>
              </w:rPr>
              <w:t>3</w:t>
            </w:r>
            <w:r>
              <w:rPr>
                <w:rFonts w:hint="default" w:ascii="Times New Roman" w:hAnsi="Times New Roman" w:eastAsia="宋体" w:cs="Times New Roman"/>
                <w:bCs/>
                <w:color w:val="auto"/>
                <w:sz w:val="21"/>
              </w:rPr>
              <w:t>，车辆轮胎清洗废水沉淀后循环使用，不外排。</w:t>
            </w:r>
          </w:p>
        </w:tc>
        <w:tc>
          <w:tcPr>
            <w:tcW w:w="2516" w:type="dxa"/>
            <w:tcBorders>
              <w:top w:val="single" w:color="auto" w:sz="4" w:space="0"/>
              <w:left w:val="single" w:color="auto" w:sz="4" w:space="0"/>
              <w:bottom w:val="single" w:color="auto" w:sz="4" w:space="0"/>
              <w:right w:val="single" w:color="auto" w:sz="4" w:space="0"/>
            </w:tcBorders>
            <w:vAlign w:val="center"/>
          </w:tcPr>
          <w:p w14:paraId="1254B23E">
            <w:pPr>
              <w:spacing w:line="240" w:lineRule="auto"/>
              <w:jc w:val="center"/>
              <w:rPr>
                <w:rFonts w:hint="default" w:ascii="Times New Roman" w:hAnsi="Times New Roman" w:eastAsia="宋体" w:cs="Times New Roman"/>
                <w:bCs/>
                <w:color w:val="auto"/>
                <w:sz w:val="21"/>
                <w:highlight w:val="yellow"/>
                <w:lang w:eastAsia="zh-CN"/>
              </w:rPr>
            </w:pPr>
            <w:r>
              <w:rPr>
                <w:rFonts w:hint="default" w:ascii="Times New Roman" w:hAnsi="Times New Roman" w:eastAsia="宋体" w:cs="Times New Roman"/>
                <w:bCs/>
                <w:color w:val="auto"/>
                <w:sz w:val="21"/>
                <w:highlight w:val="none"/>
              </w:rPr>
              <w:t>施工废水不外排，</w:t>
            </w:r>
            <w:r>
              <w:rPr>
                <w:rFonts w:hint="default" w:ascii="Times New Roman" w:hAnsi="Times New Roman" w:eastAsia="宋体" w:cs="Times New Roman"/>
                <w:bCs/>
                <w:color w:val="auto"/>
                <w:sz w:val="21"/>
                <w:highlight w:val="none"/>
                <w:lang w:eastAsia="zh-CN"/>
              </w:rPr>
              <w:t>对周围水环境影响较小</w:t>
            </w:r>
          </w:p>
        </w:tc>
      </w:tr>
      <w:tr w14:paraId="631E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28" w:type="dxa"/>
            <w:vMerge w:val="continue"/>
            <w:tcBorders>
              <w:top w:val="single" w:color="auto" w:sz="4" w:space="0"/>
              <w:left w:val="single" w:color="auto" w:sz="4" w:space="0"/>
              <w:bottom w:val="single" w:color="auto" w:sz="4" w:space="0"/>
              <w:right w:val="single" w:color="auto" w:sz="4" w:space="0"/>
            </w:tcBorders>
            <w:vAlign w:val="center"/>
          </w:tcPr>
          <w:p w14:paraId="29DD2CC0">
            <w:pPr>
              <w:widowControl/>
              <w:spacing w:line="240" w:lineRule="auto"/>
              <w:jc w:val="left"/>
              <w:rPr>
                <w:rFonts w:hint="default" w:ascii="Times New Roman" w:hAnsi="Times New Roman" w:eastAsia="宋体" w:cs="Times New Roman"/>
                <w:bCs/>
                <w:color w:val="auto"/>
                <w:sz w:val="21"/>
              </w:rPr>
            </w:pPr>
          </w:p>
        </w:tc>
        <w:tc>
          <w:tcPr>
            <w:tcW w:w="840" w:type="dxa"/>
            <w:tcBorders>
              <w:top w:val="single" w:color="auto" w:sz="4" w:space="0"/>
              <w:left w:val="single" w:color="auto" w:sz="4" w:space="0"/>
              <w:bottom w:val="single" w:color="auto" w:sz="4" w:space="0"/>
              <w:right w:val="single" w:color="auto" w:sz="4" w:space="0"/>
            </w:tcBorders>
            <w:vAlign w:val="center"/>
          </w:tcPr>
          <w:p w14:paraId="6E8DBEBF">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噪声</w:t>
            </w:r>
          </w:p>
        </w:tc>
        <w:tc>
          <w:tcPr>
            <w:tcW w:w="10714" w:type="dxa"/>
            <w:tcBorders>
              <w:top w:val="single" w:color="auto" w:sz="4" w:space="0"/>
              <w:left w:val="single" w:color="auto" w:sz="4" w:space="0"/>
              <w:bottom w:val="single" w:color="auto" w:sz="4" w:space="0"/>
              <w:right w:val="single" w:color="auto" w:sz="4" w:space="0"/>
            </w:tcBorders>
            <w:vAlign w:val="center"/>
          </w:tcPr>
          <w:p w14:paraId="63F29139">
            <w:pPr>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1、场地四周设置2.5m高围挡，降低施工噪声影响；</w:t>
            </w:r>
          </w:p>
          <w:p w14:paraId="4470BD36">
            <w:pPr>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2、选用性能良好的低噪声施工机械设备；</w:t>
            </w:r>
          </w:p>
          <w:p w14:paraId="0C9973F6">
            <w:pPr>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3、加强施工机械的维修、管理，保证施工机械处于低噪声、高效率的良好工作状态；</w:t>
            </w:r>
          </w:p>
          <w:p w14:paraId="02269A1E">
            <w:pPr>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4、施工期运输车辆应尽量保持良好车况，合理调度，尽可能匀速慢行，并控制车辆鸣笛；</w:t>
            </w:r>
          </w:p>
          <w:p w14:paraId="300EE901">
            <w:pPr>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5、加强施工管理，合理安排作业时间，严格按照施工噪声管理的有关规定，避免夜间进行施工作业。</w:t>
            </w:r>
          </w:p>
        </w:tc>
        <w:tc>
          <w:tcPr>
            <w:tcW w:w="2516" w:type="dxa"/>
            <w:tcBorders>
              <w:top w:val="single" w:color="auto" w:sz="4" w:space="0"/>
              <w:left w:val="single" w:color="auto" w:sz="4" w:space="0"/>
              <w:bottom w:val="single" w:color="auto" w:sz="4" w:space="0"/>
              <w:right w:val="single" w:color="auto" w:sz="4" w:space="0"/>
            </w:tcBorders>
            <w:vAlign w:val="center"/>
          </w:tcPr>
          <w:p w14:paraId="5BBFAA55">
            <w:pPr>
              <w:spacing w:line="240" w:lineRule="auto"/>
              <w:jc w:val="center"/>
              <w:rPr>
                <w:rFonts w:hint="default" w:ascii="Times New Roman" w:hAnsi="Times New Roman" w:eastAsia="宋体" w:cs="Times New Roman"/>
                <w:bCs/>
                <w:color w:val="auto"/>
                <w:sz w:val="21"/>
                <w:lang w:eastAsia="zh-CN"/>
              </w:rPr>
            </w:pPr>
            <w:r>
              <w:rPr>
                <w:rFonts w:hint="default" w:ascii="Times New Roman" w:hAnsi="Times New Roman" w:eastAsia="宋体" w:cs="Times New Roman"/>
                <w:bCs/>
                <w:color w:val="auto"/>
                <w:sz w:val="21"/>
                <w:lang w:eastAsia="zh-CN"/>
              </w:rPr>
              <w:t>对周围环境影响较小</w:t>
            </w:r>
          </w:p>
        </w:tc>
      </w:tr>
      <w:tr w14:paraId="1C0F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528" w:type="dxa"/>
            <w:vMerge w:val="continue"/>
            <w:tcBorders>
              <w:top w:val="single" w:color="auto" w:sz="4" w:space="0"/>
              <w:left w:val="single" w:color="auto" w:sz="4" w:space="0"/>
              <w:bottom w:val="single" w:color="auto" w:sz="4" w:space="0"/>
              <w:right w:val="single" w:color="auto" w:sz="4" w:space="0"/>
            </w:tcBorders>
            <w:vAlign w:val="center"/>
          </w:tcPr>
          <w:p w14:paraId="39179EC5">
            <w:pPr>
              <w:widowControl/>
              <w:spacing w:line="240" w:lineRule="auto"/>
              <w:jc w:val="left"/>
              <w:rPr>
                <w:rFonts w:hint="default" w:ascii="Times New Roman" w:hAnsi="Times New Roman" w:eastAsia="宋体" w:cs="Times New Roman"/>
                <w:bCs/>
                <w:color w:val="auto"/>
                <w:sz w:val="21"/>
              </w:rPr>
            </w:pPr>
          </w:p>
        </w:tc>
        <w:tc>
          <w:tcPr>
            <w:tcW w:w="840" w:type="dxa"/>
            <w:tcBorders>
              <w:top w:val="single" w:color="auto" w:sz="4" w:space="0"/>
              <w:left w:val="single" w:color="auto" w:sz="4" w:space="0"/>
              <w:bottom w:val="single" w:color="auto" w:sz="4" w:space="0"/>
              <w:right w:val="single" w:color="auto" w:sz="4" w:space="0"/>
            </w:tcBorders>
            <w:vAlign w:val="center"/>
          </w:tcPr>
          <w:p w14:paraId="09A19C61">
            <w:pPr>
              <w:spacing w:line="240" w:lineRule="auto"/>
              <w:jc w:val="center"/>
              <w:rPr>
                <w:rFonts w:hint="default" w:ascii="Times New Roman" w:hAnsi="Times New Roman" w:eastAsia="宋体" w:cs="Times New Roman"/>
                <w:bCs/>
                <w:color w:val="auto"/>
                <w:sz w:val="21"/>
                <w:highlight w:val="yellow"/>
              </w:rPr>
            </w:pPr>
            <w:r>
              <w:rPr>
                <w:rFonts w:hint="default" w:ascii="Times New Roman" w:hAnsi="Times New Roman" w:eastAsia="宋体" w:cs="Times New Roman"/>
                <w:bCs/>
                <w:color w:val="auto"/>
                <w:sz w:val="21"/>
              </w:rPr>
              <w:t>固废</w:t>
            </w:r>
          </w:p>
        </w:tc>
        <w:tc>
          <w:tcPr>
            <w:tcW w:w="10714" w:type="dxa"/>
            <w:tcBorders>
              <w:top w:val="single" w:color="auto" w:sz="4" w:space="0"/>
              <w:left w:val="single" w:color="auto" w:sz="4" w:space="0"/>
              <w:bottom w:val="single" w:color="auto" w:sz="4" w:space="0"/>
              <w:right w:val="single" w:color="auto" w:sz="4" w:space="0"/>
            </w:tcBorders>
            <w:vAlign w:val="center"/>
          </w:tcPr>
          <w:p w14:paraId="6BD3D081">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1、项目建设不涉及地下室建设，土石方主要来自项目</w:t>
            </w:r>
            <w:r>
              <w:rPr>
                <w:rFonts w:hint="eastAsia" w:ascii="Times New Roman" w:hAnsi="Times New Roman" w:cs="Times New Roman"/>
                <w:bCs/>
                <w:color w:val="auto"/>
                <w:sz w:val="21"/>
                <w:lang w:eastAsia="zh-CN"/>
              </w:rPr>
              <w:t>污水处理站安装</w:t>
            </w:r>
            <w:r>
              <w:rPr>
                <w:rFonts w:hint="default" w:ascii="Times New Roman" w:hAnsi="Times New Roman" w:eastAsia="宋体" w:cs="Times New Roman"/>
                <w:bCs/>
                <w:color w:val="auto"/>
                <w:sz w:val="21"/>
              </w:rPr>
              <w:t>等，项目用地地势较平整，开挖土石方较少，施工期土石方基本能实现土石方平衡。</w:t>
            </w:r>
          </w:p>
          <w:p w14:paraId="223E0B5A">
            <w:pPr>
              <w:autoSpaceDE w:val="0"/>
              <w:autoSpaceDN w:val="0"/>
              <w:adjustRightInd w:val="0"/>
              <w:snapToGrid w:val="0"/>
              <w:spacing w:line="240" w:lineRule="auto"/>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废弃建筑材料应对其进行分类集中堆存，能回收利用的部分，出售给废旧资源中心进行综合利用；不能回收利用的部分由具有处理资质的单位运至指定的堆放点进行合理处置，禁止与生活垃圾混合处置，禁止随意丢弃；</w:t>
            </w:r>
          </w:p>
          <w:p w14:paraId="75C74883">
            <w:pPr>
              <w:autoSpaceDE w:val="0"/>
              <w:autoSpaceDN w:val="0"/>
              <w:adjustRightInd w:val="0"/>
              <w:snapToGrid w:val="0"/>
              <w:spacing w:line="240" w:lineRule="auto"/>
              <w:rPr>
                <w:rFonts w:hint="default" w:ascii="Times New Roman" w:hAnsi="Times New Roman" w:eastAsia="宋体" w:cs="Times New Roman"/>
                <w:bCs/>
                <w:color w:val="auto"/>
                <w:sz w:val="21"/>
                <w:highlight w:val="yellow"/>
              </w:rPr>
            </w:pPr>
            <w:r>
              <w:rPr>
                <w:rFonts w:hint="default" w:ascii="Times New Roman" w:hAnsi="Times New Roman" w:eastAsia="宋体" w:cs="Times New Roman"/>
                <w:bCs/>
                <w:color w:val="auto"/>
                <w:sz w:val="21"/>
              </w:rPr>
              <w:t>3、生活垃圾委托环卫部门清运处置。</w:t>
            </w:r>
          </w:p>
        </w:tc>
        <w:tc>
          <w:tcPr>
            <w:tcW w:w="2516" w:type="dxa"/>
            <w:tcBorders>
              <w:top w:val="single" w:color="auto" w:sz="4" w:space="0"/>
              <w:left w:val="single" w:color="auto" w:sz="4" w:space="0"/>
              <w:bottom w:val="single" w:color="auto" w:sz="4" w:space="0"/>
              <w:right w:val="single" w:color="auto" w:sz="4" w:space="0"/>
            </w:tcBorders>
            <w:vAlign w:val="center"/>
          </w:tcPr>
          <w:p w14:paraId="6706B25E">
            <w:pPr>
              <w:spacing w:line="240" w:lineRule="auto"/>
              <w:jc w:val="center"/>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eastAsia="zh-CN"/>
              </w:rPr>
              <w:t>固废处置率</w:t>
            </w:r>
            <w:r>
              <w:rPr>
                <w:rFonts w:hint="default" w:ascii="Times New Roman" w:hAnsi="Times New Roman" w:eastAsia="宋体" w:cs="Times New Roman"/>
                <w:bCs/>
                <w:color w:val="auto"/>
                <w:sz w:val="21"/>
                <w:lang w:val="en-US" w:eastAsia="zh-CN"/>
              </w:rPr>
              <w:t>100%</w:t>
            </w:r>
          </w:p>
        </w:tc>
      </w:tr>
      <w:tr w14:paraId="710A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8" w:type="dxa"/>
            <w:vMerge w:val="restart"/>
            <w:tcBorders>
              <w:top w:val="single" w:color="auto" w:sz="4" w:space="0"/>
              <w:left w:val="single" w:color="auto" w:sz="4" w:space="0"/>
              <w:bottom w:val="single" w:color="auto" w:sz="4" w:space="0"/>
              <w:right w:val="single" w:color="auto" w:sz="4" w:space="0"/>
            </w:tcBorders>
            <w:vAlign w:val="center"/>
          </w:tcPr>
          <w:p w14:paraId="5EED94E6">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运</w:t>
            </w:r>
          </w:p>
          <w:p w14:paraId="3599DB6A">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营</w:t>
            </w:r>
          </w:p>
          <w:p w14:paraId="64D61CB8">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期</w:t>
            </w:r>
          </w:p>
        </w:tc>
        <w:tc>
          <w:tcPr>
            <w:tcW w:w="840" w:type="dxa"/>
            <w:tcBorders>
              <w:top w:val="single" w:color="auto" w:sz="4" w:space="0"/>
              <w:left w:val="single" w:color="auto" w:sz="4" w:space="0"/>
              <w:bottom w:val="single" w:color="auto" w:sz="4" w:space="0"/>
              <w:right w:val="single" w:color="auto" w:sz="4" w:space="0"/>
            </w:tcBorders>
            <w:vAlign w:val="center"/>
          </w:tcPr>
          <w:p w14:paraId="6C9D2C04">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w:t>
            </w:r>
          </w:p>
        </w:tc>
        <w:tc>
          <w:tcPr>
            <w:tcW w:w="10714" w:type="dxa"/>
            <w:tcBorders>
              <w:top w:val="single" w:color="auto" w:sz="4" w:space="0"/>
              <w:left w:val="single" w:color="auto" w:sz="4" w:space="0"/>
              <w:bottom w:val="single" w:color="auto" w:sz="4" w:space="0"/>
              <w:right w:val="single" w:color="auto" w:sz="4" w:space="0"/>
            </w:tcBorders>
          </w:tcPr>
          <w:p w14:paraId="256DC649">
            <w:pPr>
              <w:spacing w:line="240" w:lineRule="auto"/>
              <w:rPr>
                <w:rFonts w:hint="default" w:ascii="Times New Roman" w:hAnsi="Times New Roman" w:eastAsia="宋体" w:cs="Times New Roman"/>
                <w:color w:val="auto"/>
                <w:sz w:val="21"/>
              </w:rPr>
            </w:pPr>
            <w:r>
              <w:rPr>
                <w:rFonts w:hint="eastAsia" w:ascii="Times New Roman" w:hAnsi="Times New Roman" w:cs="Times New Roman"/>
                <w:color w:val="auto"/>
                <w:sz w:val="21"/>
                <w:lang w:val="en-US" w:eastAsia="zh-CN"/>
              </w:rPr>
              <w:t>（1</w:t>
            </w:r>
            <w:r>
              <w:rPr>
                <w:rFonts w:hint="default" w:ascii="Times New Roman" w:hAnsi="Times New Roman" w:eastAsia="宋体" w:cs="Times New Roman"/>
                <w:color w:val="auto"/>
                <w:sz w:val="21"/>
              </w:rPr>
              <w:t>）生产车间设置排气扇，加强车间通风、换气，降低粉尘无组织排放浓度。</w:t>
            </w:r>
          </w:p>
          <w:p w14:paraId="258FF463">
            <w:pPr>
              <w:spacing w:line="240" w:lineRule="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w:t>
            </w:r>
            <w:r>
              <w:rPr>
                <w:rFonts w:hint="eastAsia" w:ascii="Times New Roman" w:hAnsi="Times New Roman" w:cs="Times New Roman"/>
                <w:color w:val="auto"/>
                <w:sz w:val="21"/>
                <w:lang w:val="en-US" w:eastAsia="zh-CN"/>
              </w:rPr>
              <w:t>2</w:t>
            </w:r>
            <w:r>
              <w:rPr>
                <w:rFonts w:hint="default" w:ascii="Times New Roman" w:hAnsi="Times New Roman" w:eastAsia="宋体" w:cs="Times New Roman"/>
                <w:color w:val="auto"/>
                <w:sz w:val="21"/>
                <w:lang w:eastAsia="zh-CN"/>
              </w:rPr>
              <w:t>）</w:t>
            </w:r>
            <w:r>
              <w:rPr>
                <w:rFonts w:hint="default" w:ascii="Times New Roman" w:hAnsi="Times New Roman" w:eastAsia="宋体" w:cs="Times New Roman"/>
                <w:color w:val="auto"/>
                <w:sz w:val="21"/>
              </w:rPr>
              <w:t>项目食堂采用清洁燃料，</w:t>
            </w:r>
            <w:r>
              <w:rPr>
                <w:rFonts w:hint="default" w:ascii="Times New Roman" w:hAnsi="Times New Roman" w:eastAsia="宋体" w:cs="Times New Roman"/>
                <w:color w:val="auto"/>
                <w:sz w:val="21"/>
                <w:lang w:eastAsia="zh-CN"/>
              </w:rPr>
              <w:t>食堂油烟安装去除效率≥</w:t>
            </w:r>
            <w:r>
              <w:rPr>
                <w:rFonts w:hint="eastAsia" w:ascii="Times New Roman" w:hAnsi="Times New Roman" w:cs="Times New Roman"/>
                <w:color w:val="auto"/>
                <w:sz w:val="21"/>
                <w:lang w:val="en-US" w:eastAsia="zh-CN"/>
              </w:rPr>
              <w:t>75</w:t>
            </w:r>
            <w:r>
              <w:rPr>
                <w:rFonts w:hint="default" w:ascii="Times New Roman" w:hAnsi="Times New Roman" w:eastAsia="宋体" w:cs="Times New Roman"/>
                <w:color w:val="auto"/>
                <w:sz w:val="21"/>
                <w:lang w:eastAsia="zh-CN"/>
              </w:rPr>
              <w:t>%的油烟净化器，</w:t>
            </w:r>
            <w:r>
              <w:rPr>
                <w:rFonts w:hint="default" w:ascii="Times New Roman" w:hAnsi="Times New Roman" w:eastAsia="宋体" w:cs="Times New Roman"/>
                <w:color w:val="auto"/>
                <w:sz w:val="21"/>
              </w:rPr>
              <w:t>油烟机的风量为</w:t>
            </w:r>
            <w:r>
              <w:rPr>
                <w:rFonts w:hint="eastAsia" w:ascii="Times New Roman" w:hAnsi="Times New Roman" w:cs="Times New Roman"/>
                <w:color w:val="auto"/>
                <w:sz w:val="21"/>
                <w:lang w:val="en-US" w:eastAsia="zh-CN"/>
              </w:rPr>
              <w:t>2000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3</w:t>
            </w:r>
            <w:r>
              <w:rPr>
                <w:rFonts w:hint="default" w:ascii="Times New Roman" w:hAnsi="Times New Roman" w:eastAsia="宋体" w:cs="Times New Roman"/>
                <w:color w:val="auto"/>
                <w:sz w:val="21"/>
              </w:rPr>
              <w:t>/h，食堂油烟经油烟机处理后油烟排放浓度达 GB18483-2001《饮食业油烟排放标准》中最高允许排放浓度≤2mg/m</w:t>
            </w:r>
            <w:r>
              <w:rPr>
                <w:rFonts w:hint="default" w:ascii="Times New Roman" w:hAnsi="Times New Roman" w:eastAsia="宋体" w:cs="Times New Roman"/>
                <w:color w:val="auto"/>
                <w:sz w:val="21"/>
                <w:vertAlign w:val="superscript"/>
              </w:rPr>
              <w:t>3</w:t>
            </w:r>
          </w:p>
        </w:tc>
        <w:tc>
          <w:tcPr>
            <w:tcW w:w="2516" w:type="dxa"/>
            <w:tcBorders>
              <w:top w:val="single" w:color="auto" w:sz="4" w:space="0"/>
              <w:left w:val="single" w:color="auto" w:sz="4" w:space="0"/>
              <w:bottom w:val="single" w:color="auto" w:sz="4" w:space="0"/>
              <w:right w:val="single" w:color="auto" w:sz="4" w:space="0"/>
            </w:tcBorders>
            <w:vAlign w:val="center"/>
          </w:tcPr>
          <w:p w14:paraId="632FCAA3">
            <w:pPr>
              <w:spacing w:line="240" w:lineRule="auto"/>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lang w:eastAsia="zh-CN"/>
              </w:rPr>
              <w:t>达标排放</w:t>
            </w:r>
          </w:p>
        </w:tc>
      </w:tr>
      <w:tr w14:paraId="15B2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528" w:type="dxa"/>
            <w:vMerge w:val="continue"/>
            <w:tcBorders>
              <w:top w:val="single" w:color="auto" w:sz="4" w:space="0"/>
              <w:left w:val="single" w:color="auto" w:sz="4" w:space="0"/>
              <w:bottom w:val="single" w:color="auto" w:sz="4" w:space="0"/>
              <w:right w:val="single" w:color="auto" w:sz="4" w:space="0"/>
            </w:tcBorders>
            <w:vAlign w:val="center"/>
          </w:tcPr>
          <w:p w14:paraId="6A0C756F">
            <w:pPr>
              <w:widowControl/>
              <w:spacing w:line="240" w:lineRule="auto"/>
              <w:jc w:val="left"/>
              <w:rPr>
                <w:rFonts w:hint="default" w:ascii="Times New Roman" w:hAnsi="Times New Roman" w:eastAsia="宋体" w:cs="Times New Roman"/>
                <w:color w:val="auto"/>
                <w:sz w:val="21"/>
              </w:rPr>
            </w:pPr>
          </w:p>
        </w:tc>
        <w:tc>
          <w:tcPr>
            <w:tcW w:w="840" w:type="dxa"/>
            <w:tcBorders>
              <w:top w:val="single" w:color="auto" w:sz="4" w:space="0"/>
              <w:left w:val="single" w:color="auto" w:sz="4" w:space="0"/>
              <w:bottom w:val="single" w:color="auto" w:sz="4" w:space="0"/>
              <w:right w:val="single" w:color="auto" w:sz="4" w:space="0"/>
            </w:tcBorders>
            <w:vAlign w:val="center"/>
          </w:tcPr>
          <w:p w14:paraId="7576836B">
            <w:pPr>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地表水</w:t>
            </w:r>
          </w:p>
        </w:tc>
        <w:tc>
          <w:tcPr>
            <w:tcW w:w="10714" w:type="dxa"/>
            <w:tcBorders>
              <w:top w:val="single" w:color="auto" w:sz="4" w:space="0"/>
              <w:left w:val="single" w:color="auto" w:sz="4" w:space="0"/>
              <w:bottom w:val="single" w:color="auto" w:sz="4" w:space="0"/>
              <w:right w:val="single" w:color="auto" w:sz="4" w:space="0"/>
            </w:tcBorders>
            <w:vAlign w:val="center"/>
          </w:tcPr>
          <w:p w14:paraId="30CF574D">
            <w:pPr>
              <w:rPr>
                <w:rFonts w:hint="default" w:ascii="Times New Roman" w:hAnsi="Times New Roman" w:eastAsia="宋体" w:cs="Times New Roman"/>
                <w:bCs/>
                <w:color w:val="auto"/>
                <w:sz w:val="21"/>
                <w:szCs w:val="21"/>
              </w:rPr>
            </w:pPr>
            <w:r>
              <w:rPr>
                <w:rFonts w:hint="eastAsia" w:ascii="Times New Roman" w:hAnsi="Times New Roman" w:cs="Times New Roman"/>
                <w:color w:val="auto"/>
                <w:sz w:val="21"/>
                <w:szCs w:val="21"/>
                <w:lang w:eastAsia="zh-CN"/>
              </w:rPr>
              <w:t>①</w:t>
            </w:r>
            <w:r>
              <w:rPr>
                <w:rFonts w:hint="default" w:ascii="Times New Roman" w:hAnsi="Times New Roman" w:eastAsia="宋体" w:cs="Times New Roman"/>
                <w:color w:val="auto"/>
                <w:sz w:val="21"/>
                <w:szCs w:val="21"/>
                <w:lang w:eastAsia="zh-CN"/>
              </w:rPr>
              <w:t>本项目生产废水经三级沉淀池处理后排入项目自建污水处理设施内，经处理后排入</w:t>
            </w:r>
            <w:r>
              <w:rPr>
                <w:rFonts w:hint="default" w:ascii="Times New Roman" w:hAnsi="Times New Roman" w:eastAsia="宋体" w:cs="Times New Roman"/>
                <w:color w:val="auto"/>
                <w:sz w:val="21"/>
                <w:szCs w:val="21"/>
              </w:rPr>
              <w:t>工业园区污水管网</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24"/>
                <w:sz w:val="21"/>
                <w:szCs w:val="21"/>
                <w:lang w:val="en-US" w:eastAsia="zh-CN" w:bidi="ar-SA"/>
              </w:rPr>
              <w:t>生活污水经隔油池/化粪池处理后排入园区污水管网</w:t>
            </w:r>
            <w:r>
              <w:rPr>
                <w:rFonts w:hint="default" w:ascii="Times New Roman" w:hAnsi="Times New Roman" w:eastAsia="宋体" w:cs="Times New Roman"/>
                <w:bCs/>
                <w:color w:val="auto"/>
                <w:sz w:val="21"/>
                <w:szCs w:val="21"/>
              </w:rPr>
              <w:t>；</w:t>
            </w:r>
          </w:p>
          <w:p w14:paraId="098D5DCA">
            <w:pPr>
              <w:autoSpaceDE w:val="0"/>
              <w:autoSpaceDN w:val="0"/>
              <w:adjustRightInd w:val="0"/>
              <w:snapToGrid w:val="0"/>
              <w:spacing w:line="360" w:lineRule="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②</w:t>
            </w:r>
            <w:r>
              <w:rPr>
                <w:rFonts w:hint="default" w:ascii="Times New Roman" w:hAnsi="Times New Roman" w:eastAsia="宋体" w:cs="Times New Roman"/>
                <w:bCs/>
                <w:color w:val="auto"/>
                <w:sz w:val="21"/>
                <w:szCs w:val="21"/>
                <w:lang w:eastAsia="zh-CN"/>
              </w:rPr>
              <w:t>项目</w:t>
            </w:r>
            <w:r>
              <w:rPr>
                <w:rFonts w:hint="default" w:ascii="Times New Roman" w:hAnsi="Times New Roman" w:eastAsia="宋体" w:cs="Times New Roman"/>
                <w:bCs/>
                <w:color w:val="auto"/>
                <w:sz w:val="21"/>
                <w:szCs w:val="21"/>
              </w:rPr>
              <w:t>建设容积</w:t>
            </w:r>
            <w:r>
              <w:rPr>
                <w:rFonts w:hint="eastAsia" w:ascii="Times New Roman" w:hAnsi="Times New Roman" w:cs="Times New Roman"/>
                <w:bCs/>
                <w:color w:val="auto"/>
                <w:sz w:val="21"/>
                <w:szCs w:val="21"/>
                <w:lang w:val="en-US" w:eastAsia="zh-CN"/>
              </w:rPr>
              <w:t>5</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的隔油池1个，容积</w:t>
            </w:r>
            <w:r>
              <w:rPr>
                <w:rFonts w:hint="eastAsia" w:ascii="Times New Roman" w:hAnsi="Times New Roman" w:cs="Times New Roman"/>
                <w:bCs/>
                <w:color w:val="auto"/>
                <w:sz w:val="21"/>
                <w:szCs w:val="21"/>
                <w:lang w:val="en-US" w:eastAsia="zh-CN"/>
              </w:rPr>
              <w:t>50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的化粪池1个，生活污水经隔油池/化粪池预处理后进入处理规模为</w:t>
            </w:r>
            <w:r>
              <w:rPr>
                <w:rFonts w:hint="eastAsia" w:ascii="Times New Roman" w:hAnsi="Times New Roman" w:cs="Times New Roman"/>
                <w:bCs/>
                <w:color w:val="auto"/>
                <w:sz w:val="21"/>
                <w:szCs w:val="21"/>
                <w:lang w:val="en-US" w:eastAsia="zh-CN"/>
              </w:rPr>
              <w:t>20</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rPr>
              <w:t>/d的一体化污水处理设备进行处理</w:t>
            </w:r>
            <w:r>
              <w:rPr>
                <w:rFonts w:hint="eastAsia" w:ascii="Times New Roman" w:hAnsi="Times New Roman" w:cs="Times New Roman"/>
                <w:bCs/>
                <w:color w:val="auto"/>
                <w:sz w:val="21"/>
                <w:szCs w:val="21"/>
                <w:lang w:eastAsia="zh-CN"/>
              </w:rPr>
              <w:t>，外排废水</w:t>
            </w:r>
            <w:r>
              <w:rPr>
                <w:rFonts w:hint="default" w:ascii="Times New Roman" w:hAnsi="Times New Roman" w:eastAsia="宋体" w:cs="Times New Roman"/>
                <w:bCs/>
                <w:color w:val="auto"/>
                <w:sz w:val="21"/>
                <w:szCs w:val="21"/>
              </w:rPr>
              <w:t>达</w:t>
            </w:r>
            <w:r>
              <w:rPr>
                <w:rFonts w:hint="default" w:ascii="Times New Roman" w:hAnsi="Times New Roman" w:eastAsia="宋体" w:cs="Times New Roman"/>
                <w:bCs/>
                <w:color w:val="auto"/>
                <w:sz w:val="21"/>
                <w:szCs w:val="21"/>
                <w:lang w:eastAsia="zh-CN"/>
              </w:rPr>
              <w:t>达</w:t>
            </w:r>
            <w:r>
              <w:rPr>
                <w:rFonts w:hint="default" w:ascii="Times New Roman" w:hAnsi="Times New Roman" w:eastAsia="宋体" w:cs="Times New Roman"/>
                <w:bCs/>
                <w:color w:val="auto"/>
                <w:sz w:val="21"/>
                <w:szCs w:val="21"/>
              </w:rPr>
              <w:t>《污水综合排放标准》（GB8978-1996）中三级标准和《污水排入城镇下水道水质标准》（GB/T31962-2015）表1中B级标准</w:t>
            </w:r>
            <w:r>
              <w:rPr>
                <w:rFonts w:hint="eastAsia" w:ascii="Times New Roman" w:hAnsi="Times New Roman" w:cs="Times New Roman"/>
                <w:bCs/>
                <w:color w:val="auto"/>
                <w:sz w:val="21"/>
                <w:szCs w:val="21"/>
                <w:lang w:eastAsia="zh-CN"/>
              </w:rPr>
              <w:t>后排入园区污水管网</w:t>
            </w:r>
            <w:r>
              <w:rPr>
                <w:rFonts w:hint="default" w:ascii="Times New Roman" w:hAnsi="Times New Roman" w:eastAsia="宋体" w:cs="Times New Roman"/>
                <w:bCs/>
                <w:color w:val="auto"/>
                <w:sz w:val="21"/>
                <w:szCs w:val="21"/>
              </w:rPr>
              <w:t>。</w:t>
            </w:r>
          </w:p>
          <w:p w14:paraId="5D0A41F7">
            <w:pPr>
              <w:autoSpaceDE w:val="0"/>
              <w:autoSpaceDN w:val="0"/>
              <w:adjustRightInd w:val="0"/>
              <w:snapToGrid w:val="0"/>
              <w:spacing w:line="360" w:lineRule="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Cs/>
                <w:color w:val="auto"/>
                <w:sz w:val="21"/>
                <w:szCs w:val="21"/>
              </w:rPr>
              <w:t>③建设1个容积</w:t>
            </w:r>
            <w:r>
              <w:rPr>
                <w:rFonts w:hint="default" w:ascii="Times New Roman" w:hAnsi="Times New Roman" w:eastAsia="宋体" w:cs="Times New Roman"/>
                <w:bCs/>
                <w:color w:val="auto"/>
                <w:sz w:val="21"/>
                <w:szCs w:val="21"/>
                <w:lang w:eastAsia="zh-CN"/>
              </w:rPr>
              <w:t>不低于</w:t>
            </w:r>
            <w:r>
              <w:rPr>
                <w:rFonts w:hint="eastAsia" w:ascii="Times New Roman" w:hAnsi="Times New Roman" w:cs="Times New Roman"/>
                <w:bCs/>
                <w:color w:val="auto"/>
                <w:sz w:val="21"/>
                <w:szCs w:val="21"/>
                <w:lang w:val="en-US" w:eastAsia="zh-CN"/>
              </w:rPr>
              <w:t>231</w:t>
            </w:r>
            <w:r>
              <w:rPr>
                <w:rFonts w:hint="default" w:ascii="Times New Roman" w:hAnsi="Times New Roman" w:eastAsia="宋体" w:cs="Times New Roman"/>
                <w:bCs/>
                <w:color w:val="auto"/>
                <w:sz w:val="21"/>
                <w:szCs w:val="21"/>
              </w:rPr>
              <w:t>m</w:t>
            </w:r>
            <w:r>
              <w:rPr>
                <w:rFonts w:hint="default" w:ascii="Times New Roman" w:hAnsi="Times New Roman" w:eastAsia="宋体" w:cs="Times New Roman"/>
                <w:bCs/>
                <w:color w:val="auto"/>
                <w:sz w:val="21"/>
                <w:szCs w:val="21"/>
                <w:vertAlign w:val="superscript"/>
              </w:rPr>
              <w:t>3</w:t>
            </w:r>
            <w:r>
              <w:rPr>
                <w:rFonts w:hint="default" w:ascii="Times New Roman" w:hAnsi="Times New Roman" w:eastAsia="宋体" w:cs="Times New Roman"/>
                <w:bCs/>
                <w:color w:val="auto"/>
                <w:sz w:val="21"/>
                <w:szCs w:val="21"/>
              </w:rPr>
              <w:t>的事故应急池，事故应急池必须有严格的防渗措施。</w:t>
            </w:r>
          </w:p>
        </w:tc>
        <w:tc>
          <w:tcPr>
            <w:tcW w:w="2516" w:type="dxa"/>
            <w:tcBorders>
              <w:top w:val="single" w:color="auto" w:sz="4" w:space="0"/>
              <w:left w:val="single" w:color="auto" w:sz="4" w:space="0"/>
              <w:bottom w:val="single" w:color="auto" w:sz="4" w:space="0"/>
              <w:right w:val="single" w:color="auto" w:sz="4" w:space="0"/>
            </w:tcBorders>
            <w:vAlign w:val="center"/>
          </w:tcPr>
          <w:p w14:paraId="2D256FA6">
            <w:pPr>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lang w:eastAsia="zh-CN"/>
              </w:rPr>
              <w:t>项目废水</w:t>
            </w:r>
            <w:r>
              <w:rPr>
                <w:rFonts w:hint="default" w:ascii="Times New Roman" w:hAnsi="Times New Roman" w:eastAsia="宋体" w:cs="Times New Roman"/>
                <w:color w:val="auto"/>
                <w:sz w:val="21"/>
              </w:rPr>
              <w:t>不外排</w:t>
            </w:r>
          </w:p>
        </w:tc>
      </w:tr>
      <w:tr w14:paraId="347C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28" w:type="dxa"/>
            <w:vMerge w:val="continue"/>
            <w:tcBorders>
              <w:top w:val="single" w:color="auto" w:sz="4" w:space="0"/>
              <w:left w:val="single" w:color="auto" w:sz="4" w:space="0"/>
              <w:bottom w:val="single" w:color="auto" w:sz="4" w:space="0"/>
              <w:right w:val="single" w:color="auto" w:sz="4" w:space="0"/>
            </w:tcBorders>
            <w:vAlign w:val="center"/>
          </w:tcPr>
          <w:p w14:paraId="0314CDDB">
            <w:pPr>
              <w:widowControl/>
              <w:spacing w:line="240" w:lineRule="auto"/>
              <w:jc w:val="left"/>
              <w:rPr>
                <w:rFonts w:hint="default" w:ascii="Times New Roman" w:hAnsi="Times New Roman" w:eastAsia="宋体" w:cs="Times New Roman"/>
                <w:color w:val="auto"/>
                <w:sz w:val="21"/>
              </w:rPr>
            </w:pPr>
          </w:p>
        </w:tc>
        <w:tc>
          <w:tcPr>
            <w:tcW w:w="840" w:type="dxa"/>
            <w:tcBorders>
              <w:top w:val="single" w:color="auto" w:sz="4" w:space="0"/>
              <w:left w:val="single" w:color="auto" w:sz="4" w:space="0"/>
              <w:bottom w:val="single" w:color="auto" w:sz="4" w:space="0"/>
              <w:right w:val="single" w:color="auto" w:sz="4" w:space="0"/>
            </w:tcBorders>
            <w:vAlign w:val="center"/>
          </w:tcPr>
          <w:p w14:paraId="659DD481">
            <w:pPr>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地下水</w:t>
            </w:r>
          </w:p>
        </w:tc>
        <w:tc>
          <w:tcPr>
            <w:tcW w:w="10714" w:type="dxa"/>
            <w:tcBorders>
              <w:top w:val="single" w:color="auto" w:sz="4" w:space="0"/>
              <w:left w:val="single" w:color="auto" w:sz="4" w:space="0"/>
              <w:bottom w:val="single" w:color="auto" w:sz="4" w:space="0"/>
              <w:right w:val="single" w:color="auto" w:sz="4" w:space="0"/>
            </w:tcBorders>
            <w:vAlign w:val="center"/>
          </w:tcPr>
          <w:p w14:paraId="66578424">
            <w:pPr>
              <w:shd w:val="clear"/>
              <w:autoSpaceDE w:val="0"/>
              <w:autoSpaceDN w:val="0"/>
              <w:adjustRightInd w:val="0"/>
              <w:snapToGrid w:val="0"/>
              <w:spacing w:line="380" w:lineRule="atLeast"/>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（1）防渗为重。厂区除绿地以外全部进行地面固化、硬化处理，并对一体化污水处理设施、生产车间、污水管道区域、化粪池、危险废物暂存间采取防渗措施，防止物料、废水发生泄漏，具体防渗要求见表8.2-1。</w:t>
            </w:r>
          </w:p>
          <w:p w14:paraId="661A3811">
            <w:pPr>
              <w:shd w:val="clear"/>
              <w:autoSpaceDE w:val="0"/>
              <w:autoSpaceDN w:val="0"/>
              <w:adjustRightInd w:val="0"/>
              <w:snapToGrid w:val="0"/>
              <w:spacing w:line="380" w:lineRule="atLeast"/>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2）施工期委托第三方做好环境监理，按设计的防渗要求进行施工，重点在一体化污水处理设施、污水管沟、危险废物暂存间等基坑、垫层、底板、防水等隐蔽工程进行施工时，应保留防渗层施工影像记录，施工单位、监理单位及主管部门盖章确认；高质量完成各项防渗设计指标。</w:t>
            </w:r>
          </w:p>
          <w:p w14:paraId="4D8400BC">
            <w:pPr>
              <w:shd w:val="clear"/>
              <w:autoSpaceDE w:val="0"/>
              <w:autoSpaceDN w:val="0"/>
              <w:adjustRightInd w:val="0"/>
              <w:snapToGrid w:val="0"/>
              <w:spacing w:line="380" w:lineRule="atLeast"/>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（3）成品库、原料库等按照设计要求全部布置于车间内，禁止露天堆放。</w:t>
            </w:r>
          </w:p>
          <w:p w14:paraId="344E2975">
            <w:pPr>
              <w:shd w:val="clear"/>
              <w:autoSpaceDE w:val="0"/>
              <w:autoSpaceDN w:val="0"/>
              <w:adjustRightInd w:val="0"/>
              <w:snapToGrid w:val="0"/>
              <w:spacing w:line="380" w:lineRule="atLeast"/>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（4）实施清洁生产及各类废物循环利用方案，减少污染物的排放量，防治污染物跑、冒、滴、漏，将污染物的泄漏环境风险事故降到最低限度；</w:t>
            </w:r>
          </w:p>
          <w:p w14:paraId="50130E87">
            <w:pPr>
              <w:shd w:val="clear"/>
              <w:autoSpaceDE w:val="0"/>
              <w:autoSpaceDN w:val="0"/>
              <w:adjustRightInd w:val="0"/>
              <w:snapToGrid w:val="0"/>
              <w:spacing w:line="380" w:lineRule="atLeast"/>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（5）加强污水管网巡视和日常管理，定期进行生产设备、储罐、输送管线的检修与维护，及时掌控污水管是否破损渗漏，并充分利用事故水池，避免物料、污水渗漏污染地下水。</w:t>
            </w:r>
          </w:p>
          <w:p w14:paraId="6C5750A6">
            <w:pPr>
              <w:shd w:val="clear"/>
              <w:autoSpaceDE w:val="0"/>
              <w:autoSpaceDN w:val="0"/>
              <w:adjustRightInd w:val="0"/>
              <w:snapToGrid w:val="0"/>
              <w:spacing w:line="380" w:lineRule="atLeast"/>
              <w:rPr>
                <w:rFonts w:hint="default" w:ascii="Times New Roman" w:hAnsi="Times New Roman" w:eastAsia="宋体" w:cs="Times New Roman"/>
                <w:bCs/>
                <w:color w:val="auto"/>
                <w:sz w:val="21"/>
                <w:szCs w:val="21"/>
                <w:highlight w:val="yellow"/>
                <w:lang w:eastAsia="zh-CN"/>
              </w:rPr>
            </w:pPr>
            <w:r>
              <w:rPr>
                <w:rFonts w:hint="default" w:ascii="Times New Roman" w:hAnsi="Times New Roman" w:eastAsia="宋体" w:cs="Times New Roman"/>
                <w:bCs/>
                <w:color w:val="auto"/>
                <w:sz w:val="21"/>
                <w:szCs w:val="21"/>
                <w:highlight w:val="none"/>
                <w:lang w:eastAsia="zh-CN"/>
              </w:rPr>
              <w:t>（6）建立地下水风险事故应急响应预案，明确风险事故状态下应采取的封闭措施。</w:t>
            </w:r>
          </w:p>
        </w:tc>
        <w:tc>
          <w:tcPr>
            <w:tcW w:w="2516" w:type="dxa"/>
            <w:tcBorders>
              <w:top w:val="single" w:color="auto" w:sz="4" w:space="0"/>
              <w:left w:val="single" w:color="auto" w:sz="4" w:space="0"/>
              <w:bottom w:val="single" w:color="auto" w:sz="4" w:space="0"/>
              <w:right w:val="single" w:color="auto" w:sz="4" w:space="0"/>
            </w:tcBorders>
            <w:vAlign w:val="center"/>
          </w:tcPr>
          <w:p w14:paraId="4E642BF0">
            <w:pPr>
              <w:spacing w:line="240" w:lineRule="auto"/>
              <w:jc w:val="center"/>
              <w:rPr>
                <w:rFonts w:hint="default" w:ascii="Times New Roman" w:hAnsi="Times New Roman" w:eastAsia="宋体" w:cs="Times New Roman"/>
                <w:color w:val="auto"/>
                <w:sz w:val="21"/>
                <w:highlight w:val="yellow"/>
                <w:lang w:eastAsia="zh-CN"/>
              </w:rPr>
            </w:pPr>
            <w:r>
              <w:rPr>
                <w:rFonts w:hint="default" w:ascii="Times New Roman" w:hAnsi="Times New Roman" w:eastAsia="宋体" w:cs="Times New Roman"/>
                <w:color w:val="auto"/>
                <w:sz w:val="21"/>
              </w:rPr>
              <w:t>渗漏小，对</w:t>
            </w:r>
            <w:r>
              <w:rPr>
                <w:rFonts w:hint="default" w:ascii="Times New Roman" w:hAnsi="Times New Roman" w:eastAsia="宋体" w:cs="Times New Roman"/>
                <w:color w:val="auto"/>
                <w:sz w:val="21"/>
                <w:lang w:eastAsia="zh-CN"/>
              </w:rPr>
              <w:t>地下水</w:t>
            </w:r>
            <w:r>
              <w:rPr>
                <w:rFonts w:hint="default" w:ascii="Times New Roman" w:hAnsi="Times New Roman" w:eastAsia="宋体" w:cs="Times New Roman"/>
                <w:color w:val="auto"/>
                <w:sz w:val="21"/>
              </w:rPr>
              <w:t>环境影响</w:t>
            </w:r>
            <w:r>
              <w:rPr>
                <w:rFonts w:hint="default" w:ascii="Times New Roman" w:hAnsi="Times New Roman" w:eastAsia="宋体" w:cs="Times New Roman"/>
                <w:color w:val="auto"/>
                <w:sz w:val="21"/>
                <w:lang w:eastAsia="zh-CN"/>
              </w:rPr>
              <w:t>较小</w:t>
            </w:r>
          </w:p>
        </w:tc>
      </w:tr>
      <w:tr w14:paraId="5EFA1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Merge w:val="restart"/>
            <w:tcBorders>
              <w:top w:val="single" w:color="auto" w:sz="4" w:space="0"/>
              <w:left w:val="single" w:color="auto" w:sz="4" w:space="0"/>
              <w:right w:val="single" w:color="auto" w:sz="4" w:space="0"/>
            </w:tcBorders>
            <w:vAlign w:val="center"/>
          </w:tcPr>
          <w:p w14:paraId="6BBB143C">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运</w:t>
            </w:r>
          </w:p>
          <w:p w14:paraId="39F414C3">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营</w:t>
            </w:r>
          </w:p>
          <w:p w14:paraId="28CBDAA0">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期</w:t>
            </w:r>
          </w:p>
        </w:tc>
        <w:tc>
          <w:tcPr>
            <w:tcW w:w="840" w:type="dxa"/>
            <w:tcBorders>
              <w:top w:val="single" w:color="auto" w:sz="4" w:space="0"/>
              <w:left w:val="single" w:color="auto" w:sz="4" w:space="0"/>
              <w:bottom w:val="single" w:color="auto" w:sz="4" w:space="0"/>
              <w:right w:val="single" w:color="auto" w:sz="4" w:space="0"/>
            </w:tcBorders>
            <w:vAlign w:val="center"/>
          </w:tcPr>
          <w:p w14:paraId="39BFCF19">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10714" w:type="dxa"/>
            <w:tcBorders>
              <w:top w:val="single" w:color="auto" w:sz="4" w:space="0"/>
              <w:left w:val="single" w:color="auto" w:sz="4" w:space="0"/>
              <w:bottom w:val="single" w:color="auto" w:sz="4" w:space="0"/>
              <w:right w:val="single" w:color="auto" w:sz="4" w:space="0"/>
            </w:tcBorders>
            <w:vAlign w:val="center"/>
          </w:tcPr>
          <w:p w14:paraId="2A754105">
            <w:pPr>
              <w:autoSpaceDE w:val="0"/>
              <w:autoSpaceDN w:val="0"/>
              <w:adjustRightInd w:val="0"/>
              <w:spacing w:line="240" w:lineRule="auto"/>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（1）尽量选用低噪声设备，加强设备维护，确保设备处于良好的运转状态。</w:t>
            </w:r>
          </w:p>
          <w:p w14:paraId="245455F5">
            <w:pPr>
              <w:autoSpaceDE w:val="0"/>
              <w:autoSpaceDN w:val="0"/>
              <w:adjustRightInd w:val="0"/>
              <w:spacing w:line="240" w:lineRule="auto"/>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（2）将产生噪声较高的声源设置在远离厂界的位置，利用厂内建筑物和绿色植物的阻隔作用及声波本身的衰减来减少对周围环境的影响。</w:t>
            </w:r>
          </w:p>
          <w:p w14:paraId="486C9666">
            <w:pPr>
              <w:autoSpaceDE w:val="0"/>
              <w:autoSpaceDN w:val="0"/>
              <w:adjustRightInd w:val="0"/>
              <w:spacing w:line="240" w:lineRule="auto"/>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（3）建设必须严格按照设计单位的治理措施，对高噪声进行消声处理（对风机类的噪声设备）、减振隔音等降噪措施，以使厂界噪声符合相关标准要求。</w:t>
            </w:r>
          </w:p>
          <w:p w14:paraId="3351E134">
            <w:pPr>
              <w:autoSpaceDE w:val="0"/>
              <w:autoSpaceDN w:val="0"/>
              <w:adjustRightInd w:val="0"/>
              <w:spacing w:line="240" w:lineRule="auto"/>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（4）合理制定生产计划，严格控制作业时间，夜间不得进行生产。</w:t>
            </w:r>
          </w:p>
        </w:tc>
        <w:tc>
          <w:tcPr>
            <w:tcW w:w="2516" w:type="dxa"/>
            <w:tcBorders>
              <w:top w:val="single" w:color="auto" w:sz="4" w:space="0"/>
              <w:left w:val="single" w:color="auto" w:sz="4" w:space="0"/>
              <w:bottom w:val="single" w:color="auto" w:sz="4" w:space="0"/>
              <w:right w:val="single" w:color="auto" w:sz="4" w:space="0"/>
            </w:tcBorders>
            <w:vAlign w:val="center"/>
          </w:tcPr>
          <w:p w14:paraId="6607173A">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达《工业企业厂界环境噪声排放标准》（GB12348-2008）3类区标准。</w:t>
            </w:r>
          </w:p>
        </w:tc>
      </w:tr>
      <w:tr w14:paraId="418A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Merge w:val="continue"/>
            <w:tcBorders>
              <w:left w:val="single" w:color="auto" w:sz="4" w:space="0"/>
              <w:right w:val="single" w:color="auto" w:sz="4" w:space="0"/>
            </w:tcBorders>
            <w:vAlign w:val="center"/>
          </w:tcPr>
          <w:p w14:paraId="3A001898">
            <w:pPr>
              <w:widowControl/>
              <w:spacing w:line="240" w:lineRule="auto"/>
              <w:jc w:val="left"/>
              <w:rPr>
                <w:rFonts w:hint="default" w:ascii="Times New Roman" w:hAnsi="Times New Roman" w:eastAsia="宋体" w:cs="Times New Roman"/>
                <w:color w:val="auto"/>
                <w:kern w:val="0"/>
                <w:sz w:val="21"/>
              </w:rPr>
            </w:pPr>
          </w:p>
        </w:tc>
        <w:tc>
          <w:tcPr>
            <w:tcW w:w="840" w:type="dxa"/>
            <w:tcBorders>
              <w:top w:val="single" w:color="auto" w:sz="4" w:space="0"/>
              <w:left w:val="single" w:color="auto" w:sz="4" w:space="0"/>
              <w:bottom w:val="single" w:color="auto" w:sz="4" w:space="0"/>
              <w:right w:val="single" w:color="auto" w:sz="4" w:space="0"/>
            </w:tcBorders>
            <w:vAlign w:val="center"/>
          </w:tcPr>
          <w:p w14:paraId="2F44B78B">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固废</w:t>
            </w:r>
          </w:p>
        </w:tc>
        <w:tc>
          <w:tcPr>
            <w:tcW w:w="10714" w:type="dxa"/>
            <w:tcBorders>
              <w:top w:val="single" w:color="auto" w:sz="4" w:space="0"/>
              <w:left w:val="single" w:color="auto" w:sz="4" w:space="0"/>
              <w:bottom w:val="single" w:color="auto" w:sz="4" w:space="0"/>
              <w:right w:val="single" w:color="auto" w:sz="4" w:space="0"/>
            </w:tcBorders>
            <w:vAlign w:val="center"/>
          </w:tcPr>
          <w:p w14:paraId="6AAF5ED0">
            <w:pPr>
              <w:autoSpaceDE w:val="0"/>
              <w:autoSpaceDN w:val="0"/>
              <w:adjustRightInd w:val="0"/>
              <w:spacing w:line="240" w:lineRule="auto"/>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1、设置一般固废暂存间，面积20m</w:t>
            </w:r>
            <w:r>
              <w:rPr>
                <w:rFonts w:hint="default" w:ascii="Times New Roman" w:hAnsi="Times New Roman" w:eastAsia="宋体" w:cs="Times New Roman"/>
                <w:color w:val="auto"/>
                <w:kern w:val="0"/>
                <w:sz w:val="21"/>
                <w:vertAlign w:val="superscript"/>
                <w:lang w:val="en-US" w:eastAsia="zh-CN"/>
              </w:rPr>
              <w:t>2</w:t>
            </w:r>
            <w:r>
              <w:rPr>
                <w:rFonts w:hint="default" w:ascii="Times New Roman" w:hAnsi="Times New Roman" w:eastAsia="宋体" w:cs="Times New Roman"/>
                <w:color w:val="auto"/>
                <w:kern w:val="0"/>
                <w:sz w:val="21"/>
                <w:lang w:val="en-US" w:eastAsia="zh-CN"/>
              </w:rPr>
              <w:t>，四周设围墙和顶棚。生产过程中产生的边角料、废弃包装材料等暂存在一般固废堆场内，边角料定期交由环卫部门处置。废弃包装材料，定期出售给废旧资源回收中心。</w:t>
            </w:r>
          </w:p>
          <w:p w14:paraId="028FC188">
            <w:pPr>
              <w:autoSpaceDE w:val="0"/>
              <w:autoSpaceDN w:val="0"/>
              <w:adjustRightInd w:val="0"/>
              <w:spacing w:line="240" w:lineRule="auto"/>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2、污水处理设备污泥、定期收集后通过密封袋袋装暂存于一般固废暂存间，并委托环卫部门及时清运。食堂泔水及废油用塑料桶单独收集后，委托环卫部门进行处理。</w:t>
            </w:r>
          </w:p>
          <w:p w14:paraId="67C3617D">
            <w:pPr>
              <w:autoSpaceDE w:val="0"/>
              <w:autoSpaceDN w:val="0"/>
              <w:adjustRightInd w:val="0"/>
              <w:spacing w:line="240" w:lineRule="auto"/>
              <w:rPr>
                <w:rFonts w:hint="default" w:ascii="Times New Roman" w:hAnsi="Times New Roman" w:eastAsia="宋体" w:cs="Times New Roman"/>
                <w:color w:val="auto"/>
                <w:kern w:val="0"/>
                <w:sz w:val="21"/>
                <w:lang w:val="en-US" w:eastAsia="zh-CN"/>
              </w:rPr>
            </w:pPr>
            <w:r>
              <w:rPr>
                <w:rFonts w:hint="default" w:ascii="Times New Roman" w:hAnsi="Times New Roman" w:eastAsia="宋体" w:cs="Times New Roman"/>
                <w:color w:val="auto"/>
                <w:kern w:val="0"/>
                <w:sz w:val="21"/>
                <w:lang w:val="en-US" w:eastAsia="zh-CN"/>
              </w:rPr>
              <w:t>3、生活垃圾集中收集后委托环卫部门清运处置。</w:t>
            </w:r>
          </w:p>
          <w:p w14:paraId="4BE09EB9">
            <w:pPr>
              <w:autoSpaceDE w:val="0"/>
              <w:autoSpaceDN w:val="0"/>
              <w:adjustRightInd w:val="0"/>
              <w:spacing w:line="240" w:lineRule="auto"/>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lang w:val="en-US" w:eastAsia="zh-CN"/>
              </w:rPr>
              <w:t>4、废机油</w:t>
            </w:r>
            <w:r>
              <w:rPr>
                <w:rFonts w:hint="default" w:ascii="Times New Roman" w:hAnsi="Times New Roman" w:eastAsia="宋体" w:cs="Times New Roman"/>
                <w:color w:val="auto"/>
                <w:kern w:val="0"/>
                <w:sz w:val="21"/>
              </w:rPr>
              <w:t>属于危险危废，应按照GB18597-2001《危险废物贮存污染控制标准》及其修改单的要求进行贮存。</w:t>
            </w:r>
          </w:p>
          <w:p w14:paraId="364EDAB3">
            <w:pPr>
              <w:autoSpaceDE w:val="0"/>
              <w:autoSpaceDN w:val="0"/>
              <w:adjustRightInd w:val="0"/>
              <w:spacing w:line="240" w:lineRule="auto"/>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lang w:val="en-US" w:eastAsia="zh-CN"/>
              </w:rPr>
              <w:t>5</w:t>
            </w:r>
            <w:r>
              <w:rPr>
                <w:rFonts w:hint="default" w:ascii="Times New Roman" w:hAnsi="Times New Roman" w:eastAsia="宋体" w:cs="Times New Roman"/>
                <w:color w:val="auto"/>
                <w:kern w:val="0"/>
                <w:sz w:val="21"/>
              </w:rPr>
              <w:t>、项目内产生危险废物设置独立的危险废物暂存间贮存，面积为</w:t>
            </w:r>
            <w:r>
              <w:rPr>
                <w:rFonts w:hint="default" w:ascii="Times New Roman" w:hAnsi="Times New Roman" w:eastAsia="宋体" w:cs="Times New Roman"/>
                <w:color w:val="auto"/>
                <w:kern w:val="0"/>
                <w:sz w:val="21"/>
                <w:lang w:val="en-US" w:eastAsia="zh-CN"/>
              </w:rPr>
              <w:t>5</w:t>
            </w:r>
            <w:r>
              <w:rPr>
                <w:rFonts w:hint="default" w:ascii="Times New Roman" w:hAnsi="Times New Roman" w:eastAsia="宋体" w:cs="Times New Roman"/>
                <w:color w:val="auto"/>
                <w:kern w:val="0"/>
                <w:sz w:val="21"/>
              </w:rPr>
              <w:t>m2，为密闭建筑，该暂存点具备防渗防漏、防扩散、防雨淋、防流失的措施。本次故环评要求液体废物及固体废物分开放置。项目区产生的所有危险废物均统一收集，分类、分区暂存于危废</w:t>
            </w:r>
            <w:r>
              <w:rPr>
                <w:rFonts w:hint="default" w:ascii="Times New Roman" w:hAnsi="Times New Roman" w:eastAsia="宋体" w:cs="Times New Roman"/>
                <w:color w:val="auto"/>
                <w:kern w:val="0"/>
                <w:sz w:val="21"/>
                <w:lang w:eastAsia="zh-CN"/>
              </w:rPr>
              <w:t>暂</w:t>
            </w:r>
            <w:r>
              <w:rPr>
                <w:rFonts w:hint="default" w:ascii="Times New Roman" w:hAnsi="Times New Roman" w:eastAsia="宋体" w:cs="Times New Roman"/>
                <w:color w:val="auto"/>
                <w:kern w:val="0"/>
                <w:sz w:val="21"/>
              </w:rPr>
              <w:t>存间内，各区相互隔离，互不干扰，并分别设置危险废物识别标志，上锁，钥匙由专人进行管理。</w:t>
            </w:r>
          </w:p>
          <w:p w14:paraId="09A05BC1">
            <w:pPr>
              <w:autoSpaceDE w:val="0"/>
              <w:autoSpaceDN w:val="0"/>
              <w:adjustRightInd w:val="0"/>
              <w:spacing w:line="240" w:lineRule="auto"/>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lang w:val="en-US" w:eastAsia="zh-CN"/>
              </w:rPr>
              <w:t>6</w:t>
            </w:r>
            <w:r>
              <w:rPr>
                <w:rFonts w:hint="default" w:ascii="Times New Roman" w:hAnsi="Times New Roman" w:eastAsia="宋体" w:cs="Times New Roman"/>
                <w:color w:val="auto"/>
                <w:kern w:val="0"/>
                <w:sz w:val="21"/>
              </w:rPr>
              <w:t>、危险废物分类收集，采用危险废物收集桶收集后再暂存间内存放，定期委托有资质的单位清运处置。危险废物清运按照《危险废物转移联单管理办法》执行，企业应委托具有资质的专门单位处置危险废物。为便于项目建成后运行管理，公司应与有危险废物处置资质的单位签订处置合同或协议，危险废物清运建立转移联单登记，记录危险废物数量、废物属性、转移时间、去向等，保证将生产中产生的危险废物得到安全、经济的处理处置，最大限制地降低对环境的影响。</w:t>
            </w:r>
          </w:p>
        </w:tc>
        <w:tc>
          <w:tcPr>
            <w:tcW w:w="2516" w:type="dxa"/>
            <w:tcBorders>
              <w:top w:val="single" w:color="auto" w:sz="4" w:space="0"/>
              <w:left w:val="single" w:color="auto" w:sz="4" w:space="0"/>
              <w:bottom w:val="single" w:color="auto" w:sz="4" w:space="0"/>
              <w:right w:val="single" w:color="auto" w:sz="4" w:space="0"/>
            </w:tcBorders>
            <w:vAlign w:val="center"/>
          </w:tcPr>
          <w:p w14:paraId="0AFAB123">
            <w:pPr>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处置率100%</w:t>
            </w:r>
          </w:p>
        </w:tc>
      </w:tr>
      <w:tr w14:paraId="29518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8" w:type="dxa"/>
            <w:vMerge w:val="continue"/>
            <w:tcBorders>
              <w:left w:val="single" w:color="auto" w:sz="4" w:space="0"/>
              <w:bottom w:val="single" w:color="auto" w:sz="4" w:space="0"/>
              <w:right w:val="single" w:color="auto" w:sz="4" w:space="0"/>
            </w:tcBorders>
            <w:vAlign w:val="center"/>
          </w:tcPr>
          <w:p w14:paraId="4ABC4A44">
            <w:pPr>
              <w:widowControl/>
              <w:spacing w:line="240" w:lineRule="auto"/>
              <w:jc w:val="left"/>
              <w:rPr>
                <w:rFonts w:hint="default" w:ascii="Times New Roman" w:hAnsi="Times New Roman" w:eastAsia="宋体" w:cs="Times New Roman"/>
                <w:color w:val="auto"/>
                <w:kern w:val="0"/>
                <w:sz w:val="21"/>
              </w:rPr>
            </w:pPr>
          </w:p>
        </w:tc>
        <w:tc>
          <w:tcPr>
            <w:tcW w:w="840" w:type="dxa"/>
            <w:tcBorders>
              <w:top w:val="single" w:color="auto" w:sz="4" w:space="0"/>
              <w:left w:val="single" w:color="auto" w:sz="4" w:space="0"/>
              <w:bottom w:val="single" w:color="auto" w:sz="4" w:space="0"/>
              <w:right w:val="single" w:color="auto" w:sz="4" w:space="0"/>
            </w:tcBorders>
            <w:vAlign w:val="center"/>
          </w:tcPr>
          <w:p w14:paraId="3FA4BCA8">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土壤</w:t>
            </w:r>
          </w:p>
        </w:tc>
        <w:tc>
          <w:tcPr>
            <w:tcW w:w="10714" w:type="dxa"/>
            <w:tcBorders>
              <w:top w:val="single" w:color="auto" w:sz="4" w:space="0"/>
              <w:left w:val="single" w:color="auto" w:sz="4" w:space="0"/>
              <w:bottom w:val="single" w:color="auto" w:sz="4" w:space="0"/>
              <w:right w:val="single" w:color="auto" w:sz="4" w:space="0"/>
            </w:tcBorders>
            <w:vAlign w:val="center"/>
          </w:tcPr>
          <w:p w14:paraId="71788139">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为了尽可能降低项目对周围土壤的污染，项目必须采取有效措施。对照HJ964-2018中9.2.3.3条污染影响型的防控措施：</w:t>
            </w:r>
          </w:p>
          <w:p w14:paraId="3CCF365F">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）源头控制措施</w:t>
            </w:r>
          </w:p>
          <w:p w14:paraId="7C37F6FF">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14:paraId="5D758DB5">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04DA55B2">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）过程控制措施</w:t>
            </w:r>
          </w:p>
          <w:p w14:paraId="348C370B">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从地面漫流、垂直入渗三个途径分别进行控制。</w:t>
            </w:r>
          </w:p>
          <w:p w14:paraId="3678F941">
            <w:pPr>
              <w:autoSpaceDE w:val="0"/>
              <w:autoSpaceDN w:val="0"/>
              <w:adjustRightIn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地面漫流污染途径治理措施及效果</w:t>
            </w:r>
          </w:p>
          <w:p w14:paraId="0DDA13F5">
            <w:pPr>
              <w:autoSpaceDE w:val="0"/>
              <w:autoSpaceDN w:val="0"/>
              <w:adjustRightIn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对于项目事故状态的废水，必须保证在未经处理满足要求的前提下不得流出</w:t>
            </w:r>
          </w:p>
          <w:p w14:paraId="79BD0E3C">
            <w:pPr>
              <w:autoSpaceDE w:val="0"/>
              <w:autoSpaceDN w:val="0"/>
              <w:adjustRightIn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厂界。项目须贯彻“围、追、堵、截”的原则，采取多级防护措施，确保事故废</w:t>
            </w:r>
          </w:p>
          <w:p w14:paraId="7BD2418E">
            <w:pPr>
              <w:autoSpaceDE w:val="0"/>
              <w:autoSpaceDN w:val="0"/>
              <w:adjustRightIn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水未经处理不得排出厂界。</w:t>
            </w:r>
          </w:p>
          <w:p w14:paraId="5DC7A882">
            <w:pPr>
              <w:autoSpaceDE w:val="0"/>
              <w:autoSpaceDN w:val="0"/>
              <w:adjustRightIn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项目设置一个不低于216m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的事故应急池，加强对项目污水处理系统（化粪池、污水处理设备、隔油池、三级沉淀池）的管理，杜绝事故排放，此外，一旦发现污染，立即启动应急预案、采取应急措施控制土壤污染，并使污染得到治理。</w:t>
            </w:r>
          </w:p>
          <w:p w14:paraId="5761EBD4">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垂直入渗污染途径治理措施及效果</w:t>
            </w:r>
          </w:p>
          <w:p w14:paraId="31459609">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按重点污染防治区、一般污染防治区、简单防渗区分别采取不同等级的防渗措。防渗层尽量在地表铺设，防渗材料拟选取环氧树脂和水泥基渗透结晶型防渗材料，按照污染防治分区采取不同的设计方案。其中重点防渗区应选用人工防渗材料，防渗系数K≤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cm/s。另外，重点防渗区还应满足《危险废物贮存污染控制标准》（GB18597-2001）及其修改单中要求，采用2毫米厚高密度聚乙烯，或至少2毫米厚的其他人工材料，渗透系数K≤10</w:t>
            </w:r>
            <w:r>
              <w:rPr>
                <w:rFonts w:hint="default" w:ascii="Times New Roman" w:hAnsi="Times New Roman" w:eastAsia="宋体" w:cs="Times New Roman"/>
                <w:color w:val="auto"/>
                <w:sz w:val="21"/>
                <w:szCs w:val="21"/>
                <w:vertAlign w:val="superscript"/>
                <w:lang w:eastAsia="zh-CN"/>
              </w:rPr>
              <w:t>-10</w:t>
            </w:r>
            <w:r>
              <w:rPr>
                <w:rFonts w:hint="default" w:ascii="Times New Roman" w:hAnsi="Times New Roman" w:eastAsia="宋体" w:cs="Times New Roman"/>
                <w:color w:val="auto"/>
                <w:sz w:val="21"/>
                <w:szCs w:val="21"/>
                <w:lang w:eastAsia="zh-CN"/>
              </w:rPr>
              <w:t>cm/s。一般防渗区要求为：等效黏土防渗层Mb≥1.5m，渗透系数K≤1×10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cm/s。简单防渗区不需要设置专门的防渗层，一般地面硬化即可。</w:t>
            </w:r>
          </w:p>
          <w:p w14:paraId="5830362B">
            <w:pPr>
              <w:autoSpaceDE w:val="0"/>
              <w:autoSpaceDN w:val="0"/>
              <w:adjustRightIn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企业在运营过程中加强管理，并采取相应的防渗措施可有效防治危险废物暂存间、原辅料仓库和生产过程中因物料泄漏造成对区域土壤环境的污染。</w:t>
            </w:r>
          </w:p>
          <w:p w14:paraId="79F16C47">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）土壤跟踪监测</w:t>
            </w:r>
          </w:p>
          <w:p w14:paraId="21DED68F">
            <w:pPr>
              <w:autoSpaceDE w:val="0"/>
              <w:autoSpaceDN w:val="0"/>
              <w:adjustRightIn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对项目区的土壤定期监测，发现污染土壤时，及时查找泄漏源，防止污染源的进一步下渗，必要时对已污染的土壤进行替换或修复。对于监测结果应按项目有关规定及时建立档案，并定期向建设单位、生态环境部门汇报，对于常规监测数据应该进行公开，如发现异常或发生事故，加强监测频次，并分析污染原因，确定泄漏污染源，及时采取对应应急措施。</w:t>
            </w:r>
          </w:p>
        </w:tc>
        <w:tc>
          <w:tcPr>
            <w:tcW w:w="2516" w:type="dxa"/>
            <w:tcBorders>
              <w:top w:val="single" w:color="auto" w:sz="4" w:space="0"/>
              <w:left w:val="single" w:color="auto" w:sz="4" w:space="0"/>
              <w:bottom w:val="single" w:color="auto" w:sz="4" w:space="0"/>
              <w:right w:val="single" w:color="auto" w:sz="4" w:space="0"/>
            </w:tcBorders>
            <w:vAlign w:val="center"/>
          </w:tcPr>
          <w:p w14:paraId="77A4B5B3">
            <w:pPr>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影响较小</w:t>
            </w:r>
          </w:p>
        </w:tc>
      </w:tr>
    </w:tbl>
    <w:p w14:paraId="35700F4F">
      <w:pPr>
        <w:autoSpaceDE w:val="0"/>
        <w:autoSpaceDN w:val="0"/>
        <w:adjustRightInd w:val="0"/>
        <w:ind w:firstLine="480" w:firstLineChars="200"/>
        <w:jc w:val="left"/>
        <w:rPr>
          <w:rFonts w:hint="default" w:ascii="Times New Roman" w:hAnsi="Times New Roman" w:eastAsia="宋体" w:cs="Times New Roman"/>
          <w:color w:val="auto"/>
          <w:kern w:val="0"/>
          <w:szCs w:val="24"/>
        </w:rPr>
      </w:pPr>
    </w:p>
    <w:p w14:paraId="54C32F2A">
      <w:pPr>
        <w:autoSpaceDE w:val="0"/>
        <w:autoSpaceDN w:val="0"/>
        <w:adjustRightInd w:val="0"/>
        <w:jc w:val="left"/>
        <w:rPr>
          <w:rFonts w:hint="default" w:ascii="Times New Roman" w:hAnsi="Times New Roman" w:eastAsia="宋体" w:cs="Times New Roman"/>
          <w:color w:val="auto"/>
          <w:kern w:val="0"/>
          <w:szCs w:val="24"/>
        </w:rPr>
      </w:pPr>
    </w:p>
    <w:p w14:paraId="5CBEBDB6">
      <w:pPr>
        <w:autoSpaceDE w:val="0"/>
        <w:autoSpaceDN w:val="0"/>
        <w:adjustRightInd w:val="0"/>
        <w:ind w:firstLine="480" w:firstLineChars="200"/>
        <w:jc w:val="left"/>
        <w:rPr>
          <w:rFonts w:hint="default" w:ascii="Times New Roman" w:hAnsi="Times New Roman" w:eastAsia="宋体" w:cs="Times New Roman"/>
          <w:color w:val="auto"/>
          <w:kern w:val="0"/>
          <w:szCs w:val="24"/>
        </w:rPr>
        <w:sectPr>
          <w:pgSz w:w="16838" w:h="11906" w:orient="landscape"/>
          <w:pgMar w:top="1797" w:right="1440" w:bottom="1797" w:left="1440" w:header="851" w:footer="992" w:gutter="0"/>
          <w:pgNumType w:fmt="decimal"/>
          <w:cols w:space="425" w:num="1"/>
          <w:docGrid w:linePitch="312" w:charSpace="0"/>
        </w:sectPr>
      </w:pPr>
    </w:p>
    <w:p w14:paraId="256E3749">
      <w:pPr>
        <w:adjustRightInd w:val="0"/>
        <w:snapToGrid w:val="0"/>
        <w:spacing w:beforeLines="50"/>
        <w:jc w:val="center"/>
        <w:outlineLvl w:val="0"/>
        <w:rPr>
          <w:rFonts w:hint="default" w:ascii="Times New Roman" w:hAnsi="Times New Roman" w:eastAsia="宋体" w:cs="Times New Roman"/>
          <w:b/>
          <w:color w:val="auto"/>
          <w:sz w:val="36"/>
          <w:szCs w:val="36"/>
        </w:rPr>
      </w:pPr>
      <w:bookmarkStart w:id="393" w:name="_Toc4233"/>
      <w:bookmarkStart w:id="394" w:name="_Toc2610"/>
      <w:r>
        <w:rPr>
          <w:rFonts w:hint="default" w:ascii="Times New Roman" w:hAnsi="Times New Roman" w:eastAsia="宋体" w:cs="Times New Roman"/>
          <w:b/>
          <w:color w:val="auto"/>
          <w:sz w:val="36"/>
          <w:szCs w:val="36"/>
        </w:rPr>
        <w:t>9.环境影响经济损益分析</w:t>
      </w:r>
      <w:bookmarkEnd w:id="393"/>
      <w:bookmarkEnd w:id="394"/>
    </w:p>
    <w:p w14:paraId="0F949519">
      <w:pPr>
        <w:adjustRightInd w:val="0"/>
        <w:snapToGrid w:val="0"/>
        <w:ind w:firstLine="480" w:firstLineChars="200"/>
        <w:rPr>
          <w:rFonts w:hint="default" w:ascii="Times New Roman" w:hAnsi="Times New Roman" w:eastAsia="宋体" w:cs="Times New Roman"/>
          <w:color w:val="auto"/>
          <w:szCs w:val="24"/>
        </w:rPr>
      </w:pPr>
      <w:bookmarkStart w:id="395" w:name="_Toc29635"/>
      <w:bookmarkStart w:id="396" w:name="_Toc28561"/>
      <w:bookmarkStart w:id="397" w:name="_Toc224458165"/>
      <w:bookmarkStart w:id="398" w:name="_Toc197852999"/>
      <w:r>
        <w:rPr>
          <w:rFonts w:hint="default" w:ascii="Times New Roman" w:hAnsi="Times New Roman" w:eastAsia="宋体" w:cs="Times New Roman"/>
          <w:color w:val="auto"/>
          <w:szCs w:val="24"/>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经济效益比较直观，容易用货币直接计算，而污染影响带来的损失一般是间接的，很难用货币直接计算。因而，环境影响经济具体定量化分析，目前难度较大，多数是采用定性和半定量相结合的方法进行讨论。</w:t>
      </w:r>
    </w:p>
    <w:p w14:paraId="5E3AE0F0">
      <w:pPr>
        <w:adjustRightInd w:val="0"/>
        <w:snapToGrid w:val="0"/>
        <w:spacing w:beforeLines="50"/>
        <w:outlineLvl w:val="1"/>
        <w:rPr>
          <w:rFonts w:hint="default" w:ascii="Times New Roman" w:hAnsi="Times New Roman" w:eastAsia="宋体" w:cs="Times New Roman"/>
          <w:b/>
          <w:color w:val="auto"/>
          <w:sz w:val="32"/>
          <w:szCs w:val="32"/>
        </w:rPr>
      </w:pPr>
      <w:bookmarkStart w:id="399" w:name="_Toc19173"/>
      <w:bookmarkStart w:id="400" w:name="_Toc24619"/>
      <w:r>
        <w:rPr>
          <w:rFonts w:hint="default" w:ascii="Times New Roman" w:hAnsi="Times New Roman" w:eastAsia="宋体" w:cs="Times New Roman"/>
          <w:b/>
          <w:color w:val="auto"/>
          <w:sz w:val="32"/>
          <w:szCs w:val="32"/>
        </w:rPr>
        <w:fldChar w:fldCharType="begin"/>
      </w:r>
      <w:r>
        <w:rPr>
          <w:rFonts w:hint="default" w:ascii="Times New Roman" w:hAnsi="Times New Roman" w:eastAsia="宋体" w:cs="Times New Roman"/>
          <w:b/>
          <w:color w:val="auto"/>
          <w:sz w:val="32"/>
          <w:szCs w:val="32"/>
        </w:rPr>
        <w:instrText xml:space="preserve"> HYPERLINK \l "_Toc228709336" </w:instrText>
      </w:r>
      <w:r>
        <w:rPr>
          <w:rFonts w:hint="default" w:ascii="Times New Roman" w:hAnsi="Times New Roman" w:eastAsia="宋体" w:cs="Times New Roman"/>
          <w:b/>
          <w:color w:val="auto"/>
          <w:sz w:val="32"/>
          <w:szCs w:val="32"/>
        </w:rPr>
        <w:fldChar w:fldCharType="separate"/>
      </w:r>
      <w:bookmarkStart w:id="401" w:name="_Toc269197501"/>
      <w:bookmarkStart w:id="402" w:name="_Toc366006648"/>
      <w:bookmarkStart w:id="403" w:name="_Toc366006911"/>
      <w:bookmarkStart w:id="404" w:name="_Toc363473745"/>
      <w:bookmarkStart w:id="405" w:name="_Toc299349019"/>
      <w:bookmarkStart w:id="406" w:name="_Toc366008011"/>
      <w:bookmarkStart w:id="407" w:name="_Toc367882390"/>
      <w:r>
        <w:rPr>
          <w:rFonts w:hint="default" w:ascii="Times New Roman" w:hAnsi="Times New Roman" w:eastAsia="宋体" w:cs="Times New Roman"/>
          <w:b/>
          <w:color w:val="auto"/>
          <w:sz w:val="32"/>
          <w:szCs w:val="32"/>
        </w:rPr>
        <w:t>9.1环保投资估算</w:t>
      </w:r>
      <w:bookmarkEnd w:id="401"/>
      <w:bookmarkEnd w:id="402"/>
      <w:bookmarkEnd w:id="403"/>
      <w:bookmarkEnd w:id="404"/>
      <w:bookmarkEnd w:id="405"/>
      <w:bookmarkEnd w:id="406"/>
      <w:bookmarkEnd w:id="407"/>
      <w:r>
        <w:rPr>
          <w:rFonts w:hint="default" w:ascii="Times New Roman" w:hAnsi="Times New Roman" w:eastAsia="宋体" w:cs="Times New Roman"/>
          <w:b/>
          <w:color w:val="auto"/>
          <w:sz w:val="32"/>
          <w:szCs w:val="32"/>
        </w:rPr>
        <w:fldChar w:fldCharType="end"/>
      </w:r>
      <w:bookmarkEnd w:id="395"/>
      <w:bookmarkEnd w:id="396"/>
      <w:bookmarkEnd w:id="399"/>
      <w:bookmarkEnd w:id="400"/>
    </w:p>
    <w:p w14:paraId="23492639">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项目总投资</w:t>
      </w:r>
      <w:r>
        <w:rPr>
          <w:rFonts w:hint="eastAsia" w:ascii="Times New Roman" w:hAnsi="Times New Roman" w:cs="Times New Roman"/>
          <w:color w:val="auto"/>
          <w:szCs w:val="28"/>
          <w:lang w:val="en-US" w:eastAsia="zh-CN"/>
        </w:rPr>
        <w:t>1200</w:t>
      </w:r>
      <w:r>
        <w:rPr>
          <w:rFonts w:hint="default" w:ascii="Times New Roman" w:hAnsi="Times New Roman" w:eastAsia="宋体" w:cs="Times New Roman"/>
          <w:color w:val="auto"/>
          <w:szCs w:val="28"/>
          <w:lang w:eastAsia="zh-CN"/>
        </w:rPr>
        <w:t>万元</w:t>
      </w:r>
      <w:r>
        <w:rPr>
          <w:rFonts w:hint="default" w:ascii="Times New Roman" w:hAnsi="Times New Roman" w:eastAsia="宋体" w:cs="Times New Roman"/>
          <w:color w:val="auto"/>
          <w:szCs w:val="24"/>
        </w:rPr>
        <w:t>，环保投资</w:t>
      </w:r>
      <w:r>
        <w:rPr>
          <w:rFonts w:hint="eastAsia" w:ascii="Times New Roman" w:hAnsi="Times New Roman" w:cs="Times New Roman"/>
          <w:color w:val="auto"/>
          <w:szCs w:val="24"/>
          <w:lang w:val="en-US" w:eastAsia="zh-CN"/>
        </w:rPr>
        <w:t>57</w:t>
      </w:r>
      <w:r>
        <w:rPr>
          <w:rFonts w:hint="default" w:ascii="Times New Roman" w:hAnsi="Times New Roman" w:eastAsia="宋体" w:cs="Times New Roman"/>
          <w:color w:val="auto"/>
          <w:szCs w:val="24"/>
        </w:rPr>
        <w:t>万元，占总投资的</w:t>
      </w:r>
      <w:r>
        <w:rPr>
          <w:rFonts w:hint="eastAsia" w:ascii="Times New Roman" w:hAnsi="Times New Roman" w:cs="Times New Roman"/>
          <w:color w:val="auto"/>
          <w:szCs w:val="24"/>
          <w:lang w:val="en-US" w:eastAsia="zh-CN"/>
        </w:rPr>
        <w:t>4.75</w:t>
      </w:r>
      <w:r>
        <w:rPr>
          <w:rFonts w:hint="default" w:ascii="Times New Roman" w:hAnsi="Times New Roman" w:eastAsia="宋体" w:cs="Times New Roman"/>
          <w:color w:val="auto"/>
          <w:szCs w:val="24"/>
        </w:rPr>
        <w:t>%。主要用于废气治理、废水治理、施工期污染防治措施。具体明细如下表9.1-1所示。</w:t>
      </w:r>
    </w:p>
    <w:p w14:paraId="58C16814">
      <w:pPr>
        <w:adjustRightInd w:val="0"/>
        <w:snapToGrid w:val="0"/>
        <w:jc w:val="center"/>
        <w:rPr>
          <w:rFonts w:hint="default" w:ascii="Times New Roman" w:hAnsi="Times New Roman" w:eastAsia="宋体" w:cs="Times New Roman"/>
          <w:b/>
          <w:color w:val="auto"/>
          <w:szCs w:val="24"/>
        </w:rPr>
      </w:pPr>
      <w:bookmarkStart w:id="408" w:name="_Toc269197502"/>
      <w:bookmarkStart w:id="409" w:name="_Toc366008012"/>
      <w:bookmarkStart w:id="410" w:name="_Toc366006649"/>
      <w:bookmarkStart w:id="411" w:name="_Toc366006912"/>
      <w:bookmarkStart w:id="412" w:name="_Toc363473746"/>
      <w:bookmarkStart w:id="413" w:name="_Toc255414730"/>
      <w:bookmarkStart w:id="414" w:name="_Toc243725701"/>
      <w:bookmarkStart w:id="415" w:name="_Toc299349020"/>
      <w:r>
        <w:rPr>
          <w:rFonts w:hint="default" w:ascii="Times New Roman" w:hAnsi="Times New Roman" w:eastAsia="宋体" w:cs="Times New Roman"/>
          <w:b/>
          <w:color w:val="auto"/>
          <w:szCs w:val="24"/>
        </w:rPr>
        <w:t>表9.1-1  项目环保投资一览表</w:t>
      </w:r>
    </w:p>
    <w:tbl>
      <w:tblPr>
        <w:tblStyle w:val="66"/>
        <w:tblW w:w="94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123"/>
        <w:gridCol w:w="1462"/>
        <w:gridCol w:w="3108"/>
        <w:gridCol w:w="1779"/>
      </w:tblGrid>
      <w:tr w14:paraId="7EB8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blHeader/>
          <w:jc w:val="center"/>
        </w:trPr>
        <w:tc>
          <w:tcPr>
            <w:tcW w:w="984" w:type="dxa"/>
            <w:tcBorders>
              <w:bottom w:val="single" w:color="auto" w:sz="4" w:space="0"/>
            </w:tcBorders>
            <w:vAlign w:val="center"/>
          </w:tcPr>
          <w:p w14:paraId="331C6F97">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项目</w:t>
            </w:r>
          </w:p>
        </w:tc>
        <w:tc>
          <w:tcPr>
            <w:tcW w:w="2123" w:type="dxa"/>
            <w:tcBorders>
              <w:bottom w:val="single" w:color="auto" w:sz="4" w:space="0"/>
            </w:tcBorders>
            <w:vAlign w:val="center"/>
          </w:tcPr>
          <w:p w14:paraId="04807583">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治理内容</w:t>
            </w:r>
          </w:p>
        </w:tc>
        <w:tc>
          <w:tcPr>
            <w:tcW w:w="4570" w:type="dxa"/>
            <w:gridSpan w:val="2"/>
            <w:tcBorders>
              <w:bottom w:val="single" w:color="auto" w:sz="4" w:space="0"/>
            </w:tcBorders>
            <w:vAlign w:val="center"/>
          </w:tcPr>
          <w:p w14:paraId="43FF6A6A">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治理措施及规模</w:t>
            </w:r>
          </w:p>
        </w:tc>
        <w:tc>
          <w:tcPr>
            <w:tcW w:w="1779" w:type="dxa"/>
            <w:tcBorders>
              <w:bottom w:val="single" w:color="auto" w:sz="4" w:space="0"/>
            </w:tcBorders>
            <w:vAlign w:val="center"/>
          </w:tcPr>
          <w:p w14:paraId="7AF0B2D4">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投资估算（万元）</w:t>
            </w:r>
          </w:p>
        </w:tc>
      </w:tr>
      <w:tr w14:paraId="4532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456" w:type="dxa"/>
            <w:gridSpan w:val="5"/>
            <w:vAlign w:val="center"/>
          </w:tcPr>
          <w:p w14:paraId="7531DE6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施工期</w:t>
            </w:r>
          </w:p>
        </w:tc>
      </w:tr>
      <w:tr w14:paraId="5578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84" w:type="dxa"/>
            <w:vAlign w:val="center"/>
          </w:tcPr>
          <w:p w14:paraId="5E77B578">
            <w:pPr>
              <w:adjustRightInd w:val="0"/>
              <w:snapToGrid w:val="0"/>
              <w:spacing w:line="240" w:lineRule="auto"/>
              <w:jc w:val="center"/>
              <w:rPr>
                <w:rFonts w:hint="default" w:ascii="Times New Roman" w:hAnsi="Times New Roman" w:eastAsia="宋体" w:cs="Times New Roman"/>
                <w:color w:val="auto"/>
                <w:sz w:val="21"/>
              </w:rPr>
            </w:pPr>
            <w:bookmarkStart w:id="416" w:name="OLE_LINK22" w:colFirst="4" w:colLast="4"/>
            <w:bookmarkStart w:id="417" w:name="OLE_LINK23" w:colFirst="4" w:colLast="4"/>
            <w:bookmarkStart w:id="418" w:name="_Hlk444764681"/>
            <w:r>
              <w:rPr>
                <w:rFonts w:hint="default" w:ascii="Times New Roman" w:hAnsi="Times New Roman" w:eastAsia="宋体" w:cs="Times New Roman"/>
                <w:color w:val="auto"/>
                <w:sz w:val="21"/>
              </w:rPr>
              <w:t>废气</w:t>
            </w:r>
          </w:p>
        </w:tc>
        <w:tc>
          <w:tcPr>
            <w:tcW w:w="2123" w:type="dxa"/>
            <w:vAlign w:val="center"/>
          </w:tcPr>
          <w:p w14:paraId="48AD5C7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施工扬尘</w:t>
            </w:r>
          </w:p>
        </w:tc>
        <w:tc>
          <w:tcPr>
            <w:tcW w:w="4570" w:type="dxa"/>
            <w:gridSpan w:val="2"/>
            <w:vAlign w:val="center"/>
          </w:tcPr>
          <w:p w14:paraId="0CA229E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洒水抑尘</w:t>
            </w:r>
          </w:p>
        </w:tc>
        <w:tc>
          <w:tcPr>
            <w:tcW w:w="1779" w:type="dxa"/>
            <w:vAlign w:val="center"/>
          </w:tcPr>
          <w:p w14:paraId="1ABAEBC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5</w:t>
            </w:r>
          </w:p>
        </w:tc>
      </w:tr>
      <w:tr w14:paraId="343E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Align w:val="center"/>
          </w:tcPr>
          <w:p w14:paraId="45A6833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废水</w:t>
            </w:r>
          </w:p>
        </w:tc>
        <w:tc>
          <w:tcPr>
            <w:tcW w:w="2123" w:type="dxa"/>
            <w:vAlign w:val="center"/>
          </w:tcPr>
          <w:p w14:paraId="51B41C4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施工废水</w:t>
            </w:r>
          </w:p>
        </w:tc>
        <w:tc>
          <w:tcPr>
            <w:tcW w:w="4570" w:type="dxa"/>
            <w:gridSpan w:val="2"/>
            <w:vAlign w:val="center"/>
          </w:tcPr>
          <w:p w14:paraId="591D1B2E">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沉</w:t>
            </w:r>
            <w:r>
              <w:rPr>
                <w:rFonts w:hint="default" w:ascii="Times New Roman" w:hAnsi="Times New Roman" w:eastAsia="宋体" w:cs="Times New Roman"/>
                <w:color w:val="auto"/>
                <w:sz w:val="21"/>
                <w:lang w:eastAsia="zh-CN"/>
              </w:rPr>
              <w:t>砂</w:t>
            </w:r>
            <w:r>
              <w:rPr>
                <w:rFonts w:hint="default" w:ascii="Times New Roman" w:hAnsi="Times New Roman" w:eastAsia="宋体" w:cs="Times New Roman"/>
                <w:color w:val="auto"/>
                <w:sz w:val="21"/>
              </w:rPr>
              <w:t>池1个，容积</w:t>
            </w:r>
            <w:r>
              <w:rPr>
                <w:rFonts w:hint="default" w:ascii="Times New Roman" w:hAnsi="Times New Roman" w:eastAsia="宋体" w:cs="Times New Roman"/>
                <w:color w:val="auto"/>
                <w:sz w:val="21"/>
                <w:lang w:val="en-US" w:eastAsia="zh-CN"/>
              </w:rPr>
              <w:t>5m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。车辆清洗池1个，容积</w:t>
            </w:r>
            <w:r>
              <w:rPr>
                <w:rFonts w:hint="default" w:ascii="Times New Roman" w:hAnsi="Times New Roman" w:eastAsia="宋体" w:cs="Times New Roman"/>
                <w:color w:val="auto"/>
                <w:sz w:val="21"/>
                <w:lang w:val="en-US" w:eastAsia="zh-CN"/>
              </w:rPr>
              <w:t>3m</w:t>
            </w:r>
            <w:r>
              <w:rPr>
                <w:rFonts w:hint="default" w:ascii="Times New Roman" w:hAnsi="Times New Roman" w:eastAsia="宋体" w:cs="Times New Roman"/>
                <w:color w:val="auto"/>
                <w:sz w:val="21"/>
                <w:vertAlign w:val="superscript"/>
                <w:lang w:val="en-US" w:eastAsia="zh-CN"/>
              </w:rPr>
              <w:t>3</w:t>
            </w:r>
          </w:p>
        </w:tc>
        <w:tc>
          <w:tcPr>
            <w:tcW w:w="1779" w:type="dxa"/>
            <w:vAlign w:val="center"/>
          </w:tcPr>
          <w:p w14:paraId="51A315F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3</w:t>
            </w:r>
          </w:p>
        </w:tc>
      </w:tr>
      <w:tr w14:paraId="7E0C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Merge w:val="restart"/>
            <w:vAlign w:val="center"/>
          </w:tcPr>
          <w:p w14:paraId="3731898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固体废物</w:t>
            </w:r>
          </w:p>
        </w:tc>
        <w:tc>
          <w:tcPr>
            <w:tcW w:w="2123" w:type="dxa"/>
            <w:vAlign w:val="center"/>
          </w:tcPr>
          <w:p w14:paraId="1167870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施工建筑垃圾</w:t>
            </w:r>
          </w:p>
        </w:tc>
        <w:tc>
          <w:tcPr>
            <w:tcW w:w="4570" w:type="dxa"/>
            <w:gridSpan w:val="2"/>
            <w:vMerge w:val="restart"/>
            <w:vAlign w:val="center"/>
          </w:tcPr>
          <w:p w14:paraId="260BB31E">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收集、清运、处置</w:t>
            </w:r>
          </w:p>
        </w:tc>
        <w:tc>
          <w:tcPr>
            <w:tcW w:w="1779" w:type="dxa"/>
            <w:vMerge w:val="restart"/>
            <w:vAlign w:val="center"/>
          </w:tcPr>
          <w:p w14:paraId="496DF084">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4</w:t>
            </w:r>
          </w:p>
        </w:tc>
      </w:tr>
      <w:tr w14:paraId="1D2E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Merge w:val="continue"/>
            <w:vAlign w:val="center"/>
          </w:tcPr>
          <w:p w14:paraId="34579A50">
            <w:pPr>
              <w:adjustRightInd w:val="0"/>
              <w:snapToGrid w:val="0"/>
              <w:spacing w:line="240" w:lineRule="auto"/>
              <w:jc w:val="center"/>
              <w:rPr>
                <w:rFonts w:hint="default" w:ascii="Times New Roman" w:hAnsi="Times New Roman" w:eastAsia="宋体" w:cs="Times New Roman"/>
                <w:color w:val="auto"/>
                <w:sz w:val="21"/>
              </w:rPr>
            </w:pPr>
          </w:p>
        </w:tc>
        <w:tc>
          <w:tcPr>
            <w:tcW w:w="2123" w:type="dxa"/>
            <w:vAlign w:val="center"/>
          </w:tcPr>
          <w:p w14:paraId="3035E184">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生活垃圾</w:t>
            </w:r>
          </w:p>
        </w:tc>
        <w:tc>
          <w:tcPr>
            <w:tcW w:w="4570" w:type="dxa"/>
            <w:gridSpan w:val="2"/>
            <w:vMerge w:val="continue"/>
            <w:vAlign w:val="center"/>
          </w:tcPr>
          <w:p w14:paraId="3BA9629C">
            <w:pPr>
              <w:adjustRightInd w:val="0"/>
              <w:snapToGrid w:val="0"/>
              <w:spacing w:line="240" w:lineRule="auto"/>
              <w:jc w:val="center"/>
              <w:rPr>
                <w:rFonts w:hint="default" w:ascii="Times New Roman" w:hAnsi="Times New Roman" w:eastAsia="宋体" w:cs="Times New Roman"/>
                <w:color w:val="auto"/>
                <w:sz w:val="21"/>
              </w:rPr>
            </w:pPr>
          </w:p>
        </w:tc>
        <w:tc>
          <w:tcPr>
            <w:tcW w:w="1779" w:type="dxa"/>
            <w:vMerge w:val="continue"/>
            <w:vAlign w:val="center"/>
          </w:tcPr>
          <w:p w14:paraId="7BFE875A">
            <w:pPr>
              <w:adjustRightInd w:val="0"/>
              <w:snapToGrid w:val="0"/>
              <w:spacing w:line="240" w:lineRule="auto"/>
              <w:jc w:val="center"/>
              <w:rPr>
                <w:rFonts w:hint="default" w:ascii="Times New Roman" w:hAnsi="Times New Roman" w:eastAsia="宋体" w:cs="Times New Roman"/>
                <w:color w:val="auto"/>
                <w:sz w:val="21"/>
              </w:rPr>
            </w:pPr>
          </w:p>
        </w:tc>
      </w:tr>
      <w:tr w14:paraId="7C20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84" w:type="dxa"/>
            <w:vAlign w:val="center"/>
          </w:tcPr>
          <w:p w14:paraId="702971D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2123" w:type="dxa"/>
            <w:vAlign w:val="center"/>
          </w:tcPr>
          <w:p w14:paraId="283A89F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施工噪声</w:t>
            </w:r>
          </w:p>
        </w:tc>
        <w:tc>
          <w:tcPr>
            <w:tcW w:w="4570" w:type="dxa"/>
            <w:gridSpan w:val="2"/>
            <w:vAlign w:val="center"/>
          </w:tcPr>
          <w:p w14:paraId="67578DD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场地四周进行围挡，高2.5m</w:t>
            </w:r>
          </w:p>
        </w:tc>
        <w:tc>
          <w:tcPr>
            <w:tcW w:w="1779" w:type="dxa"/>
            <w:vAlign w:val="center"/>
          </w:tcPr>
          <w:p w14:paraId="1EF27052">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3</w:t>
            </w:r>
          </w:p>
        </w:tc>
      </w:tr>
      <w:bookmarkEnd w:id="416"/>
      <w:bookmarkEnd w:id="417"/>
      <w:bookmarkEnd w:id="418"/>
      <w:tr w14:paraId="06E77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9456" w:type="dxa"/>
            <w:gridSpan w:val="5"/>
            <w:vAlign w:val="center"/>
          </w:tcPr>
          <w:p w14:paraId="50A76E0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运营期</w:t>
            </w:r>
          </w:p>
        </w:tc>
      </w:tr>
      <w:tr w14:paraId="28D0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84" w:type="dxa"/>
            <w:vMerge w:val="restart"/>
            <w:vAlign w:val="center"/>
          </w:tcPr>
          <w:p w14:paraId="212129E1">
            <w:pPr>
              <w:adjustRightInd w:val="0"/>
              <w:snapToGrid w:val="0"/>
              <w:spacing w:line="240" w:lineRule="auto"/>
              <w:jc w:val="center"/>
              <w:rPr>
                <w:rFonts w:hint="default" w:ascii="Times New Roman" w:hAnsi="Times New Roman" w:eastAsia="宋体" w:cs="Times New Roman"/>
                <w:color w:val="auto"/>
                <w:sz w:val="21"/>
              </w:rPr>
            </w:pPr>
            <w:bookmarkStart w:id="419" w:name="OLE_LINK25" w:colFirst="4" w:colLast="4"/>
            <w:bookmarkStart w:id="420" w:name="_Hlk447212467"/>
            <w:bookmarkStart w:id="421" w:name="OLE_LINK24" w:colFirst="4" w:colLast="4"/>
            <w:bookmarkStart w:id="422" w:name="OLE_LINK44" w:colFirst="2" w:colLast="2"/>
            <w:bookmarkStart w:id="423" w:name="_Hlk485629333"/>
            <w:bookmarkStart w:id="424" w:name="OLE_LINK43" w:colFirst="2" w:colLast="2"/>
            <w:r>
              <w:rPr>
                <w:rFonts w:hint="default" w:ascii="Times New Roman" w:hAnsi="Times New Roman" w:eastAsia="宋体" w:cs="Times New Roman"/>
                <w:color w:val="auto"/>
                <w:sz w:val="21"/>
              </w:rPr>
              <w:t>废气</w:t>
            </w:r>
          </w:p>
        </w:tc>
        <w:tc>
          <w:tcPr>
            <w:tcW w:w="2123" w:type="dxa"/>
            <w:vAlign w:val="center"/>
          </w:tcPr>
          <w:p w14:paraId="0DA55250">
            <w:pPr>
              <w:adjustRightInd w:val="0"/>
              <w:snapToGrid w:val="0"/>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kern w:val="0"/>
                <w:sz w:val="21"/>
                <w:lang w:eastAsia="zh-CN"/>
              </w:rPr>
              <w:t>粉尘</w:t>
            </w:r>
          </w:p>
        </w:tc>
        <w:tc>
          <w:tcPr>
            <w:tcW w:w="4570" w:type="dxa"/>
            <w:gridSpan w:val="2"/>
            <w:vAlign w:val="center"/>
          </w:tcPr>
          <w:p w14:paraId="6B710C82">
            <w:pPr>
              <w:adjustRightInd w:val="0"/>
              <w:snapToGrid w:val="0"/>
              <w:spacing w:line="240" w:lineRule="auto"/>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生产车间设置排气扇，加强车间通风、换气</w:t>
            </w:r>
          </w:p>
        </w:tc>
        <w:tc>
          <w:tcPr>
            <w:tcW w:w="1779" w:type="dxa"/>
            <w:vAlign w:val="center"/>
          </w:tcPr>
          <w:p w14:paraId="0EC6FFCE">
            <w:pPr>
              <w:adjustRightInd w:val="0"/>
              <w:snapToGrid w:val="0"/>
              <w:spacing w:line="240" w:lineRule="auto"/>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3</w:t>
            </w:r>
          </w:p>
        </w:tc>
      </w:tr>
      <w:tr w14:paraId="2F19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Merge w:val="continue"/>
            <w:vAlign w:val="center"/>
          </w:tcPr>
          <w:p w14:paraId="7FF7B4B5">
            <w:pPr>
              <w:adjustRightInd w:val="0"/>
              <w:snapToGrid w:val="0"/>
              <w:spacing w:line="240" w:lineRule="auto"/>
              <w:jc w:val="center"/>
              <w:rPr>
                <w:rFonts w:hint="default" w:ascii="Times New Roman" w:hAnsi="Times New Roman" w:eastAsia="宋体" w:cs="Times New Roman"/>
                <w:color w:val="auto"/>
                <w:sz w:val="21"/>
              </w:rPr>
            </w:pPr>
          </w:p>
        </w:tc>
        <w:tc>
          <w:tcPr>
            <w:tcW w:w="2123" w:type="dxa"/>
            <w:vAlign w:val="center"/>
          </w:tcPr>
          <w:p w14:paraId="0E2E72A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食堂油烟</w:t>
            </w:r>
          </w:p>
        </w:tc>
        <w:tc>
          <w:tcPr>
            <w:tcW w:w="4570" w:type="dxa"/>
            <w:gridSpan w:val="2"/>
            <w:vAlign w:val="center"/>
          </w:tcPr>
          <w:p w14:paraId="2280B7D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油烟净化器1台，净化效率≥</w:t>
            </w:r>
            <w:r>
              <w:rPr>
                <w:rFonts w:hint="eastAsia" w:ascii="Times New Roman" w:hAnsi="Times New Roman" w:cs="Times New Roman"/>
                <w:color w:val="auto"/>
                <w:sz w:val="21"/>
                <w:lang w:val="en-US" w:eastAsia="zh-CN"/>
              </w:rPr>
              <w:t>75</w:t>
            </w:r>
            <w:r>
              <w:rPr>
                <w:rFonts w:hint="default" w:ascii="Times New Roman" w:hAnsi="Times New Roman" w:eastAsia="宋体" w:cs="Times New Roman"/>
                <w:color w:val="auto"/>
                <w:sz w:val="21"/>
              </w:rPr>
              <w:t>%</w:t>
            </w:r>
          </w:p>
        </w:tc>
        <w:tc>
          <w:tcPr>
            <w:tcW w:w="1779" w:type="dxa"/>
            <w:vAlign w:val="center"/>
          </w:tcPr>
          <w:p w14:paraId="6E1FD965">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2</w:t>
            </w:r>
          </w:p>
        </w:tc>
      </w:tr>
      <w:bookmarkEnd w:id="419"/>
      <w:bookmarkEnd w:id="420"/>
      <w:bookmarkEnd w:id="421"/>
      <w:tr w14:paraId="2EC20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Merge w:val="restart"/>
            <w:vAlign w:val="center"/>
          </w:tcPr>
          <w:p w14:paraId="415141B3">
            <w:pPr>
              <w:adjustRightInd w:val="0"/>
              <w:snapToGrid w:val="0"/>
              <w:spacing w:line="240" w:lineRule="auto"/>
              <w:jc w:val="center"/>
              <w:rPr>
                <w:rFonts w:hint="default" w:ascii="Times New Roman" w:hAnsi="Times New Roman" w:eastAsia="宋体" w:cs="Times New Roman"/>
                <w:color w:val="auto"/>
                <w:sz w:val="21"/>
                <w:highlight w:val="yellow"/>
                <w:lang w:eastAsia="zh-CN"/>
              </w:rPr>
            </w:pPr>
            <w:r>
              <w:rPr>
                <w:rFonts w:hint="default" w:ascii="Times New Roman" w:hAnsi="Times New Roman" w:eastAsia="宋体" w:cs="Times New Roman"/>
                <w:color w:val="auto"/>
                <w:sz w:val="21"/>
                <w:highlight w:val="none"/>
                <w:lang w:eastAsia="zh-CN"/>
              </w:rPr>
              <w:t>废水</w:t>
            </w:r>
          </w:p>
        </w:tc>
        <w:tc>
          <w:tcPr>
            <w:tcW w:w="2123" w:type="dxa"/>
            <w:vMerge w:val="restart"/>
            <w:vAlign w:val="center"/>
          </w:tcPr>
          <w:p w14:paraId="7033054C">
            <w:pPr>
              <w:adjustRightInd w:val="0"/>
              <w:snapToGrid w:val="0"/>
              <w:spacing w:line="240" w:lineRule="auto"/>
              <w:jc w:val="center"/>
              <w:rPr>
                <w:rFonts w:hint="default" w:ascii="Times New Roman" w:hAnsi="Times New Roman" w:eastAsia="宋体" w:cs="Times New Roman"/>
                <w:color w:val="auto"/>
                <w:sz w:val="21"/>
                <w:highlight w:val="yellow"/>
              </w:rPr>
            </w:pPr>
            <w:r>
              <w:rPr>
                <w:rFonts w:hint="default" w:ascii="Times New Roman" w:hAnsi="Times New Roman" w:eastAsia="宋体" w:cs="Times New Roman"/>
                <w:color w:val="auto"/>
                <w:sz w:val="21"/>
              </w:rPr>
              <w:t>生活污水</w:t>
            </w:r>
          </w:p>
        </w:tc>
        <w:tc>
          <w:tcPr>
            <w:tcW w:w="4570" w:type="dxa"/>
            <w:gridSpan w:val="2"/>
            <w:vAlign w:val="center"/>
          </w:tcPr>
          <w:p w14:paraId="6F309B6A">
            <w:pPr>
              <w:adjustRightInd w:val="0"/>
              <w:snapToGrid w:val="0"/>
              <w:spacing w:line="240" w:lineRule="auto"/>
              <w:jc w:val="center"/>
              <w:rPr>
                <w:rFonts w:hint="default" w:ascii="Times New Roman" w:hAnsi="Times New Roman" w:eastAsia="宋体" w:cs="Times New Roman"/>
                <w:color w:val="auto"/>
                <w:sz w:val="21"/>
                <w:vertAlign w:val="superscript"/>
              </w:rPr>
            </w:pPr>
            <w:r>
              <w:rPr>
                <w:rFonts w:hint="default" w:ascii="Times New Roman" w:hAnsi="Times New Roman" w:eastAsia="宋体" w:cs="Times New Roman"/>
                <w:color w:val="auto"/>
                <w:sz w:val="21"/>
              </w:rPr>
              <w:t>隔油池：1个，容积</w:t>
            </w:r>
            <w:r>
              <w:rPr>
                <w:rFonts w:hint="eastAsia" w:ascii="Times New Roman" w:hAnsi="Times New Roman" w:cs="Times New Roman"/>
                <w:color w:val="auto"/>
                <w:sz w:val="21"/>
                <w:lang w:val="en-US" w:eastAsia="zh-CN"/>
              </w:rPr>
              <w:t>5</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3</w:t>
            </w:r>
          </w:p>
        </w:tc>
        <w:tc>
          <w:tcPr>
            <w:tcW w:w="1779" w:type="dxa"/>
            <w:vAlign w:val="center"/>
          </w:tcPr>
          <w:p w14:paraId="13E1F9A9">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0.5</w:t>
            </w:r>
          </w:p>
        </w:tc>
      </w:tr>
      <w:tr w14:paraId="3F23F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84" w:type="dxa"/>
            <w:vMerge w:val="continue"/>
            <w:vAlign w:val="center"/>
          </w:tcPr>
          <w:p w14:paraId="08AAC2DE">
            <w:pPr>
              <w:adjustRightInd w:val="0"/>
              <w:snapToGrid w:val="0"/>
              <w:spacing w:line="240" w:lineRule="auto"/>
              <w:jc w:val="center"/>
              <w:rPr>
                <w:rFonts w:hint="default" w:ascii="Times New Roman" w:hAnsi="Times New Roman" w:eastAsia="宋体" w:cs="Times New Roman"/>
                <w:color w:val="auto"/>
                <w:sz w:val="21"/>
                <w:highlight w:val="yellow"/>
              </w:rPr>
            </w:pPr>
          </w:p>
        </w:tc>
        <w:tc>
          <w:tcPr>
            <w:tcW w:w="2123" w:type="dxa"/>
            <w:vMerge w:val="continue"/>
            <w:vAlign w:val="center"/>
          </w:tcPr>
          <w:p w14:paraId="1C9C33AA">
            <w:pPr>
              <w:adjustRightInd w:val="0"/>
              <w:snapToGrid w:val="0"/>
              <w:spacing w:line="240" w:lineRule="auto"/>
              <w:jc w:val="center"/>
              <w:rPr>
                <w:rFonts w:hint="default" w:ascii="Times New Roman" w:hAnsi="Times New Roman" w:eastAsia="宋体" w:cs="Times New Roman"/>
                <w:color w:val="auto"/>
                <w:sz w:val="21"/>
                <w:highlight w:val="yellow"/>
              </w:rPr>
            </w:pPr>
          </w:p>
        </w:tc>
        <w:tc>
          <w:tcPr>
            <w:tcW w:w="4570" w:type="dxa"/>
            <w:gridSpan w:val="2"/>
            <w:vAlign w:val="center"/>
          </w:tcPr>
          <w:p w14:paraId="754009C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化粪池：1个，容积</w:t>
            </w:r>
            <w:r>
              <w:rPr>
                <w:rFonts w:hint="eastAsia" w:ascii="Times New Roman" w:hAnsi="Times New Roman" w:cs="Times New Roman"/>
                <w:color w:val="auto"/>
                <w:sz w:val="21"/>
                <w:lang w:val="en-US" w:eastAsia="zh-CN"/>
              </w:rPr>
              <w:t>5</w:t>
            </w:r>
            <w:r>
              <w:rPr>
                <w:rFonts w:hint="default" w:ascii="Times New Roman" w:hAnsi="Times New Roman" w:eastAsia="宋体" w:cs="Times New Roman"/>
                <w:color w:val="auto"/>
                <w:sz w:val="21"/>
                <w:lang w:val="en-US" w:eastAsia="zh-CN"/>
              </w:rPr>
              <w:t>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3</w:t>
            </w:r>
          </w:p>
        </w:tc>
        <w:tc>
          <w:tcPr>
            <w:tcW w:w="1779" w:type="dxa"/>
            <w:vAlign w:val="center"/>
          </w:tcPr>
          <w:p w14:paraId="6B496009">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4</w:t>
            </w:r>
          </w:p>
        </w:tc>
      </w:tr>
      <w:tr w14:paraId="1CF53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984" w:type="dxa"/>
            <w:vMerge w:val="continue"/>
            <w:vAlign w:val="center"/>
          </w:tcPr>
          <w:p w14:paraId="51F18DDC">
            <w:pPr>
              <w:adjustRightInd w:val="0"/>
              <w:snapToGrid w:val="0"/>
              <w:spacing w:line="240" w:lineRule="auto"/>
              <w:jc w:val="center"/>
              <w:rPr>
                <w:rFonts w:hint="default" w:ascii="Times New Roman" w:hAnsi="Times New Roman" w:eastAsia="宋体" w:cs="Times New Roman"/>
                <w:color w:val="auto"/>
                <w:sz w:val="21"/>
                <w:highlight w:val="yellow"/>
              </w:rPr>
            </w:pPr>
          </w:p>
        </w:tc>
        <w:tc>
          <w:tcPr>
            <w:tcW w:w="2123" w:type="dxa"/>
            <w:vMerge w:val="continue"/>
            <w:vAlign w:val="center"/>
          </w:tcPr>
          <w:p w14:paraId="3D38D765">
            <w:pPr>
              <w:adjustRightInd w:val="0"/>
              <w:snapToGrid w:val="0"/>
              <w:spacing w:line="240" w:lineRule="auto"/>
              <w:jc w:val="center"/>
              <w:rPr>
                <w:rFonts w:hint="default" w:ascii="Times New Roman" w:hAnsi="Times New Roman" w:eastAsia="宋体" w:cs="Times New Roman"/>
                <w:color w:val="auto"/>
                <w:sz w:val="21"/>
                <w:highlight w:val="yellow"/>
              </w:rPr>
            </w:pPr>
          </w:p>
        </w:tc>
        <w:tc>
          <w:tcPr>
            <w:tcW w:w="4570" w:type="dxa"/>
            <w:gridSpan w:val="2"/>
            <w:vAlign w:val="center"/>
          </w:tcPr>
          <w:p w14:paraId="5121FE7B">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污水处理设备：1</w:t>
            </w:r>
            <w:r>
              <w:rPr>
                <w:rFonts w:hint="default" w:ascii="Times New Roman" w:hAnsi="Times New Roman" w:eastAsia="宋体" w:cs="Times New Roman"/>
                <w:color w:val="auto"/>
                <w:sz w:val="21"/>
                <w:lang w:eastAsia="zh-CN"/>
              </w:rPr>
              <w:t>套</w:t>
            </w:r>
            <w:r>
              <w:rPr>
                <w:rFonts w:hint="default" w:ascii="Times New Roman" w:hAnsi="Times New Roman" w:eastAsia="宋体" w:cs="Times New Roman"/>
                <w:color w:val="auto"/>
                <w:sz w:val="21"/>
              </w:rPr>
              <w:t>，规模</w:t>
            </w:r>
            <w:r>
              <w:rPr>
                <w:rFonts w:hint="eastAsia" w:ascii="Times New Roman" w:hAnsi="Times New Roman" w:cs="Times New Roman"/>
                <w:color w:val="auto"/>
                <w:sz w:val="21"/>
                <w:lang w:val="en-US" w:eastAsia="zh-CN"/>
              </w:rPr>
              <w:t>20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lang w:val="en-US" w:eastAsia="zh-CN"/>
              </w:rPr>
              <w:t>3</w:t>
            </w:r>
            <w:r>
              <w:rPr>
                <w:rFonts w:hint="default" w:ascii="Times New Roman" w:hAnsi="Times New Roman" w:eastAsia="宋体" w:cs="Times New Roman"/>
                <w:color w:val="auto"/>
                <w:sz w:val="21"/>
              </w:rPr>
              <w:t>/d</w:t>
            </w:r>
          </w:p>
        </w:tc>
        <w:tc>
          <w:tcPr>
            <w:tcW w:w="1779" w:type="dxa"/>
            <w:vAlign w:val="center"/>
          </w:tcPr>
          <w:p w14:paraId="3CFCD6E9">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val="en-US" w:eastAsia="zh-CN"/>
              </w:rPr>
              <w:t>8</w:t>
            </w:r>
          </w:p>
        </w:tc>
      </w:tr>
      <w:tr w14:paraId="25FB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Merge w:val="restart"/>
            <w:vAlign w:val="center"/>
          </w:tcPr>
          <w:p w14:paraId="2FE66EC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固体废物</w:t>
            </w:r>
          </w:p>
        </w:tc>
        <w:tc>
          <w:tcPr>
            <w:tcW w:w="2123" w:type="dxa"/>
            <w:vAlign w:val="center"/>
          </w:tcPr>
          <w:p w14:paraId="180479F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危险废物暂存间</w:t>
            </w:r>
          </w:p>
        </w:tc>
        <w:tc>
          <w:tcPr>
            <w:tcW w:w="4570" w:type="dxa"/>
            <w:gridSpan w:val="2"/>
            <w:vAlign w:val="center"/>
          </w:tcPr>
          <w:p w14:paraId="09D68BB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1间，面积</w:t>
            </w:r>
            <w:r>
              <w:rPr>
                <w:rFonts w:hint="eastAsia" w:ascii="Times New Roman" w:hAnsi="Times New Roman" w:cs="Times New Roman"/>
                <w:color w:val="auto"/>
                <w:sz w:val="21"/>
                <w:lang w:val="en-US" w:eastAsia="zh-CN"/>
              </w:rPr>
              <w:t>10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p>
        </w:tc>
        <w:tc>
          <w:tcPr>
            <w:tcW w:w="1779" w:type="dxa"/>
            <w:vAlign w:val="center"/>
          </w:tcPr>
          <w:p w14:paraId="2C5BDEF1">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2.5</w:t>
            </w:r>
          </w:p>
        </w:tc>
      </w:tr>
      <w:tr w14:paraId="6E5C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Merge w:val="continue"/>
            <w:vAlign w:val="center"/>
          </w:tcPr>
          <w:p w14:paraId="3E838CB5">
            <w:pPr>
              <w:adjustRightInd w:val="0"/>
              <w:snapToGrid w:val="0"/>
              <w:spacing w:line="240" w:lineRule="auto"/>
              <w:jc w:val="center"/>
              <w:rPr>
                <w:rFonts w:hint="default" w:ascii="Times New Roman" w:hAnsi="Times New Roman" w:eastAsia="宋体" w:cs="Times New Roman"/>
                <w:color w:val="auto"/>
                <w:sz w:val="21"/>
              </w:rPr>
            </w:pPr>
          </w:p>
        </w:tc>
        <w:tc>
          <w:tcPr>
            <w:tcW w:w="2123" w:type="dxa"/>
            <w:vAlign w:val="center"/>
          </w:tcPr>
          <w:p w14:paraId="6AD7A64A">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一般</w:t>
            </w:r>
            <w:r>
              <w:rPr>
                <w:rFonts w:hint="default" w:ascii="Times New Roman" w:hAnsi="Times New Roman" w:eastAsia="宋体" w:cs="Times New Roman"/>
                <w:color w:val="auto"/>
                <w:sz w:val="21"/>
                <w:lang w:eastAsia="zh-CN"/>
              </w:rPr>
              <w:t>固废暂存间</w:t>
            </w:r>
          </w:p>
        </w:tc>
        <w:tc>
          <w:tcPr>
            <w:tcW w:w="4570" w:type="dxa"/>
            <w:gridSpan w:val="2"/>
            <w:vAlign w:val="center"/>
          </w:tcPr>
          <w:p w14:paraId="44FBD1E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val="en-US" w:eastAsia="zh-CN"/>
              </w:rPr>
              <w:t>1间，面积20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p>
        </w:tc>
        <w:tc>
          <w:tcPr>
            <w:tcW w:w="1779" w:type="dxa"/>
            <w:vAlign w:val="center"/>
          </w:tcPr>
          <w:p w14:paraId="1ED898BA">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0.8</w:t>
            </w:r>
          </w:p>
        </w:tc>
      </w:tr>
      <w:tr w14:paraId="0CBC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Merge w:val="continue"/>
            <w:vAlign w:val="center"/>
          </w:tcPr>
          <w:p w14:paraId="3F2AF287">
            <w:pPr>
              <w:adjustRightInd w:val="0"/>
              <w:snapToGrid w:val="0"/>
              <w:spacing w:line="240" w:lineRule="auto"/>
              <w:jc w:val="center"/>
              <w:rPr>
                <w:rFonts w:hint="default" w:ascii="Times New Roman" w:hAnsi="Times New Roman" w:eastAsia="宋体" w:cs="Times New Roman"/>
                <w:color w:val="auto"/>
                <w:sz w:val="21"/>
              </w:rPr>
            </w:pPr>
          </w:p>
        </w:tc>
        <w:tc>
          <w:tcPr>
            <w:tcW w:w="2123" w:type="dxa"/>
            <w:vAlign w:val="center"/>
          </w:tcPr>
          <w:p w14:paraId="01880D25">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生活垃圾</w:t>
            </w:r>
          </w:p>
        </w:tc>
        <w:tc>
          <w:tcPr>
            <w:tcW w:w="4570" w:type="dxa"/>
            <w:gridSpan w:val="2"/>
            <w:vAlign w:val="center"/>
          </w:tcPr>
          <w:p w14:paraId="6F104C09">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生产、生活区各角落设置多个垃圾桶</w:t>
            </w:r>
          </w:p>
        </w:tc>
        <w:tc>
          <w:tcPr>
            <w:tcW w:w="1779" w:type="dxa"/>
            <w:vAlign w:val="center"/>
          </w:tcPr>
          <w:p w14:paraId="3DFFB304">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0.2</w:t>
            </w:r>
          </w:p>
        </w:tc>
      </w:tr>
      <w:tr w14:paraId="2856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4" w:type="dxa"/>
            <w:vAlign w:val="center"/>
          </w:tcPr>
          <w:p w14:paraId="13D679B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2123" w:type="dxa"/>
            <w:vAlign w:val="center"/>
          </w:tcPr>
          <w:p w14:paraId="39A4436C">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噪声治理</w:t>
            </w:r>
          </w:p>
        </w:tc>
        <w:tc>
          <w:tcPr>
            <w:tcW w:w="4570" w:type="dxa"/>
            <w:gridSpan w:val="2"/>
            <w:vAlign w:val="center"/>
          </w:tcPr>
          <w:p w14:paraId="7EC04EE9">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隔声、减震垫、消声等</w:t>
            </w:r>
          </w:p>
        </w:tc>
        <w:tc>
          <w:tcPr>
            <w:tcW w:w="1779" w:type="dxa"/>
            <w:vAlign w:val="center"/>
          </w:tcPr>
          <w:p w14:paraId="7C8E426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2.0</w:t>
            </w:r>
          </w:p>
        </w:tc>
      </w:tr>
      <w:tr w14:paraId="547B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7" w:type="dxa"/>
            <w:gridSpan w:val="2"/>
            <w:vAlign w:val="center"/>
          </w:tcPr>
          <w:p w14:paraId="7E812422">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地下水</w:t>
            </w:r>
          </w:p>
        </w:tc>
        <w:tc>
          <w:tcPr>
            <w:tcW w:w="4570" w:type="dxa"/>
            <w:gridSpan w:val="2"/>
            <w:vAlign w:val="center"/>
          </w:tcPr>
          <w:p w14:paraId="37B1DC6F">
            <w:pPr>
              <w:adjustRightInd w:val="0"/>
              <w:snapToGrid w:val="0"/>
              <w:spacing w:line="240" w:lineRule="auto"/>
              <w:jc w:val="both"/>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eastAsia="zh-CN"/>
              </w:rPr>
              <w:t>项目重点防渗区采用</w:t>
            </w:r>
            <w:r>
              <w:rPr>
                <w:rFonts w:hint="default" w:ascii="Times New Roman" w:hAnsi="Times New Roman" w:eastAsia="宋体" w:cs="Times New Roman"/>
                <w:color w:val="auto"/>
                <w:sz w:val="21"/>
                <w:highlight w:val="none"/>
              </w:rPr>
              <w:t>2mm厚高密度聚乙烯，或至少2mm厚的其他人工材料，</w:t>
            </w:r>
            <w:r>
              <w:rPr>
                <w:rFonts w:hint="default" w:ascii="Times New Roman" w:hAnsi="Times New Roman" w:eastAsia="宋体" w:cs="Times New Roman"/>
                <w:color w:val="auto"/>
                <w:sz w:val="21"/>
                <w:highlight w:val="none"/>
                <w:lang w:eastAsia="zh-CN"/>
              </w:rPr>
              <w:t>或者等效黏土防渗层</w:t>
            </w:r>
            <w:r>
              <w:rPr>
                <w:rFonts w:hint="default" w:ascii="Times New Roman" w:hAnsi="Times New Roman" w:eastAsia="宋体" w:cs="Times New Roman"/>
                <w:color w:val="auto"/>
                <w:sz w:val="21"/>
                <w:highlight w:val="none"/>
                <w:lang w:val="en-US" w:eastAsia="zh-CN"/>
              </w:rPr>
              <w:t>Mb≥6.0m，</w:t>
            </w:r>
            <w:r>
              <w:rPr>
                <w:rFonts w:hint="default" w:ascii="Times New Roman" w:hAnsi="Times New Roman" w:eastAsia="宋体" w:cs="Times New Roman"/>
                <w:color w:val="auto"/>
                <w:sz w:val="21"/>
                <w:highlight w:val="none"/>
              </w:rPr>
              <w:t>渗透系数≤10</w:t>
            </w:r>
            <w:r>
              <w:rPr>
                <w:rFonts w:hint="default" w:ascii="Times New Roman" w:hAnsi="Times New Roman" w:eastAsia="宋体" w:cs="Times New Roman"/>
                <w:color w:val="auto"/>
                <w:sz w:val="21"/>
                <w:highlight w:val="none"/>
                <w:vertAlign w:val="superscript"/>
              </w:rPr>
              <w:t>-</w:t>
            </w:r>
            <w:r>
              <w:rPr>
                <w:rFonts w:hint="default" w:ascii="Times New Roman" w:hAnsi="Times New Roman" w:eastAsia="宋体" w:cs="Times New Roman"/>
                <w:color w:val="auto"/>
                <w:sz w:val="21"/>
                <w:highlight w:val="none"/>
                <w:vertAlign w:val="superscript"/>
                <w:lang w:val="en-US" w:eastAsia="zh-CN"/>
              </w:rPr>
              <w:t>7</w:t>
            </w:r>
            <w:r>
              <w:rPr>
                <w:rFonts w:hint="default" w:ascii="Times New Roman" w:hAnsi="Times New Roman" w:eastAsia="宋体" w:cs="Times New Roman"/>
                <w:color w:val="auto"/>
                <w:sz w:val="21"/>
                <w:highlight w:val="none"/>
              </w:rPr>
              <w:t>cm/s。</w:t>
            </w:r>
            <w:r>
              <w:rPr>
                <w:rFonts w:hint="default" w:ascii="Times New Roman" w:hAnsi="Times New Roman" w:eastAsia="宋体" w:cs="Times New Roman"/>
                <w:color w:val="auto"/>
                <w:sz w:val="21"/>
                <w:highlight w:val="none"/>
                <w:lang w:eastAsia="zh-CN"/>
              </w:rPr>
              <w:t>或参照</w:t>
            </w:r>
            <w:r>
              <w:rPr>
                <w:rFonts w:hint="default" w:ascii="Times New Roman" w:hAnsi="Times New Roman" w:eastAsia="宋体" w:cs="Times New Roman"/>
                <w:color w:val="auto"/>
                <w:sz w:val="21"/>
                <w:highlight w:val="none"/>
                <w:lang w:val="en-US" w:eastAsia="zh-CN"/>
              </w:rPr>
              <w:t>GB18598执行。</w:t>
            </w:r>
          </w:p>
          <w:p w14:paraId="6293D948">
            <w:pPr>
              <w:adjustRightInd w:val="0"/>
              <w:spacing w:line="240" w:lineRule="auto"/>
              <w:jc w:val="both"/>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eastAsia="zh-CN"/>
              </w:rPr>
              <w:t>项目一般防渗区采用等效黏土防渗层</w:t>
            </w:r>
            <w:r>
              <w:rPr>
                <w:rFonts w:hint="default" w:ascii="Times New Roman" w:hAnsi="Times New Roman" w:eastAsia="宋体" w:cs="Times New Roman"/>
                <w:color w:val="auto"/>
                <w:sz w:val="21"/>
                <w:highlight w:val="none"/>
                <w:lang w:val="en-US" w:eastAsia="zh-CN"/>
              </w:rPr>
              <w:t>Mb≥1.5m，</w:t>
            </w:r>
            <w:r>
              <w:rPr>
                <w:rFonts w:hint="default" w:ascii="Times New Roman" w:hAnsi="Times New Roman" w:eastAsia="宋体" w:cs="Times New Roman"/>
                <w:color w:val="auto"/>
                <w:sz w:val="21"/>
                <w:highlight w:val="none"/>
              </w:rPr>
              <w:t>渗透系数≤10</w:t>
            </w:r>
            <w:r>
              <w:rPr>
                <w:rFonts w:hint="default" w:ascii="Times New Roman" w:hAnsi="Times New Roman" w:eastAsia="宋体" w:cs="Times New Roman"/>
                <w:color w:val="auto"/>
                <w:sz w:val="21"/>
                <w:highlight w:val="none"/>
                <w:vertAlign w:val="superscript"/>
              </w:rPr>
              <w:t>-</w:t>
            </w:r>
            <w:r>
              <w:rPr>
                <w:rFonts w:hint="default" w:ascii="Times New Roman" w:hAnsi="Times New Roman" w:eastAsia="宋体" w:cs="Times New Roman"/>
                <w:color w:val="auto"/>
                <w:sz w:val="21"/>
                <w:highlight w:val="none"/>
                <w:vertAlign w:val="superscript"/>
                <w:lang w:val="en-US" w:eastAsia="zh-CN"/>
              </w:rPr>
              <w:t>7</w:t>
            </w:r>
            <w:r>
              <w:rPr>
                <w:rFonts w:hint="default" w:ascii="Times New Roman" w:hAnsi="Times New Roman" w:eastAsia="宋体" w:cs="Times New Roman"/>
                <w:color w:val="auto"/>
                <w:sz w:val="21"/>
                <w:highlight w:val="none"/>
              </w:rPr>
              <w:t>cm/s。</w:t>
            </w:r>
            <w:r>
              <w:rPr>
                <w:rFonts w:hint="default" w:ascii="Times New Roman" w:hAnsi="Times New Roman" w:eastAsia="宋体" w:cs="Times New Roman"/>
                <w:color w:val="auto"/>
                <w:sz w:val="21"/>
                <w:highlight w:val="none"/>
                <w:lang w:eastAsia="zh-CN"/>
              </w:rPr>
              <w:t>或参照</w:t>
            </w:r>
            <w:r>
              <w:rPr>
                <w:rFonts w:hint="default" w:ascii="Times New Roman" w:hAnsi="Times New Roman" w:eastAsia="宋体" w:cs="Times New Roman"/>
                <w:color w:val="auto"/>
                <w:sz w:val="21"/>
                <w:highlight w:val="none"/>
                <w:lang w:val="en-US" w:eastAsia="zh-CN"/>
              </w:rPr>
              <w:t>GB18598执行。</w:t>
            </w:r>
          </w:p>
          <w:p w14:paraId="494EF67C">
            <w:pPr>
              <w:adjustRightInd w:val="0"/>
              <w:snapToGrid w:val="0"/>
              <w:spacing w:line="240" w:lineRule="auto"/>
              <w:jc w:val="both"/>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highlight w:val="none"/>
                <w:lang w:val="en-US" w:eastAsia="zh-CN"/>
              </w:rPr>
              <w:t>项目简单防渗区地面进行硬化即可</w:t>
            </w:r>
          </w:p>
        </w:tc>
        <w:tc>
          <w:tcPr>
            <w:tcW w:w="1779" w:type="dxa"/>
            <w:vAlign w:val="center"/>
          </w:tcPr>
          <w:p w14:paraId="4F1F4BCB">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10</w:t>
            </w:r>
          </w:p>
        </w:tc>
      </w:tr>
      <w:tr w14:paraId="089C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7" w:type="dxa"/>
            <w:gridSpan w:val="2"/>
            <w:vAlign w:val="center"/>
          </w:tcPr>
          <w:p w14:paraId="65CADDC6">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风险</w:t>
            </w:r>
          </w:p>
        </w:tc>
        <w:tc>
          <w:tcPr>
            <w:tcW w:w="4570" w:type="dxa"/>
            <w:gridSpan w:val="2"/>
            <w:vAlign w:val="center"/>
          </w:tcPr>
          <w:p w14:paraId="40D5F2D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val="en-US" w:eastAsia="zh-CN"/>
              </w:rPr>
              <w:t>事故池，1个，容积不低于</w:t>
            </w:r>
            <w:r>
              <w:rPr>
                <w:rFonts w:hint="eastAsia" w:ascii="Times New Roman" w:hAnsi="Times New Roman" w:cs="Times New Roman"/>
                <w:color w:val="auto"/>
                <w:sz w:val="21"/>
                <w:szCs w:val="21"/>
                <w:lang w:val="en-US" w:eastAsia="zh-CN"/>
              </w:rPr>
              <w:t>231</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p>
        </w:tc>
        <w:tc>
          <w:tcPr>
            <w:tcW w:w="1779" w:type="dxa"/>
            <w:vAlign w:val="center"/>
          </w:tcPr>
          <w:p w14:paraId="71822D88">
            <w:pPr>
              <w:adjustRightInd w:val="0"/>
              <w:snapToGrid w:val="0"/>
              <w:spacing w:line="240" w:lineRule="auto"/>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8</w:t>
            </w:r>
          </w:p>
        </w:tc>
      </w:tr>
      <w:tr w14:paraId="5C97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07" w:type="dxa"/>
            <w:gridSpan w:val="2"/>
            <w:vAlign w:val="center"/>
          </w:tcPr>
          <w:p w14:paraId="0DA4A43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绿化</w:t>
            </w:r>
          </w:p>
        </w:tc>
        <w:tc>
          <w:tcPr>
            <w:tcW w:w="4570" w:type="dxa"/>
            <w:gridSpan w:val="2"/>
            <w:vAlign w:val="center"/>
          </w:tcPr>
          <w:p w14:paraId="0109A25D">
            <w:pPr>
              <w:adjustRightInd w:val="0"/>
              <w:snapToGrid w:val="0"/>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sz w:val="21"/>
                <w:lang w:val="en-US" w:eastAsia="zh-CN"/>
              </w:rPr>
              <w:t>200</w:t>
            </w:r>
            <w:r>
              <w:rPr>
                <w:rFonts w:hint="default" w:ascii="Times New Roman" w:hAnsi="Times New Roman" w:eastAsia="宋体" w:cs="Times New Roman"/>
                <w:color w:val="auto"/>
                <w:sz w:val="21"/>
              </w:rPr>
              <w:t>m</w:t>
            </w:r>
            <w:r>
              <w:rPr>
                <w:rFonts w:hint="default" w:ascii="Times New Roman" w:hAnsi="Times New Roman" w:eastAsia="宋体" w:cs="Times New Roman"/>
                <w:color w:val="auto"/>
                <w:sz w:val="21"/>
                <w:vertAlign w:val="superscript"/>
              </w:rPr>
              <w:t>2</w:t>
            </w:r>
          </w:p>
        </w:tc>
        <w:tc>
          <w:tcPr>
            <w:tcW w:w="1779" w:type="dxa"/>
            <w:vAlign w:val="center"/>
          </w:tcPr>
          <w:p w14:paraId="27B6B312">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w:t>
            </w:r>
          </w:p>
        </w:tc>
      </w:tr>
      <w:bookmarkEnd w:id="422"/>
      <w:bookmarkEnd w:id="423"/>
      <w:bookmarkEnd w:id="424"/>
      <w:tr w14:paraId="0822E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4569" w:type="dxa"/>
            <w:gridSpan w:val="3"/>
            <w:vAlign w:val="center"/>
          </w:tcPr>
          <w:p w14:paraId="71B899F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合计</w:t>
            </w:r>
          </w:p>
        </w:tc>
        <w:tc>
          <w:tcPr>
            <w:tcW w:w="4887" w:type="dxa"/>
            <w:gridSpan w:val="2"/>
            <w:vAlign w:val="center"/>
          </w:tcPr>
          <w:p w14:paraId="38389B80">
            <w:pPr>
              <w:adjustRightInd w:val="0"/>
              <w:snapToGrid w:val="0"/>
              <w:spacing w:line="240" w:lineRule="auto"/>
              <w:jc w:val="center"/>
              <w:rPr>
                <w:rFonts w:hint="default"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57</w:t>
            </w:r>
          </w:p>
        </w:tc>
      </w:tr>
    </w:tbl>
    <w:p w14:paraId="1CC539B4">
      <w:pPr>
        <w:adjustRightInd w:val="0"/>
        <w:snapToGrid w:val="0"/>
        <w:spacing w:beforeLines="50"/>
        <w:outlineLvl w:val="1"/>
        <w:rPr>
          <w:rFonts w:hint="default" w:ascii="Times New Roman" w:hAnsi="Times New Roman" w:eastAsia="宋体" w:cs="Times New Roman"/>
          <w:b/>
          <w:color w:val="auto"/>
          <w:sz w:val="32"/>
          <w:szCs w:val="32"/>
        </w:rPr>
      </w:pPr>
      <w:bookmarkStart w:id="425" w:name="_Toc367882391"/>
      <w:bookmarkStart w:id="426" w:name="_Toc5150"/>
      <w:bookmarkStart w:id="427" w:name="_Toc22603"/>
      <w:bookmarkStart w:id="428" w:name="_Toc12551"/>
      <w:bookmarkStart w:id="429" w:name="_Toc3830"/>
      <w:r>
        <w:rPr>
          <w:rFonts w:hint="default" w:ascii="Times New Roman" w:hAnsi="Times New Roman" w:eastAsia="宋体" w:cs="Times New Roman"/>
          <w:b/>
          <w:color w:val="auto"/>
          <w:sz w:val="32"/>
          <w:szCs w:val="32"/>
        </w:rPr>
        <w:t>9.</w:t>
      </w:r>
      <w:bookmarkEnd w:id="397"/>
      <w:bookmarkEnd w:id="408"/>
      <w:bookmarkEnd w:id="409"/>
      <w:bookmarkEnd w:id="410"/>
      <w:bookmarkEnd w:id="411"/>
      <w:bookmarkEnd w:id="412"/>
      <w:bookmarkEnd w:id="413"/>
      <w:bookmarkEnd w:id="414"/>
      <w:bookmarkEnd w:id="415"/>
      <w:bookmarkEnd w:id="425"/>
      <w:bookmarkEnd w:id="426"/>
      <w:bookmarkEnd w:id="427"/>
      <w:bookmarkStart w:id="430" w:name="_Toc224458166"/>
      <w:bookmarkStart w:id="431" w:name="_Toc363473747"/>
      <w:bookmarkStart w:id="432" w:name="_Toc367882392"/>
      <w:bookmarkStart w:id="433" w:name="_Toc366006913"/>
      <w:bookmarkStart w:id="434" w:name="_Toc243725702"/>
      <w:bookmarkStart w:id="435" w:name="_Toc299349021"/>
      <w:bookmarkStart w:id="436" w:name="_Toc366006650"/>
      <w:bookmarkStart w:id="437" w:name="_Toc19065"/>
      <w:bookmarkStart w:id="438" w:name="_Toc269197503"/>
      <w:bookmarkStart w:id="439" w:name="_Toc24667"/>
      <w:bookmarkStart w:id="440" w:name="_Toc255414731"/>
      <w:bookmarkStart w:id="441" w:name="_Toc366008013"/>
      <w:r>
        <w:rPr>
          <w:rFonts w:hint="default" w:ascii="Times New Roman" w:hAnsi="Times New Roman" w:eastAsia="宋体" w:cs="Times New Roman"/>
          <w:b/>
          <w:color w:val="auto"/>
          <w:sz w:val="32"/>
          <w:szCs w:val="32"/>
        </w:rPr>
        <w:t>2项目经济效益分析</w:t>
      </w:r>
      <w:bookmarkEnd w:id="398"/>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1AC866F8">
      <w:pPr>
        <w:adjustRightInd w:val="0"/>
        <w:snapToGrid w:val="0"/>
        <w:ind w:firstLine="480" w:firstLineChars="200"/>
        <w:rPr>
          <w:rFonts w:hint="default" w:ascii="Times New Roman" w:hAnsi="Times New Roman" w:eastAsia="宋体" w:cs="Times New Roman"/>
          <w:color w:val="auto"/>
          <w:szCs w:val="24"/>
        </w:rPr>
      </w:pPr>
      <w:bookmarkStart w:id="442" w:name="_Toc255414732"/>
      <w:bookmarkStart w:id="443" w:name="_Toc197853001"/>
      <w:bookmarkStart w:id="444" w:name="_Toc224458167"/>
      <w:r>
        <w:rPr>
          <w:rFonts w:hint="default" w:ascii="Times New Roman" w:hAnsi="Times New Roman" w:eastAsia="宋体" w:cs="Times New Roman"/>
          <w:color w:val="auto"/>
          <w:szCs w:val="24"/>
        </w:rPr>
        <w:t>项目建成后，</w:t>
      </w:r>
      <w:r>
        <w:rPr>
          <w:rFonts w:hint="default" w:ascii="Times New Roman" w:hAnsi="Times New Roman" w:eastAsia="宋体" w:cs="Times New Roman"/>
          <w:color w:val="auto"/>
        </w:rPr>
        <w:t>主要为</w:t>
      </w:r>
      <w:r>
        <w:rPr>
          <w:rFonts w:hint="eastAsia" w:ascii="Times New Roman" w:hAnsi="Times New Roman" w:cs="Times New Roman"/>
          <w:color w:val="auto"/>
          <w:lang w:eastAsia="zh-CN"/>
        </w:rPr>
        <w:t>服装制造及水洗</w:t>
      </w:r>
      <w:r>
        <w:rPr>
          <w:rFonts w:hint="default" w:ascii="Times New Roman" w:hAnsi="Times New Roman" w:eastAsia="宋体" w:cs="Times New Roman"/>
          <w:color w:val="auto"/>
        </w:rPr>
        <w:t>，</w:t>
      </w:r>
      <w:r>
        <w:rPr>
          <w:rFonts w:hint="eastAsia" w:ascii="Times New Roman" w:hAnsi="Times New Roman" w:cs="Times New Roman"/>
          <w:color w:val="auto"/>
          <w:lang w:eastAsia="zh-CN"/>
        </w:rPr>
        <w:t>服装加工</w:t>
      </w:r>
      <w:r>
        <w:rPr>
          <w:rFonts w:hint="default" w:ascii="Times New Roman" w:hAnsi="Times New Roman" w:eastAsia="宋体" w:cs="Times New Roman"/>
          <w:color w:val="auto"/>
        </w:rPr>
        <w:t>量为</w:t>
      </w:r>
      <w:r>
        <w:rPr>
          <w:rFonts w:hint="eastAsia" w:ascii="Times New Roman" w:hAnsi="Times New Roman" w:cs="Times New Roman"/>
          <w:color w:val="auto"/>
          <w:lang w:val="en-US" w:eastAsia="zh-CN"/>
        </w:rPr>
        <w:t>45万件（套）</w:t>
      </w:r>
      <w:r>
        <w:rPr>
          <w:rFonts w:hint="default" w:ascii="Times New Roman" w:hAnsi="Times New Roman" w:eastAsia="宋体" w:cs="Times New Roman"/>
          <w:color w:val="auto"/>
        </w:rPr>
        <w:t>/a</w:t>
      </w:r>
      <w:r>
        <w:rPr>
          <w:rFonts w:hint="eastAsia" w:ascii="Times New Roman" w:hAnsi="Times New Roman" w:cs="Times New Roman"/>
          <w:color w:val="auto"/>
          <w:lang w:eastAsia="zh-CN"/>
        </w:rPr>
        <w:t>，</w:t>
      </w:r>
      <w:r>
        <w:rPr>
          <w:rFonts w:hint="default" w:ascii="Times New Roman" w:hAnsi="Times New Roman" w:eastAsia="宋体" w:cs="Times New Roman"/>
          <w:color w:val="auto"/>
          <w:szCs w:val="24"/>
        </w:rPr>
        <w:t>具有较好的经济效益，项目的建设可带动当地经济发展，增加当地财政税收收入。</w:t>
      </w:r>
    </w:p>
    <w:p w14:paraId="38B3A61A">
      <w:pPr>
        <w:adjustRightInd w:val="0"/>
        <w:snapToGrid w:val="0"/>
        <w:spacing w:beforeLines="50"/>
        <w:outlineLvl w:val="1"/>
        <w:rPr>
          <w:rFonts w:hint="default" w:ascii="Times New Roman" w:hAnsi="Times New Roman" w:eastAsia="宋体" w:cs="Times New Roman"/>
          <w:b/>
          <w:color w:val="auto"/>
          <w:sz w:val="32"/>
          <w:szCs w:val="32"/>
        </w:rPr>
      </w:pPr>
      <w:bookmarkStart w:id="445" w:name="_Toc269197504"/>
      <w:bookmarkStart w:id="446" w:name="_Toc366006914"/>
      <w:bookmarkStart w:id="447" w:name="_Toc367882393"/>
      <w:bookmarkStart w:id="448" w:name="_Toc29641"/>
      <w:bookmarkStart w:id="449" w:name="_Toc26590"/>
      <w:bookmarkStart w:id="450" w:name="_Toc366006651"/>
      <w:bookmarkStart w:id="451" w:name="_Toc11879"/>
      <w:bookmarkStart w:id="452" w:name="_Toc299349022"/>
      <w:bookmarkStart w:id="453" w:name="_Toc366008014"/>
      <w:bookmarkStart w:id="454" w:name="_Toc18549"/>
      <w:bookmarkStart w:id="455" w:name="_Toc363473748"/>
      <w:r>
        <w:rPr>
          <w:rFonts w:hint="default" w:ascii="Times New Roman" w:hAnsi="Times New Roman" w:eastAsia="宋体" w:cs="Times New Roman"/>
          <w:b/>
          <w:color w:val="auto"/>
          <w:sz w:val="32"/>
          <w:szCs w:val="32"/>
        </w:rPr>
        <w:t>9.3社会效益</w:t>
      </w:r>
      <w:bookmarkEnd w:id="442"/>
      <w:bookmarkEnd w:id="443"/>
      <w:bookmarkEnd w:id="444"/>
      <w:bookmarkEnd w:id="445"/>
      <w:r>
        <w:rPr>
          <w:rFonts w:hint="default" w:ascii="Times New Roman" w:hAnsi="Times New Roman" w:eastAsia="宋体" w:cs="Times New Roman"/>
          <w:b/>
          <w:color w:val="auto"/>
          <w:sz w:val="32"/>
          <w:szCs w:val="32"/>
        </w:rPr>
        <w:t>分析</w:t>
      </w:r>
      <w:bookmarkEnd w:id="446"/>
      <w:bookmarkEnd w:id="447"/>
      <w:bookmarkEnd w:id="448"/>
      <w:bookmarkEnd w:id="449"/>
      <w:bookmarkEnd w:id="450"/>
      <w:bookmarkEnd w:id="451"/>
      <w:bookmarkEnd w:id="452"/>
      <w:bookmarkEnd w:id="453"/>
      <w:bookmarkEnd w:id="454"/>
      <w:bookmarkEnd w:id="455"/>
    </w:p>
    <w:p w14:paraId="742D0FC6">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18"/>
          <w:szCs w:val="20"/>
        </w:rPr>
        <w:t>本项目建成投产后，不仅增加自身的经济效益，也能为当地群众提供一定的就业机会，增加群众劳动收入；每年还可为当地政府带来一定数额的财政收入和税收，对当地投资环境也能起到一定的改善作用，有助于当地经济的发展</w:t>
      </w:r>
      <w:r>
        <w:rPr>
          <w:rFonts w:hint="default" w:ascii="Times New Roman" w:hAnsi="Times New Roman" w:eastAsia="宋体" w:cs="Times New Roman"/>
          <w:color w:val="auto"/>
          <w:kern w:val="18"/>
          <w:szCs w:val="20"/>
          <w:lang w:eastAsia="zh-CN"/>
        </w:rPr>
        <w:t>。</w:t>
      </w:r>
      <w:r>
        <w:rPr>
          <w:rFonts w:hint="default" w:ascii="Times New Roman" w:hAnsi="Times New Roman" w:eastAsia="宋体" w:cs="Times New Roman"/>
          <w:color w:val="auto"/>
          <w:kern w:val="18"/>
          <w:szCs w:val="20"/>
        </w:rPr>
        <w:t>同时也给建设方带来新的利润增长点，增强企业的市场</w:t>
      </w:r>
      <w:r>
        <w:rPr>
          <w:rFonts w:hint="eastAsia" w:ascii="Times New Roman" w:hAnsi="Times New Roman" w:cs="Times New Roman"/>
          <w:color w:val="auto"/>
          <w:kern w:val="18"/>
          <w:szCs w:val="20"/>
          <w:lang w:eastAsia="zh-CN"/>
        </w:rPr>
        <w:t>竞争力</w:t>
      </w:r>
      <w:r>
        <w:rPr>
          <w:rFonts w:hint="default" w:ascii="Times New Roman" w:hAnsi="Times New Roman" w:eastAsia="宋体" w:cs="Times New Roman"/>
          <w:color w:val="auto"/>
          <w:kern w:val="18"/>
          <w:szCs w:val="20"/>
        </w:rPr>
        <w:t>，提高企业抗风险能力，为企业长期、稳定、持续发展奠定基础，将进一步提高企业产品的市场占有率。企业的发展将带动员工福利的进一步提高，同时可带动区域内原材料供应、物流、服务</w:t>
      </w:r>
      <w:r>
        <w:rPr>
          <w:rFonts w:hint="default" w:ascii="Times New Roman" w:hAnsi="Times New Roman" w:eastAsia="宋体" w:cs="Times New Roman"/>
          <w:color w:val="auto"/>
          <w:kern w:val="18"/>
          <w:szCs w:val="20"/>
          <w:lang w:eastAsia="zh-CN"/>
        </w:rPr>
        <w:t>等</w:t>
      </w:r>
      <w:r>
        <w:rPr>
          <w:rFonts w:hint="default" w:ascii="Times New Roman" w:hAnsi="Times New Roman" w:eastAsia="宋体" w:cs="Times New Roman"/>
          <w:color w:val="auto"/>
          <w:kern w:val="18"/>
          <w:szCs w:val="20"/>
        </w:rPr>
        <w:t>行业的多项发展，为区域经济的繁荣创造有利条件。因此，本项目具有良好的社会效益</w:t>
      </w:r>
      <w:r>
        <w:rPr>
          <w:rFonts w:hint="default" w:ascii="Times New Roman" w:hAnsi="Times New Roman" w:eastAsia="宋体" w:cs="Times New Roman"/>
          <w:color w:val="auto"/>
          <w:szCs w:val="24"/>
        </w:rPr>
        <w:t>。</w:t>
      </w:r>
    </w:p>
    <w:p w14:paraId="1D2356B9">
      <w:pPr>
        <w:adjustRightInd w:val="0"/>
        <w:snapToGrid w:val="0"/>
        <w:spacing w:beforeLines="50"/>
        <w:outlineLvl w:val="1"/>
        <w:rPr>
          <w:rFonts w:hint="default" w:ascii="Times New Roman" w:hAnsi="Times New Roman" w:eastAsia="宋体" w:cs="Times New Roman"/>
          <w:b/>
          <w:color w:val="auto"/>
          <w:sz w:val="32"/>
          <w:szCs w:val="32"/>
        </w:rPr>
      </w:pPr>
      <w:bookmarkStart w:id="456" w:name="_Toc1783"/>
      <w:bookmarkStart w:id="457" w:name="_Toc18522"/>
      <w:r>
        <w:rPr>
          <w:rFonts w:hint="default" w:ascii="Times New Roman" w:hAnsi="Times New Roman" w:eastAsia="宋体" w:cs="Times New Roman"/>
          <w:b/>
          <w:color w:val="auto"/>
          <w:sz w:val="32"/>
          <w:szCs w:val="32"/>
        </w:rPr>
        <w:t>9.4环境经济损益分析</w:t>
      </w:r>
      <w:bookmarkEnd w:id="456"/>
      <w:bookmarkEnd w:id="457"/>
    </w:p>
    <w:p w14:paraId="40562ABF">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根据工程分析，采取各项治理措施后，拟建工程的各污染物的排放浓度均能达到相关标准的要求，有效地削减了污染物的排放量。所以拟建工程的环保投资是合理的，在实现经济效益的同时，也保护了环境。</w:t>
      </w:r>
    </w:p>
    <w:p w14:paraId="2009A9A0">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（1）本项目生产车间设置排气扇，加强车间通风、换气，降低粉尘无组织排放浓度</w:t>
      </w:r>
      <w:r>
        <w:rPr>
          <w:rFonts w:hint="default" w:ascii="Times New Roman" w:hAnsi="Times New Roman" w:eastAsia="宋体" w:cs="Times New Roman"/>
          <w:color w:val="auto"/>
          <w:kern w:val="0"/>
          <w:szCs w:val="24"/>
          <w:lang w:eastAsia="zh-CN"/>
        </w:rPr>
        <w:t>，</w:t>
      </w:r>
      <w:r>
        <w:rPr>
          <w:rFonts w:hint="default" w:ascii="Times New Roman" w:hAnsi="Times New Roman" w:eastAsia="宋体" w:cs="Times New Roman"/>
          <w:color w:val="auto"/>
          <w:kern w:val="0"/>
          <w:szCs w:val="24"/>
        </w:rPr>
        <w:t>对周围环境影响较小。</w:t>
      </w:r>
    </w:p>
    <w:p w14:paraId="6321D9BE">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（3）本项目产生的废水经污水处理系统处理后</w:t>
      </w:r>
      <w:r>
        <w:rPr>
          <w:rFonts w:hint="eastAsia" w:ascii="Times New Roman" w:hAnsi="Times New Roman" w:cs="Times New Roman"/>
          <w:color w:val="auto"/>
          <w:kern w:val="0"/>
          <w:szCs w:val="24"/>
          <w:lang w:eastAsia="zh-CN"/>
        </w:rPr>
        <w:t>排至园区污水管网</w:t>
      </w:r>
      <w:r>
        <w:rPr>
          <w:rFonts w:hint="default" w:ascii="Times New Roman" w:hAnsi="Times New Roman" w:eastAsia="宋体" w:cs="Times New Roman"/>
          <w:color w:val="auto"/>
          <w:kern w:val="0"/>
          <w:szCs w:val="24"/>
        </w:rPr>
        <w:t>。</w:t>
      </w:r>
    </w:p>
    <w:p w14:paraId="0DAD8EB7">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（3）本项目噪声源经采取隔声、减振等消声、降噪处理措施后，对厂界噪声贡献值能达到相关的标准要求，生产噪声对外环境的影响将减轻。</w:t>
      </w:r>
    </w:p>
    <w:p w14:paraId="06D84C12">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（4）固废能够做到全部综合利用不外排。</w:t>
      </w:r>
    </w:p>
    <w:p w14:paraId="32EE9BE4">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kern w:val="0"/>
          <w:szCs w:val="24"/>
        </w:rPr>
        <w:t>本项目建设对局部环境的污染和破坏会产生一定的环境效益损失。在采取完善的污染防治措施，污染物的排放，可做到达标排放，防止事故发生，就能把对环境的影响降低到最小程度，从而减小环境效益的损失。</w:t>
      </w:r>
    </w:p>
    <w:p w14:paraId="000B7E9C">
      <w:pPr>
        <w:ind w:firstLine="480" w:firstLineChars="200"/>
        <w:rPr>
          <w:rFonts w:hint="default" w:ascii="Times New Roman" w:hAnsi="Times New Roman" w:eastAsia="宋体" w:cs="Times New Roman"/>
          <w:color w:val="auto"/>
          <w:sz w:val="21"/>
          <w:szCs w:val="24"/>
        </w:rPr>
      </w:pPr>
      <w:r>
        <w:rPr>
          <w:rFonts w:hint="default" w:ascii="Times New Roman" w:hAnsi="Times New Roman" w:eastAsia="宋体" w:cs="Times New Roman"/>
          <w:color w:val="auto"/>
          <w:szCs w:val="24"/>
        </w:rPr>
        <w:t>总体看来，项目的建设有显著的经济效益和社会效益，环境效益损失不大。项目在建设和实际运行过程中，应时刻将环境保护和周围环境安全作为重要工作内容，杜绝污染物非正常排放，将污染防治工作当作企业生存和发展的根本，只有这样才能实现经济、社会、环境的协调发展。</w:t>
      </w:r>
    </w:p>
    <w:p w14:paraId="513188C2">
      <w:pPr>
        <w:adjustRightInd w:val="0"/>
        <w:snapToGrid w:val="0"/>
        <w:spacing w:beforeLines="50"/>
        <w:outlineLvl w:val="1"/>
        <w:rPr>
          <w:rFonts w:hint="default" w:ascii="Times New Roman" w:hAnsi="Times New Roman" w:eastAsia="宋体" w:cs="Times New Roman"/>
          <w:b/>
          <w:color w:val="auto"/>
          <w:sz w:val="32"/>
          <w:szCs w:val="32"/>
        </w:rPr>
      </w:pPr>
      <w:bookmarkStart w:id="458" w:name="_Toc19210"/>
      <w:r>
        <w:rPr>
          <w:rFonts w:hint="default" w:ascii="Times New Roman" w:hAnsi="Times New Roman" w:eastAsia="宋体" w:cs="Times New Roman"/>
          <w:b/>
          <w:color w:val="auto"/>
          <w:sz w:val="32"/>
          <w:szCs w:val="32"/>
        </w:rPr>
        <w:t>9.5小结</w:t>
      </w:r>
      <w:bookmarkEnd w:id="458"/>
    </w:p>
    <w:p w14:paraId="0AF170A6">
      <w:pPr>
        <w:ind w:firstLine="480" w:firstLineChars="200"/>
        <w:rPr>
          <w:rFonts w:hint="default" w:ascii="Times New Roman" w:hAnsi="Times New Roman" w:eastAsia="宋体" w:cs="Times New Roman"/>
          <w:color w:val="auto"/>
          <w:sz w:val="24"/>
          <w:lang w:eastAsia="zh-CN"/>
        </w:rPr>
        <w:sectPr>
          <w:headerReference r:id="rId10" w:type="default"/>
          <w:pgSz w:w="11906" w:h="16838"/>
          <w:pgMar w:top="1440" w:right="1301" w:bottom="1402" w:left="1365" w:header="851" w:footer="992" w:gutter="0"/>
          <w:pgNumType w:fmt="decimal"/>
          <w:cols w:space="425" w:num="1"/>
          <w:docGrid w:type="lines" w:linePitch="312" w:charSpace="0"/>
        </w:sectPr>
      </w:pPr>
      <w:r>
        <w:rPr>
          <w:rFonts w:hint="default" w:ascii="Times New Roman" w:hAnsi="Times New Roman" w:eastAsia="宋体" w:cs="Times New Roman"/>
          <w:color w:val="auto"/>
          <w:szCs w:val="24"/>
        </w:rPr>
        <w:t>项目总投资</w:t>
      </w:r>
      <w:r>
        <w:rPr>
          <w:rFonts w:hint="eastAsia" w:ascii="Times New Roman" w:hAnsi="Times New Roman" w:cs="Times New Roman"/>
          <w:color w:val="auto"/>
          <w:szCs w:val="24"/>
          <w:lang w:val="en-US" w:eastAsia="zh-CN"/>
        </w:rPr>
        <w:t>1200</w:t>
      </w:r>
      <w:r>
        <w:rPr>
          <w:rFonts w:hint="default" w:ascii="Times New Roman" w:hAnsi="Times New Roman" w:eastAsia="宋体" w:cs="Times New Roman"/>
          <w:color w:val="auto"/>
          <w:szCs w:val="24"/>
          <w:lang w:val="en-US" w:eastAsia="zh-CN"/>
        </w:rPr>
        <w:t>万元</w:t>
      </w:r>
      <w:r>
        <w:rPr>
          <w:rFonts w:hint="default" w:ascii="Times New Roman" w:hAnsi="Times New Roman" w:eastAsia="宋体" w:cs="Times New Roman"/>
          <w:color w:val="auto"/>
          <w:szCs w:val="24"/>
        </w:rPr>
        <w:t>，其中环保投资</w:t>
      </w:r>
      <w:r>
        <w:rPr>
          <w:rFonts w:hint="eastAsia" w:ascii="Times New Roman" w:hAnsi="Times New Roman" w:cs="Times New Roman"/>
          <w:color w:val="auto"/>
          <w:szCs w:val="24"/>
          <w:lang w:val="en-US" w:eastAsia="zh-CN"/>
        </w:rPr>
        <w:t>57</w:t>
      </w:r>
      <w:r>
        <w:rPr>
          <w:rFonts w:hint="default" w:ascii="Times New Roman" w:hAnsi="Times New Roman" w:eastAsia="宋体" w:cs="Times New Roman"/>
          <w:color w:val="auto"/>
          <w:szCs w:val="24"/>
        </w:rPr>
        <w:t>万元，主要用于项目产生的废水、噪声、废气治理，占总投资额的</w:t>
      </w:r>
      <w:r>
        <w:rPr>
          <w:rFonts w:hint="eastAsia" w:ascii="Times New Roman" w:hAnsi="Times New Roman" w:cs="Times New Roman"/>
          <w:color w:val="auto"/>
          <w:szCs w:val="24"/>
          <w:lang w:val="en-US" w:eastAsia="zh-CN"/>
        </w:rPr>
        <w:t>4.75</w:t>
      </w:r>
      <w:r>
        <w:rPr>
          <w:rFonts w:hint="default" w:ascii="Times New Roman" w:hAnsi="Times New Roman" w:eastAsia="宋体" w:cs="Times New Roman"/>
          <w:color w:val="auto"/>
          <w:szCs w:val="24"/>
        </w:rPr>
        <w:t>%。总体看来，项目的建设有显著的经济效益和社会效益，环境效益损失不大。项目在建设和实际运行过程中，应时刻将环境保护和周围环境安全作为重要工作内容，杜绝污染物非正常排放，将污染防治工作当作企业生存和发展的根本，只有这样才能实现经济、社会、环境的协调发展</w:t>
      </w:r>
      <w:r>
        <w:rPr>
          <w:rFonts w:hint="eastAsia" w:ascii="Times New Roman" w:hAnsi="Times New Roman" w:cs="Times New Roman"/>
          <w:color w:val="auto"/>
          <w:sz w:val="24"/>
          <w:lang w:eastAsia="zh-CN"/>
        </w:rPr>
        <w:t>。</w:t>
      </w:r>
    </w:p>
    <w:p w14:paraId="4079A880">
      <w:pPr>
        <w:keepLines/>
        <w:pageBreakBefore/>
        <w:widowControl/>
        <w:spacing w:beforeLines="50"/>
        <w:jc w:val="center"/>
        <w:outlineLvl w:val="0"/>
        <w:rPr>
          <w:rFonts w:hint="default" w:ascii="Times New Roman" w:hAnsi="Times New Roman" w:eastAsia="宋体" w:cs="Times New Roman"/>
          <w:b/>
          <w:bCs/>
          <w:color w:val="auto"/>
          <w:kern w:val="44"/>
          <w:sz w:val="32"/>
          <w:szCs w:val="32"/>
        </w:rPr>
      </w:pPr>
      <w:bookmarkStart w:id="459" w:name="_Toc343975078"/>
      <w:bookmarkStart w:id="460" w:name="_Toc330278136"/>
      <w:bookmarkStart w:id="461" w:name="_Toc330277716"/>
      <w:bookmarkStart w:id="462" w:name="_Toc302943910"/>
      <w:bookmarkStart w:id="463" w:name="_Toc468694429"/>
      <w:bookmarkStart w:id="464" w:name="_Toc306054987"/>
      <w:bookmarkStart w:id="465" w:name="_Toc9073"/>
      <w:bookmarkStart w:id="466" w:name="_Toc32016"/>
      <w:r>
        <w:rPr>
          <w:rFonts w:hint="default" w:ascii="Times New Roman" w:hAnsi="Times New Roman" w:eastAsia="宋体" w:cs="Times New Roman"/>
          <w:b/>
          <w:bCs/>
          <w:color w:val="auto"/>
          <w:kern w:val="44"/>
          <w:sz w:val="32"/>
          <w:szCs w:val="32"/>
        </w:rPr>
        <w:t>10、环境管理、环境监理及监测</w:t>
      </w:r>
      <w:bookmarkEnd w:id="459"/>
      <w:bookmarkEnd w:id="460"/>
      <w:bookmarkEnd w:id="461"/>
      <w:bookmarkEnd w:id="462"/>
      <w:bookmarkEnd w:id="463"/>
      <w:bookmarkEnd w:id="464"/>
      <w:bookmarkEnd w:id="465"/>
      <w:r>
        <w:rPr>
          <w:rFonts w:hint="default" w:ascii="Times New Roman" w:hAnsi="Times New Roman" w:eastAsia="宋体" w:cs="Times New Roman"/>
          <w:b/>
          <w:bCs/>
          <w:color w:val="auto"/>
          <w:kern w:val="44"/>
          <w:sz w:val="32"/>
          <w:szCs w:val="32"/>
        </w:rPr>
        <w:t>计划</w:t>
      </w:r>
      <w:bookmarkEnd w:id="466"/>
      <w:r>
        <w:rPr>
          <w:rFonts w:hint="default" w:ascii="Times New Roman" w:hAnsi="Times New Roman" w:eastAsia="宋体" w:cs="Times New Roman"/>
          <w:b/>
          <w:bCs/>
          <w:color w:val="auto"/>
          <w:kern w:val="44"/>
          <w:sz w:val="32"/>
          <w:szCs w:val="32"/>
        </w:rPr>
        <w:t xml:space="preserve">  </w:t>
      </w:r>
    </w:p>
    <w:p w14:paraId="04419D4C">
      <w:pPr>
        <w:keepNext/>
        <w:keepLines/>
        <w:spacing w:beforeLines="50"/>
        <w:outlineLvl w:val="1"/>
        <w:rPr>
          <w:rFonts w:hint="default" w:ascii="Times New Roman" w:hAnsi="Times New Roman" w:eastAsia="宋体" w:cs="Times New Roman"/>
          <w:b/>
          <w:bCs/>
          <w:color w:val="auto"/>
          <w:sz w:val="30"/>
          <w:szCs w:val="30"/>
        </w:rPr>
      </w:pPr>
      <w:bookmarkStart w:id="467" w:name="_Toc306054988"/>
      <w:bookmarkStart w:id="468" w:name="_Toc343975079"/>
      <w:bookmarkStart w:id="469" w:name="_Toc173662178"/>
      <w:bookmarkStart w:id="470" w:name="_Toc330277717"/>
      <w:bookmarkStart w:id="471" w:name="_Toc246055849"/>
      <w:bookmarkStart w:id="472" w:name="_Toc330278137"/>
      <w:bookmarkStart w:id="473" w:name="_Toc468694430"/>
      <w:bookmarkStart w:id="474" w:name="_Toc12514"/>
      <w:bookmarkStart w:id="475" w:name="_Toc302943911"/>
      <w:bookmarkStart w:id="476" w:name="_Toc13616"/>
      <w:r>
        <w:rPr>
          <w:rFonts w:hint="default" w:ascii="Times New Roman" w:hAnsi="Times New Roman" w:eastAsia="宋体" w:cs="Times New Roman"/>
          <w:b/>
          <w:bCs/>
          <w:color w:val="auto"/>
          <w:sz w:val="30"/>
          <w:szCs w:val="30"/>
        </w:rPr>
        <w:t>10.1</w:t>
      </w:r>
      <w:bookmarkEnd w:id="467"/>
      <w:bookmarkEnd w:id="468"/>
      <w:bookmarkEnd w:id="469"/>
      <w:bookmarkEnd w:id="470"/>
      <w:bookmarkEnd w:id="471"/>
      <w:bookmarkEnd w:id="472"/>
      <w:bookmarkEnd w:id="473"/>
      <w:bookmarkEnd w:id="474"/>
      <w:bookmarkEnd w:id="475"/>
      <w:r>
        <w:rPr>
          <w:rFonts w:hint="default" w:ascii="Times New Roman" w:hAnsi="Times New Roman" w:eastAsia="宋体" w:cs="Times New Roman"/>
          <w:b/>
          <w:bCs/>
          <w:color w:val="auto"/>
          <w:sz w:val="30"/>
          <w:szCs w:val="30"/>
        </w:rPr>
        <w:t>环境管理</w:t>
      </w:r>
      <w:bookmarkEnd w:id="476"/>
    </w:p>
    <w:p w14:paraId="4B713A8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设项目的环境管理是指项目在施工期和运营期执行和遵守国家、省和项目所在地（州）、县的有关环境保护法规、法律与环境标准，按管理权限接受地方环境保护主管部门的监督，制定和调整环境保护目标和计划，协调有关部门的关系以及一切同改善环境有关的管理活动。其目的是在整个建设期及运营期，严格执行国家和地方的有关环境保护的法律法规，监督和检查项目建设和运营过程中环保措施的落实，通过现代化管理提高项目的社会效益和环境效益。</w:t>
      </w:r>
    </w:p>
    <w:p w14:paraId="7507371B">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rPr>
        <w:t>为了减轻污染、保护环境，必然要求企业有一套完善的环境保护管理体系，将环境管理和环境监控纳入日常生产管理中，在搞好生产的同时，确保各种污染治理措施的正常运行和污染物的达标排放，以期实现经济效益、社会效益和环境效益的统一。</w:t>
      </w:r>
    </w:p>
    <w:p w14:paraId="46DF8C3C">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477" w:name="_Toc299349040"/>
      <w:bookmarkStart w:id="478" w:name="_Toc525806612"/>
      <w:bookmarkStart w:id="479" w:name="_Toc335040577"/>
      <w:bookmarkStart w:id="480" w:name="_Toc10777"/>
      <w:bookmarkStart w:id="481" w:name="_Toc2952"/>
      <w:bookmarkStart w:id="482" w:name="_Toc32745"/>
      <w:bookmarkStart w:id="483" w:name="_Toc1696"/>
      <w:bookmarkStart w:id="484" w:name="_Toc18263"/>
      <w:bookmarkStart w:id="485" w:name="_Toc23213"/>
      <w:bookmarkStart w:id="486" w:name="_Toc2693243"/>
      <w:bookmarkStart w:id="487" w:name="_Toc26929"/>
      <w:bookmarkStart w:id="488" w:name="_Toc12404"/>
      <w:r>
        <w:rPr>
          <w:rFonts w:hint="default" w:ascii="Times New Roman" w:hAnsi="Times New Roman" w:eastAsia="宋体" w:cs="Times New Roman"/>
          <w:color w:val="auto"/>
          <w:sz w:val="28"/>
          <w:szCs w:val="28"/>
        </w:rPr>
        <w:t>10.1.1</w:t>
      </w:r>
      <w:bookmarkEnd w:id="477"/>
      <w:bookmarkEnd w:id="478"/>
      <w:bookmarkEnd w:id="479"/>
      <w:r>
        <w:rPr>
          <w:rFonts w:hint="default" w:ascii="Times New Roman" w:hAnsi="Times New Roman" w:eastAsia="宋体" w:cs="Times New Roman"/>
          <w:color w:val="auto"/>
          <w:sz w:val="28"/>
          <w:szCs w:val="28"/>
        </w:rPr>
        <w:t>工程环境监控目标</w:t>
      </w:r>
      <w:bookmarkEnd w:id="480"/>
      <w:bookmarkEnd w:id="481"/>
      <w:bookmarkEnd w:id="482"/>
      <w:bookmarkEnd w:id="483"/>
      <w:bookmarkEnd w:id="484"/>
      <w:bookmarkEnd w:id="485"/>
      <w:bookmarkEnd w:id="486"/>
      <w:bookmarkEnd w:id="487"/>
      <w:bookmarkEnd w:id="488"/>
    </w:p>
    <w:p w14:paraId="4EA6E17F">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建议该项目实施如下环境目标：</w:t>
      </w:r>
    </w:p>
    <w:p w14:paraId="455A81C8">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（1）确保所有污染物均100%达标排放。</w:t>
      </w:r>
    </w:p>
    <w:p w14:paraId="0AA66BEA">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（2）固废收集率达到100%，并加以综合利用。</w:t>
      </w:r>
    </w:p>
    <w:p w14:paraId="3FD75570">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建议实施如下环境管理方案：</w:t>
      </w:r>
    </w:p>
    <w:p w14:paraId="6DDC57B1">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（1）建立管理手册、程序文件、作业文件。备齐污水处理、固体废物、节水、节电、绿化、化学品、除尘等一系列作业指导书。</w:t>
      </w:r>
    </w:p>
    <w:p w14:paraId="35B22DC5">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（2）建立资料档案库。收集完整的废水、废气监测数据资料档案（包括内部监测统计资料和环保检查监督资料）。收集完整的环保档案（包括环评报告书、验收报告、环保部门批复等）。</w:t>
      </w:r>
    </w:p>
    <w:p w14:paraId="68BCC152">
      <w:pPr>
        <w:pStyle w:val="11"/>
        <w:adjustRightInd w:val="0"/>
        <w:snapToGrid w:val="0"/>
        <w:spacing w:before="0" w:after="0" w:line="360" w:lineRule="auto"/>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10.1.2环境保护管理机构的设置</w:t>
      </w:r>
    </w:p>
    <w:p w14:paraId="3144D0E9">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项目环境管理工作由工程建设单位（业主）负责；工程施工单位按照建设单位要求实施环保措施；工程设计单位提供技术咨询。</w:t>
      </w:r>
    </w:p>
    <w:p w14:paraId="32CA2258">
      <w:pPr>
        <w:pStyle w:val="1243"/>
        <w:numPr>
          <w:ilvl w:val="0"/>
          <w:numId w:val="11"/>
        </w:numPr>
        <w:adjustRightInd w:val="0"/>
        <w:snapToGrid w:val="0"/>
        <w:spacing w:line="360" w:lineRule="auto"/>
        <w:ind w:firstLine="420"/>
        <w:rPr>
          <w:rFonts w:hint="default" w:ascii="Times New Roman" w:hAnsi="Times New Roman" w:eastAsia="宋体" w:cs="Times New Roman"/>
          <w:color w:val="auto"/>
        </w:rPr>
      </w:pPr>
      <w:r>
        <w:rPr>
          <w:rFonts w:hint="default" w:ascii="Times New Roman" w:hAnsi="Times New Roman" w:eastAsia="宋体" w:cs="Times New Roman"/>
          <w:color w:val="auto"/>
        </w:rPr>
        <w:t>工程建设单位</w:t>
      </w:r>
    </w:p>
    <w:p w14:paraId="4E95759D">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具体负责从项目施工至投产运行后的一系列有关环保管理工作，落实环境保护工作经费，对施工期和运行期环保工作进行管理和监督，并负责与政府环保主管部门联系和协调落实环境管理事宜，接受环保主管部门的指导和监督。具体工作内容如下：</w:t>
      </w:r>
    </w:p>
    <w:p w14:paraId="28C94A52">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——施工期</w:t>
      </w:r>
    </w:p>
    <w:p w14:paraId="29079657">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工程环保设计内容和招标内容的审核；委托工程设计单位编制《工程施工环保手册》，对工程监理单位有关监理工程师进行环境保护工程监理培训；制定年度环境保护工作计划；环境保护工作经费的审核和安排；监督承包商的环境保护对策措施执行情况；安排环境监测工作；其他事务。</w:t>
      </w:r>
    </w:p>
    <w:p w14:paraId="2722276E">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——运行期</w:t>
      </w:r>
    </w:p>
    <w:p w14:paraId="76BAD6B6">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制定年度环境保护工作计划；落实环境保护工作经费；同环境主管部门协调安排环境监测工作；成立环境保护专职或兼职机构，代表项目建设单位行使环境管理的有关职能。</w:t>
      </w:r>
    </w:p>
    <w:p w14:paraId="29985356">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（2）工程施工单位</w:t>
      </w:r>
    </w:p>
    <w:p w14:paraId="3B651BA3">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设置环保兼职机构，负责实施环保对策和措施，接受工程建设单位和工程监理单位的监督和管理。主要工作内容：</w:t>
      </w:r>
    </w:p>
    <w:p w14:paraId="05A66FE7">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制定环境保护工作计划；实施工程环保措施，处理实施过程中的有关问题；核算环保费用使用情况；检查环保设施的建设进度、质量、运行状况；处理日常事务。</w:t>
      </w:r>
    </w:p>
    <w:p w14:paraId="76E5B3C6">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（3）工程设计单位</w:t>
      </w:r>
    </w:p>
    <w:p w14:paraId="010F4522">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负责解释工程可行性研究设计报告中有关环境保护措施规划设计文件。在工程施工阶段和运行阶段，工程设计单位可为建设单位和施工单位提供技术咨询。</w:t>
      </w:r>
    </w:p>
    <w:p w14:paraId="39F4E1B1">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（4）工程监理单位</w:t>
      </w:r>
    </w:p>
    <w:p w14:paraId="2D6EF2AA">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rPr>
        <w:t>受业主单位委托，对工程施工质量进行现场监理。其中应有专职或兼职监理工程师负责对施工单位环境保护措施实施情况进行现场监理，配合建设单位做好工程的环境保护管理工作。</w:t>
      </w:r>
    </w:p>
    <w:p w14:paraId="30AD6722">
      <w:pPr>
        <w:adjustRightInd w:val="0"/>
        <w:snapToGrid w:val="0"/>
        <w:spacing w:beforeLines="50"/>
        <w:outlineLvl w:val="1"/>
        <w:rPr>
          <w:rFonts w:hint="default" w:ascii="Times New Roman" w:hAnsi="Times New Roman" w:eastAsia="宋体" w:cs="Times New Roman"/>
          <w:b/>
          <w:color w:val="auto"/>
          <w:sz w:val="32"/>
          <w:szCs w:val="32"/>
        </w:rPr>
      </w:pPr>
      <w:bookmarkStart w:id="489" w:name="_Toc27879"/>
      <w:bookmarkStart w:id="490" w:name="_Toc2693245"/>
      <w:r>
        <w:rPr>
          <w:rFonts w:hint="default" w:ascii="Times New Roman" w:hAnsi="Times New Roman" w:eastAsia="宋体" w:cs="Times New Roman"/>
          <w:b/>
          <w:color w:val="auto"/>
          <w:sz w:val="32"/>
          <w:szCs w:val="32"/>
        </w:rPr>
        <w:t>10.2环境监理计划</w:t>
      </w:r>
      <w:bookmarkEnd w:id="489"/>
      <w:bookmarkEnd w:id="490"/>
    </w:p>
    <w:p w14:paraId="48648CE3">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491" w:name="_Toc6343"/>
      <w:bookmarkStart w:id="492" w:name="_Toc124"/>
      <w:bookmarkStart w:id="493" w:name="_Toc29608"/>
      <w:bookmarkStart w:id="494" w:name="_Toc9987"/>
      <w:bookmarkStart w:id="495" w:name="_Toc21214"/>
      <w:bookmarkStart w:id="496" w:name="_Toc27642"/>
      <w:bookmarkStart w:id="497" w:name="_Toc11626"/>
      <w:bookmarkStart w:id="498" w:name="_Toc25101"/>
      <w:bookmarkStart w:id="499" w:name="_Toc2693246"/>
      <w:r>
        <w:rPr>
          <w:rFonts w:hint="default" w:ascii="Times New Roman" w:hAnsi="Times New Roman" w:eastAsia="宋体" w:cs="Times New Roman"/>
          <w:color w:val="auto"/>
          <w:sz w:val="28"/>
          <w:szCs w:val="28"/>
        </w:rPr>
        <w:t>10.2.1环境监理范围</w:t>
      </w:r>
      <w:bookmarkEnd w:id="491"/>
      <w:bookmarkEnd w:id="492"/>
      <w:bookmarkEnd w:id="493"/>
      <w:bookmarkEnd w:id="494"/>
      <w:bookmarkEnd w:id="495"/>
      <w:bookmarkEnd w:id="496"/>
      <w:bookmarkEnd w:id="497"/>
      <w:bookmarkEnd w:id="498"/>
      <w:bookmarkEnd w:id="499"/>
    </w:p>
    <w:p w14:paraId="2A13EF08">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环境监理范围：工程所在区域与工程影响区域。</w:t>
      </w:r>
    </w:p>
    <w:p w14:paraId="250B0049">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工作范围：施工现场、施工道路等以及上述范围内生产施工对周边造成环境污染和生态破坏的区域；工程运营造成环境影响所采取环保措施的区域。</w:t>
      </w:r>
    </w:p>
    <w:p w14:paraId="6D6118F1">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工作阶段：施工准备阶段环境监理；施工阶段环境监理；工程保修阶段（交工及缺陷责任期）环境监理。</w:t>
      </w:r>
    </w:p>
    <w:p w14:paraId="4F13C8D1">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500" w:name="_Toc1774"/>
      <w:bookmarkStart w:id="501" w:name="_Toc3504"/>
      <w:bookmarkStart w:id="502" w:name="_Toc2693247"/>
      <w:bookmarkStart w:id="503" w:name="_Toc10715"/>
      <w:bookmarkStart w:id="504" w:name="_Toc25732"/>
      <w:bookmarkStart w:id="505" w:name="_Toc6097"/>
      <w:bookmarkStart w:id="506" w:name="_Toc8603"/>
      <w:bookmarkStart w:id="507" w:name="_Toc11305"/>
      <w:bookmarkStart w:id="508" w:name="_Toc16941"/>
      <w:r>
        <w:rPr>
          <w:rFonts w:hint="default" w:ascii="Times New Roman" w:hAnsi="Times New Roman" w:eastAsia="宋体" w:cs="Times New Roman"/>
          <w:color w:val="auto"/>
          <w:sz w:val="28"/>
          <w:szCs w:val="28"/>
        </w:rPr>
        <w:t>10.2.2环境监理一般程序</w:t>
      </w:r>
      <w:bookmarkEnd w:id="500"/>
      <w:bookmarkEnd w:id="501"/>
      <w:bookmarkEnd w:id="502"/>
      <w:bookmarkEnd w:id="503"/>
      <w:bookmarkEnd w:id="504"/>
      <w:bookmarkEnd w:id="505"/>
      <w:bookmarkEnd w:id="506"/>
      <w:bookmarkEnd w:id="507"/>
      <w:bookmarkEnd w:id="508"/>
    </w:p>
    <w:p w14:paraId="0FCAF429">
      <w:pPr>
        <w:pStyle w:val="1243"/>
        <w:adjustRightInd w:val="0"/>
        <w:snapToGri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（1）编制工程施工期环境监理计划；</w:t>
      </w:r>
    </w:p>
    <w:p w14:paraId="070BF814">
      <w:pPr>
        <w:pStyle w:val="1243"/>
        <w:adjustRightInd w:val="0"/>
        <w:snapToGri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（2）按工程建设进度、各项环保措施编制环境监理细则；</w:t>
      </w:r>
    </w:p>
    <w:p w14:paraId="53446F62">
      <w:pPr>
        <w:pStyle w:val="1243"/>
        <w:adjustRightInd w:val="0"/>
        <w:snapToGri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（3）按照环境监理细则进行施工期环境监理；</w:t>
      </w:r>
    </w:p>
    <w:p w14:paraId="3AA42C32">
      <w:pPr>
        <w:pStyle w:val="1243"/>
        <w:adjustRightInd w:val="0"/>
        <w:snapToGri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（4）参与工程环保验收，签署环境监理意见；</w:t>
      </w:r>
    </w:p>
    <w:p w14:paraId="4BF537C0">
      <w:pPr>
        <w:pStyle w:val="1243"/>
        <w:adjustRightInd w:val="0"/>
        <w:snapToGri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（5）监理项目完成后，向项目法人提交监理档案资料。</w:t>
      </w:r>
    </w:p>
    <w:p w14:paraId="0D06C5AE">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509" w:name="_Toc14012"/>
      <w:bookmarkStart w:id="510" w:name="_Toc20257"/>
      <w:bookmarkStart w:id="511" w:name="_Toc9643"/>
      <w:bookmarkStart w:id="512" w:name="_Toc10991"/>
      <w:bookmarkStart w:id="513" w:name="_Toc2693248"/>
      <w:bookmarkStart w:id="514" w:name="_Toc14866"/>
      <w:bookmarkStart w:id="515" w:name="_Toc13747"/>
      <w:bookmarkStart w:id="516" w:name="_Toc12266"/>
      <w:bookmarkStart w:id="517" w:name="_Toc30012"/>
      <w:r>
        <w:rPr>
          <w:rFonts w:hint="default" w:ascii="Times New Roman" w:hAnsi="Times New Roman" w:eastAsia="宋体" w:cs="Times New Roman"/>
          <w:color w:val="auto"/>
          <w:sz w:val="28"/>
          <w:szCs w:val="28"/>
        </w:rPr>
        <w:t>10.2.3环境监理具体工作方法</w:t>
      </w:r>
      <w:bookmarkEnd w:id="509"/>
      <w:bookmarkEnd w:id="510"/>
      <w:bookmarkEnd w:id="511"/>
      <w:bookmarkEnd w:id="512"/>
      <w:bookmarkEnd w:id="513"/>
      <w:bookmarkEnd w:id="514"/>
      <w:bookmarkEnd w:id="515"/>
      <w:bookmarkEnd w:id="516"/>
      <w:bookmarkEnd w:id="517"/>
    </w:p>
    <w:p w14:paraId="08AFC744">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审查工程初步设计、施工图设计中环境保护措施是否正确落实了经批准的环境影响报告书提出的环境保护措施；</w:t>
      </w:r>
    </w:p>
    <w:p w14:paraId="2BB2DA60">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协助建设单位组织工程施工、设计、管理人员的环境保护培训；</w:t>
      </w:r>
    </w:p>
    <w:p w14:paraId="50BA7121">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审核招标文件、工程合同有关环境保护条款；</w:t>
      </w:r>
    </w:p>
    <w:p w14:paraId="5399B71D">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对施工工程中保护生态、水、</w:t>
      </w:r>
      <w:r>
        <w:rPr>
          <w:rFonts w:hint="default" w:ascii="Times New Roman" w:hAnsi="Times New Roman" w:eastAsia="宋体" w:cs="Times New Roman"/>
          <w:color w:val="auto"/>
          <w:lang w:eastAsia="zh-CN"/>
        </w:rPr>
        <w:t>大</w:t>
      </w:r>
      <w:r>
        <w:rPr>
          <w:rFonts w:hint="default" w:ascii="Times New Roman" w:hAnsi="Times New Roman" w:eastAsia="宋体" w:cs="Times New Roman"/>
          <w:color w:val="auto"/>
        </w:rPr>
        <w:t>气、声环境，减少工程环境影响的措施，环境保护工程施工质量进行监理，并按照标准进行阶段验收和签字；</w:t>
      </w:r>
    </w:p>
    <w:p w14:paraId="135A2ABE">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系统记录工程施工环境影响，环境保护措施效果，环境保护工程施工质量；</w:t>
      </w:r>
    </w:p>
    <w:p w14:paraId="75A31611">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及时向环境监理领导小组反映有关环境保护设计和施工的意外问题，并提出解决建议；</w:t>
      </w:r>
    </w:p>
    <w:p w14:paraId="49D27ADC">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负责起草工程环境监理工作计划和总结。</w:t>
      </w:r>
    </w:p>
    <w:p w14:paraId="22FFDF8C">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518" w:name="_Toc13928"/>
      <w:bookmarkStart w:id="519" w:name="_Toc2693249"/>
      <w:bookmarkStart w:id="520" w:name="_Toc4954"/>
      <w:bookmarkStart w:id="521" w:name="_Toc3508"/>
      <w:bookmarkStart w:id="522" w:name="_Toc8187"/>
      <w:bookmarkStart w:id="523" w:name="_Toc7848"/>
      <w:bookmarkStart w:id="524" w:name="_Toc18122"/>
      <w:bookmarkStart w:id="525" w:name="_Toc17836"/>
      <w:bookmarkStart w:id="526" w:name="_Toc10985"/>
      <w:r>
        <w:rPr>
          <w:rFonts w:hint="default" w:ascii="Times New Roman" w:hAnsi="Times New Roman" w:eastAsia="宋体" w:cs="Times New Roman"/>
          <w:color w:val="auto"/>
          <w:sz w:val="28"/>
          <w:szCs w:val="28"/>
        </w:rPr>
        <w:t>10.2.4环境监理工作制度</w:t>
      </w:r>
      <w:bookmarkEnd w:id="518"/>
      <w:bookmarkEnd w:id="519"/>
      <w:bookmarkEnd w:id="520"/>
      <w:bookmarkEnd w:id="521"/>
      <w:bookmarkEnd w:id="522"/>
      <w:bookmarkEnd w:id="523"/>
      <w:bookmarkEnd w:id="524"/>
      <w:bookmarkEnd w:id="525"/>
      <w:bookmarkEnd w:id="526"/>
    </w:p>
    <w:p w14:paraId="5579C2C2">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环境监理应建立工作制度，包括：工作记录、人员培训、报告、函件来往、例会等制度。</w:t>
      </w:r>
    </w:p>
    <w:p w14:paraId="4CA97077">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527" w:name="_Toc29949"/>
      <w:bookmarkStart w:id="528" w:name="_Toc12116"/>
      <w:bookmarkStart w:id="529" w:name="_Toc2693250"/>
      <w:bookmarkStart w:id="530" w:name="_Toc11221"/>
      <w:bookmarkStart w:id="531" w:name="_Toc31067"/>
      <w:bookmarkStart w:id="532" w:name="_Toc18840"/>
      <w:bookmarkStart w:id="533" w:name="_Toc15029"/>
      <w:bookmarkStart w:id="534" w:name="_Toc16172"/>
      <w:bookmarkStart w:id="535" w:name="_Toc14014"/>
      <w:r>
        <w:rPr>
          <w:rFonts w:hint="default" w:ascii="Times New Roman" w:hAnsi="Times New Roman" w:eastAsia="宋体" w:cs="Times New Roman"/>
          <w:color w:val="auto"/>
          <w:sz w:val="28"/>
          <w:szCs w:val="28"/>
        </w:rPr>
        <w:t>10.2.5环境监理机构</w:t>
      </w:r>
      <w:bookmarkEnd w:id="527"/>
      <w:bookmarkEnd w:id="528"/>
      <w:bookmarkEnd w:id="529"/>
      <w:bookmarkEnd w:id="530"/>
      <w:bookmarkEnd w:id="531"/>
      <w:bookmarkEnd w:id="532"/>
      <w:bookmarkEnd w:id="533"/>
      <w:bookmarkEnd w:id="534"/>
      <w:bookmarkEnd w:id="535"/>
    </w:p>
    <w:p w14:paraId="3076D7C1">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施工期的环境监理由项目建设方委托具有工程监理资质并经环境保护业务培训的单位，对设计文件中环境保护措施的实施情况进行工程环境监理。为保证监理计划的执行，建设单位应在施工前与监理单位签订建设期的环境监理合同。</w:t>
      </w:r>
    </w:p>
    <w:p w14:paraId="5858B2C0">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536" w:name="_Toc18932"/>
      <w:bookmarkStart w:id="537" w:name="_Toc10695"/>
      <w:bookmarkStart w:id="538" w:name="_Toc25950"/>
      <w:bookmarkStart w:id="539" w:name="_Toc2693251"/>
      <w:bookmarkStart w:id="540" w:name="_Toc4563"/>
      <w:bookmarkStart w:id="541" w:name="_Toc32095"/>
      <w:bookmarkStart w:id="542" w:name="_Toc27674"/>
      <w:bookmarkStart w:id="543" w:name="_Toc22703"/>
      <w:bookmarkStart w:id="544" w:name="_Toc9441"/>
      <w:r>
        <w:rPr>
          <w:rFonts w:hint="default" w:ascii="Times New Roman" w:hAnsi="Times New Roman" w:eastAsia="宋体" w:cs="Times New Roman"/>
          <w:color w:val="auto"/>
          <w:sz w:val="28"/>
          <w:szCs w:val="28"/>
        </w:rPr>
        <w:t>10.2.6环境监理技术要点</w:t>
      </w:r>
      <w:bookmarkEnd w:id="536"/>
      <w:bookmarkEnd w:id="537"/>
      <w:bookmarkEnd w:id="538"/>
      <w:bookmarkEnd w:id="539"/>
      <w:bookmarkEnd w:id="540"/>
      <w:bookmarkEnd w:id="541"/>
      <w:bookmarkEnd w:id="542"/>
      <w:bookmarkEnd w:id="543"/>
      <w:bookmarkEnd w:id="544"/>
    </w:p>
    <w:p w14:paraId="265E43F9">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环境监理单位应收集该建设项目的有关资料，包括项目的基本情况，环境影响评价书，环境保护设计，施工企业的设备、生产方式、管理，施工现场的环境情况，施工过程的排污规律，防治措施等。</w:t>
      </w:r>
    </w:p>
    <w:p w14:paraId="20BE4CA0">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项目及施工方法制定施工期环境监理计划。按施工的进度计划及排污行为，确定不同时间检查的重点项目和检查方式、方法。监理的技术要点是：施工初期主要检查对地下水保护措施等；中期主要检查施工噪声、污水排放等；后期检查环保配套设施情况等。</w:t>
      </w:r>
    </w:p>
    <w:p w14:paraId="20176212">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（1）施工噪声检查</w:t>
      </w:r>
    </w:p>
    <w:p w14:paraId="422F30EC">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高噪声施工机械运行应尽量避免在中午、夜间时间运行。应检查施工单位的噪声监测记录，发现问题应及时通知施工单位整改。</w:t>
      </w:r>
    </w:p>
    <w:p w14:paraId="0A469C5A">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（2）大气污染控制检查</w:t>
      </w:r>
    </w:p>
    <w:p w14:paraId="7C7EB856">
      <w:pPr>
        <w:pStyle w:val="1243"/>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施工扬尘主要有交通扬尘、工地扬尘、堆放扬尘等。要求施工单位设置防扬尘的设备，如库房堆放、包装堆放，并及时洒水喷淋等。在粉状货物运输的过程中，凡有货物跌落的地方要有防尘的措施。</w:t>
      </w:r>
    </w:p>
    <w:p w14:paraId="499FB5E4">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（3）项目运营后必须对项目工艺产污环节进行定期的监测，确保污染物长期、稳定地达标排放。监理计划见表10.2-1。</w:t>
      </w:r>
    </w:p>
    <w:p w14:paraId="11D3DEE0">
      <w:pPr>
        <w:adjustRightInd w:val="0"/>
        <w:snapToGrid w:val="0"/>
        <w:ind w:firstLine="482" w:firstLineChars="20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表10.2-1 监理计划表</w:t>
      </w:r>
    </w:p>
    <w:tbl>
      <w:tblPr>
        <w:tblStyle w:val="66"/>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250"/>
        <w:gridCol w:w="3242"/>
        <w:gridCol w:w="1365"/>
        <w:gridCol w:w="1558"/>
      </w:tblGrid>
      <w:tr w14:paraId="5B24B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55" w:type="dxa"/>
            <w:gridSpan w:val="2"/>
            <w:tcBorders>
              <w:top w:val="single" w:color="auto" w:sz="4" w:space="0"/>
              <w:left w:val="single" w:color="auto" w:sz="4" w:space="0"/>
              <w:bottom w:val="single" w:color="auto" w:sz="4" w:space="0"/>
              <w:right w:val="single" w:color="auto" w:sz="4" w:space="0"/>
            </w:tcBorders>
            <w:vAlign w:val="center"/>
          </w:tcPr>
          <w:p w14:paraId="404DA347">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环境问题</w:t>
            </w:r>
          </w:p>
        </w:tc>
        <w:tc>
          <w:tcPr>
            <w:tcW w:w="3242" w:type="dxa"/>
            <w:tcBorders>
              <w:top w:val="single" w:color="auto" w:sz="4" w:space="0"/>
              <w:left w:val="single" w:color="auto" w:sz="4" w:space="0"/>
              <w:bottom w:val="single" w:color="auto" w:sz="4" w:space="0"/>
              <w:right w:val="single" w:color="auto" w:sz="4" w:space="0"/>
            </w:tcBorders>
            <w:vAlign w:val="center"/>
          </w:tcPr>
          <w:p w14:paraId="6F2BAB49">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环保措施要求</w:t>
            </w:r>
          </w:p>
        </w:tc>
        <w:tc>
          <w:tcPr>
            <w:tcW w:w="1365" w:type="dxa"/>
            <w:tcBorders>
              <w:top w:val="single" w:color="auto" w:sz="4" w:space="0"/>
              <w:left w:val="single" w:color="auto" w:sz="4" w:space="0"/>
              <w:bottom w:val="single" w:color="auto" w:sz="4" w:space="0"/>
              <w:right w:val="single" w:color="auto" w:sz="4" w:space="0"/>
            </w:tcBorders>
            <w:vAlign w:val="center"/>
          </w:tcPr>
          <w:p w14:paraId="175E2F42">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执行单位</w:t>
            </w:r>
          </w:p>
        </w:tc>
        <w:tc>
          <w:tcPr>
            <w:tcW w:w="1558" w:type="dxa"/>
            <w:tcBorders>
              <w:top w:val="single" w:color="auto" w:sz="4" w:space="0"/>
              <w:left w:val="single" w:color="auto" w:sz="4" w:space="0"/>
              <w:bottom w:val="single" w:color="auto" w:sz="4" w:space="0"/>
              <w:right w:val="single" w:color="auto" w:sz="4" w:space="0"/>
            </w:tcBorders>
            <w:vAlign w:val="center"/>
          </w:tcPr>
          <w:p w14:paraId="1194DBC3">
            <w:pPr>
              <w:adjustRightInd w:val="0"/>
              <w:snapToGrid w:val="0"/>
              <w:spacing w:line="240" w:lineRule="auto"/>
              <w:jc w:val="center"/>
              <w:rPr>
                <w:rFonts w:hint="default" w:ascii="Times New Roman" w:hAnsi="Times New Roman" w:eastAsia="宋体" w:cs="Times New Roman"/>
                <w:b/>
                <w:color w:val="auto"/>
                <w:sz w:val="21"/>
              </w:rPr>
            </w:pPr>
            <w:r>
              <w:rPr>
                <w:rFonts w:hint="default" w:ascii="Times New Roman" w:hAnsi="Times New Roman" w:eastAsia="宋体" w:cs="Times New Roman"/>
                <w:b/>
                <w:color w:val="auto"/>
                <w:sz w:val="21"/>
              </w:rPr>
              <w:t>监督管理部门</w:t>
            </w:r>
          </w:p>
        </w:tc>
      </w:tr>
      <w:tr w14:paraId="5AF2C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restart"/>
            <w:tcBorders>
              <w:top w:val="single" w:color="auto" w:sz="4" w:space="0"/>
              <w:left w:val="single" w:color="auto" w:sz="4" w:space="0"/>
              <w:right w:val="single" w:color="auto" w:sz="4" w:space="0"/>
            </w:tcBorders>
            <w:vAlign w:val="center"/>
          </w:tcPr>
          <w:p w14:paraId="241A5097">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施工期</w:t>
            </w:r>
          </w:p>
        </w:tc>
        <w:tc>
          <w:tcPr>
            <w:tcW w:w="1250" w:type="dxa"/>
            <w:tcBorders>
              <w:top w:val="single" w:color="auto" w:sz="4" w:space="0"/>
              <w:left w:val="single" w:color="auto" w:sz="4" w:space="0"/>
              <w:bottom w:val="single" w:color="auto" w:sz="4" w:space="0"/>
              <w:right w:val="single" w:color="auto" w:sz="4" w:space="0"/>
            </w:tcBorders>
            <w:vAlign w:val="center"/>
          </w:tcPr>
          <w:p w14:paraId="41225833">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施工废水</w:t>
            </w:r>
          </w:p>
        </w:tc>
        <w:tc>
          <w:tcPr>
            <w:tcW w:w="3242" w:type="dxa"/>
            <w:tcBorders>
              <w:top w:val="single" w:color="auto" w:sz="4" w:space="0"/>
              <w:left w:val="single" w:color="auto" w:sz="4" w:space="0"/>
              <w:bottom w:val="single" w:color="auto" w:sz="4" w:space="0"/>
              <w:right w:val="single" w:color="auto" w:sz="4" w:space="0"/>
            </w:tcBorders>
            <w:vAlign w:val="center"/>
          </w:tcPr>
          <w:p w14:paraId="561708F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设置</w:t>
            </w:r>
            <w:r>
              <w:rPr>
                <w:rFonts w:hint="default" w:ascii="Times New Roman" w:hAnsi="Times New Roman" w:eastAsia="宋体" w:cs="Times New Roman"/>
                <w:color w:val="auto"/>
                <w:sz w:val="21"/>
                <w:lang w:eastAsia="zh-CN"/>
              </w:rPr>
              <w:t>临时</w:t>
            </w:r>
            <w:r>
              <w:rPr>
                <w:rFonts w:hint="default" w:ascii="Times New Roman" w:hAnsi="Times New Roman" w:eastAsia="宋体" w:cs="Times New Roman"/>
                <w:color w:val="auto"/>
                <w:sz w:val="21"/>
              </w:rPr>
              <w:t>沉</w:t>
            </w:r>
            <w:r>
              <w:rPr>
                <w:rFonts w:hint="default" w:ascii="Times New Roman" w:hAnsi="Times New Roman" w:eastAsia="宋体" w:cs="Times New Roman"/>
                <w:color w:val="auto"/>
                <w:sz w:val="21"/>
                <w:lang w:eastAsia="zh-CN"/>
              </w:rPr>
              <w:t>砂</w:t>
            </w:r>
            <w:r>
              <w:rPr>
                <w:rFonts w:hint="default" w:ascii="Times New Roman" w:hAnsi="Times New Roman" w:eastAsia="宋体" w:cs="Times New Roman"/>
                <w:color w:val="auto"/>
                <w:sz w:val="21"/>
              </w:rPr>
              <w:t>池沉淀处理</w:t>
            </w:r>
          </w:p>
        </w:tc>
        <w:tc>
          <w:tcPr>
            <w:tcW w:w="1365" w:type="dxa"/>
            <w:vMerge w:val="restart"/>
            <w:tcBorders>
              <w:top w:val="single" w:color="auto" w:sz="4" w:space="0"/>
              <w:left w:val="single" w:color="auto" w:sz="4" w:space="0"/>
              <w:right w:val="single" w:color="auto" w:sz="4" w:space="0"/>
            </w:tcBorders>
            <w:vAlign w:val="center"/>
          </w:tcPr>
          <w:p w14:paraId="30AFC8B8">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施工单位</w:t>
            </w:r>
          </w:p>
        </w:tc>
        <w:tc>
          <w:tcPr>
            <w:tcW w:w="1558" w:type="dxa"/>
            <w:vMerge w:val="restart"/>
            <w:tcBorders>
              <w:top w:val="single" w:color="auto" w:sz="4" w:space="0"/>
              <w:left w:val="single" w:color="auto" w:sz="4" w:space="0"/>
              <w:right w:val="single" w:color="auto" w:sz="4" w:space="0"/>
            </w:tcBorders>
            <w:vAlign w:val="center"/>
          </w:tcPr>
          <w:p w14:paraId="229F69C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建设单位/环境保护行政主管部门</w:t>
            </w:r>
          </w:p>
        </w:tc>
      </w:tr>
      <w:tr w14:paraId="624A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left w:val="single" w:color="auto" w:sz="4" w:space="0"/>
              <w:right w:val="single" w:color="auto" w:sz="4" w:space="0"/>
            </w:tcBorders>
            <w:vAlign w:val="center"/>
          </w:tcPr>
          <w:p w14:paraId="4DA9EBF9">
            <w:pPr>
              <w:widowControl/>
              <w:spacing w:line="240" w:lineRule="auto"/>
              <w:jc w:val="left"/>
              <w:rPr>
                <w:rFonts w:hint="default" w:ascii="Times New Roman" w:hAnsi="Times New Roman" w:eastAsia="宋体" w:cs="Times New Roman"/>
                <w:color w:val="auto"/>
                <w:sz w:val="21"/>
              </w:rPr>
            </w:pPr>
          </w:p>
        </w:tc>
        <w:tc>
          <w:tcPr>
            <w:tcW w:w="1250" w:type="dxa"/>
            <w:tcBorders>
              <w:top w:val="single" w:color="auto" w:sz="4" w:space="0"/>
              <w:left w:val="single" w:color="auto" w:sz="4" w:space="0"/>
              <w:bottom w:val="single" w:color="auto" w:sz="4" w:space="0"/>
              <w:right w:val="single" w:color="auto" w:sz="4" w:space="0"/>
            </w:tcBorders>
            <w:vAlign w:val="center"/>
          </w:tcPr>
          <w:p w14:paraId="76FCEA1E">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施工固废</w:t>
            </w:r>
          </w:p>
        </w:tc>
        <w:tc>
          <w:tcPr>
            <w:tcW w:w="3242" w:type="dxa"/>
            <w:tcBorders>
              <w:top w:val="single" w:color="auto" w:sz="4" w:space="0"/>
              <w:left w:val="single" w:color="auto" w:sz="4" w:space="0"/>
              <w:bottom w:val="single" w:color="auto" w:sz="4" w:space="0"/>
              <w:right w:val="single" w:color="auto" w:sz="4" w:space="0"/>
            </w:tcBorders>
            <w:vAlign w:val="center"/>
          </w:tcPr>
          <w:p w14:paraId="71138470">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严禁乱堆乱放、运至指定的建筑垃圾堆放点</w:t>
            </w:r>
          </w:p>
        </w:tc>
        <w:tc>
          <w:tcPr>
            <w:tcW w:w="1365" w:type="dxa"/>
            <w:vMerge w:val="continue"/>
            <w:tcBorders>
              <w:left w:val="single" w:color="auto" w:sz="4" w:space="0"/>
              <w:right w:val="single" w:color="auto" w:sz="4" w:space="0"/>
            </w:tcBorders>
            <w:vAlign w:val="center"/>
          </w:tcPr>
          <w:p w14:paraId="30E2B705">
            <w:pPr>
              <w:widowControl/>
              <w:spacing w:line="240" w:lineRule="auto"/>
              <w:jc w:val="left"/>
              <w:rPr>
                <w:rFonts w:hint="default" w:ascii="Times New Roman" w:hAnsi="Times New Roman" w:eastAsia="宋体" w:cs="Times New Roman"/>
                <w:color w:val="auto"/>
                <w:sz w:val="21"/>
              </w:rPr>
            </w:pPr>
          </w:p>
        </w:tc>
        <w:tc>
          <w:tcPr>
            <w:tcW w:w="1558" w:type="dxa"/>
            <w:vMerge w:val="continue"/>
            <w:tcBorders>
              <w:left w:val="single" w:color="auto" w:sz="4" w:space="0"/>
              <w:right w:val="single" w:color="auto" w:sz="4" w:space="0"/>
            </w:tcBorders>
            <w:vAlign w:val="center"/>
          </w:tcPr>
          <w:p w14:paraId="31E99809">
            <w:pPr>
              <w:widowControl/>
              <w:spacing w:line="240" w:lineRule="auto"/>
              <w:jc w:val="left"/>
              <w:rPr>
                <w:rFonts w:hint="default" w:ascii="Times New Roman" w:hAnsi="Times New Roman" w:eastAsia="宋体" w:cs="Times New Roman"/>
                <w:color w:val="auto"/>
                <w:sz w:val="21"/>
              </w:rPr>
            </w:pPr>
          </w:p>
        </w:tc>
      </w:tr>
      <w:tr w14:paraId="00E4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left w:val="single" w:color="auto" w:sz="4" w:space="0"/>
              <w:right w:val="single" w:color="auto" w:sz="4" w:space="0"/>
            </w:tcBorders>
            <w:vAlign w:val="center"/>
          </w:tcPr>
          <w:p w14:paraId="4FC6EEE9">
            <w:pPr>
              <w:widowControl/>
              <w:spacing w:line="240" w:lineRule="auto"/>
              <w:jc w:val="left"/>
              <w:rPr>
                <w:rFonts w:hint="default" w:ascii="Times New Roman" w:hAnsi="Times New Roman" w:eastAsia="宋体" w:cs="Times New Roman"/>
                <w:color w:val="auto"/>
                <w:sz w:val="21"/>
              </w:rPr>
            </w:pPr>
          </w:p>
        </w:tc>
        <w:tc>
          <w:tcPr>
            <w:tcW w:w="1250" w:type="dxa"/>
            <w:tcBorders>
              <w:top w:val="single" w:color="auto" w:sz="4" w:space="0"/>
              <w:left w:val="single" w:color="auto" w:sz="4" w:space="0"/>
              <w:bottom w:val="single" w:color="auto" w:sz="4" w:space="0"/>
              <w:right w:val="single" w:color="auto" w:sz="4" w:space="0"/>
            </w:tcBorders>
            <w:vAlign w:val="center"/>
          </w:tcPr>
          <w:p w14:paraId="7AD21628">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施工噪声</w:t>
            </w:r>
          </w:p>
        </w:tc>
        <w:tc>
          <w:tcPr>
            <w:tcW w:w="3242" w:type="dxa"/>
            <w:tcBorders>
              <w:top w:val="single" w:color="auto" w:sz="4" w:space="0"/>
              <w:left w:val="single" w:color="auto" w:sz="4" w:space="0"/>
              <w:bottom w:val="single" w:color="auto" w:sz="4" w:space="0"/>
              <w:right w:val="single" w:color="auto" w:sz="4" w:space="0"/>
            </w:tcBorders>
            <w:vAlign w:val="center"/>
          </w:tcPr>
          <w:p w14:paraId="6AE0729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夜间禁止施工，避开中午休息时间施工、选用低噪声设备</w:t>
            </w:r>
          </w:p>
        </w:tc>
        <w:tc>
          <w:tcPr>
            <w:tcW w:w="1365" w:type="dxa"/>
            <w:vMerge w:val="continue"/>
            <w:tcBorders>
              <w:left w:val="single" w:color="auto" w:sz="4" w:space="0"/>
              <w:right w:val="single" w:color="auto" w:sz="4" w:space="0"/>
            </w:tcBorders>
            <w:vAlign w:val="center"/>
          </w:tcPr>
          <w:p w14:paraId="01F57A79">
            <w:pPr>
              <w:widowControl/>
              <w:spacing w:line="240" w:lineRule="auto"/>
              <w:jc w:val="left"/>
              <w:rPr>
                <w:rFonts w:hint="default" w:ascii="Times New Roman" w:hAnsi="Times New Roman" w:eastAsia="宋体" w:cs="Times New Roman"/>
                <w:color w:val="auto"/>
                <w:sz w:val="21"/>
              </w:rPr>
            </w:pPr>
          </w:p>
        </w:tc>
        <w:tc>
          <w:tcPr>
            <w:tcW w:w="1558" w:type="dxa"/>
            <w:vMerge w:val="continue"/>
            <w:tcBorders>
              <w:left w:val="single" w:color="auto" w:sz="4" w:space="0"/>
              <w:right w:val="single" w:color="auto" w:sz="4" w:space="0"/>
            </w:tcBorders>
            <w:vAlign w:val="center"/>
          </w:tcPr>
          <w:p w14:paraId="391A4C85">
            <w:pPr>
              <w:widowControl/>
              <w:spacing w:line="240" w:lineRule="auto"/>
              <w:jc w:val="left"/>
              <w:rPr>
                <w:rFonts w:hint="default" w:ascii="Times New Roman" w:hAnsi="Times New Roman" w:eastAsia="宋体" w:cs="Times New Roman"/>
                <w:color w:val="auto"/>
                <w:sz w:val="21"/>
              </w:rPr>
            </w:pPr>
          </w:p>
        </w:tc>
      </w:tr>
      <w:tr w14:paraId="0940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left w:val="single" w:color="auto" w:sz="4" w:space="0"/>
              <w:right w:val="single" w:color="auto" w:sz="4" w:space="0"/>
            </w:tcBorders>
            <w:vAlign w:val="center"/>
          </w:tcPr>
          <w:p w14:paraId="7907806A">
            <w:pPr>
              <w:widowControl/>
              <w:spacing w:line="240" w:lineRule="auto"/>
              <w:jc w:val="left"/>
              <w:rPr>
                <w:rFonts w:hint="default" w:ascii="Times New Roman" w:hAnsi="Times New Roman" w:eastAsia="宋体" w:cs="Times New Roman"/>
                <w:color w:val="auto"/>
                <w:sz w:val="21"/>
              </w:rPr>
            </w:pPr>
          </w:p>
        </w:tc>
        <w:tc>
          <w:tcPr>
            <w:tcW w:w="1250" w:type="dxa"/>
            <w:tcBorders>
              <w:top w:val="single" w:color="auto" w:sz="4" w:space="0"/>
              <w:left w:val="single" w:color="auto" w:sz="4" w:space="0"/>
              <w:bottom w:val="single" w:color="auto" w:sz="4" w:space="0"/>
              <w:right w:val="single" w:color="auto" w:sz="4" w:space="0"/>
            </w:tcBorders>
            <w:vAlign w:val="center"/>
          </w:tcPr>
          <w:p w14:paraId="4A7BBE3A">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施工扬尘</w:t>
            </w:r>
          </w:p>
        </w:tc>
        <w:tc>
          <w:tcPr>
            <w:tcW w:w="3242" w:type="dxa"/>
            <w:tcBorders>
              <w:top w:val="single" w:color="auto" w:sz="4" w:space="0"/>
              <w:left w:val="single" w:color="auto" w:sz="4" w:space="0"/>
              <w:bottom w:val="single" w:color="auto" w:sz="4" w:space="0"/>
              <w:right w:val="single" w:color="auto" w:sz="4" w:space="0"/>
            </w:tcBorders>
            <w:vAlign w:val="center"/>
          </w:tcPr>
          <w:p w14:paraId="464BFB62">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定期洒水抑尘、设置施工场地的隔离设施</w:t>
            </w:r>
          </w:p>
        </w:tc>
        <w:tc>
          <w:tcPr>
            <w:tcW w:w="1365" w:type="dxa"/>
            <w:vMerge w:val="continue"/>
            <w:tcBorders>
              <w:left w:val="single" w:color="auto" w:sz="4" w:space="0"/>
              <w:right w:val="single" w:color="auto" w:sz="4" w:space="0"/>
            </w:tcBorders>
            <w:vAlign w:val="center"/>
          </w:tcPr>
          <w:p w14:paraId="1D97256B">
            <w:pPr>
              <w:widowControl/>
              <w:spacing w:line="240" w:lineRule="auto"/>
              <w:jc w:val="left"/>
              <w:rPr>
                <w:rFonts w:hint="default" w:ascii="Times New Roman" w:hAnsi="Times New Roman" w:eastAsia="宋体" w:cs="Times New Roman"/>
                <w:color w:val="auto"/>
                <w:sz w:val="21"/>
              </w:rPr>
            </w:pPr>
          </w:p>
        </w:tc>
        <w:tc>
          <w:tcPr>
            <w:tcW w:w="1558" w:type="dxa"/>
            <w:vMerge w:val="continue"/>
            <w:tcBorders>
              <w:left w:val="single" w:color="auto" w:sz="4" w:space="0"/>
              <w:right w:val="single" w:color="auto" w:sz="4" w:space="0"/>
            </w:tcBorders>
            <w:vAlign w:val="center"/>
          </w:tcPr>
          <w:p w14:paraId="392300D3">
            <w:pPr>
              <w:widowControl/>
              <w:spacing w:line="240" w:lineRule="auto"/>
              <w:jc w:val="left"/>
              <w:rPr>
                <w:rFonts w:hint="default" w:ascii="Times New Roman" w:hAnsi="Times New Roman" w:eastAsia="宋体" w:cs="Times New Roman"/>
                <w:color w:val="auto"/>
                <w:sz w:val="21"/>
              </w:rPr>
            </w:pPr>
          </w:p>
        </w:tc>
      </w:tr>
      <w:tr w14:paraId="2552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5" w:type="dxa"/>
            <w:vMerge w:val="continue"/>
            <w:tcBorders>
              <w:left w:val="single" w:color="auto" w:sz="4" w:space="0"/>
              <w:bottom w:val="single" w:color="auto" w:sz="4" w:space="0"/>
              <w:right w:val="single" w:color="auto" w:sz="4" w:space="0"/>
            </w:tcBorders>
            <w:vAlign w:val="center"/>
          </w:tcPr>
          <w:p w14:paraId="28FAF8B1">
            <w:pPr>
              <w:widowControl/>
              <w:spacing w:line="240" w:lineRule="auto"/>
              <w:jc w:val="left"/>
              <w:rPr>
                <w:rFonts w:hint="default" w:ascii="Times New Roman" w:hAnsi="Times New Roman" w:eastAsia="宋体" w:cs="Times New Roman"/>
                <w:color w:val="auto"/>
                <w:sz w:val="21"/>
              </w:rPr>
            </w:pPr>
          </w:p>
        </w:tc>
        <w:tc>
          <w:tcPr>
            <w:tcW w:w="1250" w:type="dxa"/>
            <w:tcBorders>
              <w:top w:val="single" w:color="auto" w:sz="4" w:space="0"/>
              <w:left w:val="single" w:color="auto" w:sz="4" w:space="0"/>
              <w:bottom w:val="single" w:color="auto" w:sz="4" w:space="0"/>
              <w:right w:val="single" w:color="auto" w:sz="4" w:space="0"/>
            </w:tcBorders>
            <w:vAlign w:val="center"/>
          </w:tcPr>
          <w:p w14:paraId="6571122E">
            <w:pPr>
              <w:adjustRightInd w:val="0"/>
              <w:snapToGri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lang w:eastAsia="zh-CN"/>
              </w:rPr>
              <w:t>防渗措施</w:t>
            </w:r>
          </w:p>
        </w:tc>
        <w:tc>
          <w:tcPr>
            <w:tcW w:w="3242" w:type="dxa"/>
            <w:tcBorders>
              <w:top w:val="single" w:color="auto" w:sz="4" w:space="0"/>
              <w:left w:val="single" w:color="auto" w:sz="4" w:space="0"/>
              <w:bottom w:val="single" w:color="auto" w:sz="4" w:space="0"/>
              <w:right w:val="single" w:color="auto" w:sz="4" w:space="0"/>
            </w:tcBorders>
            <w:vAlign w:val="center"/>
          </w:tcPr>
          <w:p w14:paraId="1D9F99B0">
            <w:pPr>
              <w:adjustRightInd w:val="0"/>
              <w:snapToGrid w:val="0"/>
              <w:spacing w:line="240" w:lineRule="auto"/>
              <w:jc w:val="both"/>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eastAsia="zh-CN"/>
              </w:rPr>
              <w:t>项目重点防渗区采用</w:t>
            </w:r>
            <w:r>
              <w:rPr>
                <w:rFonts w:hint="default" w:ascii="Times New Roman" w:hAnsi="Times New Roman" w:eastAsia="宋体" w:cs="Times New Roman"/>
                <w:color w:val="auto"/>
                <w:sz w:val="21"/>
                <w:highlight w:val="none"/>
              </w:rPr>
              <w:t>2mm厚高密度聚乙烯，或至少2mm厚的其他人工材料，</w:t>
            </w:r>
            <w:r>
              <w:rPr>
                <w:rFonts w:hint="default" w:ascii="Times New Roman" w:hAnsi="Times New Roman" w:eastAsia="宋体" w:cs="Times New Roman"/>
                <w:color w:val="auto"/>
                <w:sz w:val="21"/>
                <w:highlight w:val="none"/>
                <w:lang w:eastAsia="zh-CN"/>
              </w:rPr>
              <w:t>或者等效黏土防渗层</w:t>
            </w:r>
            <w:r>
              <w:rPr>
                <w:rFonts w:hint="default" w:ascii="Times New Roman" w:hAnsi="Times New Roman" w:eastAsia="宋体" w:cs="Times New Roman"/>
                <w:color w:val="auto"/>
                <w:sz w:val="21"/>
                <w:highlight w:val="none"/>
                <w:lang w:val="en-US" w:eastAsia="zh-CN"/>
              </w:rPr>
              <w:t>Mb≥6.0m，</w:t>
            </w:r>
            <w:r>
              <w:rPr>
                <w:rFonts w:hint="default" w:ascii="Times New Roman" w:hAnsi="Times New Roman" w:eastAsia="宋体" w:cs="Times New Roman"/>
                <w:color w:val="auto"/>
                <w:sz w:val="21"/>
                <w:highlight w:val="none"/>
              </w:rPr>
              <w:t>渗透系数≤10</w:t>
            </w:r>
            <w:r>
              <w:rPr>
                <w:rFonts w:hint="default" w:ascii="Times New Roman" w:hAnsi="Times New Roman" w:eastAsia="宋体" w:cs="Times New Roman"/>
                <w:color w:val="auto"/>
                <w:sz w:val="21"/>
                <w:highlight w:val="none"/>
                <w:vertAlign w:val="superscript"/>
              </w:rPr>
              <w:t>-</w:t>
            </w:r>
            <w:r>
              <w:rPr>
                <w:rFonts w:hint="default" w:ascii="Times New Roman" w:hAnsi="Times New Roman" w:eastAsia="宋体" w:cs="Times New Roman"/>
                <w:color w:val="auto"/>
                <w:sz w:val="21"/>
                <w:highlight w:val="none"/>
                <w:vertAlign w:val="superscript"/>
                <w:lang w:val="en-US" w:eastAsia="zh-CN"/>
              </w:rPr>
              <w:t>7</w:t>
            </w:r>
            <w:r>
              <w:rPr>
                <w:rFonts w:hint="default" w:ascii="Times New Roman" w:hAnsi="Times New Roman" w:eastAsia="宋体" w:cs="Times New Roman"/>
                <w:color w:val="auto"/>
                <w:sz w:val="21"/>
                <w:highlight w:val="none"/>
              </w:rPr>
              <w:t>cm/s。</w:t>
            </w:r>
            <w:r>
              <w:rPr>
                <w:rFonts w:hint="default" w:ascii="Times New Roman" w:hAnsi="Times New Roman" w:eastAsia="宋体" w:cs="Times New Roman"/>
                <w:color w:val="auto"/>
                <w:sz w:val="21"/>
                <w:highlight w:val="none"/>
                <w:lang w:eastAsia="zh-CN"/>
              </w:rPr>
              <w:t>或参照</w:t>
            </w:r>
            <w:r>
              <w:rPr>
                <w:rFonts w:hint="default" w:ascii="Times New Roman" w:hAnsi="Times New Roman" w:eastAsia="宋体" w:cs="Times New Roman"/>
                <w:color w:val="auto"/>
                <w:sz w:val="21"/>
                <w:highlight w:val="none"/>
                <w:lang w:val="en-US" w:eastAsia="zh-CN"/>
              </w:rPr>
              <w:t>GB18598执行。</w:t>
            </w:r>
          </w:p>
          <w:p w14:paraId="051E3B1B">
            <w:pPr>
              <w:adjustRightInd w:val="0"/>
              <w:spacing w:line="240" w:lineRule="auto"/>
              <w:jc w:val="both"/>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eastAsia="zh-CN"/>
              </w:rPr>
              <w:t>项目一般防渗区采用等效黏土防渗层</w:t>
            </w:r>
            <w:r>
              <w:rPr>
                <w:rFonts w:hint="default" w:ascii="Times New Roman" w:hAnsi="Times New Roman" w:eastAsia="宋体" w:cs="Times New Roman"/>
                <w:color w:val="auto"/>
                <w:sz w:val="21"/>
                <w:highlight w:val="none"/>
                <w:lang w:val="en-US" w:eastAsia="zh-CN"/>
              </w:rPr>
              <w:t>Mb≥1.5m，</w:t>
            </w:r>
            <w:r>
              <w:rPr>
                <w:rFonts w:hint="default" w:ascii="Times New Roman" w:hAnsi="Times New Roman" w:eastAsia="宋体" w:cs="Times New Roman"/>
                <w:color w:val="auto"/>
                <w:sz w:val="21"/>
                <w:highlight w:val="none"/>
              </w:rPr>
              <w:t>渗透系数≤10</w:t>
            </w:r>
            <w:r>
              <w:rPr>
                <w:rFonts w:hint="default" w:ascii="Times New Roman" w:hAnsi="Times New Roman" w:eastAsia="宋体" w:cs="Times New Roman"/>
                <w:color w:val="auto"/>
                <w:sz w:val="21"/>
                <w:highlight w:val="none"/>
                <w:vertAlign w:val="superscript"/>
              </w:rPr>
              <w:t>-</w:t>
            </w:r>
            <w:r>
              <w:rPr>
                <w:rFonts w:hint="default" w:ascii="Times New Roman" w:hAnsi="Times New Roman" w:eastAsia="宋体" w:cs="Times New Roman"/>
                <w:color w:val="auto"/>
                <w:sz w:val="21"/>
                <w:highlight w:val="none"/>
                <w:vertAlign w:val="superscript"/>
                <w:lang w:val="en-US" w:eastAsia="zh-CN"/>
              </w:rPr>
              <w:t>7</w:t>
            </w:r>
            <w:r>
              <w:rPr>
                <w:rFonts w:hint="default" w:ascii="Times New Roman" w:hAnsi="Times New Roman" w:eastAsia="宋体" w:cs="Times New Roman"/>
                <w:color w:val="auto"/>
                <w:sz w:val="21"/>
                <w:highlight w:val="none"/>
              </w:rPr>
              <w:t>cm/s。</w:t>
            </w:r>
            <w:r>
              <w:rPr>
                <w:rFonts w:hint="default" w:ascii="Times New Roman" w:hAnsi="Times New Roman" w:eastAsia="宋体" w:cs="Times New Roman"/>
                <w:color w:val="auto"/>
                <w:sz w:val="21"/>
                <w:highlight w:val="none"/>
                <w:lang w:eastAsia="zh-CN"/>
              </w:rPr>
              <w:t>或参照</w:t>
            </w:r>
            <w:r>
              <w:rPr>
                <w:rFonts w:hint="default" w:ascii="Times New Roman" w:hAnsi="Times New Roman" w:eastAsia="宋体" w:cs="Times New Roman"/>
                <w:color w:val="auto"/>
                <w:sz w:val="21"/>
                <w:highlight w:val="none"/>
                <w:lang w:val="en-US" w:eastAsia="zh-CN"/>
              </w:rPr>
              <w:t>GB18598执行。</w:t>
            </w:r>
          </w:p>
          <w:p w14:paraId="0B605801">
            <w:pPr>
              <w:adjustRightInd w:val="0"/>
              <w:snapToGri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highlight w:val="none"/>
                <w:lang w:val="en-US" w:eastAsia="zh-CN"/>
              </w:rPr>
              <w:t>项目简单防渗区地面进行硬化即可</w:t>
            </w:r>
          </w:p>
        </w:tc>
        <w:tc>
          <w:tcPr>
            <w:tcW w:w="1365" w:type="dxa"/>
            <w:vMerge w:val="continue"/>
            <w:tcBorders>
              <w:left w:val="single" w:color="auto" w:sz="4" w:space="0"/>
              <w:bottom w:val="single" w:color="auto" w:sz="4" w:space="0"/>
              <w:right w:val="single" w:color="auto" w:sz="4" w:space="0"/>
            </w:tcBorders>
            <w:vAlign w:val="center"/>
          </w:tcPr>
          <w:p w14:paraId="0627F732">
            <w:pPr>
              <w:widowControl/>
              <w:spacing w:line="240" w:lineRule="auto"/>
              <w:jc w:val="left"/>
              <w:rPr>
                <w:rFonts w:hint="default" w:ascii="Times New Roman" w:hAnsi="Times New Roman" w:eastAsia="宋体" w:cs="Times New Roman"/>
                <w:color w:val="auto"/>
                <w:sz w:val="21"/>
              </w:rPr>
            </w:pPr>
          </w:p>
        </w:tc>
        <w:tc>
          <w:tcPr>
            <w:tcW w:w="1558" w:type="dxa"/>
            <w:vMerge w:val="continue"/>
            <w:tcBorders>
              <w:left w:val="single" w:color="auto" w:sz="4" w:space="0"/>
              <w:bottom w:val="single" w:color="auto" w:sz="4" w:space="0"/>
              <w:right w:val="single" w:color="auto" w:sz="4" w:space="0"/>
            </w:tcBorders>
            <w:vAlign w:val="center"/>
          </w:tcPr>
          <w:p w14:paraId="651F2060">
            <w:pPr>
              <w:widowControl/>
              <w:spacing w:line="240" w:lineRule="auto"/>
              <w:jc w:val="left"/>
              <w:rPr>
                <w:rFonts w:hint="default" w:ascii="Times New Roman" w:hAnsi="Times New Roman" w:eastAsia="宋体" w:cs="Times New Roman"/>
                <w:color w:val="auto"/>
                <w:sz w:val="21"/>
              </w:rPr>
            </w:pPr>
          </w:p>
        </w:tc>
      </w:tr>
    </w:tbl>
    <w:p w14:paraId="5DA52880">
      <w:pPr>
        <w:pStyle w:val="11"/>
        <w:adjustRightInd w:val="0"/>
        <w:snapToGrid w:val="0"/>
        <w:spacing w:before="0" w:after="0" w:line="360" w:lineRule="auto"/>
        <w:rPr>
          <w:rFonts w:hint="eastAsia" w:ascii="Times New Roman" w:hAnsi="Times New Roman" w:eastAsia="宋体" w:cs="Times New Roman"/>
          <w:color w:val="auto"/>
          <w:sz w:val="28"/>
          <w:szCs w:val="28"/>
          <w:lang w:eastAsia="zh-CN"/>
        </w:rPr>
      </w:pPr>
      <w:bookmarkStart w:id="545" w:name="_Toc269456857"/>
      <w:bookmarkStart w:id="546" w:name="_Toc295681996"/>
      <w:bookmarkStart w:id="547" w:name="_Toc277919426"/>
      <w:bookmarkStart w:id="548" w:name="_Toc277880169"/>
      <w:bookmarkStart w:id="549" w:name="_Toc275947732"/>
      <w:bookmarkStart w:id="550" w:name="_Toc295682509"/>
      <w:bookmarkStart w:id="551" w:name="_Toc269469428"/>
      <w:bookmarkStart w:id="552" w:name="_Toc335040579"/>
      <w:bookmarkStart w:id="553" w:name="_Toc1390"/>
      <w:bookmarkStart w:id="554" w:name="_Toc269467728"/>
      <w:bookmarkStart w:id="555" w:name="_Toc269462386"/>
      <w:bookmarkStart w:id="556" w:name="_Toc269467912"/>
      <w:bookmarkStart w:id="557" w:name="_Toc269467545"/>
      <w:bookmarkStart w:id="558" w:name="_Toc269456679"/>
      <w:bookmarkStart w:id="559" w:name="_Toc269462670"/>
      <w:bookmarkStart w:id="560" w:name="_Toc269457999"/>
      <w:bookmarkStart w:id="561" w:name="_Toc269463549"/>
      <w:bookmarkStart w:id="562" w:name="_Toc269469937"/>
      <w:bookmarkStart w:id="563" w:name="_Toc2693252"/>
      <w:bookmarkStart w:id="564" w:name="_Toc269469609"/>
      <w:bookmarkStart w:id="565" w:name="_Toc269467227"/>
      <w:bookmarkStart w:id="566" w:name="_Toc269463732"/>
      <w:bookmarkStart w:id="567" w:name="_Toc299349042"/>
      <w:bookmarkStart w:id="568" w:name="_Toc269464281"/>
      <w:bookmarkStart w:id="569" w:name="_Toc269470122"/>
      <w:bookmarkStart w:id="570" w:name="_Toc277879989"/>
      <w:r>
        <w:rPr>
          <w:rFonts w:hint="default" w:ascii="Times New Roman" w:hAnsi="Times New Roman" w:eastAsia="宋体" w:cs="Times New Roman"/>
          <w:color w:val="auto"/>
          <w:sz w:val="28"/>
          <w:szCs w:val="28"/>
        </w:rPr>
        <w:t>10.2.</w:t>
      </w:r>
      <w:r>
        <w:rPr>
          <w:rFonts w:hint="eastAsia" w:ascii="Times New Roman" w:hAnsi="Times New Roman" w:cs="Times New Roman"/>
          <w:color w:val="auto"/>
          <w:sz w:val="28"/>
          <w:szCs w:val="28"/>
          <w:lang w:val="en-US" w:eastAsia="zh-CN"/>
        </w:rPr>
        <w:t xml:space="preserve">7 </w:t>
      </w:r>
      <w:r>
        <w:rPr>
          <w:rFonts w:hint="default" w:ascii="Times New Roman" w:hAnsi="Times New Roman" w:eastAsia="宋体" w:cs="Times New Roman"/>
          <w:color w:val="auto"/>
          <w:sz w:val="28"/>
          <w:szCs w:val="28"/>
        </w:rPr>
        <w:t>环境</w:t>
      </w:r>
      <w:r>
        <w:rPr>
          <w:rFonts w:hint="eastAsia" w:ascii="Times New Roman" w:hAnsi="Times New Roman" w:cs="Times New Roman"/>
          <w:color w:val="auto"/>
          <w:sz w:val="28"/>
          <w:szCs w:val="28"/>
          <w:lang w:eastAsia="zh-CN"/>
        </w:rPr>
        <w:t>监察</w:t>
      </w:r>
    </w:p>
    <w:p w14:paraId="5DBDB09A">
      <w:pPr>
        <w:spacing w:line="360" w:lineRule="auto"/>
        <w:jc w:val="left"/>
        <w:rPr>
          <w:rFonts w:hint="default" w:ascii="Times New Roman" w:hAnsi="Times New Roman" w:cs="Times New Roman"/>
          <w:color w:val="auto"/>
          <w:sz w:val="24"/>
        </w:rPr>
      </w:pPr>
      <w:r>
        <w:rPr>
          <w:rFonts w:hint="default" w:ascii="Times New Roman" w:hAnsi="Times New Roman" w:cs="Times New Roman"/>
          <w:color w:val="auto"/>
          <w:sz w:val="24"/>
        </w:rPr>
        <w:t>环境监察工作内容</w:t>
      </w:r>
    </w:p>
    <w:p w14:paraId="005F611C">
      <w:pPr>
        <w:spacing w:line="360" w:lineRule="auto"/>
        <w:ind w:firstLine="570"/>
        <w:jc w:val="left"/>
        <w:rPr>
          <w:rFonts w:hint="default" w:ascii="Times New Roman" w:hAnsi="Times New Roman" w:cs="Times New Roman"/>
          <w:color w:val="auto"/>
          <w:sz w:val="24"/>
        </w:rPr>
      </w:pPr>
      <w:r>
        <w:rPr>
          <w:rFonts w:hint="default" w:ascii="Times New Roman" w:hAnsi="Times New Roman" w:cs="Times New Roman"/>
          <w:color w:val="auto"/>
          <w:sz w:val="24"/>
        </w:rPr>
        <w:t>主要是为了保护环境而建设的各项环境保护措施(包括临时性的)进行监察，包括污水处理设施、防治噪声措施等。该项目各阶段环境监察计划见表</w:t>
      </w:r>
      <w:r>
        <w:rPr>
          <w:rFonts w:hint="eastAsia" w:ascii="Times New Roman" w:hAnsi="Times New Roman" w:cs="Times New Roman"/>
          <w:color w:val="auto"/>
          <w:sz w:val="24"/>
          <w:lang w:val="en-US" w:eastAsia="zh-CN"/>
        </w:rPr>
        <w:t>10.2-2</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 xml:space="preserve"> </w:t>
      </w:r>
    </w:p>
    <w:p w14:paraId="565FE519">
      <w:pPr>
        <w:adjustRightInd w:val="0"/>
        <w:snapToGrid w:val="0"/>
        <w:ind w:firstLine="482" w:firstLineChars="20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w:t>
      </w:r>
      <w:r>
        <w:rPr>
          <w:rFonts w:hint="eastAsia" w:ascii="Times New Roman" w:hAnsi="Times New Roman" w:cs="Times New Roman"/>
          <w:b/>
          <w:color w:val="auto"/>
          <w:lang w:val="en-US" w:eastAsia="zh-CN"/>
        </w:rPr>
        <w:t>10.2-2</w:t>
      </w:r>
      <w:r>
        <w:rPr>
          <w:rFonts w:hint="default" w:ascii="Times New Roman" w:hAnsi="Times New Roman" w:eastAsia="宋体" w:cs="Times New Roman"/>
          <w:b/>
          <w:color w:val="auto"/>
        </w:rPr>
        <w:t xml:space="preserve">  项目环境监察内容</w:t>
      </w:r>
    </w:p>
    <w:tbl>
      <w:tblPr>
        <w:tblStyle w:val="6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68"/>
        <w:gridCol w:w="3530"/>
        <w:gridCol w:w="1112"/>
        <w:gridCol w:w="1781"/>
      </w:tblGrid>
      <w:tr w14:paraId="7728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9" w:type="dxa"/>
            <w:noWrap w:val="0"/>
            <w:vAlign w:val="center"/>
          </w:tcPr>
          <w:p w14:paraId="025644D1">
            <w:pPr>
              <w:widowControl/>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时段</w:t>
            </w:r>
          </w:p>
        </w:tc>
        <w:tc>
          <w:tcPr>
            <w:tcW w:w="1168" w:type="dxa"/>
            <w:noWrap w:val="0"/>
            <w:vAlign w:val="center"/>
          </w:tcPr>
          <w:p w14:paraId="0A1575DB">
            <w:pPr>
              <w:widowControl/>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环境因素</w:t>
            </w:r>
          </w:p>
        </w:tc>
        <w:tc>
          <w:tcPr>
            <w:tcW w:w="3530" w:type="dxa"/>
            <w:noWrap w:val="0"/>
            <w:vAlign w:val="center"/>
          </w:tcPr>
          <w:p w14:paraId="123B25EE">
            <w:pPr>
              <w:widowControl/>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环保措施要求</w:t>
            </w:r>
          </w:p>
        </w:tc>
        <w:tc>
          <w:tcPr>
            <w:tcW w:w="1112" w:type="dxa"/>
            <w:noWrap w:val="0"/>
            <w:vAlign w:val="center"/>
          </w:tcPr>
          <w:p w14:paraId="5C3B7871">
            <w:pPr>
              <w:widowControl/>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执行单位</w:t>
            </w:r>
          </w:p>
        </w:tc>
        <w:tc>
          <w:tcPr>
            <w:tcW w:w="1781" w:type="dxa"/>
            <w:noWrap w:val="0"/>
            <w:vAlign w:val="center"/>
          </w:tcPr>
          <w:p w14:paraId="012CD66B">
            <w:pPr>
              <w:widowControl/>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监督管理部门</w:t>
            </w:r>
          </w:p>
        </w:tc>
      </w:tr>
      <w:tr w14:paraId="16BC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09" w:type="dxa"/>
            <w:vMerge w:val="restart"/>
            <w:noWrap w:val="0"/>
            <w:vAlign w:val="center"/>
          </w:tcPr>
          <w:p w14:paraId="10F2BE96">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运营期</w:t>
            </w:r>
          </w:p>
        </w:tc>
        <w:tc>
          <w:tcPr>
            <w:tcW w:w="1168" w:type="dxa"/>
            <w:noWrap w:val="0"/>
            <w:vAlign w:val="center"/>
          </w:tcPr>
          <w:p w14:paraId="0F1DA2AE">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废气</w:t>
            </w:r>
          </w:p>
        </w:tc>
        <w:tc>
          <w:tcPr>
            <w:tcW w:w="3530" w:type="dxa"/>
            <w:noWrap w:val="0"/>
            <w:vAlign w:val="center"/>
          </w:tcPr>
          <w:p w14:paraId="1EC6588C">
            <w:pPr>
              <w:widowControl/>
              <w:spacing w:line="240" w:lineRule="auto"/>
              <w:jc w:val="center"/>
              <w:rPr>
                <w:rFonts w:hint="eastAsia" w:ascii="Times New Roman" w:hAnsi="Times New Roman" w:eastAsia="宋体" w:cs="Times New Roman"/>
                <w:color w:val="auto"/>
                <w:sz w:val="21"/>
                <w:lang w:eastAsia="zh-CN"/>
              </w:rPr>
            </w:pPr>
            <w:r>
              <w:rPr>
                <w:rFonts w:hint="default" w:ascii="Times New Roman" w:hAnsi="Times New Roman" w:eastAsia="宋体" w:cs="Times New Roman"/>
                <w:color w:val="auto"/>
                <w:sz w:val="21"/>
              </w:rPr>
              <w:t>生产车间设置排气扇，加强车间通风、换气</w:t>
            </w:r>
            <w:r>
              <w:rPr>
                <w:rFonts w:hint="eastAsia" w:ascii="Times New Roman" w:hAnsi="Times New Roman" w:cs="Times New Roman"/>
                <w:color w:val="auto"/>
                <w:sz w:val="21"/>
                <w:lang w:eastAsia="zh-CN"/>
              </w:rPr>
              <w:t>，污水处理</w:t>
            </w:r>
            <w:r>
              <w:rPr>
                <w:rFonts w:hint="default" w:ascii="Times New Roman" w:hAnsi="Times New Roman" w:eastAsia="宋体" w:cs="Times New Roman"/>
                <w:color w:val="auto"/>
                <w:sz w:val="21"/>
              </w:rPr>
              <w:t>构筑物加盖密闭</w:t>
            </w:r>
          </w:p>
        </w:tc>
        <w:tc>
          <w:tcPr>
            <w:tcW w:w="1112" w:type="dxa"/>
            <w:vMerge w:val="restart"/>
            <w:noWrap w:val="0"/>
            <w:vAlign w:val="center"/>
          </w:tcPr>
          <w:p w14:paraId="303396AA">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项目建设单位</w:t>
            </w:r>
          </w:p>
        </w:tc>
        <w:tc>
          <w:tcPr>
            <w:tcW w:w="1781" w:type="dxa"/>
            <w:noWrap w:val="0"/>
            <w:vAlign w:val="center"/>
          </w:tcPr>
          <w:p w14:paraId="65A6B3B3">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环境监察部门</w:t>
            </w:r>
          </w:p>
        </w:tc>
      </w:tr>
      <w:tr w14:paraId="0036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9" w:type="dxa"/>
            <w:vMerge w:val="continue"/>
            <w:noWrap w:val="0"/>
            <w:vAlign w:val="center"/>
          </w:tcPr>
          <w:p w14:paraId="52CF44FD">
            <w:pPr>
              <w:widowControl/>
              <w:spacing w:line="240" w:lineRule="auto"/>
              <w:jc w:val="center"/>
              <w:rPr>
                <w:rFonts w:hint="default" w:ascii="Times New Roman" w:hAnsi="Times New Roman" w:eastAsia="宋体" w:cs="Times New Roman"/>
                <w:color w:val="auto"/>
                <w:sz w:val="21"/>
              </w:rPr>
            </w:pPr>
          </w:p>
        </w:tc>
        <w:tc>
          <w:tcPr>
            <w:tcW w:w="1168" w:type="dxa"/>
            <w:vMerge w:val="restart"/>
            <w:noWrap w:val="0"/>
            <w:vAlign w:val="center"/>
          </w:tcPr>
          <w:p w14:paraId="1ACDD2BE">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固废</w:t>
            </w:r>
          </w:p>
        </w:tc>
        <w:tc>
          <w:tcPr>
            <w:tcW w:w="3530" w:type="dxa"/>
            <w:noWrap w:val="0"/>
            <w:vAlign w:val="center"/>
          </w:tcPr>
          <w:p w14:paraId="0584EAF8">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垃圾桶</w:t>
            </w:r>
          </w:p>
        </w:tc>
        <w:tc>
          <w:tcPr>
            <w:tcW w:w="1112" w:type="dxa"/>
            <w:vMerge w:val="continue"/>
            <w:noWrap w:val="0"/>
            <w:vAlign w:val="center"/>
          </w:tcPr>
          <w:p w14:paraId="2730F0D2">
            <w:pPr>
              <w:widowControl/>
              <w:spacing w:line="240" w:lineRule="auto"/>
              <w:jc w:val="center"/>
              <w:rPr>
                <w:rFonts w:hint="default" w:ascii="Times New Roman" w:hAnsi="Times New Roman" w:eastAsia="宋体" w:cs="Times New Roman"/>
                <w:color w:val="auto"/>
                <w:sz w:val="21"/>
              </w:rPr>
            </w:pPr>
          </w:p>
        </w:tc>
        <w:tc>
          <w:tcPr>
            <w:tcW w:w="1781" w:type="dxa"/>
            <w:noWrap w:val="0"/>
            <w:vAlign w:val="center"/>
          </w:tcPr>
          <w:p w14:paraId="68C66CF1">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环境监察部门</w:t>
            </w:r>
          </w:p>
        </w:tc>
      </w:tr>
      <w:tr w14:paraId="53AF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9" w:type="dxa"/>
            <w:vMerge w:val="continue"/>
            <w:noWrap w:val="0"/>
            <w:vAlign w:val="center"/>
          </w:tcPr>
          <w:p w14:paraId="690FFFFF">
            <w:pPr>
              <w:widowControl/>
              <w:spacing w:line="240" w:lineRule="auto"/>
              <w:jc w:val="center"/>
              <w:rPr>
                <w:rFonts w:hint="default" w:ascii="Times New Roman" w:hAnsi="Times New Roman" w:eastAsia="宋体" w:cs="Times New Roman"/>
                <w:color w:val="auto"/>
                <w:sz w:val="21"/>
              </w:rPr>
            </w:pPr>
          </w:p>
        </w:tc>
        <w:tc>
          <w:tcPr>
            <w:tcW w:w="1168" w:type="dxa"/>
            <w:vMerge w:val="continue"/>
            <w:noWrap w:val="0"/>
            <w:vAlign w:val="center"/>
          </w:tcPr>
          <w:p w14:paraId="63F5ECE1">
            <w:pPr>
              <w:widowControl/>
              <w:spacing w:line="240" w:lineRule="auto"/>
              <w:jc w:val="center"/>
              <w:rPr>
                <w:rFonts w:hint="default" w:ascii="Times New Roman" w:hAnsi="Times New Roman" w:eastAsia="宋体" w:cs="Times New Roman"/>
                <w:color w:val="auto"/>
                <w:sz w:val="21"/>
              </w:rPr>
            </w:pPr>
          </w:p>
        </w:tc>
        <w:tc>
          <w:tcPr>
            <w:tcW w:w="3530" w:type="dxa"/>
            <w:noWrap w:val="0"/>
            <w:vAlign w:val="center"/>
          </w:tcPr>
          <w:p w14:paraId="236E48DA">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lang w:eastAsia="zh-CN"/>
              </w:rPr>
              <w:t>一般固废暂存间</w:t>
            </w:r>
          </w:p>
        </w:tc>
        <w:tc>
          <w:tcPr>
            <w:tcW w:w="1112" w:type="dxa"/>
            <w:vMerge w:val="continue"/>
            <w:noWrap w:val="0"/>
            <w:vAlign w:val="center"/>
          </w:tcPr>
          <w:p w14:paraId="586BB0D7">
            <w:pPr>
              <w:widowControl/>
              <w:spacing w:line="240" w:lineRule="auto"/>
              <w:jc w:val="center"/>
              <w:rPr>
                <w:rFonts w:hint="default" w:ascii="Times New Roman" w:hAnsi="Times New Roman" w:eastAsia="宋体" w:cs="Times New Roman"/>
                <w:color w:val="auto"/>
                <w:sz w:val="21"/>
              </w:rPr>
            </w:pPr>
          </w:p>
        </w:tc>
        <w:tc>
          <w:tcPr>
            <w:tcW w:w="1781" w:type="dxa"/>
            <w:noWrap w:val="0"/>
            <w:vAlign w:val="center"/>
          </w:tcPr>
          <w:p w14:paraId="3F4E2623">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环境监察部门</w:t>
            </w:r>
          </w:p>
        </w:tc>
      </w:tr>
      <w:tr w14:paraId="4401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9" w:type="dxa"/>
            <w:vMerge w:val="continue"/>
            <w:noWrap w:val="0"/>
            <w:vAlign w:val="center"/>
          </w:tcPr>
          <w:p w14:paraId="4B5F6189">
            <w:pPr>
              <w:widowControl/>
              <w:spacing w:line="240" w:lineRule="auto"/>
              <w:jc w:val="center"/>
              <w:rPr>
                <w:rFonts w:hint="default" w:ascii="Times New Roman" w:hAnsi="Times New Roman" w:eastAsia="宋体" w:cs="Times New Roman"/>
                <w:color w:val="auto"/>
                <w:sz w:val="21"/>
              </w:rPr>
            </w:pPr>
          </w:p>
        </w:tc>
        <w:tc>
          <w:tcPr>
            <w:tcW w:w="1168" w:type="dxa"/>
            <w:vMerge w:val="continue"/>
            <w:noWrap w:val="0"/>
            <w:vAlign w:val="center"/>
          </w:tcPr>
          <w:p w14:paraId="178B3FE5">
            <w:pPr>
              <w:widowControl/>
              <w:spacing w:line="240" w:lineRule="auto"/>
              <w:jc w:val="center"/>
              <w:rPr>
                <w:rFonts w:hint="default" w:ascii="Times New Roman" w:hAnsi="Times New Roman" w:eastAsia="宋体" w:cs="Times New Roman"/>
                <w:color w:val="auto"/>
                <w:sz w:val="21"/>
              </w:rPr>
            </w:pPr>
          </w:p>
        </w:tc>
        <w:tc>
          <w:tcPr>
            <w:tcW w:w="3530" w:type="dxa"/>
            <w:noWrap w:val="0"/>
            <w:vAlign w:val="center"/>
          </w:tcPr>
          <w:p w14:paraId="5AA7CD4F">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废机油收集桶</w:t>
            </w:r>
          </w:p>
        </w:tc>
        <w:tc>
          <w:tcPr>
            <w:tcW w:w="1112" w:type="dxa"/>
            <w:vMerge w:val="continue"/>
            <w:noWrap w:val="0"/>
            <w:vAlign w:val="center"/>
          </w:tcPr>
          <w:p w14:paraId="613373D2">
            <w:pPr>
              <w:widowControl/>
              <w:spacing w:line="240" w:lineRule="auto"/>
              <w:jc w:val="center"/>
              <w:rPr>
                <w:rFonts w:hint="default" w:ascii="Times New Roman" w:hAnsi="Times New Roman" w:eastAsia="宋体" w:cs="Times New Roman"/>
                <w:color w:val="auto"/>
                <w:sz w:val="21"/>
              </w:rPr>
            </w:pPr>
          </w:p>
        </w:tc>
        <w:tc>
          <w:tcPr>
            <w:tcW w:w="1781" w:type="dxa"/>
            <w:noWrap w:val="0"/>
            <w:vAlign w:val="center"/>
          </w:tcPr>
          <w:p w14:paraId="3EBA97AC">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环境监察部门</w:t>
            </w:r>
          </w:p>
        </w:tc>
      </w:tr>
      <w:tr w14:paraId="5EE4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09" w:type="dxa"/>
            <w:vMerge w:val="continue"/>
            <w:noWrap w:val="0"/>
            <w:vAlign w:val="center"/>
          </w:tcPr>
          <w:p w14:paraId="35FA6D23">
            <w:pPr>
              <w:widowControl/>
              <w:spacing w:line="240" w:lineRule="auto"/>
              <w:jc w:val="center"/>
              <w:rPr>
                <w:rFonts w:hint="default" w:ascii="Times New Roman" w:hAnsi="Times New Roman" w:eastAsia="宋体" w:cs="Times New Roman"/>
                <w:color w:val="auto"/>
                <w:sz w:val="21"/>
              </w:rPr>
            </w:pPr>
          </w:p>
        </w:tc>
        <w:tc>
          <w:tcPr>
            <w:tcW w:w="1168" w:type="dxa"/>
            <w:vMerge w:val="continue"/>
            <w:noWrap w:val="0"/>
            <w:vAlign w:val="center"/>
          </w:tcPr>
          <w:p w14:paraId="33CF9AA9">
            <w:pPr>
              <w:widowControl/>
              <w:spacing w:line="240" w:lineRule="auto"/>
              <w:jc w:val="center"/>
              <w:rPr>
                <w:rFonts w:hint="default" w:ascii="Times New Roman" w:hAnsi="Times New Roman" w:eastAsia="宋体" w:cs="Times New Roman"/>
                <w:color w:val="auto"/>
                <w:sz w:val="21"/>
              </w:rPr>
            </w:pPr>
          </w:p>
        </w:tc>
        <w:tc>
          <w:tcPr>
            <w:tcW w:w="3530" w:type="dxa"/>
            <w:noWrap w:val="0"/>
            <w:vAlign w:val="center"/>
          </w:tcPr>
          <w:p w14:paraId="7B810C0F">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危废暂存间</w:t>
            </w:r>
          </w:p>
        </w:tc>
        <w:tc>
          <w:tcPr>
            <w:tcW w:w="1112" w:type="dxa"/>
            <w:vMerge w:val="continue"/>
            <w:noWrap w:val="0"/>
            <w:vAlign w:val="center"/>
          </w:tcPr>
          <w:p w14:paraId="610CF1C6">
            <w:pPr>
              <w:widowControl/>
              <w:spacing w:line="240" w:lineRule="auto"/>
              <w:jc w:val="center"/>
              <w:rPr>
                <w:rFonts w:hint="default" w:ascii="Times New Roman" w:hAnsi="Times New Roman" w:eastAsia="宋体" w:cs="Times New Roman"/>
                <w:color w:val="auto"/>
                <w:sz w:val="21"/>
              </w:rPr>
            </w:pPr>
          </w:p>
        </w:tc>
        <w:tc>
          <w:tcPr>
            <w:tcW w:w="1781" w:type="dxa"/>
            <w:noWrap w:val="0"/>
            <w:vAlign w:val="center"/>
          </w:tcPr>
          <w:p w14:paraId="72C38A32">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城市管理部门</w:t>
            </w:r>
          </w:p>
        </w:tc>
      </w:tr>
      <w:tr w14:paraId="73B99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09" w:type="dxa"/>
            <w:vMerge w:val="continue"/>
            <w:noWrap w:val="0"/>
            <w:vAlign w:val="center"/>
          </w:tcPr>
          <w:p w14:paraId="4E5624DF">
            <w:pPr>
              <w:widowControl/>
              <w:spacing w:line="240" w:lineRule="auto"/>
              <w:jc w:val="center"/>
              <w:rPr>
                <w:rFonts w:hint="default" w:ascii="Times New Roman" w:hAnsi="Times New Roman" w:eastAsia="宋体" w:cs="Times New Roman"/>
                <w:color w:val="auto"/>
                <w:sz w:val="21"/>
              </w:rPr>
            </w:pPr>
          </w:p>
        </w:tc>
        <w:tc>
          <w:tcPr>
            <w:tcW w:w="1168" w:type="dxa"/>
            <w:noWrap w:val="0"/>
            <w:vAlign w:val="center"/>
          </w:tcPr>
          <w:p w14:paraId="0C2459D1">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3530" w:type="dxa"/>
            <w:noWrap w:val="0"/>
            <w:vAlign w:val="center"/>
          </w:tcPr>
          <w:p w14:paraId="716D4FFC">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选用低噪声设备、安装减震垫</w:t>
            </w:r>
          </w:p>
        </w:tc>
        <w:tc>
          <w:tcPr>
            <w:tcW w:w="1112" w:type="dxa"/>
            <w:vMerge w:val="continue"/>
            <w:noWrap w:val="0"/>
            <w:vAlign w:val="center"/>
          </w:tcPr>
          <w:p w14:paraId="5D26EF38">
            <w:pPr>
              <w:widowControl/>
              <w:spacing w:line="240" w:lineRule="auto"/>
              <w:jc w:val="center"/>
              <w:rPr>
                <w:rFonts w:hint="default" w:ascii="Times New Roman" w:hAnsi="Times New Roman" w:eastAsia="宋体" w:cs="Times New Roman"/>
                <w:color w:val="auto"/>
                <w:sz w:val="21"/>
              </w:rPr>
            </w:pPr>
          </w:p>
        </w:tc>
        <w:tc>
          <w:tcPr>
            <w:tcW w:w="1781" w:type="dxa"/>
            <w:noWrap w:val="0"/>
            <w:vAlign w:val="center"/>
          </w:tcPr>
          <w:p w14:paraId="3057EA04">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环境监察部门</w:t>
            </w:r>
          </w:p>
        </w:tc>
      </w:tr>
      <w:tr w14:paraId="3B2A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09" w:type="dxa"/>
            <w:vMerge w:val="continue"/>
            <w:noWrap w:val="0"/>
            <w:vAlign w:val="center"/>
          </w:tcPr>
          <w:p w14:paraId="6DE2FDE0">
            <w:pPr>
              <w:widowControl/>
              <w:spacing w:line="240" w:lineRule="auto"/>
              <w:jc w:val="center"/>
              <w:rPr>
                <w:rFonts w:hint="default" w:ascii="Times New Roman" w:hAnsi="Times New Roman" w:eastAsia="宋体" w:cs="Times New Roman"/>
                <w:color w:val="auto"/>
                <w:sz w:val="21"/>
              </w:rPr>
            </w:pPr>
          </w:p>
        </w:tc>
        <w:tc>
          <w:tcPr>
            <w:tcW w:w="1168" w:type="dxa"/>
            <w:vMerge w:val="restart"/>
            <w:noWrap w:val="0"/>
            <w:vAlign w:val="center"/>
          </w:tcPr>
          <w:p w14:paraId="2A4AB338">
            <w:pPr>
              <w:widowControl/>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废水</w:t>
            </w:r>
          </w:p>
        </w:tc>
        <w:tc>
          <w:tcPr>
            <w:tcW w:w="3530" w:type="dxa"/>
            <w:noWrap w:val="0"/>
            <w:vAlign w:val="center"/>
          </w:tcPr>
          <w:p w14:paraId="4BF27795">
            <w:pPr>
              <w:pStyle w:val="39"/>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项目生活污水经</w:t>
            </w:r>
            <w:r>
              <w:rPr>
                <w:rFonts w:hint="default" w:ascii="Times New Roman" w:hAnsi="Times New Roman" w:eastAsia="宋体" w:cs="Times New Roman"/>
                <w:color w:val="auto"/>
                <w:sz w:val="21"/>
                <w:szCs w:val="21"/>
                <w:lang w:val="en-US" w:eastAsia="zh-CN"/>
              </w:rPr>
              <w:t>1个</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隔油池、</w:t>
            </w:r>
            <w:r>
              <w:rPr>
                <w:rFonts w:hint="default" w:ascii="Times New Roman" w:hAnsi="Times New Roman" w:eastAsia="宋体" w:cs="Times New Roman"/>
                <w:color w:val="auto"/>
                <w:sz w:val="21"/>
                <w:szCs w:val="21"/>
                <w:lang w:val="en-US" w:eastAsia="zh-CN"/>
              </w:rPr>
              <w:t>1个</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化粪池处理后，</w:t>
            </w:r>
            <w:r>
              <w:rPr>
                <w:rFonts w:hint="eastAsia" w:ascii="Times New Roman" w:hAnsi="Times New Roman" w:cs="Times New Roman"/>
                <w:color w:val="auto"/>
                <w:sz w:val="21"/>
                <w:szCs w:val="21"/>
                <w:lang w:eastAsia="zh-CN"/>
              </w:rPr>
              <w:t>排入园区污水管网</w:t>
            </w:r>
          </w:p>
        </w:tc>
        <w:tc>
          <w:tcPr>
            <w:tcW w:w="1112" w:type="dxa"/>
            <w:vMerge w:val="continue"/>
            <w:noWrap w:val="0"/>
            <w:vAlign w:val="center"/>
          </w:tcPr>
          <w:p w14:paraId="1D2C9AD5">
            <w:pPr>
              <w:widowControl/>
              <w:spacing w:line="240" w:lineRule="auto"/>
              <w:jc w:val="center"/>
              <w:rPr>
                <w:rFonts w:hint="default" w:ascii="Times New Roman" w:hAnsi="Times New Roman" w:eastAsia="宋体" w:cs="Times New Roman"/>
                <w:color w:val="auto"/>
                <w:sz w:val="21"/>
              </w:rPr>
            </w:pPr>
          </w:p>
        </w:tc>
        <w:tc>
          <w:tcPr>
            <w:tcW w:w="1781" w:type="dxa"/>
            <w:noWrap w:val="0"/>
            <w:vAlign w:val="center"/>
          </w:tcPr>
          <w:p w14:paraId="4C6F77EB">
            <w:pPr>
              <w:widowControl/>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环境监察部门</w:t>
            </w:r>
          </w:p>
        </w:tc>
      </w:tr>
      <w:tr w14:paraId="0A985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09" w:type="dxa"/>
            <w:vMerge w:val="continue"/>
          </w:tcPr>
          <w:p w14:paraId="3DC4D143">
            <w:pPr>
              <w:widowControl/>
              <w:spacing w:line="240" w:lineRule="auto"/>
              <w:jc w:val="center"/>
              <w:rPr>
                <w:rFonts w:hint="default" w:ascii="Times New Roman" w:hAnsi="Times New Roman" w:eastAsia="宋体" w:cs="Times New Roman"/>
                <w:color w:val="auto"/>
                <w:sz w:val="21"/>
              </w:rPr>
            </w:pPr>
          </w:p>
        </w:tc>
        <w:tc>
          <w:tcPr>
            <w:tcW w:w="1168" w:type="dxa"/>
            <w:vMerge w:val="continue"/>
          </w:tcPr>
          <w:p w14:paraId="2C443297">
            <w:pPr>
              <w:widowControl/>
              <w:spacing w:line="240" w:lineRule="auto"/>
              <w:jc w:val="center"/>
              <w:rPr>
                <w:rFonts w:hint="eastAsia" w:ascii="Times New Roman" w:hAnsi="Times New Roman" w:eastAsia="宋体" w:cs="Times New Roman"/>
                <w:color w:val="auto"/>
                <w:sz w:val="21"/>
                <w:lang w:eastAsia="zh-CN"/>
              </w:rPr>
            </w:pPr>
          </w:p>
        </w:tc>
        <w:tc>
          <w:tcPr>
            <w:tcW w:w="0" w:type="auto"/>
            <w:vAlign w:val="center"/>
          </w:tcPr>
          <w:p w14:paraId="7A278694">
            <w:pPr>
              <w:pStyle w:val="39"/>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项目生产废水经</w:t>
            </w:r>
            <w:r>
              <w:rPr>
                <w:rFonts w:hint="eastAsia" w:ascii="Times New Roman" w:hAnsi="Times New Roman" w:cs="Times New Roman"/>
                <w:color w:val="auto"/>
                <w:sz w:val="21"/>
                <w:szCs w:val="21"/>
                <w:lang w:val="en-US" w:eastAsia="zh-CN"/>
              </w:rPr>
              <w:t>1个169m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的三级沉淀池处理后排入自建污水处理设备（20m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/d），处理后排入园区污水管网</w:t>
            </w:r>
          </w:p>
        </w:tc>
        <w:tc>
          <w:tcPr>
            <w:tcW w:w="1112" w:type="dxa"/>
            <w:vMerge w:val="continue"/>
          </w:tcPr>
          <w:p w14:paraId="74D8C226">
            <w:pPr>
              <w:widowControl/>
              <w:spacing w:line="240" w:lineRule="auto"/>
              <w:jc w:val="center"/>
              <w:rPr>
                <w:rFonts w:hint="default" w:ascii="Times New Roman" w:hAnsi="Times New Roman" w:eastAsia="宋体" w:cs="Times New Roman"/>
                <w:color w:val="auto"/>
                <w:sz w:val="21"/>
              </w:rPr>
            </w:pPr>
          </w:p>
        </w:tc>
        <w:tc>
          <w:tcPr>
            <w:tcW w:w="0" w:type="auto"/>
          </w:tcPr>
          <w:p w14:paraId="2BAD4B7C">
            <w:pPr>
              <w:widowControl/>
              <w:spacing w:line="240" w:lineRule="auto"/>
              <w:jc w:val="center"/>
              <w:rPr>
                <w:rFonts w:hint="default" w:ascii="Times New Roman" w:hAnsi="Times New Roman" w:eastAsia="宋体" w:cs="Times New Roman"/>
                <w:b/>
                <w:bCs/>
                <w:color w:val="auto"/>
                <w:sz w:val="21"/>
              </w:rPr>
            </w:pPr>
            <w:r>
              <w:rPr>
                <w:rFonts w:hint="default" w:ascii="Times New Roman" w:hAnsi="Times New Roman" w:eastAsia="宋体" w:cs="Times New Roman"/>
                <w:color w:val="auto"/>
                <w:sz w:val="21"/>
              </w:rPr>
              <w:t>环境监察部门</w:t>
            </w:r>
          </w:p>
        </w:tc>
      </w:tr>
    </w:tbl>
    <w:p w14:paraId="00324BA5">
      <w:pPr>
        <w:adjustRightInd w:val="0"/>
        <w:snapToGrid w:val="0"/>
        <w:spacing w:beforeLines="50"/>
        <w:outlineLvl w:val="1"/>
        <w:rPr>
          <w:rFonts w:hint="default" w:ascii="Times New Roman" w:hAnsi="Times New Roman" w:eastAsia="宋体" w:cs="Times New Roman"/>
          <w:b/>
          <w:color w:val="auto"/>
          <w:sz w:val="32"/>
          <w:szCs w:val="32"/>
        </w:rPr>
      </w:pPr>
      <w:r>
        <w:rPr>
          <w:rFonts w:hint="default" w:ascii="Times New Roman" w:hAnsi="Times New Roman" w:eastAsia="宋体" w:cs="Times New Roman"/>
          <w:b/>
          <w:color w:val="auto"/>
          <w:sz w:val="32"/>
          <w:szCs w:val="32"/>
        </w:rPr>
        <w:t>10.3环境监测</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68D000FA">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571" w:name="_Toc16538"/>
      <w:bookmarkStart w:id="572" w:name="_Toc525806620"/>
      <w:bookmarkStart w:id="573" w:name="_Toc269467913"/>
      <w:bookmarkStart w:id="574" w:name="_Toc269463733"/>
      <w:bookmarkStart w:id="575" w:name="_Toc269463550"/>
      <w:bookmarkStart w:id="576" w:name="_Toc269467729"/>
      <w:bookmarkStart w:id="577" w:name="_Toc295682510"/>
      <w:bookmarkStart w:id="578" w:name="_Toc269458000"/>
      <w:bookmarkStart w:id="579" w:name="_Toc275947733"/>
      <w:bookmarkStart w:id="580" w:name="_Toc269456680"/>
      <w:bookmarkStart w:id="581" w:name="_Toc335040580"/>
      <w:bookmarkStart w:id="582" w:name="_Toc269464282"/>
      <w:bookmarkStart w:id="583" w:name="_Toc28547"/>
      <w:bookmarkStart w:id="584" w:name="_Toc16368"/>
      <w:bookmarkStart w:id="585" w:name="_Toc277879990"/>
      <w:bookmarkStart w:id="586" w:name="_Toc269469938"/>
      <w:bookmarkStart w:id="587" w:name="_Toc269467546"/>
      <w:bookmarkStart w:id="588" w:name="_Toc10198"/>
      <w:bookmarkStart w:id="589" w:name="_Toc269470123"/>
      <w:bookmarkStart w:id="590" w:name="_Toc269469429"/>
      <w:bookmarkStart w:id="591" w:name="_Toc269462387"/>
      <w:bookmarkStart w:id="592" w:name="_Toc14328"/>
      <w:bookmarkStart w:id="593" w:name="_Toc32113"/>
      <w:bookmarkStart w:id="594" w:name="_Toc295681997"/>
      <w:bookmarkStart w:id="595" w:name="_Toc2693253"/>
      <w:bookmarkStart w:id="596" w:name="_Toc269469610"/>
      <w:bookmarkStart w:id="597" w:name="_Toc299349043"/>
      <w:bookmarkStart w:id="598" w:name="_Toc2037"/>
      <w:bookmarkStart w:id="599" w:name="_Toc269462671"/>
      <w:bookmarkStart w:id="600" w:name="_Toc269467228"/>
      <w:bookmarkStart w:id="601" w:name="_Toc3386"/>
      <w:bookmarkStart w:id="602" w:name="_Toc277919427"/>
      <w:bookmarkStart w:id="603" w:name="_Toc277880170"/>
      <w:bookmarkStart w:id="604" w:name="_Toc269456858"/>
      <w:r>
        <w:rPr>
          <w:rFonts w:hint="default" w:ascii="Times New Roman" w:hAnsi="Times New Roman" w:eastAsia="宋体" w:cs="Times New Roman"/>
          <w:color w:val="auto"/>
          <w:sz w:val="28"/>
          <w:szCs w:val="28"/>
        </w:rPr>
        <w:t>10.3.1监测任务及监测机构</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62407D53">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环境监测是项目环境管理工作的重要组成部分，是对项目本身营运过程中所排放的污染物进行定期或不定期的监测，以掌握环境质量及其变化趋势，为控制污染物和净化环境提供依据。项目外环境的监测可以检验项目管理和治理的改进程度，也是环保管理部门对项目环保工作的重要监控手段，项目内的环境监测可以掌握污染物的排放情况，也是企业防治污染，控制排放量的有效手段。</w:t>
      </w:r>
    </w:p>
    <w:p w14:paraId="28A652F5">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605" w:name="_Toc26387"/>
      <w:bookmarkStart w:id="606" w:name="_Toc19298"/>
      <w:bookmarkStart w:id="607" w:name="_Toc5631"/>
      <w:bookmarkStart w:id="608" w:name="_Toc2693254"/>
      <w:bookmarkStart w:id="609" w:name="_Toc22699"/>
      <w:bookmarkStart w:id="610" w:name="_Toc13002"/>
      <w:bookmarkStart w:id="611" w:name="_Toc25628"/>
      <w:bookmarkStart w:id="612" w:name="_Toc525806621"/>
      <w:bookmarkStart w:id="613" w:name="_Toc2699"/>
      <w:bookmarkStart w:id="614" w:name="_Toc16648"/>
      <w:r>
        <w:rPr>
          <w:rFonts w:hint="default" w:ascii="Times New Roman" w:hAnsi="Times New Roman" w:eastAsia="宋体" w:cs="Times New Roman"/>
          <w:color w:val="auto"/>
          <w:sz w:val="28"/>
          <w:szCs w:val="28"/>
        </w:rPr>
        <w:t>10.3.2环境监测机构及检测仪器配置</w:t>
      </w:r>
      <w:bookmarkEnd w:id="605"/>
      <w:bookmarkEnd w:id="606"/>
      <w:bookmarkEnd w:id="607"/>
      <w:bookmarkEnd w:id="608"/>
      <w:bookmarkEnd w:id="609"/>
      <w:bookmarkEnd w:id="610"/>
      <w:bookmarkEnd w:id="611"/>
      <w:bookmarkEnd w:id="612"/>
      <w:bookmarkEnd w:id="613"/>
      <w:bookmarkEnd w:id="614"/>
    </w:p>
    <w:p w14:paraId="22116A50">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kern w:val="0"/>
        </w:rPr>
        <w:t>项目外环境的监测应由</w:t>
      </w:r>
      <w:r>
        <w:rPr>
          <w:rFonts w:hint="default" w:ascii="Times New Roman" w:hAnsi="Times New Roman" w:eastAsia="宋体" w:cs="Times New Roman"/>
          <w:color w:val="auto"/>
        </w:rPr>
        <w:t>环保管理部门认可的专业监测单位进行，监测频次及监测项目按环保</w:t>
      </w:r>
      <w:r>
        <w:rPr>
          <w:rFonts w:hint="default" w:ascii="Times New Roman" w:hAnsi="Times New Roman" w:eastAsia="宋体" w:cs="Times New Roman"/>
          <w:color w:val="auto"/>
          <w:lang w:eastAsia="zh-CN"/>
        </w:rPr>
        <w:t>部门</w:t>
      </w:r>
      <w:r>
        <w:rPr>
          <w:rFonts w:hint="default" w:ascii="Times New Roman" w:hAnsi="Times New Roman" w:eastAsia="宋体" w:cs="Times New Roman"/>
          <w:color w:val="auto"/>
        </w:rPr>
        <w:t>的相关规定进行。项目内的环境监测可以由企业内部专业的环境监测分析人员或委托具有资质的环境监测部门进行。监测结果建档并定期上报环保部门。</w:t>
      </w:r>
    </w:p>
    <w:p w14:paraId="7B815A69">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环境监测仪器主要有常规监测分析仪器和在线监测仪器，具体配置如下：</w:t>
      </w:r>
    </w:p>
    <w:p w14:paraId="085119A8">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按监测计划配置环境监测仪器：pH测定仪、分析天平和其他常规化学分析仪器及药品。</w:t>
      </w:r>
    </w:p>
    <w:p w14:paraId="669A0851">
      <w:pPr>
        <w:pStyle w:val="11"/>
        <w:adjustRightInd w:val="0"/>
        <w:snapToGrid w:val="0"/>
        <w:spacing w:beforeLines="50" w:after="0" w:line="360" w:lineRule="auto"/>
        <w:rPr>
          <w:rFonts w:hint="default" w:ascii="Times New Roman" w:hAnsi="Times New Roman" w:eastAsia="宋体" w:cs="Times New Roman"/>
          <w:color w:val="auto"/>
          <w:sz w:val="28"/>
          <w:szCs w:val="28"/>
        </w:rPr>
      </w:pPr>
      <w:bookmarkStart w:id="615" w:name="_Toc269467914"/>
      <w:bookmarkStart w:id="616" w:name="_Toc269464283"/>
      <w:bookmarkStart w:id="617" w:name="_Toc525806622"/>
      <w:bookmarkStart w:id="618" w:name="_Toc269470124"/>
      <w:bookmarkStart w:id="619" w:name="_Toc2693255"/>
      <w:bookmarkStart w:id="620" w:name="_Toc269467229"/>
      <w:bookmarkStart w:id="621" w:name="_Toc295682511"/>
      <w:bookmarkStart w:id="622" w:name="_Toc269458001"/>
      <w:bookmarkStart w:id="623" w:name="_Toc269467730"/>
      <w:bookmarkStart w:id="624" w:name="_Toc269456859"/>
      <w:bookmarkStart w:id="625" w:name="_Toc335040581"/>
      <w:bookmarkStart w:id="626" w:name="_Toc299349044"/>
      <w:bookmarkStart w:id="627" w:name="_Toc269456681"/>
      <w:bookmarkStart w:id="628" w:name="_Toc25081"/>
      <w:bookmarkStart w:id="629" w:name="_Toc269463551"/>
      <w:bookmarkStart w:id="630" w:name="_Toc295681998"/>
      <w:bookmarkStart w:id="631" w:name="_Toc5117"/>
      <w:bookmarkStart w:id="632" w:name="_Toc277919428"/>
      <w:bookmarkStart w:id="633" w:name="_Toc2558"/>
      <w:bookmarkStart w:id="634" w:name="_Toc21374"/>
      <w:bookmarkStart w:id="635" w:name="_Toc269467547"/>
      <w:bookmarkStart w:id="636" w:name="_Toc269469611"/>
      <w:bookmarkStart w:id="637" w:name="_Toc269462672"/>
      <w:bookmarkStart w:id="638" w:name="_Toc32419"/>
      <w:bookmarkStart w:id="639" w:name="_Toc31023"/>
      <w:bookmarkStart w:id="640" w:name="_Toc5390"/>
      <w:bookmarkStart w:id="641" w:name="_Toc277879991"/>
      <w:bookmarkStart w:id="642" w:name="_Toc15181"/>
      <w:bookmarkStart w:id="643" w:name="_Toc275947734"/>
      <w:bookmarkStart w:id="644" w:name="_Toc277880171"/>
      <w:bookmarkStart w:id="645" w:name="_Toc269469430"/>
      <w:bookmarkStart w:id="646" w:name="_Toc269462388"/>
      <w:bookmarkStart w:id="647" w:name="_Toc269463734"/>
      <w:bookmarkStart w:id="648" w:name="_Toc269469939"/>
      <w:r>
        <w:rPr>
          <w:rFonts w:hint="default" w:ascii="Times New Roman" w:hAnsi="Times New Roman" w:eastAsia="宋体" w:cs="Times New Roman"/>
          <w:color w:val="auto"/>
          <w:sz w:val="28"/>
          <w:szCs w:val="28"/>
        </w:rPr>
        <w:t>10.3.3监测内容及计划</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3CD5F82F">
      <w:pPr>
        <w:adjustRightInd w:val="0"/>
        <w:snapToGrid w:val="0"/>
        <w:outlineLvl w:val="3"/>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10.3.3.1监测计划</w:t>
      </w:r>
    </w:p>
    <w:p w14:paraId="6BB83925">
      <w:pPr>
        <w:adjustRightInd w:val="0"/>
        <w:snapToGrid w:val="0"/>
        <w:ind w:firstLine="480" w:firstLineChars="200"/>
        <w:rPr>
          <w:rFonts w:hint="default" w:ascii="Times New Roman" w:hAnsi="Times New Roman" w:eastAsia="宋体" w:cs="Times New Roman"/>
          <w:b/>
          <w:color w:val="auto"/>
        </w:rPr>
      </w:pPr>
      <w:r>
        <w:rPr>
          <w:rFonts w:hint="default" w:ascii="Times New Roman" w:hAnsi="Times New Roman" w:eastAsia="宋体" w:cs="Times New Roman"/>
          <w:color w:val="auto"/>
        </w:rPr>
        <w:t>环境监测计划包括污染源监测计划和环境质量监测计划，企业运行期间严格按照《排污单位自行监测技术指南 总则》中规定的污水处理监测的项目与周期进行监测，项目正常施工和运营情况下的污染源监测计划和环境质量监测计划见表10.3-1。当发生污染事故时，应根据具体情况相应增加监测频率，并进行追踪监测。</w:t>
      </w:r>
    </w:p>
    <w:p w14:paraId="334E3E6B">
      <w:pPr>
        <w:adjustRightInd w:val="0"/>
        <w:snapToGrid w:val="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表10.3-1 环境污染物常规监测计划表</w:t>
      </w:r>
    </w:p>
    <w:tbl>
      <w:tblPr>
        <w:tblStyle w:val="66"/>
        <w:tblW w:w="85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8"/>
        <w:gridCol w:w="731"/>
        <w:gridCol w:w="1589"/>
        <w:gridCol w:w="1784"/>
        <w:gridCol w:w="2458"/>
        <w:gridCol w:w="1558"/>
      </w:tblGrid>
      <w:tr w14:paraId="1C4597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9" w:type="dxa"/>
            <w:gridSpan w:val="2"/>
            <w:tcBorders>
              <w:left w:val="single" w:color="auto" w:sz="4" w:space="0"/>
            </w:tcBorders>
            <w:noWrap w:val="0"/>
            <w:vAlign w:val="center"/>
          </w:tcPr>
          <w:p w14:paraId="666A94F5">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w:t>
            </w:r>
          </w:p>
          <w:p w14:paraId="77B0C7D3">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1589" w:type="dxa"/>
            <w:noWrap w:val="0"/>
            <w:vAlign w:val="center"/>
          </w:tcPr>
          <w:p w14:paraId="435731D9">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w:t>
            </w:r>
          </w:p>
          <w:p w14:paraId="05B73402">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地点</w:t>
            </w:r>
          </w:p>
        </w:tc>
        <w:tc>
          <w:tcPr>
            <w:tcW w:w="1784" w:type="dxa"/>
            <w:noWrap w:val="0"/>
            <w:vAlign w:val="center"/>
          </w:tcPr>
          <w:p w14:paraId="199B52AE">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监测参数</w:t>
            </w:r>
          </w:p>
        </w:tc>
        <w:tc>
          <w:tcPr>
            <w:tcW w:w="2458" w:type="dxa"/>
            <w:noWrap w:val="0"/>
            <w:vAlign w:val="center"/>
          </w:tcPr>
          <w:p w14:paraId="4C8E072C">
            <w:pPr>
              <w:adjustRightInd w:val="0"/>
              <w:snapToGrid w:val="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监测频率</w:t>
            </w:r>
          </w:p>
        </w:tc>
        <w:tc>
          <w:tcPr>
            <w:tcW w:w="1558" w:type="dxa"/>
            <w:tcBorders>
              <w:right w:val="single" w:color="auto" w:sz="4" w:space="0"/>
            </w:tcBorders>
            <w:noWrap w:val="0"/>
            <w:vAlign w:val="center"/>
          </w:tcPr>
          <w:p w14:paraId="6E9303BC">
            <w:pPr>
              <w:adjustRightInd w:val="0"/>
              <w:snapToGrid w:val="0"/>
              <w:ind w:right="-122" w:rightChars="-51"/>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监测方法</w:t>
            </w:r>
          </w:p>
        </w:tc>
      </w:tr>
      <w:tr w14:paraId="7EF408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408" w:type="dxa"/>
            <w:vMerge w:val="restart"/>
            <w:tcBorders>
              <w:left w:val="single" w:color="auto" w:sz="4" w:space="0"/>
            </w:tcBorders>
            <w:noWrap w:val="0"/>
            <w:vAlign w:val="center"/>
          </w:tcPr>
          <w:p w14:paraId="178FEB0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731" w:type="dxa"/>
            <w:tcBorders>
              <w:left w:val="single" w:color="auto" w:sz="4" w:space="0"/>
            </w:tcBorders>
            <w:noWrap w:val="0"/>
            <w:vAlign w:val="center"/>
          </w:tcPr>
          <w:p w14:paraId="3C2A908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水环境</w:t>
            </w:r>
          </w:p>
        </w:tc>
        <w:tc>
          <w:tcPr>
            <w:tcW w:w="1589" w:type="dxa"/>
            <w:noWrap w:val="0"/>
            <w:vAlign w:val="center"/>
          </w:tcPr>
          <w:p w14:paraId="6985841B">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项目</w:t>
            </w:r>
            <w:r>
              <w:rPr>
                <w:rFonts w:hint="default" w:ascii="Times New Roman" w:hAnsi="Times New Roman" w:cs="Times New Roman"/>
                <w:color w:val="auto"/>
                <w:sz w:val="21"/>
                <w:szCs w:val="21"/>
                <w:lang w:eastAsia="zh-CN"/>
              </w:rPr>
              <w:t>自建</w:t>
            </w:r>
            <w:r>
              <w:rPr>
                <w:rFonts w:hint="default" w:ascii="Times New Roman" w:hAnsi="Times New Roman" w:cs="Times New Roman"/>
                <w:color w:val="auto"/>
                <w:sz w:val="21"/>
                <w:szCs w:val="21"/>
              </w:rPr>
              <w:t>污水</w:t>
            </w:r>
            <w:r>
              <w:rPr>
                <w:rFonts w:hint="default" w:ascii="Times New Roman" w:hAnsi="Times New Roman" w:cs="Times New Roman"/>
                <w:color w:val="auto"/>
                <w:sz w:val="21"/>
                <w:szCs w:val="21"/>
                <w:lang w:eastAsia="zh-CN"/>
              </w:rPr>
              <w:t>处理站的进出口</w:t>
            </w:r>
            <w:r>
              <w:rPr>
                <w:rFonts w:hint="eastAsia" w:ascii="Times New Roman" w:hAnsi="Times New Roman" w:cs="Times New Roman"/>
                <w:color w:val="auto"/>
                <w:sz w:val="21"/>
                <w:szCs w:val="21"/>
                <w:lang w:eastAsia="zh-CN"/>
              </w:rPr>
              <w:t>以及总排口</w:t>
            </w:r>
          </w:p>
        </w:tc>
        <w:tc>
          <w:tcPr>
            <w:tcW w:w="1784" w:type="dxa"/>
            <w:noWrap w:val="0"/>
            <w:vAlign w:val="center"/>
          </w:tcPr>
          <w:p w14:paraId="1C43EFF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-N、动植物油等</w:t>
            </w:r>
          </w:p>
        </w:tc>
        <w:tc>
          <w:tcPr>
            <w:tcW w:w="2458" w:type="dxa"/>
            <w:noWrap w:val="0"/>
            <w:vAlign w:val="center"/>
          </w:tcPr>
          <w:p w14:paraId="59FA860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验收时监测1次，验收后纳入当地环境保护局的正常监测管理。</w:t>
            </w:r>
          </w:p>
        </w:tc>
        <w:tc>
          <w:tcPr>
            <w:tcW w:w="1558" w:type="dxa"/>
            <w:tcBorders>
              <w:right w:val="single" w:color="auto" w:sz="4" w:space="0"/>
            </w:tcBorders>
            <w:noWrap w:val="0"/>
            <w:vAlign w:val="center"/>
          </w:tcPr>
          <w:p w14:paraId="6080DF7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按国家标准方法进行</w:t>
            </w:r>
          </w:p>
        </w:tc>
      </w:tr>
      <w:tr w14:paraId="391B33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dxa"/>
            <w:vMerge w:val="continue"/>
            <w:tcBorders>
              <w:left w:val="single" w:color="auto" w:sz="4" w:space="0"/>
            </w:tcBorders>
            <w:noWrap w:val="0"/>
            <w:vAlign w:val="center"/>
          </w:tcPr>
          <w:p w14:paraId="26C34409">
            <w:pPr>
              <w:adjustRightInd w:val="0"/>
              <w:snapToGrid w:val="0"/>
              <w:jc w:val="center"/>
              <w:rPr>
                <w:rFonts w:hint="default" w:ascii="Times New Roman" w:hAnsi="Times New Roman" w:cs="Times New Roman"/>
                <w:color w:val="auto"/>
                <w:sz w:val="21"/>
                <w:szCs w:val="21"/>
              </w:rPr>
            </w:pPr>
          </w:p>
        </w:tc>
        <w:tc>
          <w:tcPr>
            <w:tcW w:w="731" w:type="dxa"/>
            <w:tcBorders>
              <w:left w:val="single" w:color="auto" w:sz="4" w:space="0"/>
            </w:tcBorders>
            <w:noWrap w:val="0"/>
            <w:vAlign w:val="center"/>
          </w:tcPr>
          <w:p w14:paraId="70674EC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589" w:type="dxa"/>
            <w:noWrap w:val="0"/>
            <w:vAlign w:val="center"/>
          </w:tcPr>
          <w:p w14:paraId="3D15EE6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项目厂界</w:t>
            </w:r>
            <w:r>
              <w:rPr>
                <w:rFonts w:hint="default" w:ascii="Times New Roman" w:hAnsi="Times New Roman" w:cs="Times New Roman"/>
                <w:color w:val="auto"/>
                <w:sz w:val="21"/>
                <w:szCs w:val="21"/>
                <w:lang w:eastAsia="zh-CN"/>
              </w:rPr>
              <w:t>四周</w:t>
            </w:r>
          </w:p>
        </w:tc>
        <w:tc>
          <w:tcPr>
            <w:tcW w:w="1784" w:type="dxa"/>
            <w:noWrap w:val="0"/>
            <w:vAlign w:val="center"/>
          </w:tcPr>
          <w:p w14:paraId="5ACDB60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Leq（A）</w:t>
            </w:r>
          </w:p>
        </w:tc>
        <w:tc>
          <w:tcPr>
            <w:tcW w:w="2458" w:type="dxa"/>
            <w:noWrap w:val="0"/>
            <w:vAlign w:val="center"/>
          </w:tcPr>
          <w:p w14:paraId="740BA9A4">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验收时监测1次，验收后纳入当地环境保护局的正常监测管理。</w:t>
            </w:r>
          </w:p>
        </w:tc>
        <w:tc>
          <w:tcPr>
            <w:tcW w:w="1558" w:type="dxa"/>
            <w:tcBorders>
              <w:right w:val="single" w:color="auto" w:sz="4" w:space="0"/>
            </w:tcBorders>
            <w:noWrap w:val="0"/>
            <w:vAlign w:val="center"/>
          </w:tcPr>
          <w:p w14:paraId="09664A7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按国家标准方法进行</w:t>
            </w:r>
          </w:p>
        </w:tc>
      </w:tr>
      <w:tr w14:paraId="53714D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08" w:type="dxa"/>
            <w:vMerge w:val="continue"/>
            <w:tcBorders>
              <w:left w:val="single" w:color="auto" w:sz="4" w:space="0"/>
            </w:tcBorders>
            <w:noWrap w:val="0"/>
            <w:vAlign w:val="center"/>
          </w:tcPr>
          <w:p w14:paraId="6C835E5D">
            <w:pPr>
              <w:adjustRightInd w:val="0"/>
              <w:snapToGrid w:val="0"/>
              <w:jc w:val="center"/>
              <w:rPr>
                <w:rFonts w:hint="default" w:ascii="Times New Roman" w:hAnsi="Times New Roman" w:cs="Times New Roman"/>
                <w:color w:val="auto"/>
                <w:sz w:val="21"/>
                <w:szCs w:val="21"/>
              </w:rPr>
            </w:pPr>
          </w:p>
        </w:tc>
        <w:tc>
          <w:tcPr>
            <w:tcW w:w="731" w:type="dxa"/>
            <w:tcBorders>
              <w:left w:val="single" w:color="auto" w:sz="4" w:space="0"/>
            </w:tcBorders>
            <w:noWrap w:val="0"/>
            <w:vAlign w:val="center"/>
          </w:tcPr>
          <w:p w14:paraId="3367721E">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大气环境</w:t>
            </w:r>
          </w:p>
        </w:tc>
        <w:tc>
          <w:tcPr>
            <w:tcW w:w="1589" w:type="dxa"/>
            <w:noWrap w:val="0"/>
            <w:vAlign w:val="center"/>
          </w:tcPr>
          <w:p w14:paraId="043F6E72">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厂界上风向1个点，下风向</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个点</w:t>
            </w:r>
          </w:p>
        </w:tc>
        <w:tc>
          <w:tcPr>
            <w:tcW w:w="1784" w:type="dxa"/>
            <w:noWrap w:val="0"/>
            <w:vAlign w:val="center"/>
          </w:tcPr>
          <w:p w14:paraId="54CA0BFC">
            <w:pPr>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无组织</w:t>
            </w:r>
            <w:r>
              <w:rPr>
                <w:rFonts w:hint="eastAsia" w:ascii="Times New Roman" w:hAnsi="Times New Roman" w:cs="Times New Roman"/>
                <w:color w:val="auto"/>
                <w:sz w:val="21"/>
                <w:szCs w:val="21"/>
                <w:lang w:eastAsia="zh-CN"/>
              </w:rPr>
              <w:t>粉尘</w:t>
            </w:r>
          </w:p>
        </w:tc>
        <w:tc>
          <w:tcPr>
            <w:tcW w:w="2458" w:type="dxa"/>
            <w:noWrap w:val="0"/>
            <w:vAlign w:val="center"/>
          </w:tcPr>
          <w:p w14:paraId="15FBCB1D">
            <w:pPr>
              <w:adjustRightInd w:val="0"/>
              <w:snapToGrid w:val="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验收时监测1次，验收后纳入当地环境保护局的正常监测管理。</w:t>
            </w:r>
          </w:p>
        </w:tc>
        <w:tc>
          <w:tcPr>
            <w:tcW w:w="1558" w:type="dxa"/>
            <w:tcBorders>
              <w:right w:val="single" w:color="auto" w:sz="4" w:space="0"/>
            </w:tcBorders>
            <w:noWrap w:val="0"/>
            <w:vAlign w:val="center"/>
          </w:tcPr>
          <w:p w14:paraId="5B3B1B0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按国家标准方法进行</w:t>
            </w:r>
          </w:p>
        </w:tc>
      </w:tr>
    </w:tbl>
    <w:p w14:paraId="5706D7A2">
      <w:pPr>
        <w:adjustRightInd w:val="0"/>
        <w:snapToGrid w:val="0"/>
        <w:outlineLvl w:val="3"/>
        <w:rPr>
          <w:rFonts w:hint="default" w:ascii="Times New Roman" w:hAnsi="Times New Roman" w:eastAsia="宋体" w:cs="Times New Roman"/>
          <w:b/>
          <w:color w:val="auto"/>
        </w:rPr>
      </w:pPr>
      <w:r>
        <w:rPr>
          <w:rFonts w:hint="default" w:ascii="Times New Roman" w:hAnsi="Times New Roman" w:eastAsia="宋体" w:cs="Times New Roman"/>
          <w:b/>
          <w:color w:val="auto"/>
        </w:rPr>
        <w:t>10.3.3.2监测数据的审核和存档</w:t>
      </w:r>
    </w:p>
    <w:p w14:paraId="78850CFC">
      <w:pPr>
        <w:adjustRightInd w:val="0"/>
        <w:snapToGrid w:val="0"/>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监测数据应及时记录、统计整理，每年由企业环保部门将监测资料汇总整理后，送厂领导审查。企业环保部门应对监测数据进行认真分析评价，及时反馈给相关部门，作为评价污染防治运行效果的依据。</w:t>
      </w:r>
    </w:p>
    <w:p w14:paraId="5E9049E1">
      <w:pPr>
        <w:adjustRightInd w:val="0"/>
        <w:snapToGrid w:val="0"/>
        <w:spacing w:beforeLines="50"/>
        <w:outlineLvl w:val="1"/>
        <w:rPr>
          <w:rFonts w:hint="default" w:ascii="Times New Roman" w:hAnsi="Times New Roman" w:eastAsia="宋体" w:cs="Times New Roman"/>
          <w:b/>
          <w:color w:val="auto"/>
          <w:sz w:val="32"/>
          <w:szCs w:val="32"/>
        </w:rPr>
      </w:pPr>
      <w:bookmarkStart w:id="649" w:name="_Toc2693256"/>
      <w:bookmarkStart w:id="650" w:name="_Toc7434"/>
      <w:r>
        <w:rPr>
          <w:rFonts w:hint="default" w:ascii="Times New Roman" w:hAnsi="Times New Roman" w:eastAsia="宋体" w:cs="Times New Roman"/>
          <w:b/>
          <w:color w:val="auto"/>
          <w:sz w:val="32"/>
          <w:szCs w:val="32"/>
        </w:rPr>
        <w:t>10.4总量控制指标</w:t>
      </w:r>
      <w:bookmarkEnd w:id="649"/>
      <w:bookmarkEnd w:id="650"/>
    </w:p>
    <w:p w14:paraId="4784DADB">
      <w:pPr>
        <w:spacing w:line="46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污染物总量控制是针对工程分析、环保治理措施及环境影响预测和分析的结果，贯彻清洁生产的原则，根据有关总量控制原则，分析确定项目废水、废气等污染物总量控制方案，为环保部门监督管理提供依据。</w:t>
      </w:r>
    </w:p>
    <w:p w14:paraId="53199E40">
      <w:pPr>
        <w:spacing w:beforeLines="50"/>
        <w:outlineLvl w:val="2"/>
        <w:rPr>
          <w:rFonts w:hint="default" w:ascii="Times New Roman" w:hAnsi="Times New Roman" w:eastAsia="宋体" w:cs="Times New Roman"/>
          <w:b/>
          <w:bCs/>
          <w:color w:val="auto"/>
          <w:sz w:val="28"/>
          <w:szCs w:val="28"/>
        </w:rPr>
      </w:pPr>
      <w:bookmarkStart w:id="651" w:name="_Toc533674937"/>
      <w:bookmarkStart w:id="652" w:name="_Toc30397"/>
      <w:r>
        <w:rPr>
          <w:rFonts w:hint="default" w:ascii="Times New Roman" w:hAnsi="Times New Roman" w:eastAsia="宋体" w:cs="Times New Roman"/>
          <w:b/>
          <w:bCs/>
          <w:color w:val="auto"/>
          <w:sz w:val="28"/>
          <w:szCs w:val="28"/>
        </w:rPr>
        <w:t>10.4.1总量控制原则</w:t>
      </w:r>
      <w:bookmarkEnd w:id="651"/>
    </w:p>
    <w:bookmarkEnd w:id="652"/>
    <w:p w14:paraId="66730D81">
      <w:pPr>
        <w:spacing w:line="460" w:lineRule="exact"/>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根据国家总量控制原则及工程特点，确定该项目总量控制原则是：认真贯彻清洁生产原则，排放污染物稳定达标原则，将污染排放总量降至最低水平。</w:t>
      </w:r>
    </w:p>
    <w:p w14:paraId="67837013">
      <w:pPr>
        <w:spacing w:beforeLines="50"/>
        <w:outlineLvl w:val="2"/>
        <w:rPr>
          <w:rFonts w:hint="default" w:ascii="Times New Roman" w:hAnsi="Times New Roman" w:eastAsia="宋体" w:cs="Times New Roman"/>
          <w:b/>
          <w:bCs/>
          <w:color w:val="auto"/>
          <w:sz w:val="28"/>
          <w:szCs w:val="28"/>
        </w:rPr>
      </w:pPr>
      <w:bookmarkStart w:id="653" w:name="_Toc20083"/>
      <w:bookmarkStart w:id="654" w:name="_Toc533674938"/>
      <w:r>
        <w:rPr>
          <w:rFonts w:hint="default" w:ascii="Times New Roman" w:hAnsi="Times New Roman" w:eastAsia="宋体" w:cs="Times New Roman"/>
          <w:b/>
          <w:bCs/>
          <w:color w:val="auto"/>
          <w:sz w:val="28"/>
          <w:szCs w:val="28"/>
        </w:rPr>
        <w:t>10.4.2污染物排放总量控制措施及建议指标</w:t>
      </w:r>
      <w:bookmarkEnd w:id="653"/>
      <w:bookmarkEnd w:id="654"/>
    </w:p>
    <w:p w14:paraId="4B1E749E">
      <w:pPr>
        <w:spacing w:line="440" w:lineRule="exact"/>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污染物总量控制指以不降低受纳环境的环境功能为原则，将区域内污染物的排放量控制在一定数量内，使接纳污染物的水体、环境空气等环境质量可以达到规定的环境目标。</w:t>
      </w:r>
    </w:p>
    <w:p w14:paraId="7EBE16EB">
      <w:pPr>
        <w:spacing w:line="440" w:lineRule="exact"/>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根据本项目的具体情况，结合国家污染物排放总量控制原则，建议本项目的总量控制指标如下：</w:t>
      </w:r>
    </w:p>
    <w:p w14:paraId="7A105C66">
      <w:pPr>
        <w:numPr>
          <w:ilvl w:val="0"/>
          <w:numId w:val="12"/>
        </w:numPr>
        <w:spacing w:line="440" w:lineRule="exact"/>
        <w:ind w:firstLine="480" w:firstLineChars="200"/>
        <w:rPr>
          <w:rFonts w:hint="default" w:ascii="Times New Roman" w:hAnsi="Times New Roman" w:eastAsia="宋体" w:cs="Times New Roman"/>
          <w:color w:val="auto"/>
        </w:rPr>
      </w:pPr>
      <w:r>
        <w:rPr>
          <w:rFonts w:hint="eastAsia" w:ascii="Times New Roman" w:hAnsi="Times New Roman" w:cs="Times New Roman"/>
          <w:color w:val="auto"/>
          <w:lang w:eastAsia="zh-CN"/>
        </w:rPr>
        <w:t>废水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废</w:t>
      </w:r>
      <w:r>
        <w:rPr>
          <w:rFonts w:hint="eastAsia" w:ascii="Times New Roman" w:hAnsi="Times New Roman" w:cs="Times New Roman"/>
          <w:color w:val="auto"/>
          <w:lang w:eastAsia="zh-CN"/>
        </w:rPr>
        <w:t>水</w:t>
      </w:r>
      <w:r>
        <w:rPr>
          <w:rFonts w:hint="default" w:ascii="Times New Roman" w:hAnsi="Times New Roman" w:eastAsia="宋体" w:cs="Times New Roman"/>
          <w:color w:val="auto"/>
          <w:lang w:eastAsia="zh-CN"/>
        </w:rPr>
        <w:t>量：</w:t>
      </w:r>
      <w:r>
        <w:rPr>
          <w:rFonts w:hint="eastAsia" w:ascii="Times New Roman" w:hAnsi="Times New Roman" w:cs="Times New Roman"/>
          <w:color w:val="auto"/>
          <w:lang w:val="en-US" w:eastAsia="zh-CN"/>
        </w:rPr>
        <w:t>11392.5</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cs="Times New Roman"/>
          <w:color w:val="auto"/>
          <w:lang w:val="en-US" w:eastAsia="zh-CN"/>
        </w:rPr>
        <w:t>/a，COD</w:t>
      </w:r>
      <w:r>
        <w:rPr>
          <w:rFonts w:hint="default"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3.638</w:t>
      </w:r>
      <w:r>
        <w:rPr>
          <w:rFonts w:hint="default" w:ascii="Times New Roman" w:hAnsi="Times New Roman" w:eastAsia="宋体" w:cs="Times New Roman"/>
          <w:color w:val="auto"/>
          <w:lang w:val="en-US" w:eastAsia="zh-CN"/>
        </w:rPr>
        <w:t>t/a，</w:t>
      </w:r>
      <w:r>
        <w:rPr>
          <w:rFonts w:hint="eastAsia" w:ascii="Times New Roman" w:hAnsi="Times New Roman" w:cs="Times New Roman"/>
          <w:color w:val="auto"/>
          <w:lang w:val="en-US" w:eastAsia="zh-CN"/>
        </w:rPr>
        <w:t>NH</w:t>
      </w:r>
      <w:r>
        <w:rPr>
          <w:rFonts w:hint="eastAsia" w:ascii="Times New Roman" w:hAnsi="Times New Roman" w:cs="Times New Roman"/>
          <w:color w:val="auto"/>
          <w:vertAlign w:val="subscript"/>
          <w:lang w:val="en-US" w:eastAsia="zh-CN"/>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0.24</w:t>
      </w:r>
      <w:r>
        <w:rPr>
          <w:rFonts w:hint="default" w:ascii="Times New Roman" w:hAnsi="Times New Roman" w:eastAsia="宋体" w:cs="Times New Roman"/>
          <w:color w:val="auto"/>
        </w:rPr>
        <w:t xml:space="preserve"> t/a</w:t>
      </w:r>
      <w:r>
        <w:rPr>
          <w:rFonts w:hint="default" w:ascii="Times New Roman" w:hAnsi="Times New Roman" w:eastAsia="宋体" w:cs="Times New Roman"/>
          <w:color w:val="auto"/>
          <w:lang w:eastAsia="zh-CN"/>
        </w:rPr>
        <w:t>。</w:t>
      </w:r>
    </w:p>
    <w:p w14:paraId="3B72219F">
      <w:pPr>
        <w:spacing w:line="500" w:lineRule="exact"/>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（2）固体废弃物：处置率100%。</w:t>
      </w:r>
    </w:p>
    <w:p w14:paraId="78C928CC">
      <w:pPr>
        <w:adjustRightInd w:val="0"/>
        <w:snapToGrid w:val="0"/>
        <w:spacing w:beforeLines="50"/>
        <w:outlineLvl w:val="1"/>
        <w:rPr>
          <w:rFonts w:hint="default" w:ascii="Times New Roman" w:hAnsi="Times New Roman" w:eastAsia="宋体" w:cs="Times New Roman"/>
          <w:b/>
          <w:color w:val="auto"/>
          <w:sz w:val="32"/>
          <w:szCs w:val="32"/>
        </w:rPr>
      </w:pPr>
      <w:bookmarkStart w:id="655" w:name="_Toc4626"/>
      <w:r>
        <w:rPr>
          <w:rFonts w:hint="default" w:ascii="Times New Roman" w:hAnsi="Times New Roman" w:eastAsia="宋体" w:cs="Times New Roman"/>
          <w:b/>
          <w:color w:val="auto"/>
          <w:sz w:val="32"/>
          <w:szCs w:val="32"/>
        </w:rPr>
        <w:t>10.5项目竣工环境保护验收</w:t>
      </w:r>
      <w:bookmarkEnd w:id="655"/>
    </w:p>
    <w:p w14:paraId="3BC1F349">
      <w:pPr>
        <w:adjustRightInd w:val="0"/>
        <w:snapToGrid w:val="0"/>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建设项目竣工验收是指建设项目竣工后，环境保护行政主管部门根据《建设项目竣工环境保护验收管理办法》，依据环境保护验收监测或调查结果，并通过现场检查等手段，考核该建设项目是否达到环境保护要求的活动。建设方在项目竣工时，可委托当地的环境监测部门进行此项工作。监测结果建档并定期上报环保部门。项目环保竣工环保验收内容一览表见表10.5-1。</w:t>
      </w:r>
    </w:p>
    <w:p w14:paraId="54A522A7">
      <w:pPr>
        <w:adjustRightInd w:val="0"/>
        <w:snapToGrid w:val="0"/>
        <w:jc w:val="center"/>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表10.5-1  环保竣工验收内容一览表</w:t>
      </w:r>
    </w:p>
    <w:tbl>
      <w:tblPr>
        <w:tblStyle w:val="66"/>
        <w:tblW w:w="84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7" w:type="dxa"/>
          <w:left w:w="45" w:type="dxa"/>
          <w:bottom w:w="17" w:type="dxa"/>
          <w:right w:w="45" w:type="dxa"/>
        </w:tblCellMar>
      </w:tblPr>
      <w:tblGrid>
        <w:gridCol w:w="783"/>
        <w:gridCol w:w="687"/>
        <w:gridCol w:w="748"/>
        <w:gridCol w:w="749"/>
        <w:gridCol w:w="2570"/>
        <w:gridCol w:w="2916"/>
      </w:tblGrid>
      <w:tr w14:paraId="060A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584"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14:paraId="61B50461">
            <w:pPr>
              <w:widowControl/>
              <w:adjustRightInd w:val="0"/>
              <w:spacing w:line="240" w:lineRule="auto"/>
              <w:jc w:val="right"/>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内容</w:t>
            </w:r>
          </w:p>
          <w:p w14:paraId="75552EB0">
            <w:pPr>
              <w:widowControl/>
              <w:adjustRightInd w:val="0"/>
              <w:spacing w:line="240" w:lineRule="auto"/>
              <w:jc w:val="left"/>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类型</w:t>
            </w:r>
          </w:p>
        </w:tc>
        <w:tc>
          <w:tcPr>
            <w:tcW w:w="687" w:type="dxa"/>
            <w:tcBorders>
              <w:top w:val="single" w:color="auto" w:sz="4" w:space="0"/>
              <w:left w:val="single" w:color="auto" w:sz="4" w:space="0"/>
              <w:bottom w:val="single" w:color="auto" w:sz="4" w:space="0"/>
              <w:right w:val="single" w:color="auto" w:sz="4" w:space="0"/>
            </w:tcBorders>
            <w:vAlign w:val="center"/>
          </w:tcPr>
          <w:p w14:paraId="49CE58F5">
            <w:pPr>
              <w:widowControl/>
              <w:adjustRightInd w:val="0"/>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污染源</w:t>
            </w:r>
          </w:p>
        </w:tc>
        <w:tc>
          <w:tcPr>
            <w:tcW w:w="14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95813CD">
            <w:pPr>
              <w:widowControl/>
              <w:adjustRightInd w:val="0"/>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bCs/>
                <w:color w:val="auto"/>
                <w:kern w:val="0"/>
                <w:sz w:val="21"/>
              </w:rPr>
              <w:t>污染物名称</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004193">
            <w:pPr>
              <w:adjustRightInd w:val="0"/>
              <w:spacing w:line="240" w:lineRule="auto"/>
              <w:jc w:val="center"/>
              <w:rPr>
                <w:rFonts w:hint="default" w:ascii="Times New Roman" w:hAnsi="Times New Roman" w:eastAsia="宋体" w:cs="Times New Roman"/>
                <w:b/>
                <w:bCs/>
                <w:color w:val="auto"/>
                <w:kern w:val="0"/>
                <w:sz w:val="21"/>
                <w:lang w:eastAsia="zh-CN"/>
              </w:rPr>
            </w:pPr>
            <w:r>
              <w:rPr>
                <w:rFonts w:hint="default" w:ascii="Times New Roman" w:hAnsi="Times New Roman" w:eastAsia="宋体" w:cs="Times New Roman"/>
                <w:b/>
                <w:color w:val="auto"/>
                <w:sz w:val="21"/>
              </w:rPr>
              <w:t>环保</w:t>
            </w:r>
            <w:r>
              <w:rPr>
                <w:rFonts w:hint="default" w:ascii="Times New Roman" w:hAnsi="Times New Roman" w:eastAsia="宋体" w:cs="Times New Roman"/>
                <w:b/>
                <w:color w:val="auto"/>
                <w:sz w:val="21"/>
                <w:lang w:eastAsia="zh-CN"/>
              </w:rPr>
              <w:t>措施</w:t>
            </w:r>
          </w:p>
        </w:tc>
        <w:tc>
          <w:tcPr>
            <w:tcW w:w="291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40CE7CD">
            <w:pPr>
              <w:adjustRightInd w:val="0"/>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b/>
                <w:color w:val="auto"/>
                <w:sz w:val="21"/>
              </w:rPr>
              <w:t>预期治理效果</w:t>
            </w:r>
          </w:p>
        </w:tc>
      </w:tr>
      <w:tr w14:paraId="3FE6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502" w:hRule="atLeast"/>
          <w:jc w:val="center"/>
        </w:trPr>
        <w:tc>
          <w:tcPr>
            <w:tcW w:w="783" w:type="dxa"/>
            <w:vMerge w:val="restart"/>
            <w:tcBorders>
              <w:top w:val="single" w:color="auto" w:sz="4" w:space="0"/>
              <w:left w:val="single" w:color="auto" w:sz="4" w:space="0"/>
              <w:right w:val="single" w:color="auto" w:sz="4" w:space="0"/>
            </w:tcBorders>
            <w:vAlign w:val="center"/>
          </w:tcPr>
          <w:p w14:paraId="2A08AA76">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大气</w:t>
            </w:r>
          </w:p>
          <w:p w14:paraId="722E6C9C">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污染</w:t>
            </w:r>
          </w:p>
          <w:p w14:paraId="47242AF0">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物</w:t>
            </w:r>
          </w:p>
        </w:tc>
        <w:tc>
          <w:tcPr>
            <w:tcW w:w="687" w:type="dxa"/>
            <w:vMerge w:val="restart"/>
            <w:tcBorders>
              <w:top w:val="single" w:color="auto" w:sz="4" w:space="0"/>
              <w:left w:val="single" w:color="auto" w:sz="4" w:space="0"/>
              <w:bottom w:val="single" w:color="auto" w:sz="4" w:space="0"/>
              <w:right w:val="single" w:color="auto" w:sz="4" w:space="0"/>
            </w:tcBorders>
            <w:vAlign w:val="center"/>
          </w:tcPr>
          <w:p w14:paraId="0FF3D690">
            <w:pPr>
              <w:widowControl/>
              <w:adjustRightInd w:val="0"/>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生产区</w:t>
            </w:r>
          </w:p>
        </w:tc>
        <w:tc>
          <w:tcPr>
            <w:tcW w:w="748" w:type="dxa"/>
            <w:vMerge w:val="restart"/>
            <w:tcBorders>
              <w:top w:val="single" w:color="auto" w:sz="4" w:space="0"/>
              <w:left w:val="single" w:color="auto" w:sz="4" w:space="0"/>
              <w:right w:val="single" w:color="auto" w:sz="4" w:space="0"/>
            </w:tcBorders>
            <w:vAlign w:val="center"/>
          </w:tcPr>
          <w:p w14:paraId="1FFCD1FE">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无组织排放</w:t>
            </w:r>
          </w:p>
        </w:tc>
        <w:tc>
          <w:tcPr>
            <w:tcW w:w="749" w:type="dxa"/>
            <w:tcBorders>
              <w:top w:val="single" w:color="auto" w:sz="4" w:space="0"/>
              <w:left w:val="single" w:color="auto" w:sz="4" w:space="0"/>
              <w:right w:val="single" w:color="auto" w:sz="4" w:space="0"/>
            </w:tcBorders>
            <w:vAlign w:val="center"/>
          </w:tcPr>
          <w:p w14:paraId="499C2A6E">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sz w:val="21"/>
              </w:rPr>
              <w:t>粉尘</w:t>
            </w:r>
          </w:p>
        </w:tc>
        <w:tc>
          <w:tcPr>
            <w:tcW w:w="2570" w:type="dxa"/>
            <w:tcBorders>
              <w:top w:val="single" w:color="auto" w:sz="4" w:space="0"/>
              <w:left w:val="single" w:color="auto" w:sz="4" w:space="0"/>
              <w:right w:val="single" w:color="auto" w:sz="4" w:space="0"/>
            </w:tcBorders>
            <w:vAlign w:val="center"/>
          </w:tcPr>
          <w:p w14:paraId="7CBC45D4">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生产车间设置排气扇，加强车间通风、换气</w:t>
            </w:r>
          </w:p>
        </w:tc>
        <w:tc>
          <w:tcPr>
            <w:tcW w:w="2916" w:type="dxa"/>
            <w:vMerge w:val="restart"/>
            <w:tcBorders>
              <w:top w:val="single" w:color="auto" w:sz="4" w:space="0"/>
              <w:left w:val="single" w:color="auto" w:sz="4" w:space="0"/>
              <w:right w:val="single" w:color="auto" w:sz="4" w:space="0"/>
            </w:tcBorders>
            <w:vAlign w:val="center"/>
          </w:tcPr>
          <w:p w14:paraId="1E5126A2">
            <w:pPr>
              <w:adjustRightInd w:val="0"/>
              <w:snapToGrid w:val="0"/>
              <w:spacing w:line="240" w:lineRule="auto"/>
              <w:jc w:val="center"/>
              <w:rPr>
                <w:rFonts w:hint="eastAsia" w:ascii="Times New Roman" w:hAnsi="Times New Roman" w:eastAsia="宋体" w:cs="Times New Roman"/>
                <w:color w:val="auto"/>
                <w:kern w:val="0"/>
                <w:sz w:val="21"/>
                <w:highlight w:val="yellow"/>
                <w:lang w:eastAsia="zh-CN"/>
              </w:rPr>
            </w:pPr>
            <w:r>
              <w:rPr>
                <w:rFonts w:hint="eastAsia" w:ascii="Times New Roman" w:hAnsi="Times New Roman" w:cs="Times New Roman"/>
                <w:color w:val="auto"/>
                <w:kern w:val="0"/>
                <w:sz w:val="21"/>
                <w:highlight w:val="none"/>
                <w:lang w:eastAsia="zh-CN"/>
              </w:rPr>
              <w:t>无组织排放，影响较小</w:t>
            </w:r>
          </w:p>
        </w:tc>
      </w:tr>
      <w:tr w14:paraId="1BE1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1302" w:hRule="atLeast"/>
          <w:jc w:val="center"/>
        </w:trPr>
        <w:tc>
          <w:tcPr>
            <w:tcW w:w="783" w:type="dxa"/>
            <w:vMerge w:val="continue"/>
            <w:tcBorders>
              <w:left w:val="single" w:color="auto" w:sz="4" w:space="0"/>
              <w:right w:val="single" w:color="auto" w:sz="4" w:space="0"/>
            </w:tcBorders>
            <w:vAlign w:val="center"/>
          </w:tcPr>
          <w:p w14:paraId="21ED9B92">
            <w:pPr>
              <w:widowControl/>
              <w:spacing w:line="240" w:lineRule="auto"/>
              <w:jc w:val="left"/>
              <w:rPr>
                <w:rFonts w:hint="default" w:ascii="Times New Roman" w:hAnsi="Times New Roman" w:eastAsia="宋体" w:cs="Times New Roman"/>
                <w:color w:val="auto"/>
                <w:kern w:val="0"/>
                <w:sz w:val="21"/>
              </w:rPr>
            </w:pPr>
          </w:p>
        </w:tc>
        <w:tc>
          <w:tcPr>
            <w:tcW w:w="687" w:type="dxa"/>
            <w:vMerge w:val="continue"/>
            <w:tcBorders>
              <w:top w:val="single" w:color="auto" w:sz="4" w:space="0"/>
              <w:left w:val="single" w:color="auto" w:sz="4" w:space="0"/>
              <w:bottom w:val="single" w:color="auto" w:sz="4" w:space="0"/>
              <w:right w:val="single" w:color="auto" w:sz="4" w:space="0"/>
            </w:tcBorders>
            <w:vAlign w:val="center"/>
          </w:tcPr>
          <w:p w14:paraId="4E26A8B0">
            <w:pPr>
              <w:widowControl/>
              <w:spacing w:line="240" w:lineRule="auto"/>
              <w:jc w:val="left"/>
              <w:rPr>
                <w:rFonts w:hint="default" w:ascii="Times New Roman" w:hAnsi="Times New Roman" w:eastAsia="宋体" w:cs="Times New Roman"/>
                <w:color w:val="auto"/>
                <w:kern w:val="0"/>
                <w:sz w:val="21"/>
              </w:rPr>
            </w:pPr>
          </w:p>
        </w:tc>
        <w:tc>
          <w:tcPr>
            <w:tcW w:w="748" w:type="dxa"/>
            <w:vMerge w:val="continue"/>
            <w:tcBorders>
              <w:left w:val="single" w:color="auto" w:sz="4" w:space="0"/>
              <w:right w:val="single" w:color="auto" w:sz="4" w:space="0"/>
            </w:tcBorders>
            <w:vAlign w:val="center"/>
          </w:tcPr>
          <w:p w14:paraId="29F58E17">
            <w:pPr>
              <w:widowControl/>
              <w:adjustRightInd w:val="0"/>
              <w:spacing w:line="240" w:lineRule="auto"/>
              <w:jc w:val="center"/>
              <w:rPr>
                <w:rFonts w:hint="default" w:ascii="Times New Roman" w:hAnsi="Times New Roman" w:eastAsia="宋体" w:cs="Times New Roman"/>
                <w:color w:val="auto"/>
                <w:kern w:val="0"/>
                <w:sz w:val="21"/>
              </w:rPr>
            </w:pPr>
          </w:p>
        </w:tc>
        <w:tc>
          <w:tcPr>
            <w:tcW w:w="749" w:type="dxa"/>
            <w:tcBorders>
              <w:left w:val="single" w:color="auto" w:sz="4" w:space="0"/>
              <w:bottom w:val="single" w:color="auto" w:sz="4" w:space="0"/>
              <w:right w:val="single" w:color="auto" w:sz="4" w:space="0"/>
            </w:tcBorders>
            <w:vAlign w:val="center"/>
          </w:tcPr>
          <w:p w14:paraId="43B67E46">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sz w:val="21"/>
              </w:rPr>
              <w:t>异味</w:t>
            </w:r>
          </w:p>
        </w:tc>
        <w:tc>
          <w:tcPr>
            <w:tcW w:w="2570" w:type="dxa"/>
            <w:tcBorders>
              <w:top w:val="single" w:color="auto" w:sz="4" w:space="0"/>
              <w:left w:val="single" w:color="auto" w:sz="4" w:space="0"/>
              <w:bottom w:val="single" w:color="auto" w:sz="4" w:space="0"/>
              <w:right w:val="single" w:color="auto" w:sz="4" w:space="0"/>
            </w:tcBorders>
            <w:vAlign w:val="center"/>
          </w:tcPr>
          <w:p w14:paraId="767790FB">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构筑物加盖密闭</w:t>
            </w:r>
          </w:p>
        </w:tc>
        <w:tc>
          <w:tcPr>
            <w:tcW w:w="2916" w:type="dxa"/>
            <w:vMerge w:val="continue"/>
            <w:tcBorders>
              <w:left w:val="single" w:color="auto" w:sz="4" w:space="0"/>
              <w:bottom w:val="single" w:color="auto" w:sz="4" w:space="0"/>
              <w:right w:val="single" w:color="auto" w:sz="4" w:space="0"/>
            </w:tcBorders>
            <w:vAlign w:val="center"/>
          </w:tcPr>
          <w:p w14:paraId="5D5C6C82">
            <w:pPr>
              <w:adjustRightInd w:val="0"/>
              <w:snapToGrid w:val="0"/>
              <w:spacing w:line="240" w:lineRule="auto"/>
              <w:jc w:val="center"/>
              <w:rPr>
                <w:rFonts w:hint="default" w:ascii="Times New Roman" w:hAnsi="Times New Roman" w:eastAsia="宋体" w:cs="Times New Roman"/>
                <w:color w:val="auto"/>
                <w:kern w:val="0"/>
                <w:sz w:val="21"/>
                <w:highlight w:val="yellow"/>
              </w:rPr>
            </w:pPr>
          </w:p>
        </w:tc>
      </w:tr>
      <w:tr w14:paraId="54A2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1302" w:hRule="atLeast"/>
          <w:jc w:val="center"/>
        </w:trPr>
        <w:tc>
          <w:tcPr>
            <w:tcW w:w="783" w:type="dxa"/>
            <w:vMerge w:val="continue"/>
            <w:tcBorders>
              <w:left w:val="single" w:color="auto" w:sz="4" w:space="0"/>
              <w:bottom w:val="single" w:color="auto" w:sz="4" w:space="0"/>
              <w:right w:val="single" w:color="auto" w:sz="4" w:space="0"/>
            </w:tcBorders>
            <w:vAlign w:val="center"/>
          </w:tcPr>
          <w:p w14:paraId="23DFA82F">
            <w:pPr>
              <w:widowControl/>
              <w:spacing w:line="240" w:lineRule="auto"/>
              <w:jc w:val="left"/>
              <w:rPr>
                <w:rFonts w:hint="default" w:ascii="Times New Roman" w:hAnsi="Times New Roman" w:eastAsia="宋体" w:cs="Times New Roman"/>
                <w:color w:val="auto"/>
                <w:kern w:val="0"/>
                <w:sz w:val="21"/>
              </w:rPr>
            </w:pPr>
          </w:p>
        </w:tc>
        <w:tc>
          <w:tcPr>
            <w:tcW w:w="687" w:type="dxa"/>
            <w:tcBorders>
              <w:top w:val="single" w:color="auto" w:sz="4" w:space="0"/>
              <w:left w:val="single" w:color="auto" w:sz="4" w:space="0"/>
              <w:bottom w:val="single" w:color="auto" w:sz="4" w:space="0"/>
              <w:right w:val="single" w:color="auto" w:sz="4" w:space="0"/>
            </w:tcBorders>
            <w:vAlign w:val="center"/>
          </w:tcPr>
          <w:p w14:paraId="0401C428">
            <w:pPr>
              <w:widowControl/>
              <w:spacing w:line="240" w:lineRule="auto"/>
              <w:jc w:val="left"/>
              <w:rPr>
                <w:rFonts w:hint="eastAsia" w:ascii="Times New Roman" w:hAnsi="Times New Roman" w:eastAsia="宋体" w:cs="Times New Roman"/>
                <w:color w:val="auto"/>
                <w:kern w:val="0"/>
                <w:sz w:val="21"/>
                <w:lang w:eastAsia="zh-CN"/>
              </w:rPr>
            </w:pPr>
            <w:r>
              <w:rPr>
                <w:rFonts w:hint="eastAsia" w:ascii="Times New Roman" w:hAnsi="Times New Roman" w:cs="Times New Roman"/>
                <w:color w:val="auto"/>
                <w:kern w:val="0"/>
                <w:sz w:val="21"/>
                <w:lang w:eastAsia="zh-CN"/>
              </w:rPr>
              <w:t>食堂</w:t>
            </w:r>
          </w:p>
        </w:tc>
        <w:tc>
          <w:tcPr>
            <w:tcW w:w="748" w:type="dxa"/>
            <w:vMerge w:val="continue"/>
            <w:tcBorders>
              <w:left w:val="single" w:color="auto" w:sz="4" w:space="0"/>
              <w:bottom w:val="single" w:color="auto" w:sz="4" w:space="0"/>
              <w:right w:val="single" w:color="auto" w:sz="4" w:space="0"/>
            </w:tcBorders>
            <w:vAlign w:val="center"/>
          </w:tcPr>
          <w:p w14:paraId="66A020DC">
            <w:pPr>
              <w:widowControl/>
              <w:adjustRightInd w:val="0"/>
              <w:spacing w:line="240" w:lineRule="auto"/>
              <w:jc w:val="center"/>
              <w:rPr>
                <w:rFonts w:hint="default" w:ascii="Times New Roman" w:hAnsi="Times New Roman" w:eastAsia="宋体" w:cs="Times New Roman"/>
                <w:color w:val="auto"/>
                <w:kern w:val="0"/>
                <w:sz w:val="21"/>
              </w:rPr>
            </w:pPr>
          </w:p>
        </w:tc>
        <w:tc>
          <w:tcPr>
            <w:tcW w:w="749" w:type="dxa"/>
            <w:tcBorders>
              <w:left w:val="single" w:color="auto" w:sz="4" w:space="0"/>
              <w:bottom w:val="single" w:color="auto" w:sz="4" w:space="0"/>
              <w:right w:val="single" w:color="auto" w:sz="4" w:space="0"/>
            </w:tcBorders>
            <w:vAlign w:val="center"/>
          </w:tcPr>
          <w:p w14:paraId="7EDD5B58">
            <w:pPr>
              <w:widowControl/>
              <w:adjustRightInd w:val="0"/>
              <w:spacing w:line="240" w:lineRule="auto"/>
              <w:jc w:val="center"/>
              <w:rPr>
                <w:rFonts w:hint="eastAsia" w:ascii="Times New Roman" w:hAnsi="Times New Roman" w:eastAsia="宋体" w:cs="Times New Roman"/>
                <w:color w:val="auto"/>
                <w:sz w:val="21"/>
                <w:lang w:eastAsia="zh-CN"/>
              </w:rPr>
            </w:pPr>
            <w:r>
              <w:rPr>
                <w:rFonts w:hint="eastAsia" w:ascii="Times New Roman" w:hAnsi="Times New Roman" w:cs="Times New Roman"/>
                <w:color w:val="auto"/>
                <w:sz w:val="21"/>
                <w:lang w:eastAsia="zh-CN"/>
              </w:rPr>
              <w:t>油烟</w:t>
            </w:r>
          </w:p>
        </w:tc>
        <w:tc>
          <w:tcPr>
            <w:tcW w:w="2570" w:type="dxa"/>
            <w:tcBorders>
              <w:top w:val="single" w:color="auto" w:sz="4" w:space="0"/>
              <w:left w:val="single" w:color="auto" w:sz="4" w:space="0"/>
              <w:bottom w:val="single" w:color="auto" w:sz="4" w:space="0"/>
              <w:right w:val="single" w:color="auto" w:sz="4" w:space="0"/>
            </w:tcBorders>
            <w:vAlign w:val="center"/>
          </w:tcPr>
          <w:p w14:paraId="26FCF29E">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项目食堂设置一台最低去除效率为</w:t>
            </w:r>
            <w:r>
              <w:rPr>
                <w:rFonts w:hint="eastAsia" w:ascii="Times New Roman" w:hAnsi="Times New Roman" w:cs="Times New Roman"/>
                <w:color w:val="auto"/>
                <w:sz w:val="21"/>
                <w:lang w:val="en-US" w:eastAsia="zh-CN"/>
              </w:rPr>
              <w:t>75</w:t>
            </w:r>
            <w:r>
              <w:rPr>
                <w:rFonts w:hint="default" w:ascii="Times New Roman" w:hAnsi="Times New Roman" w:eastAsia="宋体" w:cs="Times New Roman"/>
                <w:color w:val="auto"/>
                <w:sz w:val="21"/>
              </w:rPr>
              <w:t>%的油烟净化器，排气筒外置，高于楼顶1.5m</w:t>
            </w:r>
          </w:p>
        </w:tc>
        <w:tc>
          <w:tcPr>
            <w:tcW w:w="2916" w:type="dxa"/>
            <w:tcBorders>
              <w:left w:val="single" w:color="auto" w:sz="4" w:space="0"/>
              <w:bottom w:val="single" w:color="auto" w:sz="4" w:space="0"/>
              <w:right w:val="single" w:color="auto" w:sz="4" w:space="0"/>
            </w:tcBorders>
            <w:vAlign w:val="center"/>
          </w:tcPr>
          <w:p w14:paraId="43A6F92A">
            <w:pPr>
              <w:adjustRightInd w:val="0"/>
              <w:snapToGrid w:val="0"/>
              <w:spacing w:line="240" w:lineRule="auto"/>
              <w:jc w:val="center"/>
              <w:rPr>
                <w:rFonts w:hint="default" w:ascii="Times New Roman" w:hAnsi="Times New Roman" w:eastAsia="宋体" w:cs="Times New Roman"/>
                <w:color w:val="auto"/>
                <w:kern w:val="0"/>
                <w:sz w:val="21"/>
                <w:highlight w:val="yellow"/>
              </w:rPr>
            </w:pPr>
            <w:r>
              <w:rPr>
                <w:rFonts w:hint="eastAsia" w:ascii="Times New Roman" w:hAnsi="Times New Roman" w:cs="Times New Roman"/>
                <w:color w:val="auto"/>
                <w:kern w:val="0"/>
                <w:sz w:val="21"/>
                <w:highlight w:val="none"/>
                <w:lang w:eastAsia="zh-CN"/>
              </w:rPr>
              <w:t>无组织排放，影响较小</w:t>
            </w:r>
          </w:p>
        </w:tc>
      </w:tr>
      <w:tr w14:paraId="101B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786" w:hRule="atLeast"/>
          <w:jc w:val="center"/>
        </w:trPr>
        <w:tc>
          <w:tcPr>
            <w:tcW w:w="783" w:type="dxa"/>
            <w:vMerge w:val="restart"/>
            <w:tcBorders>
              <w:top w:val="single" w:color="auto" w:sz="4" w:space="0"/>
              <w:left w:val="single" w:color="auto" w:sz="4" w:space="0"/>
              <w:right w:val="single" w:color="auto" w:sz="4" w:space="0"/>
            </w:tcBorders>
            <w:vAlign w:val="center"/>
          </w:tcPr>
          <w:p w14:paraId="2F99965C">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水</w:t>
            </w:r>
          </w:p>
          <w:p w14:paraId="20E97D47">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污</w:t>
            </w:r>
          </w:p>
          <w:p w14:paraId="1C673FB3">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染</w:t>
            </w:r>
          </w:p>
          <w:p w14:paraId="646DF9D9">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物</w:t>
            </w:r>
          </w:p>
        </w:tc>
        <w:tc>
          <w:tcPr>
            <w:tcW w:w="687" w:type="dxa"/>
            <w:tcBorders>
              <w:top w:val="single" w:color="auto" w:sz="4" w:space="0"/>
              <w:left w:val="single" w:color="auto" w:sz="4" w:space="0"/>
              <w:bottom w:val="single" w:color="auto" w:sz="4" w:space="0"/>
              <w:right w:val="single" w:color="auto" w:sz="4" w:space="0"/>
            </w:tcBorders>
            <w:vAlign w:val="center"/>
          </w:tcPr>
          <w:p w14:paraId="213B7BAD">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生活污水</w:t>
            </w:r>
          </w:p>
        </w:tc>
        <w:tc>
          <w:tcPr>
            <w:tcW w:w="1497" w:type="dxa"/>
            <w:gridSpan w:val="2"/>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44023F58">
            <w:pPr>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COD</w:t>
            </w:r>
          </w:p>
          <w:p w14:paraId="1D0B521E">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BOD</w:t>
            </w:r>
            <w:r>
              <w:rPr>
                <w:rFonts w:hint="default" w:ascii="Times New Roman" w:hAnsi="Times New Roman" w:eastAsia="宋体" w:cs="Times New Roman"/>
                <w:color w:val="auto"/>
                <w:sz w:val="21"/>
                <w:vertAlign w:val="subscript"/>
              </w:rPr>
              <w:t>5</w:t>
            </w:r>
          </w:p>
          <w:p w14:paraId="05017E77">
            <w:pPr>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NH</w:t>
            </w:r>
            <w:r>
              <w:rPr>
                <w:rFonts w:hint="default" w:ascii="Times New Roman" w:hAnsi="Times New Roman" w:eastAsia="宋体" w:cs="Times New Roman"/>
                <w:color w:val="auto"/>
                <w:sz w:val="21"/>
                <w:vertAlign w:val="subscript"/>
              </w:rPr>
              <w:t>3</w:t>
            </w:r>
            <w:r>
              <w:rPr>
                <w:rFonts w:hint="default" w:ascii="Times New Roman" w:hAnsi="Times New Roman" w:eastAsia="宋体" w:cs="Times New Roman"/>
                <w:color w:val="auto"/>
                <w:sz w:val="21"/>
              </w:rPr>
              <w:t>-N</w:t>
            </w:r>
          </w:p>
          <w:p w14:paraId="043A164A">
            <w:pPr>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rPr>
              <w:t>动植物油</w:t>
            </w:r>
            <w:r>
              <w:rPr>
                <w:rFonts w:hint="default" w:ascii="Times New Roman" w:hAnsi="Times New Roman" w:eastAsia="宋体" w:cs="Times New Roman"/>
                <w:color w:val="auto"/>
                <w:sz w:val="21"/>
                <w:lang w:eastAsia="zh-CN"/>
              </w:rPr>
              <w:t>等</w:t>
            </w:r>
          </w:p>
        </w:tc>
        <w:tc>
          <w:tcPr>
            <w:tcW w:w="2570" w:type="dxa"/>
            <w:tcBorders>
              <w:top w:val="single" w:color="auto" w:sz="4" w:space="0"/>
              <w:left w:val="single" w:color="auto" w:sz="4" w:space="0"/>
              <w:bottom w:val="single" w:color="auto" w:sz="4" w:space="0"/>
              <w:right w:val="single" w:color="auto" w:sz="4" w:space="0"/>
            </w:tcBorders>
            <w:vAlign w:val="center"/>
          </w:tcPr>
          <w:p w14:paraId="76641113">
            <w:pPr>
              <w:pStyle w:val="39"/>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项目生活污水经</w:t>
            </w:r>
            <w:r>
              <w:rPr>
                <w:rFonts w:hint="default" w:ascii="Times New Roman" w:hAnsi="Times New Roman" w:eastAsia="宋体" w:cs="Times New Roman"/>
                <w:color w:val="auto"/>
                <w:sz w:val="21"/>
                <w:szCs w:val="21"/>
                <w:lang w:val="en-US" w:eastAsia="zh-CN"/>
              </w:rPr>
              <w:t>1个</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隔油池、</w:t>
            </w:r>
            <w:r>
              <w:rPr>
                <w:rFonts w:hint="default" w:ascii="Times New Roman" w:hAnsi="Times New Roman" w:eastAsia="宋体" w:cs="Times New Roman"/>
                <w:color w:val="auto"/>
                <w:sz w:val="21"/>
                <w:szCs w:val="21"/>
                <w:lang w:val="en-US" w:eastAsia="zh-CN"/>
              </w:rPr>
              <w:t>1个</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化粪池处理后，</w:t>
            </w:r>
            <w:r>
              <w:rPr>
                <w:rFonts w:hint="eastAsia" w:ascii="Times New Roman" w:hAnsi="Times New Roman" w:cs="Times New Roman"/>
                <w:color w:val="auto"/>
                <w:sz w:val="21"/>
                <w:szCs w:val="21"/>
                <w:lang w:eastAsia="zh-CN"/>
              </w:rPr>
              <w:t>排入园区污水管网</w:t>
            </w:r>
          </w:p>
        </w:tc>
        <w:tc>
          <w:tcPr>
            <w:tcW w:w="2916" w:type="dxa"/>
            <w:vMerge w:val="restart"/>
            <w:tcBorders>
              <w:top w:val="single" w:color="auto" w:sz="4" w:space="0"/>
              <w:left w:val="single" w:color="auto" w:sz="4" w:space="0"/>
              <w:right w:val="single" w:color="auto" w:sz="4" w:space="0"/>
            </w:tcBorders>
            <w:vAlign w:val="center"/>
          </w:tcPr>
          <w:p w14:paraId="7D71EB17">
            <w:pPr>
              <w:spacing w:line="240" w:lineRule="auto"/>
              <w:jc w:val="center"/>
              <w:rPr>
                <w:rFonts w:hint="default" w:ascii="Times New Roman" w:hAnsi="Times New Roman" w:eastAsia="宋体" w:cs="Times New Roman"/>
                <w:bCs/>
                <w:color w:val="auto"/>
                <w:sz w:val="21"/>
              </w:rPr>
            </w:pPr>
            <w:r>
              <w:rPr>
                <w:rFonts w:hint="eastAsia" w:ascii="Times New Roman" w:hAnsi="Times New Roman" w:cs="Times New Roman"/>
                <w:bCs/>
                <w:color w:val="auto"/>
                <w:sz w:val="21"/>
                <w:lang w:eastAsia="zh-CN"/>
              </w:rPr>
              <w:t>达</w:t>
            </w:r>
            <w:r>
              <w:rPr>
                <w:rFonts w:hint="default" w:ascii="Times New Roman" w:hAnsi="Times New Roman" w:eastAsia="宋体" w:cs="Times New Roman"/>
                <w:bCs/>
                <w:color w:val="auto"/>
                <w:sz w:val="21"/>
              </w:rPr>
              <w:t>《污水综合排放标准》（GB8978-1996）中三级标准和《污水排入城镇下水道水质标准》（GB/T31962-2015）表1中B级标准</w:t>
            </w:r>
          </w:p>
        </w:tc>
      </w:tr>
      <w:tr w14:paraId="1319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786" w:hRule="atLeast"/>
          <w:jc w:val="center"/>
        </w:trPr>
        <w:tc>
          <w:tcPr>
            <w:tcW w:w="783" w:type="dxa"/>
            <w:vMerge w:val="continue"/>
            <w:tcBorders>
              <w:left w:val="single" w:color="auto" w:sz="4" w:space="0"/>
              <w:right w:val="single" w:color="auto" w:sz="4" w:space="0"/>
            </w:tcBorders>
            <w:vAlign w:val="center"/>
          </w:tcPr>
          <w:p w14:paraId="0B58D9BA">
            <w:pPr>
              <w:adjustRightInd w:val="0"/>
              <w:spacing w:line="240" w:lineRule="auto"/>
              <w:jc w:val="center"/>
              <w:rPr>
                <w:rFonts w:hint="default" w:ascii="Times New Roman" w:hAnsi="Times New Roman" w:eastAsia="宋体" w:cs="Times New Roman"/>
                <w:color w:val="auto"/>
                <w:kern w:val="0"/>
                <w:sz w:val="21"/>
              </w:rPr>
            </w:pPr>
          </w:p>
        </w:tc>
        <w:tc>
          <w:tcPr>
            <w:tcW w:w="687" w:type="dxa"/>
            <w:tcBorders>
              <w:top w:val="single" w:color="auto" w:sz="4" w:space="0"/>
              <w:left w:val="single" w:color="auto" w:sz="4" w:space="0"/>
              <w:bottom w:val="single" w:color="auto" w:sz="4" w:space="0"/>
              <w:right w:val="single" w:color="auto" w:sz="4" w:space="0"/>
            </w:tcBorders>
            <w:vAlign w:val="center"/>
          </w:tcPr>
          <w:p w14:paraId="0EA03950">
            <w:pPr>
              <w:widowControl/>
              <w:adjustRightInd w:val="0"/>
              <w:spacing w:line="240" w:lineRule="auto"/>
              <w:jc w:val="center"/>
              <w:rPr>
                <w:rFonts w:hint="eastAsia" w:ascii="Times New Roman" w:hAnsi="Times New Roman" w:eastAsia="宋体" w:cs="Times New Roman"/>
                <w:color w:val="auto"/>
                <w:kern w:val="0"/>
                <w:sz w:val="21"/>
                <w:lang w:eastAsia="zh-CN"/>
              </w:rPr>
            </w:pPr>
            <w:r>
              <w:rPr>
                <w:rFonts w:hint="eastAsia" w:ascii="Times New Roman" w:hAnsi="Times New Roman" w:cs="Times New Roman"/>
                <w:color w:val="auto"/>
                <w:kern w:val="0"/>
                <w:sz w:val="21"/>
                <w:lang w:eastAsia="zh-CN"/>
              </w:rPr>
              <w:t>生产废水</w:t>
            </w:r>
          </w:p>
        </w:tc>
        <w:tc>
          <w:tcPr>
            <w:tcW w:w="1497" w:type="dxa"/>
            <w:gridSpan w:val="2"/>
            <w:vMerge w:val="continue"/>
            <w:tcBorders>
              <w:left w:val="single" w:color="auto" w:sz="4" w:space="0"/>
              <w:bottom w:val="single" w:color="auto" w:sz="4" w:space="0"/>
              <w:right w:val="single" w:color="auto" w:sz="4" w:space="0"/>
            </w:tcBorders>
            <w:tcMar>
              <w:top w:w="0" w:type="dxa"/>
              <w:left w:w="108" w:type="dxa"/>
              <w:bottom w:w="0" w:type="dxa"/>
              <w:right w:w="108" w:type="dxa"/>
            </w:tcMar>
            <w:vAlign w:val="center"/>
          </w:tcPr>
          <w:p w14:paraId="1ACBA27E">
            <w:pPr>
              <w:spacing w:line="240" w:lineRule="auto"/>
              <w:jc w:val="center"/>
              <w:rPr>
                <w:rFonts w:hint="default" w:ascii="Times New Roman" w:hAnsi="Times New Roman" w:eastAsia="宋体" w:cs="Times New Roman"/>
                <w:color w:val="auto"/>
                <w:sz w:val="21"/>
              </w:rPr>
            </w:pPr>
          </w:p>
        </w:tc>
        <w:tc>
          <w:tcPr>
            <w:tcW w:w="2570" w:type="dxa"/>
            <w:tcBorders>
              <w:top w:val="single" w:color="auto" w:sz="4" w:space="0"/>
              <w:left w:val="single" w:color="auto" w:sz="4" w:space="0"/>
              <w:bottom w:val="single" w:color="auto" w:sz="4" w:space="0"/>
              <w:right w:val="single" w:color="auto" w:sz="4" w:space="0"/>
            </w:tcBorders>
            <w:vAlign w:val="center"/>
          </w:tcPr>
          <w:p w14:paraId="555C04B8">
            <w:pPr>
              <w:pStyle w:val="39"/>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项目生产废水经</w:t>
            </w:r>
            <w:r>
              <w:rPr>
                <w:rFonts w:hint="eastAsia" w:ascii="Times New Roman" w:hAnsi="Times New Roman" w:cs="Times New Roman"/>
                <w:color w:val="auto"/>
                <w:sz w:val="21"/>
                <w:szCs w:val="21"/>
                <w:lang w:val="en-US" w:eastAsia="zh-CN"/>
              </w:rPr>
              <w:t>1个169m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的三级沉淀池处理后排入自建污水处理设备（20m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/d），处理后排入园区污水管网</w:t>
            </w:r>
          </w:p>
        </w:tc>
        <w:tc>
          <w:tcPr>
            <w:tcW w:w="2916" w:type="dxa"/>
            <w:vMerge w:val="continue"/>
            <w:tcBorders>
              <w:left w:val="single" w:color="auto" w:sz="4" w:space="0"/>
              <w:bottom w:val="single" w:color="auto" w:sz="4" w:space="0"/>
              <w:right w:val="single" w:color="auto" w:sz="4" w:space="0"/>
            </w:tcBorders>
            <w:vAlign w:val="center"/>
          </w:tcPr>
          <w:p w14:paraId="70BB13ED">
            <w:pPr>
              <w:spacing w:line="240" w:lineRule="auto"/>
              <w:jc w:val="center"/>
              <w:rPr>
                <w:rFonts w:hint="default" w:ascii="Times New Roman" w:hAnsi="Times New Roman" w:eastAsia="宋体" w:cs="Times New Roman"/>
                <w:color w:val="auto"/>
                <w:kern w:val="0"/>
                <w:sz w:val="21"/>
              </w:rPr>
            </w:pPr>
          </w:p>
        </w:tc>
      </w:tr>
      <w:tr w14:paraId="41CA1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513" w:hRule="atLeast"/>
          <w:jc w:val="center"/>
        </w:trPr>
        <w:tc>
          <w:tcPr>
            <w:tcW w:w="783" w:type="dxa"/>
            <w:vMerge w:val="restart"/>
            <w:tcBorders>
              <w:top w:val="single" w:color="auto" w:sz="4" w:space="0"/>
              <w:left w:val="single" w:color="auto" w:sz="4" w:space="0"/>
              <w:right w:val="single" w:color="auto" w:sz="4" w:space="0"/>
            </w:tcBorders>
            <w:vAlign w:val="center"/>
          </w:tcPr>
          <w:p w14:paraId="4593FC22">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固</w:t>
            </w:r>
          </w:p>
          <w:p w14:paraId="1C146233">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体</w:t>
            </w:r>
          </w:p>
          <w:p w14:paraId="7E4A7010">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废</w:t>
            </w:r>
          </w:p>
          <w:p w14:paraId="115B5E21">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物</w:t>
            </w:r>
          </w:p>
        </w:tc>
        <w:tc>
          <w:tcPr>
            <w:tcW w:w="687" w:type="dxa"/>
            <w:vMerge w:val="restart"/>
            <w:tcBorders>
              <w:top w:val="single" w:color="auto" w:sz="4" w:space="0"/>
              <w:left w:val="single" w:color="auto" w:sz="4" w:space="0"/>
              <w:right w:val="single" w:color="auto" w:sz="4" w:space="0"/>
            </w:tcBorders>
            <w:vAlign w:val="center"/>
          </w:tcPr>
          <w:p w14:paraId="3335E2B3">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生产固废</w:t>
            </w:r>
          </w:p>
        </w:tc>
        <w:tc>
          <w:tcPr>
            <w:tcW w:w="14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436880E">
            <w:pPr>
              <w:autoSpaceDE w:val="0"/>
              <w:autoSpaceDN w:val="0"/>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eastAsia="zh-CN"/>
              </w:rPr>
              <w:t>边角料及残次品</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E7BF787">
            <w:pPr>
              <w:autoSpaceDE w:val="0"/>
              <w:autoSpaceDN w:val="0"/>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收集后委托环卫部门清运处置。</w:t>
            </w:r>
          </w:p>
        </w:tc>
        <w:tc>
          <w:tcPr>
            <w:tcW w:w="2916" w:type="dxa"/>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14:paraId="1560FAF5">
            <w:pPr>
              <w:widowControl/>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处置率100%</w:t>
            </w:r>
          </w:p>
        </w:tc>
      </w:tr>
      <w:tr w14:paraId="20C8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513" w:hRule="atLeast"/>
          <w:jc w:val="center"/>
        </w:trPr>
        <w:tc>
          <w:tcPr>
            <w:tcW w:w="783" w:type="dxa"/>
            <w:vMerge w:val="continue"/>
            <w:tcBorders>
              <w:left w:val="single" w:color="auto" w:sz="4" w:space="0"/>
              <w:right w:val="single" w:color="auto" w:sz="4" w:space="0"/>
            </w:tcBorders>
            <w:vAlign w:val="center"/>
          </w:tcPr>
          <w:p w14:paraId="5CAC2EBD">
            <w:pPr>
              <w:adjustRightInd w:val="0"/>
              <w:spacing w:line="240" w:lineRule="auto"/>
              <w:jc w:val="center"/>
              <w:rPr>
                <w:rFonts w:hint="default" w:ascii="Times New Roman" w:hAnsi="Times New Roman" w:eastAsia="宋体" w:cs="Times New Roman"/>
                <w:color w:val="auto"/>
                <w:kern w:val="0"/>
                <w:sz w:val="21"/>
              </w:rPr>
            </w:pPr>
          </w:p>
        </w:tc>
        <w:tc>
          <w:tcPr>
            <w:tcW w:w="687" w:type="dxa"/>
            <w:vMerge w:val="continue"/>
            <w:tcBorders>
              <w:left w:val="single" w:color="auto" w:sz="4" w:space="0"/>
              <w:right w:val="single" w:color="auto" w:sz="4" w:space="0"/>
            </w:tcBorders>
            <w:vAlign w:val="center"/>
          </w:tcPr>
          <w:p w14:paraId="56D5F627">
            <w:pPr>
              <w:widowControl/>
              <w:adjustRightInd w:val="0"/>
              <w:spacing w:line="240" w:lineRule="auto"/>
              <w:jc w:val="center"/>
              <w:rPr>
                <w:rFonts w:hint="default" w:ascii="Times New Roman" w:hAnsi="Times New Roman" w:eastAsia="宋体" w:cs="Times New Roman"/>
                <w:color w:val="auto"/>
                <w:kern w:val="0"/>
                <w:sz w:val="21"/>
              </w:rPr>
            </w:pPr>
          </w:p>
        </w:tc>
        <w:tc>
          <w:tcPr>
            <w:tcW w:w="14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D9935C">
            <w:pPr>
              <w:autoSpaceDE w:val="0"/>
              <w:autoSpaceDN w:val="0"/>
              <w:adjustRightIn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szCs w:val="21"/>
                <w:lang w:eastAsia="zh-CN"/>
              </w:rPr>
              <w:t>废包装材料</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3319E22">
            <w:pPr>
              <w:autoSpaceDE w:val="0"/>
              <w:autoSpaceDN w:val="0"/>
              <w:adjustRightIn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szCs w:val="21"/>
                <w:lang w:eastAsia="zh-CN"/>
              </w:rPr>
              <w:t>外售</w:t>
            </w:r>
          </w:p>
        </w:tc>
        <w:tc>
          <w:tcPr>
            <w:tcW w:w="2916" w:type="dxa"/>
            <w:vMerge w:val="continue"/>
            <w:tcBorders>
              <w:left w:val="single" w:color="auto" w:sz="4" w:space="0"/>
              <w:right w:val="single" w:color="auto" w:sz="4" w:space="0"/>
            </w:tcBorders>
            <w:tcMar>
              <w:top w:w="0" w:type="dxa"/>
              <w:left w:w="108" w:type="dxa"/>
              <w:bottom w:w="0" w:type="dxa"/>
              <w:right w:w="108" w:type="dxa"/>
            </w:tcMar>
            <w:vAlign w:val="center"/>
          </w:tcPr>
          <w:p w14:paraId="43FEFF1E">
            <w:pPr>
              <w:widowControl/>
              <w:adjustRightInd w:val="0"/>
              <w:spacing w:line="240" w:lineRule="auto"/>
              <w:jc w:val="center"/>
              <w:rPr>
                <w:rFonts w:hint="default" w:ascii="Times New Roman" w:hAnsi="Times New Roman" w:eastAsia="宋体" w:cs="Times New Roman"/>
                <w:color w:val="auto"/>
                <w:sz w:val="21"/>
              </w:rPr>
            </w:pPr>
          </w:p>
        </w:tc>
      </w:tr>
      <w:tr w14:paraId="3992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334" w:hRule="atLeast"/>
          <w:jc w:val="center"/>
        </w:trPr>
        <w:tc>
          <w:tcPr>
            <w:tcW w:w="783" w:type="dxa"/>
            <w:vMerge w:val="continue"/>
            <w:tcBorders>
              <w:left w:val="single" w:color="auto" w:sz="4" w:space="0"/>
              <w:right w:val="single" w:color="auto" w:sz="4" w:space="0"/>
            </w:tcBorders>
            <w:vAlign w:val="center"/>
          </w:tcPr>
          <w:p w14:paraId="19EBAA52">
            <w:pPr>
              <w:widowControl/>
              <w:spacing w:line="240" w:lineRule="auto"/>
              <w:jc w:val="left"/>
              <w:rPr>
                <w:rFonts w:hint="default" w:ascii="Times New Roman" w:hAnsi="Times New Roman" w:eastAsia="宋体" w:cs="Times New Roman"/>
                <w:color w:val="auto"/>
                <w:kern w:val="0"/>
                <w:sz w:val="21"/>
              </w:rPr>
            </w:pPr>
          </w:p>
        </w:tc>
        <w:tc>
          <w:tcPr>
            <w:tcW w:w="687" w:type="dxa"/>
            <w:vMerge w:val="continue"/>
            <w:tcBorders>
              <w:left w:val="single" w:color="auto" w:sz="4" w:space="0"/>
              <w:right w:val="single" w:color="auto" w:sz="4" w:space="0"/>
            </w:tcBorders>
            <w:vAlign w:val="center"/>
          </w:tcPr>
          <w:p w14:paraId="1E528B27">
            <w:pPr>
              <w:widowControl/>
              <w:spacing w:line="240" w:lineRule="auto"/>
              <w:jc w:val="left"/>
              <w:rPr>
                <w:rFonts w:hint="default" w:ascii="Times New Roman" w:hAnsi="Times New Roman" w:eastAsia="宋体" w:cs="Times New Roman"/>
                <w:color w:val="auto"/>
                <w:kern w:val="0"/>
                <w:sz w:val="21"/>
              </w:rPr>
            </w:pPr>
          </w:p>
        </w:tc>
        <w:tc>
          <w:tcPr>
            <w:tcW w:w="14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F974003">
            <w:pPr>
              <w:autoSpaceDE w:val="0"/>
              <w:autoSpaceDN w:val="0"/>
              <w:adjustRightInd w:val="0"/>
              <w:spacing w:line="240" w:lineRule="auto"/>
              <w:jc w:val="center"/>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szCs w:val="21"/>
              </w:rPr>
              <w:t>废机油</w:t>
            </w:r>
          </w:p>
        </w:tc>
        <w:tc>
          <w:tcPr>
            <w:tcW w:w="2570" w:type="dxa"/>
            <w:tcBorders>
              <w:left w:val="single" w:color="auto" w:sz="4" w:space="0"/>
              <w:bottom w:val="single" w:color="auto" w:sz="4" w:space="0"/>
              <w:right w:val="single" w:color="auto" w:sz="4" w:space="0"/>
            </w:tcBorders>
            <w:vAlign w:val="center"/>
          </w:tcPr>
          <w:p w14:paraId="7E871EE2">
            <w:pPr>
              <w:autoSpaceDE w:val="0"/>
              <w:autoSpaceDN w:val="0"/>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eastAsia="zh-CN"/>
              </w:rPr>
              <w:t>委托</w:t>
            </w:r>
            <w:r>
              <w:rPr>
                <w:rFonts w:hint="default" w:ascii="Times New Roman" w:hAnsi="Times New Roman" w:eastAsia="宋体" w:cs="Times New Roman"/>
                <w:color w:val="auto"/>
                <w:sz w:val="21"/>
                <w:szCs w:val="21"/>
              </w:rPr>
              <w:t>有资质的单位回收处置</w:t>
            </w:r>
          </w:p>
        </w:tc>
        <w:tc>
          <w:tcPr>
            <w:tcW w:w="2916" w:type="dxa"/>
            <w:vMerge w:val="continue"/>
            <w:tcBorders>
              <w:left w:val="single" w:color="auto" w:sz="4" w:space="0"/>
              <w:right w:val="single" w:color="auto" w:sz="4" w:space="0"/>
            </w:tcBorders>
            <w:vAlign w:val="center"/>
          </w:tcPr>
          <w:p w14:paraId="00BFB773">
            <w:pPr>
              <w:widowControl/>
              <w:spacing w:line="240" w:lineRule="auto"/>
              <w:jc w:val="left"/>
              <w:rPr>
                <w:rFonts w:hint="default" w:ascii="Times New Roman" w:hAnsi="Times New Roman" w:eastAsia="宋体" w:cs="Times New Roman"/>
                <w:color w:val="auto"/>
                <w:sz w:val="21"/>
              </w:rPr>
            </w:pPr>
          </w:p>
        </w:tc>
      </w:tr>
      <w:tr w14:paraId="124A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180" w:hRule="atLeast"/>
          <w:jc w:val="center"/>
        </w:trPr>
        <w:tc>
          <w:tcPr>
            <w:tcW w:w="783" w:type="dxa"/>
            <w:vMerge w:val="continue"/>
            <w:tcBorders>
              <w:left w:val="single" w:color="auto" w:sz="4" w:space="0"/>
              <w:right w:val="single" w:color="auto" w:sz="4" w:space="0"/>
            </w:tcBorders>
            <w:vAlign w:val="center"/>
          </w:tcPr>
          <w:p w14:paraId="7C4E800E">
            <w:pPr>
              <w:widowControl/>
              <w:spacing w:line="240" w:lineRule="auto"/>
              <w:jc w:val="left"/>
              <w:rPr>
                <w:rFonts w:hint="default" w:ascii="Times New Roman" w:hAnsi="Times New Roman" w:eastAsia="宋体" w:cs="Times New Roman"/>
                <w:color w:val="auto"/>
                <w:kern w:val="0"/>
                <w:sz w:val="21"/>
              </w:rPr>
            </w:pPr>
          </w:p>
        </w:tc>
        <w:tc>
          <w:tcPr>
            <w:tcW w:w="687" w:type="dxa"/>
            <w:vMerge w:val="restart"/>
            <w:tcBorders>
              <w:top w:val="single" w:color="auto" w:sz="4" w:space="0"/>
              <w:left w:val="single" w:color="auto" w:sz="4" w:space="0"/>
              <w:right w:val="single" w:color="auto" w:sz="4" w:space="0"/>
            </w:tcBorders>
            <w:vAlign w:val="center"/>
          </w:tcPr>
          <w:p w14:paraId="3EE74A2F">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员工生活</w:t>
            </w:r>
          </w:p>
        </w:tc>
        <w:tc>
          <w:tcPr>
            <w:tcW w:w="14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CFDDA5">
            <w:pPr>
              <w:autoSpaceDE w:val="0"/>
              <w:autoSpaceDN w:val="0"/>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sz w:val="21"/>
                <w:szCs w:val="21"/>
                <w:lang w:eastAsia="zh-CN"/>
              </w:rPr>
              <w:t>生活垃圾</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2108B6">
            <w:pPr>
              <w:autoSpaceDE w:val="0"/>
              <w:autoSpaceDN w:val="0"/>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收集后委托环卫部门清运处置</w:t>
            </w:r>
          </w:p>
        </w:tc>
        <w:tc>
          <w:tcPr>
            <w:tcW w:w="2916" w:type="dxa"/>
            <w:vMerge w:val="continue"/>
            <w:tcBorders>
              <w:left w:val="single" w:color="auto" w:sz="4" w:space="0"/>
              <w:right w:val="single" w:color="auto" w:sz="4" w:space="0"/>
            </w:tcBorders>
            <w:vAlign w:val="center"/>
          </w:tcPr>
          <w:p w14:paraId="0C72D17F">
            <w:pPr>
              <w:widowControl/>
              <w:spacing w:line="240" w:lineRule="auto"/>
              <w:jc w:val="left"/>
              <w:rPr>
                <w:rFonts w:hint="default" w:ascii="Times New Roman" w:hAnsi="Times New Roman" w:eastAsia="宋体" w:cs="Times New Roman"/>
                <w:color w:val="auto"/>
                <w:sz w:val="21"/>
              </w:rPr>
            </w:pPr>
          </w:p>
        </w:tc>
      </w:tr>
      <w:tr w14:paraId="68948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555" w:hRule="atLeast"/>
          <w:jc w:val="center"/>
        </w:trPr>
        <w:tc>
          <w:tcPr>
            <w:tcW w:w="783" w:type="dxa"/>
            <w:vMerge w:val="continue"/>
            <w:tcBorders>
              <w:left w:val="single" w:color="auto" w:sz="4" w:space="0"/>
              <w:right w:val="single" w:color="auto" w:sz="4" w:space="0"/>
            </w:tcBorders>
            <w:vAlign w:val="center"/>
          </w:tcPr>
          <w:p w14:paraId="69CA52FD">
            <w:pPr>
              <w:widowControl/>
              <w:spacing w:line="240" w:lineRule="auto"/>
              <w:jc w:val="left"/>
              <w:rPr>
                <w:rFonts w:hint="default" w:ascii="Times New Roman" w:hAnsi="Times New Roman" w:eastAsia="宋体" w:cs="Times New Roman"/>
                <w:color w:val="auto"/>
                <w:kern w:val="0"/>
                <w:sz w:val="21"/>
              </w:rPr>
            </w:pPr>
          </w:p>
        </w:tc>
        <w:tc>
          <w:tcPr>
            <w:tcW w:w="687" w:type="dxa"/>
            <w:vMerge w:val="continue"/>
            <w:tcBorders>
              <w:left w:val="single" w:color="auto" w:sz="4" w:space="0"/>
              <w:right w:val="single" w:color="auto" w:sz="4" w:space="0"/>
            </w:tcBorders>
            <w:vAlign w:val="center"/>
          </w:tcPr>
          <w:p w14:paraId="74FB746C">
            <w:pPr>
              <w:adjustRightInd w:val="0"/>
              <w:spacing w:line="240" w:lineRule="auto"/>
              <w:jc w:val="center"/>
              <w:rPr>
                <w:rFonts w:hint="default" w:ascii="Times New Roman" w:hAnsi="Times New Roman" w:eastAsia="宋体" w:cs="Times New Roman"/>
                <w:color w:val="auto"/>
                <w:kern w:val="0"/>
                <w:sz w:val="21"/>
              </w:rPr>
            </w:pPr>
          </w:p>
        </w:tc>
        <w:tc>
          <w:tcPr>
            <w:tcW w:w="14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7C128B">
            <w:pPr>
              <w:autoSpaceDE w:val="0"/>
              <w:autoSpaceDN w:val="0"/>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sz w:val="21"/>
                <w:szCs w:val="21"/>
              </w:rPr>
              <w:t>食堂泔水及废油</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7B9EDDD">
            <w:pPr>
              <w:autoSpaceDE w:val="0"/>
              <w:autoSpaceDN w:val="0"/>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食堂泔水和废油用塑料桶</w:t>
            </w:r>
            <w:r>
              <w:rPr>
                <w:rFonts w:hint="default" w:ascii="Times New Roman" w:hAnsi="Times New Roman" w:eastAsia="宋体" w:cs="Times New Roman"/>
                <w:color w:val="auto"/>
                <w:sz w:val="21"/>
                <w:szCs w:val="21"/>
                <w:lang w:eastAsia="zh-CN"/>
              </w:rPr>
              <w:t>单独</w:t>
            </w:r>
            <w:r>
              <w:rPr>
                <w:rFonts w:hint="default" w:ascii="Times New Roman" w:hAnsi="Times New Roman" w:eastAsia="宋体" w:cs="Times New Roman"/>
                <w:color w:val="auto"/>
                <w:sz w:val="21"/>
                <w:szCs w:val="21"/>
              </w:rPr>
              <w:t>收集后，委托</w:t>
            </w:r>
            <w:r>
              <w:rPr>
                <w:rFonts w:hint="default" w:ascii="Times New Roman" w:hAnsi="Times New Roman" w:eastAsia="宋体" w:cs="Times New Roman"/>
                <w:color w:val="auto"/>
                <w:sz w:val="21"/>
                <w:szCs w:val="21"/>
                <w:lang w:eastAsia="zh-CN"/>
              </w:rPr>
              <w:t>环卫部门</w:t>
            </w:r>
            <w:r>
              <w:rPr>
                <w:rFonts w:hint="default" w:ascii="Times New Roman" w:hAnsi="Times New Roman" w:eastAsia="宋体" w:cs="Times New Roman"/>
                <w:color w:val="auto"/>
                <w:sz w:val="21"/>
                <w:szCs w:val="21"/>
              </w:rPr>
              <w:t>进行处理</w:t>
            </w:r>
          </w:p>
        </w:tc>
        <w:tc>
          <w:tcPr>
            <w:tcW w:w="2916" w:type="dxa"/>
            <w:vMerge w:val="continue"/>
            <w:tcBorders>
              <w:left w:val="single" w:color="auto" w:sz="4" w:space="0"/>
              <w:right w:val="single" w:color="auto" w:sz="4" w:space="0"/>
            </w:tcBorders>
            <w:vAlign w:val="center"/>
          </w:tcPr>
          <w:p w14:paraId="46F03408">
            <w:pPr>
              <w:widowControl/>
              <w:spacing w:line="240" w:lineRule="auto"/>
              <w:jc w:val="left"/>
              <w:rPr>
                <w:rFonts w:hint="default" w:ascii="Times New Roman" w:hAnsi="Times New Roman" w:eastAsia="宋体" w:cs="Times New Roman"/>
                <w:color w:val="auto"/>
                <w:sz w:val="21"/>
              </w:rPr>
            </w:pPr>
          </w:p>
        </w:tc>
      </w:tr>
      <w:tr w14:paraId="321C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70" w:hRule="atLeast"/>
          <w:jc w:val="center"/>
        </w:trPr>
        <w:tc>
          <w:tcPr>
            <w:tcW w:w="783" w:type="dxa"/>
            <w:vMerge w:val="continue"/>
            <w:tcBorders>
              <w:left w:val="single" w:color="auto" w:sz="4" w:space="0"/>
              <w:bottom w:val="single" w:color="auto" w:sz="4" w:space="0"/>
              <w:right w:val="single" w:color="auto" w:sz="4" w:space="0"/>
            </w:tcBorders>
            <w:vAlign w:val="center"/>
          </w:tcPr>
          <w:p w14:paraId="085CC546">
            <w:pPr>
              <w:widowControl/>
              <w:spacing w:line="240" w:lineRule="auto"/>
              <w:jc w:val="left"/>
              <w:rPr>
                <w:rFonts w:hint="default" w:ascii="Times New Roman" w:hAnsi="Times New Roman" w:eastAsia="宋体" w:cs="Times New Roman"/>
                <w:color w:val="auto"/>
                <w:kern w:val="0"/>
                <w:sz w:val="21"/>
              </w:rPr>
            </w:pPr>
          </w:p>
        </w:tc>
        <w:tc>
          <w:tcPr>
            <w:tcW w:w="687" w:type="dxa"/>
            <w:vMerge w:val="continue"/>
            <w:tcBorders>
              <w:left w:val="single" w:color="auto" w:sz="4" w:space="0"/>
              <w:bottom w:val="single" w:color="auto" w:sz="4" w:space="0"/>
              <w:right w:val="single" w:color="auto" w:sz="4" w:space="0"/>
            </w:tcBorders>
            <w:vAlign w:val="center"/>
          </w:tcPr>
          <w:p w14:paraId="142CECE6">
            <w:pPr>
              <w:adjustRightInd w:val="0"/>
              <w:spacing w:line="240" w:lineRule="auto"/>
              <w:jc w:val="center"/>
              <w:rPr>
                <w:rFonts w:hint="default" w:ascii="Times New Roman" w:hAnsi="Times New Roman" w:eastAsia="宋体" w:cs="Times New Roman"/>
                <w:color w:val="auto"/>
                <w:kern w:val="0"/>
                <w:sz w:val="21"/>
              </w:rPr>
            </w:pPr>
          </w:p>
        </w:tc>
        <w:tc>
          <w:tcPr>
            <w:tcW w:w="14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0B2640">
            <w:pPr>
              <w:autoSpaceDE w:val="0"/>
              <w:autoSpaceDN w:val="0"/>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污泥</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FFE2256">
            <w:pPr>
              <w:autoSpaceDE w:val="0"/>
              <w:autoSpaceDN w:val="0"/>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eastAsia="zh-CN"/>
              </w:rPr>
              <w:t>定期清掏后委托环卫部门清运处理</w:t>
            </w:r>
          </w:p>
        </w:tc>
        <w:tc>
          <w:tcPr>
            <w:tcW w:w="2916" w:type="dxa"/>
            <w:vMerge w:val="continue"/>
            <w:tcBorders>
              <w:left w:val="single" w:color="auto" w:sz="4" w:space="0"/>
              <w:bottom w:val="single" w:color="auto" w:sz="4" w:space="0"/>
              <w:right w:val="single" w:color="auto" w:sz="4" w:space="0"/>
            </w:tcBorders>
            <w:vAlign w:val="center"/>
          </w:tcPr>
          <w:p w14:paraId="77F8C9F5">
            <w:pPr>
              <w:widowControl/>
              <w:spacing w:line="240" w:lineRule="auto"/>
              <w:jc w:val="left"/>
              <w:rPr>
                <w:rFonts w:hint="default" w:ascii="Times New Roman" w:hAnsi="Times New Roman" w:eastAsia="宋体" w:cs="Times New Roman"/>
                <w:color w:val="auto"/>
                <w:sz w:val="21"/>
              </w:rPr>
            </w:pPr>
          </w:p>
        </w:tc>
      </w:tr>
      <w:tr w14:paraId="65DC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14:paraId="65019318">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噪</w:t>
            </w:r>
          </w:p>
          <w:p w14:paraId="0FC53342">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声</w:t>
            </w:r>
          </w:p>
        </w:tc>
        <w:tc>
          <w:tcPr>
            <w:tcW w:w="68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5B50CEB">
            <w:pPr>
              <w:widowControl/>
              <w:adjustRightInd w:val="0"/>
              <w:spacing w:line="240" w:lineRule="auto"/>
              <w:jc w:val="center"/>
              <w:rPr>
                <w:rFonts w:hint="default" w:ascii="Times New Roman" w:hAnsi="Times New Roman" w:eastAsia="宋体" w:cs="Times New Roman"/>
                <w:b/>
                <w:bCs/>
                <w:color w:val="auto"/>
                <w:kern w:val="0"/>
                <w:sz w:val="21"/>
              </w:rPr>
            </w:pPr>
            <w:r>
              <w:rPr>
                <w:rFonts w:hint="default" w:ascii="Times New Roman" w:hAnsi="Times New Roman" w:eastAsia="宋体" w:cs="Times New Roman"/>
                <w:color w:val="auto"/>
                <w:kern w:val="0"/>
                <w:sz w:val="21"/>
              </w:rPr>
              <w:t>生产设备</w:t>
            </w:r>
          </w:p>
        </w:tc>
        <w:tc>
          <w:tcPr>
            <w:tcW w:w="1497" w:type="dxa"/>
            <w:gridSpan w:val="2"/>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E205BE">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噪声</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C5AA75">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产噪设备合理布局，设置减震垫、墙体隔声、距离衰减</w:t>
            </w:r>
          </w:p>
        </w:tc>
        <w:tc>
          <w:tcPr>
            <w:tcW w:w="291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DFF424C">
            <w:pPr>
              <w:widowControl/>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sz w:val="21"/>
              </w:rPr>
              <w:t>达《工业企业厂界环境噪声排放标准》（GB12348-2008）3类区标准。</w:t>
            </w:r>
          </w:p>
        </w:tc>
      </w:tr>
      <w:tr w14:paraId="502A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448" w:hRule="atLeast"/>
          <w:jc w:val="center"/>
        </w:trPr>
        <w:tc>
          <w:tcPr>
            <w:tcW w:w="783" w:type="dxa"/>
            <w:tcBorders>
              <w:left w:val="single" w:color="auto" w:sz="4" w:space="0"/>
              <w:right w:val="single" w:color="auto" w:sz="4" w:space="0"/>
            </w:tcBorders>
            <w:vAlign w:val="center"/>
          </w:tcPr>
          <w:p w14:paraId="768E957B">
            <w:pPr>
              <w:adjustRightInd w:val="0"/>
              <w:spacing w:line="240" w:lineRule="auto"/>
              <w:jc w:val="center"/>
              <w:rPr>
                <w:rFonts w:hint="eastAsia" w:ascii="Times New Roman" w:hAnsi="Times New Roman" w:eastAsia="宋体" w:cs="Times New Roman"/>
                <w:color w:val="auto"/>
                <w:kern w:val="0"/>
                <w:sz w:val="21"/>
                <w:lang w:eastAsia="zh-CN"/>
              </w:rPr>
            </w:pPr>
            <w:r>
              <w:rPr>
                <w:rFonts w:hint="eastAsia" w:ascii="Times New Roman" w:hAnsi="Times New Roman" w:cs="Times New Roman"/>
                <w:color w:val="auto"/>
                <w:kern w:val="0"/>
                <w:sz w:val="21"/>
                <w:lang w:eastAsia="zh-CN"/>
              </w:rPr>
              <w:t>风险</w:t>
            </w:r>
          </w:p>
        </w:tc>
        <w:tc>
          <w:tcPr>
            <w:tcW w:w="2184"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D2D3B5A">
            <w:pPr>
              <w:widowControl/>
              <w:adjustRightInd w:val="0"/>
              <w:spacing w:line="240" w:lineRule="auto"/>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事故池</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AD3F26E">
            <w:pPr>
              <w:widowControl/>
              <w:adjustRightInd w:val="0"/>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eastAsia="zh-CN"/>
              </w:rPr>
              <w:t>一个不低于</w:t>
            </w:r>
            <w:r>
              <w:rPr>
                <w:rFonts w:hint="eastAsia" w:ascii="Times New Roman" w:hAnsi="Times New Roman" w:cs="Times New Roman"/>
                <w:color w:val="auto"/>
                <w:kern w:val="0"/>
                <w:sz w:val="21"/>
                <w:szCs w:val="21"/>
                <w:lang w:val="en-US" w:eastAsia="zh-CN"/>
              </w:rPr>
              <w:t>231</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val="en-US" w:eastAsia="zh-CN"/>
              </w:rPr>
              <w:t>的事故池</w:t>
            </w:r>
          </w:p>
        </w:tc>
        <w:tc>
          <w:tcPr>
            <w:tcW w:w="2916" w:type="dxa"/>
            <w:vMerge w:val="restart"/>
            <w:tcBorders>
              <w:left w:val="single" w:color="auto" w:sz="4" w:space="0"/>
              <w:right w:val="single" w:color="auto" w:sz="4" w:space="0"/>
            </w:tcBorders>
            <w:tcMar>
              <w:top w:w="0" w:type="dxa"/>
              <w:left w:w="108" w:type="dxa"/>
              <w:bottom w:w="0" w:type="dxa"/>
              <w:right w:w="108" w:type="dxa"/>
            </w:tcMar>
            <w:vAlign w:val="center"/>
          </w:tcPr>
          <w:p w14:paraId="3249CB60">
            <w:pPr>
              <w:adjustRightInd w:val="0"/>
              <w:spacing w:line="240" w:lineRule="auto"/>
              <w:jc w:val="center"/>
              <w:rPr>
                <w:rFonts w:hint="default" w:ascii="Times New Roman" w:hAnsi="Times New Roman" w:eastAsia="宋体" w:cs="Times New Roman"/>
                <w:color w:val="auto"/>
                <w:sz w:val="21"/>
              </w:rPr>
            </w:pPr>
            <w:r>
              <w:rPr>
                <w:rFonts w:hint="eastAsia" w:ascii="Times New Roman" w:hAnsi="Times New Roman" w:cs="Times New Roman"/>
                <w:color w:val="auto"/>
                <w:kern w:val="0"/>
                <w:sz w:val="21"/>
                <w:highlight w:val="none"/>
                <w:lang w:eastAsia="zh-CN"/>
              </w:rPr>
              <w:t>影响较小</w:t>
            </w:r>
          </w:p>
        </w:tc>
      </w:tr>
      <w:tr w14:paraId="38DC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450" w:hRule="atLeast"/>
          <w:jc w:val="center"/>
        </w:trPr>
        <w:tc>
          <w:tcPr>
            <w:tcW w:w="783" w:type="dxa"/>
            <w:vMerge w:val="restart"/>
            <w:tcBorders>
              <w:left w:val="single" w:color="auto" w:sz="4" w:space="0"/>
              <w:right w:val="single" w:color="auto" w:sz="4" w:space="0"/>
            </w:tcBorders>
            <w:vAlign w:val="center"/>
          </w:tcPr>
          <w:p w14:paraId="41C9C4C3">
            <w:pPr>
              <w:adjustRightInd w:val="0"/>
              <w:spacing w:line="240" w:lineRule="auto"/>
              <w:jc w:val="center"/>
              <w:rPr>
                <w:rFonts w:hint="default" w:ascii="Times New Roman" w:hAnsi="Times New Roman" w:eastAsia="宋体" w:cs="Times New Roman"/>
                <w:color w:val="auto"/>
                <w:kern w:val="0"/>
                <w:sz w:val="21"/>
                <w:lang w:eastAsia="zh-CN"/>
              </w:rPr>
            </w:pPr>
            <w:r>
              <w:rPr>
                <w:rFonts w:hint="default" w:ascii="Times New Roman" w:hAnsi="Times New Roman" w:eastAsia="宋体" w:cs="Times New Roman"/>
                <w:color w:val="auto"/>
                <w:kern w:val="0"/>
                <w:sz w:val="21"/>
                <w:lang w:eastAsia="zh-CN"/>
              </w:rPr>
              <w:t>地下水</w:t>
            </w:r>
          </w:p>
        </w:tc>
        <w:tc>
          <w:tcPr>
            <w:tcW w:w="2184"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C2CD85">
            <w:pPr>
              <w:adjustRightInd w:val="0"/>
              <w:snapToGrid w:val="0"/>
              <w:spacing w:line="360" w:lineRule="atLeast"/>
              <w:jc w:val="center"/>
              <w:rPr>
                <w:rFonts w:hint="default"/>
                <w:color w:val="auto"/>
              </w:rPr>
            </w:pPr>
            <w:r>
              <w:rPr>
                <w:rFonts w:hint="default"/>
                <w:color w:val="auto"/>
                <w:sz w:val="21"/>
                <w:szCs w:val="21"/>
              </w:rPr>
              <w:t>危险废物暂存间</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D50253C">
            <w:pPr>
              <w:autoSpaceDE w:val="0"/>
              <w:autoSpaceDN w:val="0"/>
              <w:adjustRightInd w:val="0"/>
              <w:snapToGrid w:val="0"/>
              <w:spacing w:line="380" w:lineRule="atLeas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eastAsia="zh-CN"/>
              </w:rPr>
              <w:t>项目重点防渗区采用2mm厚高密度聚乙烯，或至少2mm厚的其他人工材料，或者等效黏土防渗层Mb≥6.0m，渗透系数≤10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w:t>
            </w:r>
          </w:p>
        </w:tc>
        <w:tc>
          <w:tcPr>
            <w:tcW w:w="2916" w:type="dxa"/>
            <w:vMerge w:val="continue"/>
            <w:tcBorders>
              <w:left w:val="single" w:color="auto" w:sz="4" w:space="0"/>
              <w:right w:val="single" w:color="auto" w:sz="4" w:space="0"/>
            </w:tcBorders>
            <w:tcMar>
              <w:top w:w="0" w:type="dxa"/>
              <w:left w:w="108" w:type="dxa"/>
              <w:bottom w:w="0" w:type="dxa"/>
              <w:right w:w="108" w:type="dxa"/>
            </w:tcMar>
            <w:vAlign w:val="center"/>
          </w:tcPr>
          <w:p w14:paraId="01FBFFE0">
            <w:pPr>
              <w:adjustRightInd w:val="0"/>
              <w:spacing w:line="240" w:lineRule="auto"/>
              <w:jc w:val="center"/>
              <w:rPr>
                <w:rFonts w:hint="default" w:ascii="Times New Roman" w:hAnsi="Times New Roman" w:eastAsia="宋体" w:cs="Times New Roman"/>
                <w:color w:val="auto"/>
                <w:sz w:val="21"/>
              </w:rPr>
            </w:pPr>
          </w:p>
        </w:tc>
      </w:tr>
      <w:tr w14:paraId="7909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555" w:hRule="atLeast"/>
          <w:jc w:val="center"/>
        </w:trPr>
        <w:tc>
          <w:tcPr>
            <w:tcW w:w="783" w:type="dxa"/>
            <w:vMerge w:val="continue"/>
            <w:tcBorders>
              <w:left w:val="single" w:color="auto" w:sz="4" w:space="0"/>
              <w:right w:val="single" w:color="auto" w:sz="4" w:space="0"/>
            </w:tcBorders>
            <w:vAlign w:val="center"/>
          </w:tcPr>
          <w:p w14:paraId="03ABB05D">
            <w:pPr>
              <w:adjustRightInd w:val="0"/>
              <w:spacing w:line="240" w:lineRule="auto"/>
              <w:jc w:val="center"/>
              <w:rPr>
                <w:rFonts w:hint="default" w:ascii="Times New Roman" w:hAnsi="Times New Roman" w:eastAsia="宋体" w:cs="Times New Roman"/>
                <w:color w:val="auto"/>
                <w:kern w:val="0"/>
                <w:sz w:val="21"/>
              </w:rPr>
            </w:pPr>
          </w:p>
        </w:tc>
        <w:tc>
          <w:tcPr>
            <w:tcW w:w="2184"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C189107">
            <w:pPr>
              <w:adjustRightInd w:val="0"/>
              <w:snapToGrid w:val="0"/>
              <w:spacing w:line="360" w:lineRule="atLeas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污水处理</w:t>
            </w:r>
            <w:r>
              <w:rPr>
                <w:rFonts w:hint="default" w:ascii="Times New Roman" w:hAnsi="Times New Roman" w:eastAsia="宋体" w:cs="Times New Roman"/>
                <w:color w:val="auto"/>
                <w:sz w:val="21"/>
                <w:szCs w:val="21"/>
                <w:lang w:eastAsia="zh-CN"/>
              </w:rPr>
              <w:t>系统</w:t>
            </w:r>
            <w:r>
              <w:rPr>
                <w:rFonts w:hint="default" w:ascii="Times New Roman" w:hAnsi="Times New Roman" w:eastAsia="宋体" w:cs="Times New Roman"/>
                <w:color w:val="auto"/>
                <w:sz w:val="21"/>
                <w:szCs w:val="21"/>
              </w:rPr>
              <w:t>（含</w:t>
            </w:r>
            <w:r>
              <w:rPr>
                <w:rFonts w:hint="default" w:ascii="Times New Roman" w:hAnsi="Times New Roman" w:eastAsia="宋体" w:cs="Times New Roman"/>
                <w:color w:val="auto"/>
                <w:sz w:val="21"/>
                <w:szCs w:val="21"/>
                <w:lang w:eastAsia="zh-CN"/>
              </w:rPr>
              <w:t>污水处理设备、化粪池、隔油池、</w:t>
            </w:r>
            <w:r>
              <w:rPr>
                <w:rFonts w:hint="default" w:ascii="Times New Roman" w:hAnsi="Times New Roman" w:eastAsia="宋体" w:cs="Times New Roman"/>
                <w:color w:val="auto"/>
                <w:sz w:val="21"/>
                <w:szCs w:val="21"/>
              </w:rPr>
              <w:t>事故池、污水收集管网）。</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27EAD6">
            <w:pPr>
              <w:adjustRightInd w:val="0"/>
              <w:snapToGrid w:val="0"/>
              <w:spacing w:line="360" w:lineRule="atLeas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lang w:eastAsia="zh-CN"/>
              </w:rPr>
              <w:t>项目一般防渗区采用等效黏土防渗层Mb≥1.5m，渗透系数≤10</w:t>
            </w:r>
            <w:r>
              <w:rPr>
                <w:rFonts w:hint="default" w:ascii="Times New Roman" w:hAnsi="Times New Roman" w:eastAsia="宋体" w:cs="Times New Roman"/>
                <w:color w:val="auto"/>
                <w:sz w:val="21"/>
                <w:szCs w:val="21"/>
                <w:vertAlign w:val="superscript"/>
                <w:lang w:eastAsia="zh-CN"/>
              </w:rPr>
              <w:t>-7</w:t>
            </w:r>
            <w:r>
              <w:rPr>
                <w:rFonts w:hint="default" w:ascii="Times New Roman" w:hAnsi="Times New Roman" w:eastAsia="宋体" w:cs="Times New Roman"/>
                <w:color w:val="auto"/>
                <w:sz w:val="21"/>
                <w:szCs w:val="21"/>
                <w:lang w:eastAsia="zh-CN"/>
              </w:rPr>
              <w:t>cm/s。</w:t>
            </w:r>
          </w:p>
        </w:tc>
        <w:tc>
          <w:tcPr>
            <w:tcW w:w="2916" w:type="dxa"/>
            <w:vMerge w:val="continue"/>
            <w:tcBorders>
              <w:left w:val="single" w:color="auto" w:sz="4" w:space="0"/>
              <w:right w:val="single" w:color="auto" w:sz="4" w:space="0"/>
            </w:tcBorders>
            <w:tcMar>
              <w:top w:w="0" w:type="dxa"/>
              <w:left w:w="108" w:type="dxa"/>
              <w:bottom w:w="0" w:type="dxa"/>
              <w:right w:w="108" w:type="dxa"/>
            </w:tcMar>
            <w:vAlign w:val="center"/>
          </w:tcPr>
          <w:p w14:paraId="3EED0BDD">
            <w:pPr>
              <w:adjustRightInd w:val="0"/>
              <w:jc w:val="center"/>
              <w:rPr>
                <w:rFonts w:hint="default" w:ascii="Times New Roman" w:hAnsi="Times New Roman" w:eastAsia="宋体" w:cs="Times New Roman"/>
                <w:color w:val="auto"/>
                <w:kern w:val="0"/>
                <w:sz w:val="21"/>
              </w:rPr>
            </w:pPr>
          </w:p>
        </w:tc>
      </w:tr>
      <w:tr w14:paraId="776E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990" w:hRule="atLeast"/>
          <w:jc w:val="center"/>
        </w:trPr>
        <w:tc>
          <w:tcPr>
            <w:tcW w:w="783" w:type="dxa"/>
            <w:vMerge w:val="continue"/>
            <w:tcBorders>
              <w:left w:val="single" w:color="auto" w:sz="4" w:space="0"/>
              <w:bottom w:val="single" w:color="auto" w:sz="4" w:space="0"/>
              <w:right w:val="single" w:color="auto" w:sz="4" w:space="0"/>
            </w:tcBorders>
            <w:vAlign w:val="center"/>
          </w:tcPr>
          <w:p w14:paraId="5EC38CBD">
            <w:pPr>
              <w:adjustRightInd w:val="0"/>
              <w:spacing w:line="240" w:lineRule="auto"/>
              <w:jc w:val="center"/>
              <w:rPr>
                <w:rFonts w:hint="default" w:ascii="Times New Roman" w:hAnsi="Times New Roman" w:eastAsia="宋体" w:cs="Times New Roman"/>
                <w:color w:val="auto"/>
                <w:kern w:val="0"/>
                <w:sz w:val="21"/>
              </w:rPr>
            </w:pPr>
          </w:p>
        </w:tc>
        <w:tc>
          <w:tcPr>
            <w:tcW w:w="2184" w:type="dxa"/>
            <w:gridSpan w:val="3"/>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8E7A581">
            <w:pPr>
              <w:adjustRightInd w:val="0"/>
              <w:snapToGrid w:val="0"/>
              <w:spacing w:line="360" w:lineRule="atLeast"/>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办公生活区</w:t>
            </w:r>
          </w:p>
        </w:tc>
        <w:tc>
          <w:tcPr>
            <w:tcW w:w="257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EF246BE">
            <w:pPr>
              <w:adjustRightInd w:val="0"/>
              <w:snapToGrid w:val="0"/>
              <w:spacing w:line="360" w:lineRule="atLeas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不需要设置专门的防渗层，场地硬化即可。</w:t>
            </w:r>
          </w:p>
        </w:tc>
        <w:tc>
          <w:tcPr>
            <w:tcW w:w="2916" w:type="dxa"/>
            <w:vMerge w:val="continue"/>
            <w:tcBorders>
              <w:left w:val="single" w:color="auto" w:sz="4" w:space="0"/>
              <w:bottom w:val="single" w:color="auto" w:sz="4" w:space="0"/>
              <w:right w:val="single" w:color="auto" w:sz="4" w:space="0"/>
            </w:tcBorders>
            <w:tcMar>
              <w:top w:w="0" w:type="dxa"/>
              <w:left w:w="108" w:type="dxa"/>
              <w:bottom w:w="0" w:type="dxa"/>
              <w:right w:w="108" w:type="dxa"/>
            </w:tcMar>
            <w:vAlign w:val="center"/>
          </w:tcPr>
          <w:p w14:paraId="25DB2746">
            <w:pPr>
              <w:adjustRightInd w:val="0"/>
              <w:jc w:val="center"/>
              <w:rPr>
                <w:rFonts w:hint="default" w:ascii="Times New Roman" w:hAnsi="Times New Roman" w:eastAsia="宋体" w:cs="Times New Roman"/>
                <w:color w:val="auto"/>
                <w:sz w:val="21"/>
              </w:rPr>
            </w:pPr>
          </w:p>
        </w:tc>
      </w:tr>
      <w:tr w14:paraId="1408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45" w:type="dxa"/>
            <w:bottom w:w="17" w:type="dxa"/>
            <w:right w:w="45" w:type="dxa"/>
          </w:tblCellMar>
        </w:tblPrEx>
        <w:trPr>
          <w:trHeight w:val="20" w:hRule="atLeast"/>
          <w:jc w:val="center"/>
        </w:trPr>
        <w:tc>
          <w:tcPr>
            <w:tcW w:w="783" w:type="dxa"/>
            <w:tcBorders>
              <w:top w:val="single" w:color="auto" w:sz="4" w:space="0"/>
              <w:left w:val="single" w:color="auto" w:sz="4" w:space="0"/>
              <w:bottom w:val="single" w:color="auto" w:sz="4" w:space="0"/>
              <w:right w:val="single" w:color="auto" w:sz="4" w:space="0"/>
            </w:tcBorders>
            <w:vAlign w:val="center"/>
          </w:tcPr>
          <w:p w14:paraId="5C5819A4">
            <w:pPr>
              <w:adjustRightInd w:val="0"/>
              <w:spacing w:line="240" w:lineRule="auto"/>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环境</w:t>
            </w:r>
          </w:p>
          <w:p w14:paraId="4CE707FD">
            <w:pPr>
              <w:adjustRightInd w:val="0"/>
              <w:spacing w:line="240" w:lineRule="auto"/>
              <w:jc w:val="center"/>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sz w:val="21"/>
              </w:rPr>
              <w:t>管理</w:t>
            </w:r>
          </w:p>
        </w:tc>
        <w:tc>
          <w:tcPr>
            <w:tcW w:w="7670" w:type="dxa"/>
            <w:gridSpan w:val="5"/>
            <w:tcBorders>
              <w:top w:val="single" w:color="auto" w:sz="4" w:space="0"/>
              <w:left w:val="single" w:color="auto" w:sz="4" w:space="0"/>
              <w:bottom w:val="single" w:color="auto" w:sz="4" w:space="0"/>
              <w:right w:val="single" w:color="auto" w:sz="4" w:space="0"/>
            </w:tcBorders>
            <w:vAlign w:val="center"/>
          </w:tcPr>
          <w:p w14:paraId="7FE399ED">
            <w:pPr>
              <w:adjustRightInd w:val="0"/>
              <w:spacing w:line="240" w:lineRule="auto"/>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1、加强环保设备、设施的日常维护及监控工作，保障环保设施的处理效率。</w:t>
            </w:r>
          </w:p>
          <w:p w14:paraId="4DC9ABF0">
            <w:pPr>
              <w:autoSpaceDE w:val="0"/>
              <w:autoSpaceDN w:val="0"/>
              <w:adjustRightInd w:val="0"/>
              <w:spacing w:line="240" w:lineRule="auto"/>
              <w:jc w:val="left"/>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2、建立、健全环保规章制度。</w:t>
            </w:r>
          </w:p>
        </w:tc>
      </w:tr>
    </w:tbl>
    <w:p w14:paraId="36EFEA30">
      <w:pPr>
        <w:adjustRightInd w:val="0"/>
        <w:snapToGrid w:val="0"/>
        <w:spacing w:beforeLines="50"/>
        <w:outlineLvl w:val="1"/>
        <w:rPr>
          <w:rFonts w:hint="default" w:ascii="Times New Roman" w:hAnsi="Times New Roman" w:eastAsia="宋体" w:cs="Times New Roman"/>
          <w:color w:val="auto"/>
          <w:szCs w:val="22"/>
        </w:rPr>
      </w:pPr>
      <w:bookmarkStart w:id="656" w:name="_Toc8467"/>
      <w:bookmarkStart w:id="657" w:name="_Toc2693258"/>
      <w:r>
        <w:rPr>
          <w:rFonts w:hint="default" w:ascii="Times New Roman" w:hAnsi="Times New Roman" w:eastAsia="宋体" w:cs="Times New Roman"/>
          <w:b/>
          <w:color w:val="auto"/>
          <w:sz w:val="32"/>
          <w:szCs w:val="32"/>
        </w:rPr>
        <w:t>10.6排污口规范化</w:t>
      </w:r>
      <w:bookmarkEnd w:id="656"/>
      <w:bookmarkEnd w:id="657"/>
    </w:p>
    <w:p w14:paraId="7CE57738">
      <w:pPr>
        <w:adjustRightIn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根据《关于开展排放口规范化整治工作的通知》环发[1999]24号文和附件2《排放口规范化整治技术要求》，一切新建、改建的排污单位以及限期整治的排污单位，必须在建设污染治理设施的同时，建设规范化排污口。</w:t>
      </w:r>
    </w:p>
    <w:p w14:paraId="4BDAE113">
      <w:pPr>
        <w:adjustRightIn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因此，项目建成投产后，各类排污口必须规范化建设和管理，而且规范化工作应与污染治理同步实施，即治理设施完工时，</w:t>
      </w:r>
      <w:r>
        <w:rPr>
          <w:rFonts w:hint="eastAsia" w:ascii="Times New Roman" w:hAnsi="Times New Roman" w:cs="Times New Roman"/>
          <w:color w:val="auto"/>
          <w:lang w:eastAsia="zh-CN"/>
        </w:rPr>
        <w:t>规范化</w:t>
      </w:r>
      <w:r>
        <w:rPr>
          <w:rFonts w:hint="default" w:ascii="Times New Roman" w:hAnsi="Times New Roman" w:eastAsia="宋体" w:cs="Times New Roman"/>
          <w:color w:val="auto"/>
        </w:rPr>
        <w:t>工作必须同时完成，并列入污染物治理设施的验收内容。</w:t>
      </w:r>
    </w:p>
    <w:p w14:paraId="35E58F77">
      <w:pPr>
        <w:adjustRightInd w:val="0"/>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（1）排污口设置要求</w:t>
      </w:r>
    </w:p>
    <w:p w14:paraId="0435965A">
      <w:pPr>
        <w:adjustRightIn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排污口设置应按照“一明显、二合理、三便于”的要求，即环保标志明显、排污口设置合理、排污口去向合理，便于取样、便于监测管理和公众监督的要求进行设置。项目实施后，设置</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个</w:t>
      </w:r>
      <w:r>
        <w:rPr>
          <w:rFonts w:hint="eastAsia" w:ascii="Times New Roman" w:hAnsi="Times New Roman" w:cs="Times New Roman"/>
          <w:color w:val="auto"/>
          <w:lang w:eastAsia="zh-CN"/>
        </w:rPr>
        <w:t>废水</w:t>
      </w:r>
      <w:r>
        <w:rPr>
          <w:rFonts w:hint="default" w:ascii="Times New Roman" w:hAnsi="Times New Roman" w:eastAsia="宋体" w:cs="Times New Roman"/>
          <w:color w:val="auto"/>
        </w:rPr>
        <w:t>排放口，在</w:t>
      </w:r>
      <w:r>
        <w:rPr>
          <w:rFonts w:hint="eastAsia" w:ascii="Times New Roman" w:hAnsi="Times New Roman" w:cs="Times New Roman"/>
          <w:color w:val="auto"/>
          <w:lang w:eastAsia="zh-CN"/>
        </w:rPr>
        <w:t>废水排放口</w:t>
      </w:r>
      <w:r>
        <w:rPr>
          <w:rFonts w:hint="default" w:ascii="Times New Roman" w:hAnsi="Times New Roman" w:eastAsia="宋体" w:cs="Times New Roman"/>
          <w:color w:val="auto"/>
        </w:rPr>
        <w:t>分别设置便于采样、监测的采样口，并设立立标识牌作为永久性监测平台，以便日后的环境监测，采样口的设置应符合《污染源监测技术规范》要求。</w:t>
      </w:r>
    </w:p>
    <w:p w14:paraId="20AEC944">
      <w:pPr>
        <w:adjustRightInd w:val="0"/>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（2）排放口管理</w:t>
      </w:r>
    </w:p>
    <w:p w14:paraId="53F43EB5">
      <w:pPr>
        <w:adjustRightInd w:val="0"/>
        <w:snapToGrid w:val="0"/>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rPr>
        <w:t>建设单位应在各排放口处竖立或挂上排放口标准，标志牌应注明污染物名称以警示周围群众。建设单位应如实填写《中华人民共和国规范化排污口标志登记》的有关内容，由环保主管部门签发登记证。建设单位应把有关排污情况如排污口的性质，编号、排污口的位置以及主要排放的污染物种类、数量、浓度、排放规律及污染治理设施的运行情况等进行建档管理，并报送环保主管部门备案。</w:t>
      </w:r>
    </w:p>
    <w:p w14:paraId="47AB2847">
      <w:pPr>
        <w:adjustRightInd w:val="0"/>
        <w:snapToGrid w:val="0"/>
        <w:ind w:firstLine="480" w:firstLineChars="200"/>
        <w:rPr>
          <w:rFonts w:hint="default" w:ascii="Times New Roman" w:hAnsi="Times New Roman" w:eastAsia="宋体" w:cs="Times New Roman"/>
          <w:color w:val="auto"/>
          <w:szCs w:val="22"/>
        </w:rPr>
        <w:sectPr>
          <w:headerReference r:id="rId11" w:type="default"/>
          <w:pgSz w:w="11906" w:h="16838"/>
          <w:pgMar w:top="1440" w:right="1797" w:bottom="1440" w:left="1797" w:header="851" w:footer="992" w:gutter="0"/>
          <w:pgNumType w:fmt="decimal"/>
          <w:cols w:space="425" w:num="1"/>
          <w:docGrid w:linePitch="312" w:charSpace="0"/>
        </w:sectPr>
      </w:pPr>
    </w:p>
    <w:p w14:paraId="28AD225E">
      <w:pPr>
        <w:adjustRightInd w:val="0"/>
        <w:snapToGrid w:val="0"/>
        <w:spacing w:beforeLines="50"/>
        <w:jc w:val="center"/>
        <w:outlineLvl w:val="0"/>
        <w:rPr>
          <w:rFonts w:hint="default" w:ascii="Times New Roman" w:hAnsi="Times New Roman" w:eastAsia="宋体" w:cs="Times New Roman"/>
          <w:b/>
          <w:color w:val="auto"/>
          <w:sz w:val="36"/>
          <w:szCs w:val="36"/>
        </w:rPr>
      </w:pPr>
      <w:bookmarkStart w:id="658" w:name="_Toc1203"/>
      <w:bookmarkStart w:id="659" w:name="_Toc24943"/>
      <w:r>
        <w:rPr>
          <w:rFonts w:hint="default" w:ascii="Times New Roman" w:hAnsi="Times New Roman" w:eastAsia="宋体" w:cs="Times New Roman"/>
          <w:b/>
          <w:color w:val="auto"/>
          <w:sz w:val="36"/>
          <w:szCs w:val="36"/>
        </w:rPr>
        <w:t>11.环境影响评价结论</w:t>
      </w:r>
      <w:bookmarkEnd w:id="658"/>
      <w:bookmarkEnd w:id="659"/>
    </w:p>
    <w:p w14:paraId="4825A61D">
      <w:pPr>
        <w:adjustRightInd w:val="0"/>
        <w:snapToGrid w:val="0"/>
        <w:spacing w:beforeLines="50"/>
        <w:outlineLvl w:val="1"/>
        <w:rPr>
          <w:rFonts w:hint="default" w:ascii="Times New Roman" w:hAnsi="Times New Roman" w:eastAsia="宋体" w:cs="Times New Roman"/>
          <w:b/>
          <w:color w:val="auto"/>
          <w:sz w:val="32"/>
          <w:szCs w:val="32"/>
        </w:rPr>
      </w:pPr>
      <w:bookmarkStart w:id="660" w:name="_Toc307819655"/>
      <w:bookmarkStart w:id="661" w:name="_Toc275947762"/>
      <w:bookmarkStart w:id="662" w:name="_Toc329956152"/>
      <w:bookmarkStart w:id="663" w:name="_Toc277880199"/>
      <w:bookmarkStart w:id="664" w:name="_Toc22301"/>
      <w:bookmarkStart w:id="665" w:name="_Toc295682000"/>
      <w:bookmarkStart w:id="666" w:name="_Toc277880019"/>
      <w:bookmarkStart w:id="667" w:name="_Toc4309"/>
      <w:bookmarkStart w:id="668" w:name="_Toc299349047"/>
      <w:bookmarkStart w:id="669" w:name="_Toc270063330"/>
      <w:bookmarkStart w:id="670" w:name="_Toc295682513"/>
      <w:bookmarkStart w:id="671" w:name="_Toc277919456"/>
      <w:r>
        <w:rPr>
          <w:rFonts w:hint="default" w:ascii="Times New Roman" w:hAnsi="Times New Roman" w:eastAsia="宋体" w:cs="Times New Roman"/>
          <w:b/>
          <w:color w:val="auto"/>
          <w:sz w:val="32"/>
          <w:szCs w:val="32"/>
        </w:rPr>
        <w:t>11.1项目概况</w:t>
      </w:r>
      <w:bookmarkEnd w:id="660"/>
      <w:bookmarkEnd w:id="661"/>
      <w:bookmarkEnd w:id="662"/>
      <w:bookmarkEnd w:id="663"/>
      <w:bookmarkEnd w:id="664"/>
      <w:bookmarkEnd w:id="665"/>
      <w:bookmarkEnd w:id="666"/>
      <w:bookmarkEnd w:id="667"/>
      <w:bookmarkEnd w:id="668"/>
      <w:bookmarkEnd w:id="669"/>
      <w:bookmarkEnd w:id="670"/>
      <w:bookmarkEnd w:id="671"/>
    </w:p>
    <w:p w14:paraId="664EB038">
      <w:pPr>
        <w:ind w:firstLine="480"/>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lang w:eastAsia="zh-CN"/>
        </w:rPr>
        <w:t>云南业勤服饰有限公司</w:t>
      </w:r>
      <w:r>
        <w:rPr>
          <w:rFonts w:hint="default" w:ascii="Times New Roman" w:hAnsi="Times New Roman" w:eastAsia="宋体" w:cs="Times New Roman"/>
          <w:color w:val="auto"/>
        </w:rPr>
        <w:t>成立于</w:t>
      </w:r>
      <w:r>
        <w:rPr>
          <w:rFonts w:hint="default" w:ascii="Times New Roman" w:hAnsi="Times New Roman" w:eastAsia="宋体" w:cs="Times New Roman"/>
          <w:color w:val="auto"/>
          <w:lang w:val="en-US" w:eastAsia="zh-CN"/>
        </w:rPr>
        <w:t>2018</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月，主要从事服装加工，</w:t>
      </w:r>
      <w:r>
        <w:rPr>
          <w:rFonts w:hint="default" w:ascii="Times New Roman" w:hAnsi="Times New Roman" w:eastAsia="宋体" w:cs="Times New Roman"/>
          <w:color w:val="auto"/>
          <w:lang w:eastAsia="zh-CN"/>
        </w:rPr>
        <w:t>云南业勤服饰有限公司</w:t>
      </w:r>
      <w:r>
        <w:rPr>
          <w:rFonts w:hint="default" w:ascii="Times New Roman" w:hAnsi="Times New Roman" w:eastAsia="宋体" w:cs="Times New Roman"/>
          <w:color w:val="auto"/>
        </w:rPr>
        <w:t>于</w:t>
      </w:r>
      <w:r>
        <w:rPr>
          <w:rFonts w:hint="default" w:ascii="Times New Roman" w:hAnsi="Times New Roman" w:eastAsia="宋体" w:cs="Times New Roman"/>
          <w:color w:val="auto"/>
          <w:lang w:eastAsia="zh-CN"/>
        </w:rPr>
        <w:t>芒市帕底工业园区</w:t>
      </w:r>
      <w:r>
        <w:rPr>
          <w:rFonts w:hint="default" w:ascii="Times New Roman" w:hAnsi="Times New Roman" w:eastAsia="宋体" w:cs="Times New Roman"/>
          <w:color w:val="auto"/>
        </w:rPr>
        <w:t>现有厂房建设服装生产</w:t>
      </w:r>
      <w:r>
        <w:rPr>
          <w:rFonts w:hint="default" w:ascii="Times New Roman" w:hAnsi="Times New Roman" w:eastAsia="宋体" w:cs="Times New Roman"/>
          <w:color w:val="auto"/>
          <w:lang w:eastAsia="zh-CN"/>
        </w:rPr>
        <w:t>线</w:t>
      </w:r>
      <w:r>
        <w:rPr>
          <w:rFonts w:hint="default" w:ascii="Times New Roman" w:hAnsi="Times New Roman" w:eastAsia="宋体" w:cs="Times New Roman"/>
          <w:color w:val="auto"/>
        </w:rPr>
        <w:t>项目，项目已于</w:t>
      </w:r>
      <w:r>
        <w:rPr>
          <w:rFonts w:hint="default" w:ascii="Times New Roman" w:hAnsi="Times New Roman" w:eastAsia="宋体" w:cs="Times New Roman"/>
          <w:color w:val="auto"/>
          <w:lang w:val="en-US" w:eastAsia="zh-CN"/>
        </w:rPr>
        <w:t>2019</w:t>
      </w:r>
      <w:r>
        <w:rPr>
          <w:rFonts w:hint="default" w:ascii="Times New Roman" w:hAnsi="Times New Roman" w:eastAsia="宋体" w:cs="Times New Roman"/>
          <w:color w:val="auto"/>
        </w:rPr>
        <w:t>年</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月</w:t>
      </w:r>
      <w:r>
        <w:rPr>
          <w:rFonts w:hint="default" w:ascii="Times New Roman" w:hAnsi="Times New Roman" w:eastAsia="宋体" w:cs="Times New Roman"/>
          <w:color w:val="auto"/>
          <w:lang w:val="en-US" w:eastAsia="zh-CN"/>
        </w:rPr>
        <w:t>14</w:t>
      </w:r>
      <w:r>
        <w:rPr>
          <w:rFonts w:hint="default" w:ascii="Times New Roman" w:hAnsi="Times New Roman" w:eastAsia="宋体" w:cs="Times New Roman"/>
          <w:color w:val="auto"/>
        </w:rPr>
        <w:t>日</w:t>
      </w:r>
      <w:r>
        <w:rPr>
          <w:rFonts w:hint="default" w:ascii="Times New Roman" w:hAnsi="Times New Roman" w:eastAsia="宋体" w:cs="Times New Roman"/>
          <w:color w:val="auto"/>
          <w:lang w:eastAsia="zh-CN"/>
        </w:rPr>
        <w:t>完成建设项目环境影响登记表备案，备案号为：</w:t>
      </w:r>
      <w:r>
        <w:rPr>
          <w:rFonts w:hint="default" w:ascii="Times New Roman" w:hAnsi="Times New Roman" w:eastAsia="宋体" w:cs="Times New Roman"/>
          <w:color w:val="auto"/>
          <w:lang w:val="en-US" w:eastAsia="zh-CN"/>
        </w:rPr>
        <w:t>201953310300000070，</w:t>
      </w:r>
      <w:r>
        <w:rPr>
          <w:rFonts w:hint="default" w:ascii="Times New Roman" w:hAnsi="Times New Roman" w:eastAsia="宋体" w:cs="Times New Roman"/>
          <w:color w:val="auto"/>
          <w:lang w:eastAsia="zh-CN"/>
        </w:rPr>
        <w:t>云南业勤服饰有限公司计划扩建一条水洗生产线，改扩建项目于</w:t>
      </w:r>
      <w:r>
        <w:rPr>
          <w:rFonts w:hint="default" w:ascii="Times New Roman" w:hAnsi="Times New Roman" w:eastAsia="宋体" w:cs="Times New Roman"/>
          <w:color w:val="auto"/>
          <w:lang w:val="en-US" w:eastAsia="zh-CN"/>
        </w:rPr>
        <w:t>2019年9月26日</w:t>
      </w:r>
      <w:r>
        <w:rPr>
          <w:rFonts w:hint="default" w:ascii="Times New Roman" w:hAnsi="Times New Roman" w:eastAsia="宋体" w:cs="Times New Roman"/>
          <w:color w:val="auto"/>
        </w:rPr>
        <w:t>获得</w:t>
      </w:r>
      <w:r>
        <w:rPr>
          <w:rFonts w:hint="default" w:ascii="Times New Roman" w:hAnsi="Times New Roman" w:eastAsia="宋体" w:cs="Times New Roman"/>
          <w:color w:val="auto"/>
          <w:lang w:eastAsia="zh-CN"/>
        </w:rPr>
        <w:t>芒市发展和改革局</w:t>
      </w:r>
      <w:r>
        <w:rPr>
          <w:rFonts w:hint="default" w:ascii="Times New Roman" w:hAnsi="Times New Roman" w:eastAsia="宋体" w:cs="Times New Roman"/>
          <w:color w:val="auto"/>
        </w:rPr>
        <w:t>关于本项目备案的通知（项目</w:t>
      </w:r>
      <w:r>
        <w:rPr>
          <w:rFonts w:hint="default" w:ascii="Times New Roman" w:hAnsi="Times New Roman" w:eastAsia="宋体" w:cs="Times New Roman"/>
          <w:color w:val="auto"/>
          <w:lang w:eastAsia="zh-CN"/>
        </w:rPr>
        <w:t>代码</w:t>
      </w:r>
      <w:r>
        <w:rPr>
          <w:rFonts w:hint="default" w:ascii="Times New Roman" w:hAnsi="Times New Roman" w:eastAsia="宋体" w:cs="Times New Roman"/>
          <w:color w:val="auto"/>
          <w:lang w:val="en-US" w:eastAsia="zh-CN"/>
        </w:rPr>
        <w:t>2019-533103-18-03-005323</w:t>
      </w:r>
      <w:r>
        <w:rPr>
          <w:rFonts w:hint="default" w:ascii="Times New Roman" w:hAnsi="Times New Roman" w:eastAsia="宋体" w:cs="Times New Roman"/>
          <w:color w:val="auto"/>
        </w:rPr>
        <w:t>），并同意开展前期工作</w:t>
      </w:r>
      <w:r>
        <w:rPr>
          <w:rFonts w:hint="default" w:ascii="Times New Roman" w:hAnsi="Times New Roman" w:eastAsia="宋体" w:cs="Times New Roman"/>
          <w:color w:val="auto"/>
          <w:lang w:eastAsia="zh-CN"/>
        </w:rPr>
        <w:t>，并于2019年</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lang w:eastAsia="zh-CN"/>
        </w:rPr>
        <w:t>月</w:t>
      </w:r>
      <w:r>
        <w:rPr>
          <w:rFonts w:hint="default" w:ascii="Times New Roman" w:hAnsi="Times New Roman" w:eastAsia="宋体" w:cs="Times New Roman"/>
          <w:color w:val="auto"/>
          <w:lang w:val="en-US" w:eastAsia="zh-CN"/>
        </w:rPr>
        <w:t>27</w:t>
      </w:r>
      <w:r>
        <w:rPr>
          <w:rFonts w:hint="default" w:ascii="Times New Roman" w:hAnsi="Times New Roman" w:eastAsia="宋体" w:cs="Times New Roman"/>
          <w:color w:val="auto"/>
          <w:lang w:eastAsia="zh-CN"/>
        </w:rPr>
        <w:t>日取得了芒市工业园管理委员会关于云南业勤服饰有限公司建设项目生产厂房使用的证明</w:t>
      </w:r>
      <w:r>
        <w:rPr>
          <w:rFonts w:hint="eastAsia" w:ascii="Times New Roman" w:hAnsi="Times New Roman" w:cs="Times New Roman"/>
          <w:color w:val="auto"/>
          <w:lang w:eastAsia="zh-CN"/>
        </w:rPr>
        <w:t>，于</w:t>
      </w:r>
      <w:r>
        <w:rPr>
          <w:rFonts w:hint="eastAsia" w:ascii="Times New Roman" w:hAnsi="Times New Roman" w:cs="Times New Roman"/>
          <w:color w:val="auto"/>
          <w:lang w:val="en-US" w:eastAsia="zh-CN"/>
        </w:rPr>
        <w:t>2019年11月8日取得芒市工业园区管委会关于</w:t>
      </w:r>
      <w:r>
        <w:rPr>
          <w:rFonts w:hint="default" w:ascii="Times New Roman" w:hAnsi="Times New Roman" w:eastAsia="宋体" w:cs="Times New Roman"/>
          <w:color w:val="auto"/>
          <w:lang w:eastAsia="zh-CN"/>
        </w:rPr>
        <w:t>云南业勤服饰有限公司</w:t>
      </w:r>
      <w:r>
        <w:rPr>
          <w:rFonts w:hint="eastAsia" w:ascii="Times New Roman" w:hAnsi="Times New Roman" w:cs="Times New Roman"/>
          <w:color w:val="auto"/>
          <w:lang w:eastAsia="zh-CN"/>
        </w:rPr>
        <w:t>符合园区规划的证明</w:t>
      </w:r>
      <w:r>
        <w:rPr>
          <w:rFonts w:hint="default" w:ascii="Times New Roman" w:hAnsi="Times New Roman" w:eastAsia="宋体" w:cs="Times New Roman"/>
          <w:color w:val="auto"/>
          <w:kern w:val="0"/>
        </w:rPr>
        <w:t>，项目总投资</w:t>
      </w:r>
      <w:r>
        <w:rPr>
          <w:rFonts w:hint="eastAsia" w:ascii="Times New Roman" w:hAnsi="Times New Roman" w:cs="Times New Roman"/>
          <w:color w:val="auto"/>
          <w:kern w:val="0"/>
          <w:lang w:val="en-US" w:eastAsia="zh-CN"/>
        </w:rPr>
        <w:t>1200</w:t>
      </w:r>
      <w:r>
        <w:rPr>
          <w:rFonts w:hint="default" w:ascii="Times New Roman" w:hAnsi="Times New Roman" w:eastAsia="宋体" w:cs="Times New Roman"/>
          <w:color w:val="auto"/>
          <w:kern w:val="0"/>
        </w:rPr>
        <w:t>万元，主要建设</w:t>
      </w:r>
      <w:r>
        <w:rPr>
          <w:rFonts w:hint="eastAsia" w:ascii="Times New Roman" w:hAnsi="Times New Roman" w:cs="Times New Roman"/>
          <w:color w:val="auto"/>
          <w:kern w:val="0"/>
          <w:lang w:eastAsia="zh-CN"/>
        </w:rPr>
        <w:t>服装</w:t>
      </w:r>
      <w:r>
        <w:rPr>
          <w:rFonts w:hint="default" w:ascii="Times New Roman" w:hAnsi="Times New Roman" w:eastAsia="宋体" w:cs="Times New Roman"/>
          <w:color w:val="auto"/>
          <w:kern w:val="0"/>
        </w:rPr>
        <w:t>生产线</w:t>
      </w:r>
      <w:r>
        <w:rPr>
          <w:rFonts w:hint="eastAsia" w:ascii="Times New Roman" w:hAnsi="Times New Roman" w:cs="Times New Roman"/>
          <w:color w:val="auto"/>
          <w:kern w:val="0"/>
          <w:lang w:val="en-US" w:eastAsia="zh-CN"/>
        </w:rPr>
        <w:t>12</w:t>
      </w:r>
      <w:r>
        <w:rPr>
          <w:rFonts w:hint="default" w:ascii="Times New Roman" w:hAnsi="Times New Roman" w:eastAsia="宋体" w:cs="Times New Roman"/>
          <w:color w:val="auto"/>
          <w:kern w:val="0"/>
        </w:rPr>
        <w:t>条，</w:t>
      </w:r>
      <w:r>
        <w:rPr>
          <w:rFonts w:hint="eastAsia" w:ascii="Times New Roman" w:hAnsi="Times New Roman" w:cs="Times New Roman"/>
          <w:color w:val="auto"/>
          <w:kern w:val="0"/>
          <w:lang w:eastAsia="zh-CN"/>
        </w:rPr>
        <w:t>水洗</w:t>
      </w:r>
      <w:r>
        <w:rPr>
          <w:rFonts w:hint="default" w:ascii="Times New Roman" w:hAnsi="Times New Roman" w:eastAsia="宋体" w:cs="Times New Roman"/>
          <w:color w:val="auto"/>
          <w:kern w:val="0"/>
        </w:rPr>
        <w:t>生产线1条，项目建成后年</w:t>
      </w:r>
      <w:r>
        <w:rPr>
          <w:rFonts w:hint="eastAsia" w:ascii="Times New Roman" w:hAnsi="Times New Roman" w:cs="Times New Roman"/>
          <w:color w:val="auto"/>
          <w:kern w:val="0"/>
          <w:lang w:eastAsia="zh-CN"/>
        </w:rPr>
        <w:t>洗加工服装</w:t>
      </w:r>
      <w:r>
        <w:rPr>
          <w:rFonts w:hint="eastAsia" w:ascii="Times New Roman" w:hAnsi="Times New Roman" w:cs="Times New Roman"/>
          <w:color w:val="auto"/>
          <w:kern w:val="0"/>
          <w:lang w:val="en-US" w:eastAsia="zh-CN"/>
        </w:rPr>
        <w:t>45万件（套）</w:t>
      </w:r>
      <w:r>
        <w:rPr>
          <w:rFonts w:hint="default" w:ascii="Times New Roman" w:hAnsi="Times New Roman" w:eastAsia="宋体" w:cs="Times New Roman"/>
          <w:color w:val="auto"/>
          <w:kern w:val="0"/>
        </w:rPr>
        <w:t>。</w:t>
      </w:r>
    </w:p>
    <w:p w14:paraId="418ACD4B">
      <w:pPr>
        <w:adjustRightInd w:val="0"/>
        <w:snapToGrid w:val="0"/>
        <w:spacing w:beforeLines="50"/>
        <w:outlineLvl w:val="1"/>
        <w:rPr>
          <w:rFonts w:hint="default" w:ascii="Times New Roman" w:hAnsi="Times New Roman" w:eastAsia="宋体" w:cs="Times New Roman"/>
          <w:b/>
          <w:color w:val="auto"/>
          <w:sz w:val="32"/>
          <w:szCs w:val="32"/>
        </w:rPr>
      </w:pPr>
      <w:bookmarkStart w:id="672" w:name="_Toc329956155"/>
      <w:bookmarkStart w:id="673" w:name="_Toc2693263"/>
      <w:bookmarkStart w:id="674" w:name="_Toc6767"/>
      <w:r>
        <w:rPr>
          <w:rFonts w:hint="default" w:ascii="Times New Roman" w:hAnsi="Times New Roman" w:eastAsia="宋体" w:cs="Times New Roman"/>
          <w:b/>
          <w:color w:val="auto"/>
          <w:sz w:val="32"/>
          <w:szCs w:val="32"/>
        </w:rPr>
        <w:t>11.2评价区域的环境质量现状</w:t>
      </w:r>
      <w:bookmarkEnd w:id="672"/>
      <w:bookmarkEnd w:id="673"/>
      <w:bookmarkEnd w:id="674"/>
    </w:p>
    <w:p w14:paraId="1F293B1B">
      <w:pPr>
        <w:autoSpaceDE w:val="0"/>
        <w:autoSpaceDN w:val="0"/>
        <w:adjustRightInd w:val="0"/>
        <w:ind w:firstLine="480" w:firstLineChars="200"/>
        <w:jc w:val="left"/>
        <w:rPr>
          <w:rFonts w:hint="default" w:ascii="Times New Roman" w:hAnsi="Times New Roman" w:eastAsia="宋体" w:cs="Times New Roman"/>
          <w:color w:val="auto"/>
          <w:szCs w:val="28"/>
          <w:lang w:eastAsia="zh-CN"/>
        </w:rPr>
      </w:pPr>
      <w:r>
        <w:rPr>
          <w:rFonts w:hint="default" w:ascii="Times New Roman" w:hAnsi="Times New Roman" w:eastAsia="宋体" w:cs="Times New Roman"/>
          <w:color w:val="auto"/>
          <w:szCs w:val="28"/>
        </w:rPr>
        <w:t>项目所在地环境空气质量能达到《环境空气质量标准》（GB3095-2012）的二级标准；区域地表水体</w:t>
      </w:r>
      <w:r>
        <w:rPr>
          <w:rFonts w:hint="eastAsia" w:ascii="Times New Roman" w:hAnsi="Times New Roman" w:cs="Times New Roman"/>
          <w:color w:val="auto"/>
          <w:szCs w:val="28"/>
          <w:lang w:eastAsia="zh-CN"/>
        </w:rPr>
        <w:t>芒市大河</w:t>
      </w:r>
      <w:r>
        <w:rPr>
          <w:rFonts w:hint="default" w:ascii="Times New Roman" w:hAnsi="Times New Roman" w:eastAsia="宋体" w:cs="Times New Roman"/>
          <w:color w:val="auto"/>
          <w:szCs w:val="28"/>
        </w:rPr>
        <w:t>环境质量现状为《地表水环境质量标准》（GB3838-2002）Ⅲ类标准；地下水水环境质量现状能达到《地下水质量标准》（GB/T14848-2017）Ⅲ类水质标准；项目区域昼间、夜间声环境质量能够满足《声环境质量标准》（GB3096-2008）3类区标准要求。</w:t>
      </w:r>
      <w:r>
        <w:rPr>
          <w:rFonts w:hint="default" w:ascii="Times New Roman" w:hAnsi="Times New Roman" w:eastAsia="宋体" w:cs="Times New Roman"/>
          <w:color w:val="auto"/>
          <w:szCs w:val="28"/>
          <w:lang w:eastAsia="zh-CN"/>
        </w:rPr>
        <w:t>土壤环境质量可以达到</w:t>
      </w:r>
      <w:r>
        <w:rPr>
          <w:rFonts w:hint="default" w:ascii="Times New Roman" w:hAnsi="Times New Roman" w:eastAsia="宋体" w:cs="Times New Roman"/>
          <w:color w:val="auto"/>
        </w:rPr>
        <w:t xml:space="preserve">《土壤环境质量 </w:t>
      </w:r>
      <w:r>
        <w:rPr>
          <w:rFonts w:hint="default" w:ascii="Times New Roman" w:hAnsi="Times New Roman" w:eastAsia="宋体" w:cs="Times New Roman"/>
          <w:color w:val="auto"/>
          <w:lang w:eastAsia="zh-CN"/>
        </w:rPr>
        <w:t>建设</w:t>
      </w:r>
      <w:r>
        <w:rPr>
          <w:rFonts w:hint="default" w:ascii="Times New Roman" w:hAnsi="Times New Roman" w:eastAsia="宋体" w:cs="Times New Roman"/>
          <w:color w:val="auto"/>
        </w:rPr>
        <w:t>用地土壤污染风险管控标准（试行）》（GB</w:t>
      </w:r>
      <w:r>
        <w:rPr>
          <w:rFonts w:hint="default" w:ascii="Times New Roman" w:hAnsi="Times New Roman" w:eastAsia="宋体" w:cs="Times New Roman"/>
          <w:color w:val="auto"/>
          <w:lang w:val="en-US" w:eastAsia="zh-CN"/>
        </w:rPr>
        <w:t>36600</w:t>
      </w:r>
      <w:r>
        <w:rPr>
          <w:rFonts w:hint="default" w:ascii="Times New Roman" w:hAnsi="Times New Roman" w:eastAsia="宋体" w:cs="Times New Roman"/>
          <w:color w:val="auto"/>
        </w:rPr>
        <w:t>-2018）第二类用地风险筛选值</w:t>
      </w:r>
      <w:r>
        <w:rPr>
          <w:rFonts w:hint="default" w:ascii="Times New Roman" w:hAnsi="Times New Roman" w:eastAsia="宋体" w:cs="Times New Roman"/>
          <w:color w:val="auto"/>
          <w:lang w:eastAsia="zh-CN"/>
        </w:rPr>
        <w:t>要求。</w:t>
      </w:r>
    </w:p>
    <w:p w14:paraId="11A1AC0A">
      <w:pPr>
        <w:autoSpaceDE w:val="0"/>
        <w:autoSpaceDN w:val="0"/>
        <w:adjustRightInd w:val="0"/>
        <w:ind w:firstLine="480" w:firstLineChars="200"/>
        <w:jc w:val="left"/>
        <w:rPr>
          <w:rFonts w:hint="default" w:ascii="Times New Roman" w:hAnsi="Times New Roman" w:eastAsia="宋体" w:cs="Times New Roman"/>
          <w:color w:val="auto"/>
          <w:kern w:val="0"/>
          <w:szCs w:val="24"/>
        </w:rPr>
      </w:pPr>
      <w:r>
        <w:rPr>
          <w:rFonts w:hint="default" w:ascii="Times New Roman" w:hAnsi="Times New Roman" w:eastAsia="宋体" w:cs="Times New Roman"/>
          <w:color w:val="auto"/>
          <w:szCs w:val="28"/>
        </w:rPr>
        <w:t>根据现场调查，本项目在工业园区内，项目周边评价范围内无珍稀濒危保护动植物，无名胜古迹和文物保护单位</w:t>
      </w:r>
      <w:r>
        <w:rPr>
          <w:rFonts w:hint="default" w:ascii="Times New Roman" w:hAnsi="Times New Roman" w:eastAsia="宋体" w:cs="Times New Roman"/>
          <w:color w:val="auto"/>
        </w:rPr>
        <w:t>。</w:t>
      </w:r>
    </w:p>
    <w:p w14:paraId="1882E91E">
      <w:pPr>
        <w:adjustRightInd w:val="0"/>
        <w:snapToGrid w:val="0"/>
        <w:spacing w:beforeLines="50"/>
        <w:outlineLvl w:val="1"/>
        <w:rPr>
          <w:rFonts w:hint="default" w:ascii="Times New Roman" w:hAnsi="Times New Roman" w:eastAsia="宋体" w:cs="Times New Roman"/>
          <w:b/>
          <w:color w:val="auto"/>
          <w:sz w:val="32"/>
          <w:szCs w:val="32"/>
        </w:rPr>
      </w:pPr>
      <w:bookmarkStart w:id="675" w:name="_Toc18802"/>
      <w:r>
        <w:rPr>
          <w:rFonts w:hint="default" w:ascii="Times New Roman" w:hAnsi="Times New Roman" w:eastAsia="宋体" w:cs="Times New Roman"/>
          <w:b/>
          <w:color w:val="auto"/>
          <w:sz w:val="32"/>
          <w:szCs w:val="32"/>
        </w:rPr>
        <w:t>11.3建设项目环境影响预测结果</w:t>
      </w:r>
      <w:bookmarkEnd w:id="675"/>
    </w:p>
    <w:p w14:paraId="15FD4821">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676" w:name="_Toc22249"/>
      <w:r>
        <w:rPr>
          <w:rFonts w:hint="default" w:ascii="Times New Roman" w:hAnsi="Times New Roman" w:eastAsia="宋体" w:cs="Times New Roman"/>
          <w:color w:val="auto"/>
          <w:sz w:val="28"/>
          <w:szCs w:val="28"/>
        </w:rPr>
        <w:t>11.3.1施工期建设项目环境影响分析</w:t>
      </w:r>
      <w:bookmarkEnd w:id="676"/>
    </w:p>
    <w:p w14:paraId="52548EB6">
      <w:pPr>
        <w:adjustRightInd w:val="0"/>
        <w:snapToGrid w:val="0"/>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项目施工期不设置施工营地，施工期影响主要为土石方开挖、室内外装修过程产生的粉尘、施工废水、机械噪声及建筑垃圾对外环境的影响，通过采取洒水抑尘、设置</w:t>
      </w:r>
      <w:r>
        <w:rPr>
          <w:rFonts w:hint="default" w:ascii="Times New Roman" w:hAnsi="Times New Roman" w:eastAsia="宋体" w:cs="Times New Roman"/>
          <w:color w:val="auto"/>
          <w:lang w:eastAsia="zh-CN"/>
        </w:rPr>
        <w:t>临时</w:t>
      </w:r>
      <w:r>
        <w:rPr>
          <w:rFonts w:hint="default" w:ascii="Times New Roman" w:hAnsi="Times New Roman" w:eastAsia="宋体" w:cs="Times New Roman"/>
          <w:color w:val="auto"/>
        </w:rPr>
        <w:t>沉</w:t>
      </w:r>
      <w:r>
        <w:rPr>
          <w:rFonts w:hint="default" w:ascii="Times New Roman" w:hAnsi="Times New Roman" w:eastAsia="宋体" w:cs="Times New Roman"/>
          <w:color w:val="auto"/>
          <w:lang w:eastAsia="zh-CN"/>
        </w:rPr>
        <w:t>砂</w:t>
      </w:r>
      <w:r>
        <w:rPr>
          <w:rFonts w:hint="default" w:ascii="Times New Roman" w:hAnsi="Times New Roman" w:eastAsia="宋体" w:cs="Times New Roman"/>
          <w:color w:val="auto"/>
        </w:rPr>
        <w:t>池、选用低噪音设备</w:t>
      </w:r>
      <w:r>
        <w:rPr>
          <w:rFonts w:hint="default" w:ascii="Times New Roman" w:hAnsi="Times New Roman" w:eastAsia="宋体" w:cs="Times New Roman"/>
          <w:color w:val="auto"/>
          <w:lang w:eastAsia="zh-CN"/>
        </w:rPr>
        <w:t>、建筑垃圾及时清运</w:t>
      </w:r>
      <w:r>
        <w:rPr>
          <w:rFonts w:hint="default" w:ascii="Times New Roman" w:hAnsi="Times New Roman" w:eastAsia="宋体" w:cs="Times New Roman"/>
          <w:color w:val="auto"/>
        </w:rPr>
        <w:t>等措施可以降低施工期的影响。项目施工期较短，施工期的影响将随时工期的结束而消失，对外环境影响不大。</w:t>
      </w:r>
    </w:p>
    <w:p w14:paraId="758660EF">
      <w:pPr>
        <w:pStyle w:val="11"/>
        <w:adjustRightInd w:val="0"/>
        <w:snapToGrid w:val="0"/>
        <w:spacing w:before="0" w:after="0" w:line="360" w:lineRule="auto"/>
        <w:rPr>
          <w:rFonts w:hint="default" w:ascii="Times New Roman" w:hAnsi="Times New Roman" w:eastAsia="宋体" w:cs="Times New Roman"/>
          <w:color w:val="auto"/>
          <w:sz w:val="28"/>
          <w:szCs w:val="28"/>
        </w:rPr>
      </w:pPr>
      <w:bookmarkStart w:id="677" w:name="_Toc15165"/>
      <w:r>
        <w:rPr>
          <w:rFonts w:hint="default" w:ascii="Times New Roman" w:hAnsi="Times New Roman" w:eastAsia="宋体" w:cs="Times New Roman"/>
          <w:color w:val="auto"/>
          <w:sz w:val="28"/>
          <w:szCs w:val="28"/>
        </w:rPr>
        <w:t>11.3.2运营期建设项目环境影响分析</w:t>
      </w:r>
      <w:bookmarkEnd w:id="677"/>
    </w:p>
    <w:p w14:paraId="7D633407">
      <w:pPr>
        <w:adjustRightInd w:val="0"/>
        <w:snapToGrid w:val="0"/>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（1）大气环境影响评价结论</w:t>
      </w:r>
      <w:bookmarkStart w:id="678" w:name="_Toc328725513"/>
    </w:p>
    <w:p w14:paraId="3817A63B">
      <w:pPr>
        <w:tabs>
          <w:tab w:val="left" w:pos="0"/>
        </w:tabs>
        <w:autoSpaceDE w:val="0"/>
        <w:autoSpaceDN w:val="0"/>
        <w:adjustRightInd w:val="0"/>
        <w:snapToGrid w:val="0"/>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rPr>
        <w:t>项目</w:t>
      </w:r>
      <w:r>
        <w:rPr>
          <w:rFonts w:hint="default" w:ascii="Times New Roman" w:hAnsi="Times New Roman" w:eastAsia="宋体" w:cs="Times New Roman"/>
          <w:color w:val="auto"/>
          <w:lang w:eastAsia="zh-CN"/>
        </w:rPr>
        <w:t>生产中</w:t>
      </w:r>
      <w:r>
        <w:rPr>
          <w:rFonts w:hint="default" w:ascii="Times New Roman" w:hAnsi="Times New Roman" w:eastAsia="宋体" w:cs="Times New Roman"/>
          <w:color w:val="auto"/>
        </w:rPr>
        <w:t>加强车间通排风情况下，对工人及周边环境影响不大。少量的异味、粉尘无组织排放，通过车间设置的排风扇强制通风换气，经大气稀释、扩散后，对大气环境影响</w:t>
      </w:r>
      <w:r>
        <w:rPr>
          <w:rFonts w:hint="default" w:ascii="Times New Roman" w:hAnsi="Times New Roman" w:eastAsia="宋体" w:cs="Times New Roman"/>
          <w:color w:val="auto"/>
          <w:lang w:eastAsia="zh-CN"/>
        </w:rPr>
        <w:t>较小</w:t>
      </w:r>
      <w:r>
        <w:rPr>
          <w:rFonts w:hint="default" w:ascii="Times New Roman" w:hAnsi="Times New Roman" w:eastAsia="宋体" w:cs="Times New Roman"/>
          <w:color w:val="auto"/>
        </w:rPr>
        <w:t>。</w:t>
      </w:r>
    </w:p>
    <w:p w14:paraId="6C67BDFE">
      <w:pPr>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运营期只要建设方做好废气的收集处理工作，确保处理装置正常运行，杜绝事故排放，则本项目废气经各项污染防治措施治理后，对周围空气环境影响</w:t>
      </w:r>
      <w:r>
        <w:rPr>
          <w:rFonts w:hint="default" w:ascii="Times New Roman" w:hAnsi="Times New Roman" w:eastAsia="宋体" w:cs="Times New Roman"/>
          <w:color w:val="auto"/>
          <w:lang w:eastAsia="zh-CN"/>
        </w:rPr>
        <w:t>较小</w:t>
      </w:r>
      <w:r>
        <w:rPr>
          <w:rFonts w:hint="default" w:ascii="Times New Roman" w:hAnsi="Times New Roman" w:eastAsia="宋体" w:cs="Times New Roman"/>
          <w:color w:val="auto"/>
        </w:rPr>
        <w:t>。</w:t>
      </w:r>
    </w:p>
    <w:p w14:paraId="3A020EC3">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（2）地表水环境影响评价结论</w:t>
      </w:r>
      <w:bookmarkEnd w:id="678"/>
    </w:p>
    <w:p w14:paraId="76930B14">
      <w:pPr>
        <w:adjustRightInd w:val="0"/>
        <w:snapToGrid w:val="0"/>
        <w:ind w:firstLine="48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本项目采用雨污分流制，雨水经厂区雨水管道收集后，排入园区道路雨水管网，最终进入周边地表水体。运营期企业产生的生产废水</w:t>
      </w:r>
      <w:r>
        <w:rPr>
          <w:rFonts w:hint="default" w:ascii="Times New Roman" w:hAnsi="Times New Roman" w:eastAsia="宋体" w:cs="Times New Roman"/>
          <w:color w:val="auto"/>
          <w:szCs w:val="28"/>
          <w:lang w:eastAsia="zh-CN"/>
        </w:rPr>
        <w:t>经三级沉淀池处理后排入项目自建污水处理设施内，经处理后排入</w:t>
      </w:r>
      <w:r>
        <w:rPr>
          <w:rFonts w:hint="default" w:ascii="Times New Roman" w:hAnsi="Times New Roman" w:eastAsia="宋体" w:cs="Times New Roman"/>
          <w:color w:val="auto"/>
          <w:szCs w:val="28"/>
        </w:rPr>
        <w:t>工业园区污水管网</w:t>
      </w:r>
      <w:r>
        <w:rPr>
          <w:rFonts w:hint="default" w:ascii="Times New Roman" w:hAnsi="Times New Roman" w:eastAsia="宋体" w:cs="Times New Roman"/>
          <w:color w:val="auto"/>
          <w:szCs w:val="28"/>
          <w:lang w:eastAsia="zh-CN"/>
        </w:rPr>
        <w:t>，生活污水经隔油池化粪池处理后排入园区污水管网</w:t>
      </w:r>
      <w:r>
        <w:rPr>
          <w:rFonts w:hint="default" w:ascii="Times New Roman" w:hAnsi="Times New Roman" w:eastAsia="宋体" w:cs="Times New Roman"/>
          <w:color w:val="auto"/>
          <w:szCs w:val="28"/>
        </w:rPr>
        <w:t>，外排废水执行《污水综合排放标准》（GB8978-1996）中三级标准和《污水排入城镇下水道水质标准》（GB/T31962-2015）表1中B级标准。</w:t>
      </w:r>
    </w:p>
    <w:p w14:paraId="36130095">
      <w:pPr>
        <w:adjustRightInd w:val="0"/>
        <w:snapToGrid w:val="0"/>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（3）地下水环境影响评价结论</w:t>
      </w:r>
    </w:p>
    <w:p w14:paraId="474D0174">
      <w:pPr>
        <w:adjustRightInd w:val="0"/>
        <w:snapToGrid w:val="0"/>
        <w:ind w:firstLine="48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项目对可能产生地下水影响的各项途径均进行有效预防，在确保各项防渗措施得以落实，并加强维护和厂区环境管理的前提下，可有效控制厂区内的废水污染物下渗现象，避免污染地下水，因此项目不会对区域地下水环境</w:t>
      </w:r>
      <w:r>
        <w:rPr>
          <w:rFonts w:hint="default" w:ascii="Times New Roman" w:hAnsi="Times New Roman" w:eastAsia="宋体" w:cs="Times New Roman"/>
          <w:color w:val="auto"/>
          <w:szCs w:val="28"/>
          <w:lang w:eastAsia="zh-CN"/>
        </w:rPr>
        <w:t>造成</w:t>
      </w:r>
      <w:r>
        <w:rPr>
          <w:rFonts w:hint="default" w:ascii="Times New Roman" w:hAnsi="Times New Roman" w:eastAsia="宋体" w:cs="Times New Roman"/>
          <w:color w:val="auto"/>
          <w:szCs w:val="28"/>
        </w:rPr>
        <w:t>影响。</w:t>
      </w:r>
    </w:p>
    <w:p w14:paraId="114C323E">
      <w:pPr>
        <w:adjustRightInd w:val="0"/>
        <w:snapToGrid w:val="0"/>
        <w:ind w:firstLine="482" w:firstLineChars="200"/>
        <w:rPr>
          <w:rFonts w:hint="default" w:ascii="Times New Roman" w:hAnsi="Times New Roman" w:eastAsia="宋体" w:cs="Times New Roman"/>
          <w:b/>
          <w:color w:val="auto"/>
          <w:szCs w:val="24"/>
        </w:rPr>
      </w:pP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4</w:t>
      </w:r>
      <w:r>
        <w:rPr>
          <w:rFonts w:hint="default" w:ascii="Times New Roman" w:hAnsi="Times New Roman" w:eastAsia="宋体" w:cs="Times New Roman"/>
          <w:b/>
          <w:color w:val="auto"/>
        </w:rPr>
        <w:t>）</w:t>
      </w:r>
      <w:r>
        <w:rPr>
          <w:rFonts w:hint="default" w:ascii="Times New Roman" w:hAnsi="Times New Roman" w:eastAsia="宋体" w:cs="Times New Roman"/>
          <w:b/>
          <w:color w:val="auto"/>
          <w:lang w:eastAsia="zh-CN"/>
        </w:rPr>
        <w:t>土壤</w:t>
      </w:r>
      <w:r>
        <w:rPr>
          <w:rFonts w:hint="default" w:ascii="Times New Roman" w:hAnsi="Times New Roman" w:eastAsia="宋体" w:cs="Times New Roman"/>
          <w:b/>
          <w:color w:val="auto"/>
        </w:rPr>
        <w:t>环境影响评价结论</w:t>
      </w:r>
    </w:p>
    <w:p w14:paraId="09315B9C">
      <w:pPr>
        <w:adjustRightInd w:val="0"/>
        <w:snapToGrid w:val="0"/>
        <w:ind w:firstLine="480" w:firstLineChars="200"/>
        <w:rPr>
          <w:rFonts w:hint="default" w:ascii="Times New Roman" w:hAnsi="Times New Roman" w:eastAsia="宋体" w:cs="Times New Roman"/>
          <w:color w:val="auto"/>
          <w:szCs w:val="24"/>
          <w:lang w:eastAsia="zh-CN"/>
        </w:rPr>
      </w:pPr>
      <w:r>
        <w:rPr>
          <w:rFonts w:hint="default" w:ascii="Times New Roman" w:hAnsi="Times New Roman" w:eastAsia="宋体" w:cs="Times New Roman"/>
          <w:color w:val="auto"/>
          <w:szCs w:val="24"/>
          <w:lang w:eastAsia="zh-CN"/>
        </w:rPr>
        <w:t>项目位于芒市帕底工业园区，用地性质为工业用地，项目用地现状可以达到《土壤环境质量 建设用地土壤污染风险管控标准》（GB36600-2018）中第二类用地风险筛选值中标准要求，项目用地现状为工业用地。项目针对各类污染物均采取了对应的污染治理措施，可确保污染物的达标排放及防止渗漏发生，可从源头上控制项目对区域土壤环境的污染源强，确保项目对区域土壤环境的影响处于可接受水平。因此，只要企业严格落实本报告提出的污染防治措施，项目对区域土壤环境影响是可接受的。</w:t>
      </w:r>
    </w:p>
    <w:p w14:paraId="1841E268">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5</w:t>
      </w:r>
      <w:r>
        <w:rPr>
          <w:rFonts w:hint="default" w:ascii="Times New Roman" w:hAnsi="Times New Roman" w:eastAsia="宋体" w:cs="Times New Roman"/>
          <w:b/>
          <w:color w:val="auto"/>
        </w:rPr>
        <w:t>）</w:t>
      </w:r>
      <w:bookmarkStart w:id="679" w:name="_Toc328725514"/>
      <w:r>
        <w:rPr>
          <w:rFonts w:hint="default" w:ascii="Times New Roman" w:hAnsi="Times New Roman" w:eastAsia="宋体" w:cs="Times New Roman"/>
          <w:b/>
          <w:color w:val="auto"/>
        </w:rPr>
        <w:t>声环境影响评价结论</w:t>
      </w:r>
      <w:bookmarkEnd w:id="679"/>
    </w:p>
    <w:p w14:paraId="30B8CC31">
      <w:pPr>
        <w:pStyle w:val="499"/>
        <w:spacing w:line="360" w:lineRule="auto"/>
        <w:ind w:firstLine="480" w:firstLineChars="200"/>
        <w:rPr>
          <w:rFonts w:hint="default" w:ascii="Times New Roman" w:hAnsi="Times New Roman" w:eastAsia="宋体" w:cs="Times New Roman"/>
          <w:color w:val="auto"/>
          <w:kern w:val="2"/>
          <w:sz w:val="24"/>
          <w:szCs w:val="21"/>
        </w:rPr>
      </w:pPr>
      <w:bookmarkStart w:id="680" w:name="_Toc328725515"/>
      <w:r>
        <w:rPr>
          <w:rFonts w:hint="default" w:ascii="Times New Roman" w:hAnsi="Times New Roman" w:eastAsia="宋体" w:cs="Times New Roman"/>
          <w:color w:val="auto"/>
          <w:kern w:val="2"/>
          <w:sz w:val="24"/>
          <w:szCs w:val="21"/>
        </w:rPr>
        <w:t>项目营运期噪声主要来源于各生产设备，经隔声减振、距离衰减后，预测厂界噪声可以达到《工业企业厂界环境噪声排放标准》（GB12348-2008）3类标准要求。且</w:t>
      </w:r>
      <w:r>
        <w:rPr>
          <w:rFonts w:hint="default" w:ascii="Times New Roman" w:hAnsi="Times New Roman" w:eastAsia="宋体" w:cs="Times New Roman"/>
          <w:color w:val="auto"/>
          <w:kern w:val="2"/>
          <w:sz w:val="24"/>
          <w:szCs w:val="21"/>
          <w:lang w:eastAsia="zh-CN"/>
        </w:rPr>
        <w:t>项目</w:t>
      </w:r>
      <w:r>
        <w:rPr>
          <w:rFonts w:hint="default" w:ascii="Times New Roman" w:hAnsi="Times New Roman" w:eastAsia="宋体" w:cs="Times New Roman"/>
          <w:color w:val="auto"/>
          <w:kern w:val="2"/>
          <w:sz w:val="24"/>
          <w:szCs w:val="21"/>
        </w:rPr>
        <w:t>区边界周围200m范围内无声环境敏感目标，因此，项目运营期噪声对外环境影响较小。</w:t>
      </w:r>
    </w:p>
    <w:p w14:paraId="198CED37">
      <w:pPr>
        <w:adjustRightInd w:val="0"/>
        <w:snapToGrid w:val="0"/>
        <w:ind w:firstLine="482" w:firstLineChars="200"/>
        <w:rPr>
          <w:rFonts w:hint="default" w:ascii="Times New Roman" w:hAnsi="Times New Roman" w:eastAsia="宋体" w:cs="Times New Roman"/>
          <w:b/>
          <w:color w:val="auto"/>
        </w:rPr>
      </w:pPr>
      <w:r>
        <w:rPr>
          <w:rFonts w:hint="default" w:ascii="Times New Roman" w:hAnsi="Times New Roman" w:eastAsia="宋体" w:cs="Times New Roman"/>
          <w:b/>
          <w:color w:val="auto"/>
        </w:rPr>
        <w:t>（</w:t>
      </w:r>
      <w:r>
        <w:rPr>
          <w:rFonts w:hint="default" w:ascii="Times New Roman" w:hAnsi="Times New Roman" w:eastAsia="宋体" w:cs="Times New Roman"/>
          <w:b/>
          <w:color w:val="auto"/>
          <w:lang w:val="en-US" w:eastAsia="zh-CN"/>
        </w:rPr>
        <w:t>6</w:t>
      </w:r>
      <w:r>
        <w:rPr>
          <w:rFonts w:hint="default" w:ascii="Times New Roman" w:hAnsi="Times New Roman" w:eastAsia="宋体" w:cs="Times New Roman"/>
          <w:b/>
          <w:color w:val="auto"/>
        </w:rPr>
        <w:t>）固体废物影响分析结论</w:t>
      </w:r>
      <w:bookmarkEnd w:id="680"/>
    </w:p>
    <w:p w14:paraId="5954601A">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设置一般固废暂存</w:t>
      </w:r>
      <w:r>
        <w:rPr>
          <w:rFonts w:hint="default" w:ascii="Times New Roman" w:hAnsi="Times New Roman" w:eastAsia="宋体" w:cs="Times New Roman"/>
          <w:color w:val="auto"/>
          <w:sz w:val="24"/>
          <w:lang w:eastAsia="zh-CN"/>
        </w:rPr>
        <w:t>间</w:t>
      </w:r>
      <w:r>
        <w:rPr>
          <w:rFonts w:hint="default" w:ascii="Times New Roman" w:hAnsi="Times New Roman" w:eastAsia="宋体" w:cs="Times New Roman"/>
          <w:color w:val="auto"/>
          <w:sz w:val="24"/>
        </w:rPr>
        <w:t>，面积</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，四周设围墙和顶棚。生产过程中产生的边角料</w:t>
      </w:r>
      <w:r>
        <w:rPr>
          <w:rFonts w:hint="eastAsia" w:ascii="Times New Roman" w:hAnsi="Times New Roman" w:cs="Times New Roman"/>
          <w:color w:val="auto"/>
          <w:sz w:val="24"/>
          <w:lang w:eastAsia="zh-CN"/>
        </w:rPr>
        <w:t>、废弃包装材料等</w:t>
      </w:r>
      <w:r>
        <w:rPr>
          <w:rFonts w:hint="default" w:ascii="Times New Roman" w:hAnsi="Times New Roman" w:eastAsia="宋体" w:cs="Times New Roman"/>
          <w:color w:val="auto"/>
          <w:sz w:val="24"/>
        </w:rPr>
        <w:t>暂存在一般固废堆场内</w:t>
      </w:r>
      <w:r>
        <w:rPr>
          <w:rFonts w:hint="default" w:ascii="Times New Roman" w:hAnsi="Times New Roman" w:eastAsia="宋体" w:cs="Times New Roman"/>
          <w:color w:val="auto"/>
          <w:sz w:val="24"/>
          <w:lang w:eastAsia="zh-CN"/>
        </w:rPr>
        <w:t>，</w:t>
      </w:r>
      <w:r>
        <w:rPr>
          <w:rFonts w:hint="eastAsia" w:ascii="Times New Roman" w:hAnsi="Times New Roman" w:cs="Times New Roman"/>
          <w:color w:val="auto"/>
          <w:sz w:val="24"/>
          <w:lang w:eastAsia="zh-CN"/>
        </w:rPr>
        <w:t>边角料</w:t>
      </w:r>
      <w:r>
        <w:rPr>
          <w:rFonts w:hint="default" w:ascii="Times New Roman" w:hAnsi="Times New Roman" w:eastAsia="宋体" w:cs="Times New Roman"/>
          <w:color w:val="auto"/>
          <w:sz w:val="24"/>
        </w:rPr>
        <w:t>定期</w:t>
      </w:r>
      <w:r>
        <w:rPr>
          <w:rFonts w:hint="eastAsia" w:ascii="Times New Roman" w:hAnsi="Times New Roman" w:cs="Times New Roman"/>
          <w:color w:val="auto"/>
          <w:sz w:val="24"/>
          <w:lang w:eastAsia="zh-CN"/>
        </w:rPr>
        <w:t>交由环卫部门处置</w:t>
      </w:r>
      <w:r>
        <w:rPr>
          <w:rFonts w:hint="default" w:ascii="Times New Roman" w:hAnsi="Times New Roman" w:eastAsia="宋体" w:cs="Times New Roman"/>
          <w:color w:val="auto"/>
          <w:sz w:val="24"/>
        </w:rPr>
        <w:t>。</w:t>
      </w:r>
      <w:r>
        <w:rPr>
          <w:rFonts w:hint="eastAsia" w:ascii="Times New Roman" w:hAnsi="Times New Roman" w:cs="Times New Roman"/>
          <w:color w:val="auto"/>
          <w:sz w:val="24"/>
          <w:lang w:eastAsia="zh-CN"/>
        </w:rPr>
        <w:t>废弃包装材料</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定期出售给</w:t>
      </w:r>
      <w:r>
        <w:rPr>
          <w:rFonts w:hint="default" w:ascii="Times New Roman" w:hAnsi="Times New Roman" w:eastAsia="宋体" w:cs="Times New Roman"/>
          <w:color w:val="auto"/>
          <w:sz w:val="24"/>
          <w:lang w:eastAsia="zh-CN"/>
        </w:rPr>
        <w:t>废旧资源回收中心。</w:t>
      </w:r>
    </w:p>
    <w:p w14:paraId="56B90176">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污水处理设备污泥、定期收集后通过密封袋袋装暂存于一般固废暂存间，并委托环卫部门及时清运</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食堂泔水及废油用塑料桶单独收集后，委托环卫部门进行处理。</w:t>
      </w:r>
    </w:p>
    <w:p w14:paraId="59DF693F">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生活垃圾集中收集</w:t>
      </w:r>
      <w:r>
        <w:rPr>
          <w:rFonts w:hint="default" w:ascii="Times New Roman" w:hAnsi="Times New Roman" w:eastAsia="宋体" w:cs="Times New Roman"/>
          <w:color w:val="auto"/>
          <w:sz w:val="24"/>
        </w:rPr>
        <w:t>后委托环卫部门清运处置</w:t>
      </w:r>
      <w:r>
        <w:rPr>
          <w:rFonts w:hint="default" w:ascii="Times New Roman" w:hAnsi="Times New Roman" w:eastAsia="宋体" w:cs="Times New Roman"/>
          <w:color w:val="auto"/>
          <w:sz w:val="24"/>
          <w:lang w:eastAsia="zh-CN"/>
        </w:rPr>
        <w:t>。</w:t>
      </w:r>
    </w:p>
    <w:p w14:paraId="40263E26">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lang w:val="en-US" w:eastAsia="zh-CN"/>
        </w:rPr>
        <w:t>废机油</w:t>
      </w:r>
      <w:r>
        <w:rPr>
          <w:rFonts w:hint="default" w:ascii="Times New Roman" w:hAnsi="Times New Roman" w:eastAsia="宋体" w:cs="Times New Roman"/>
          <w:bCs/>
          <w:color w:val="auto"/>
          <w:sz w:val="24"/>
        </w:rPr>
        <w:t>属于危险危废，应按照GB18597-2001《危险废物贮存污染控制标准》及其修改单的要求进行贮存。</w:t>
      </w:r>
    </w:p>
    <w:p w14:paraId="4E5EA526">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sz w:val="24"/>
        </w:rPr>
        <w:t>项目内产生危险废物设置独立的危险废物暂存间贮存，面积为</w:t>
      </w:r>
      <w:r>
        <w:rPr>
          <w:rFonts w:hint="eastAsia" w:ascii="Times New Roman" w:hAnsi="Times New Roman" w:cs="Times New Roman"/>
          <w:bCs/>
          <w:color w:val="auto"/>
          <w:sz w:val="24"/>
          <w:lang w:val="en-US" w:eastAsia="zh-CN"/>
        </w:rPr>
        <w:t>10</w:t>
      </w:r>
      <w:r>
        <w:rPr>
          <w:rFonts w:hint="default" w:ascii="Times New Roman" w:hAnsi="Times New Roman" w:eastAsia="宋体" w:cs="Times New Roman"/>
          <w:bCs/>
          <w:color w:val="auto"/>
          <w:sz w:val="24"/>
        </w:rPr>
        <w:t>m</w:t>
      </w:r>
      <w:r>
        <w:rPr>
          <w:rFonts w:hint="default" w:ascii="Times New Roman" w:hAnsi="Times New Roman" w:eastAsia="宋体" w:cs="Times New Roman"/>
          <w:bCs/>
          <w:color w:val="auto"/>
          <w:sz w:val="24"/>
          <w:vertAlign w:val="superscript"/>
        </w:rPr>
        <w:t>2</w:t>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kern w:val="0"/>
          <w:sz w:val="24"/>
        </w:rPr>
        <w:t>为密闭建筑，该暂存点具备防渗防漏、防扩散、防雨淋、防流失的措施。</w:t>
      </w:r>
      <w:r>
        <w:rPr>
          <w:rFonts w:hint="default" w:ascii="Times New Roman" w:hAnsi="Times New Roman" w:eastAsia="宋体" w:cs="Times New Roman"/>
          <w:bCs/>
          <w:color w:val="auto"/>
          <w:sz w:val="24"/>
        </w:rPr>
        <w:t>本次故环评要求液体废物及固体废物分开放置。项目区产生的所有危险废物均统一收集，分类、分区暂存于危废</w:t>
      </w:r>
      <w:r>
        <w:rPr>
          <w:rFonts w:hint="default" w:ascii="Times New Roman" w:hAnsi="Times New Roman" w:eastAsia="宋体" w:cs="Times New Roman"/>
          <w:bCs/>
          <w:color w:val="auto"/>
          <w:sz w:val="24"/>
          <w:lang w:eastAsia="zh-CN"/>
        </w:rPr>
        <w:t>暂</w:t>
      </w:r>
      <w:r>
        <w:rPr>
          <w:rFonts w:hint="default" w:ascii="Times New Roman" w:hAnsi="Times New Roman" w:eastAsia="宋体" w:cs="Times New Roman"/>
          <w:bCs/>
          <w:color w:val="auto"/>
          <w:sz w:val="24"/>
        </w:rPr>
        <w:t>存间内，各区相互隔离，互不干扰，并分别设置危险废物识别标志，上锁，钥匙由专人进行管理</w:t>
      </w:r>
      <w:r>
        <w:rPr>
          <w:rFonts w:hint="default" w:ascii="Times New Roman" w:hAnsi="Times New Roman" w:eastAsia="宋体" w:cs="Times New Roman"/>
          <w:color w:val="auto"/>
        </w:rPr>
        <w:t>。项目内产生的固体废物能得到综合利用或处理，</w:t>
      </w:r>
      <w:r>
        <w:rPr>
          <w:rFonts w:hint="default" w:ascii="Times New Roman" w:hAnsi="Times New Roman" w:eastAsia="宋体" w:cs="Times New Roman"/>
          <w:color w:val="auto"/>
          <w:lang w:eastAsia="zh-CN"/>
        </w:rPr>
        <w:t>固废处置率</w:t>
      </w:r>
      <w:r>
        <w:rPr>
          <w:rFonts w:hint="default" w:ascii="Times New Roman" w:hAnsi="Times New Roman" w:eastAsia="宋体" w:cs="Times New Roman"/>
          <w:color w:val="auto"/>
          <w:lang w:val="en-US" w:eastAsia="zh-CN"/>
        </w:rPr>
        <w:t>100%</w:t>
      </w:r>
      <w:r>
        <w:rPr>
          <w:rFonts w:hint="default" w:ascii="Times New Roman" w:hAnsi="Times New Roman" w:eastAsia="宋体" w:cs="Times New Roman"/>
          <w:color w:val="auto"/>
        </w:rPr>
        <w:t>。</w:t>
      </w:r>
    </w:p>
    <w:p w14:paraId="31B60758">
      <w:pPr>
        <w:autoSpaceDE w:val="0"/>
        <w:autoSpaceDN w:val="0"/>
        <w:adjustRightInd w:val="0"/>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rPr>
        <w:t>综上所述，在采取了环评提出的各种措施后，项目产生的各项污染物对周边环境影响不大。</w:t>
      </w:r>
    </w:p>
    <w:p w14:paraId="716A6C4D">
      <w:pPr>
        <w:adjustRightInd w:val="0"/>
        <w:snapToGrid w:val="0"/>
        <w:spacing w:beforeLines="50"/>
        <w:outlineLvl w:val="1"/>
        <w:rPr>
          <w:rFonts w:hint="default" w:ascii="Times New Roman" w:hAnsi="Times New Roman" w:eastAsia="宋体" w:cs="Times New Roman"/>
          <w:b/>
          <w:color w:val="auto"/>
          <w:sz w:val="32"/>
          <w:szCs w:val="32"/>
        </w:rPr>
      </w:pPr>
      <w:bookmarkStart w:id="681" w:name="_Toc6000"/>
      <w:bookmarkStart w:id="682" w:name="_Toc328725516"/>
      <w:bookmarkStart w:id="683" w:name="_Toc2693270"/>
      <w:r>
        <w:rPr>
          <w:rFonts w:hint="default" w:ascii="Times New Roman" w:hAnsi="Times New Roman" w:eastAsia="宋体" w:cs="Times New Roman"/>
          <w:b/>
          <w:color w:val="auto"/>
          <w:sz w:val="32"/>
          <w:szCs w:val="32"/>
        </w:rPr>
        <w:t>11.</w:t>
      </w:r>
      <w:r>
        <w:rPr>
          <w:rFonts w:hint="default" w:ascii="Times New Roman" w:hAnsi="Times New Roman" w:eastAsia="宋体" w:cs="Times New Roman"/>
          <w:b/>
          <w:color w:val="auto"/>
          <w:sz w:val="32"/>
          <w:szCs w:val="32"/>
          <w:lang w:val="en-US" w:eastAsia="zh-CN"/>
        </w:rPr>
        <w:t>4</w:t>
      </w:r>
      <w:r>
        <w:rPr>
          <w:rFonts w:hint="default" w:ascii="Times New Roman" w:hAnsi="Times New Roman" w:eastAsia="宋体" w:cs="Times New Roman"/>
          <w:b/>
          <w:color w:val="auto"/>
          <w:sz w:val="32"/>
          <w:szCs w:val="32"/>
        </w:rPr>
        <w:t>环境风险评价结论</w:t>
      </w:r>
      <w:bookmarkEnd w:id="681"/>
      <w:bookmarkEnd w:id="682"/>
      <w:bookmarkEnd w:id="683"/>
    </w:p>
    <w:p w14:paraId="5E24F0F3">
      <w:pPr>
        <w:pStyle w:val="34"/>
        <w:adjustRightInd w:val="0"/>
        <w:snapToGrid w:val="0"/>
        <w:spacing w:after="0"/>
        <w:ind w:left="0" w:leftChars="0" w:firstLine="480" w:firstLineChars="200"/>
        <w:rPr>
          <w:rFonts w:hint="default" w:ascii="Times New Roman" w:hAnsi="Times New Roman" w:eastAsia="宋体" w:cs="Times New Roman"/>
          <w:color w:val="auto"/>
          <w:szCs w:val="20"/>
          <w:lang w:eastAsia="zh-CN"/>
        </w:rPr>
      </w:pPr>
      <w:r>
        <w:rPr>
          <w:rFonts w:hint="default" w:ascii="Times New Roman" w:hAnsi="Times New Roman" w:eastAsia="宋体" w:cs="Times New Roman"/>
          <w:bCs/>
          <w:color w:val="auto"/>
        </w:rPr>
        <w:t>项目生产过程中存在的风险物质尚未构成重大危险源。建设单位采用严格的安全防范体系，建立一套完整的管理规程、作业规章和应急计划，可最大限度地降低环境风险，一旦意外事件发生，也能最大限度地减少环境污染危害和人</w:t>
      </w:r>
      <w:r>
        <w:rPr>
          <w:rFonts w:hint="eastAsia" w:ascii="Times New Roman" w:hAnsi="Times New Roman" w:cs="Times New Roman"/>
          <w:bCs/>
          <w:color w:val="auto"/>
          <w:lang w:val="en-US" w:eastAsia="zh-CN"/>
        </w:rPr>
        <w:t>民</w:t>
      </w:r>
      <w:r>
        <w:rPr>
          <w:rFonts w:hint="default" w:ascii="Times New Roman" w:hAnsi="Times New Roman" w:eastAsia="宋体" w:cs="Times New Roman"/>
          <w:bCs/>
          <w:color w:val="auto"/>
        </w:rPr>
        <w:t>生命财产的损失。根据事故原因分析结果可知，在事故风险情况下，建设项目的风险均可以接受，但是需要采取防范措施。因此，建设项目完成后，建设单位在认真落实装置区内环评及设计单位提出的各项风险防范措施，</w:t>
      </w:r>
      <w:r>
        <w:rPr>
          <w:rFonts w:hint="default" w:ascii="Times New Roman" w:hAnsi="Times New Roman" w:eastAsia="宋体" w:cs="Times New Roman"/>
          <w:bCs/>
          <w:color w:val="auto"/>
          <w:lang w:eastAsia="zh-CN"/>
        </w:rPr>
        <w:t>编制</w:t>
      </w:r>
      <w:r>
        <w:rPr>
          <w:rFonts w:hint="default" w:ascii="Times New Roman" w:hAnsi="Times New Roman" w:eastAsia="宋体" w:cs="Times New Roman"/>
          <w:bCs/>
          <w:color w:val="auto"/>
        </w:rPr>
        <w:t>环境风险应急预案和风险防范措施的情况下，建设项目的环境风险是可以接受的</w:t>
      </w:r>
      <w:r>
        <w:rPr>
          <w:rFonts w:hint="default" w:ascii="Times New Roman" w:hAnsi="Times New Roman" w:eastAsia="宋体" w:cs="Times New Roman"/>
          <w:bCs/>
          <w:color w:val="auto"/>
          <w:lang w:eastAsia="zh-CN"/>
        </w:rPr>
        <w:t>。</w:t>
      </w:r>
    </w:p>
    <w:p w14:paraId="5D27605F">
      <w:pPr>
        <w:adjustRightInd w:val="0"/>
        <w:snapToGrid w:val="0"/>
        <w:spacing w:beforeLines="50"/>
        <w:outlineLvl w:val="1"/>
        <w:rPr>
          <w:rFonts w:hint="default" w:ascii="Times New Roman" w:hAnsi="Times New Roman" w:eastAsia="宋体" w:cs="Times New Roman"/>
          <w:b/>
          <w:color w:val="auto"/>
          <w:sz w:val="32"/>
          <w:szCs w:val="32"/>
        </w:rPr>
      </w:pPr>
      <w:bookmarkStart w:id="684" w:name="_Toc329956157"/>
      <w:bookmarkStart w:id="685" w:name="_Toc2693271"/>
      <w:bookmarkStart w:id="686" w:name="_Toc2708"/>
      <w:r>
        <w:rPr>
          <w:rFonts w:hint="default" w:ascii="Times New Roman" w:hAnsi="Times New Roman" w:eastAsia="宋体" w:cs="Times New Roman"/>
          <w:b/>
          <w:color w:val="auto"/>
          <w:sz w:val="32"/>
          <w:szCs w:val="32"/>
        </w:rPr>
        <w:t>11.</w:t>
      </w:r>
      <w:bookmarkStart w:id="687" w:name="_Toc255414756"/>
      <w:bookmarkStart w:id="688" w:name="_Toc295682006"/>
      <w:bookmarkStart w:id="689" w:name="_Toc277880205"/>
      <w:bookmarkStart w:id="690" w:name="_Toc196467960"/>
      <w:bookmarkStart w:id="691" w:name="_Toc223008506"/>
      <w:bookmarkStart w:id="692" w:name="_Toc270063337"/>
      <w:bookmarkStart w:id="693" w:name="_Toc216148756"/>
      <w:bookmarkStart w:id="694" w:name="_Toc277919462"/>
      <w:bookmarkStart w:id="695" w:name="_Toc295682519"/>
      <w:bookmarkStart w:id="696" w:name="_Toc243725727"/>
      <w:bookmarkStart w:id="697" w:name="_Toc275947768"/>
      <w:bookmarkStart w:id="698" w:name="_Toc216685609"/>
      <w:bookmarkStart w:id="699" w:name="_Toc224458190"/>
      <w:bookmarkStart w:id="700" w:name="_Toc277880025"/>
      <w:r>
        <w:rPr>
          <w:rFonts w:hint="default" w:ascii="Times New Roman" w:hAnsi="Times New Roman" w:eastAsia="宋体" w:cs="Times New Roman"/>
          <w:b/>
          <w:color w:val="auto"/>
          <w:sz w:val="32"/>
          <w:szCs w:val="32"/>
          <w:lang w:val="en-US" w:eastAsia="zh-CN"/>
        </w:rPr>
        <w:t>5</w:t>
      </w:r>
      <w:r>
        <w:rPr>
          <w:rFonts w:hint="default" w:ascii="Times New Roman" w:hAnsi="Times New Roman" w:eastAsia="宋体" w:cs="Times New Roman"/>
          <w:b/>
          <w:color w:val="auto"/>
          <w:sz w:val="32"/>
          <w:szCs w:val="32"/>
        </w:rPr>
        <w:t>公众参与调查</w:t>
      </w:r>
      <w:bookmarkEnd w:id="684"/>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r>
        <w:rPr>
          <w:rFonts w:hint="default" w:ascii="Times New Roman" w:hAnsi="Times New Roman" w:eastAsia="宋体" w:cs="Times New Roman"/>
          <w:b/>
          <w:color w:val="auto"/>
          <w:sz w:val="32"/>
          <w:szCs w:val="32"/>
        </w:rPr>
        <w:t>结果及环评对调查意见采纳说明</w:t>
      </w:r>
      <w:bookmarkEnd w:id="685"/>
      <w:bookmarkEnd w:id="686"/>
    </w:p>
    <w:p w14:paraId="0DA0F931">
      <w:pPr>
        <w:pStyle w:val="34"/>
        <w:spacing w:after="0"/>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公众参与办法》（生态环境部令第4号，2019年1月1日起实施）要求，建设单位对本项目进行了首次信息公示和征求意见稿公示，首次信息公示采用了网络公示，征求意见稿公示采用了现场张贴公告、网络公示</w:t>
      </w:r>
      <w:r>
        <w:rPr>
          <w:rFonts w:hint="eastAsia" w:ascii="Times New Roman" w:hAnsi="Times New Roman" w:cs="Times New Roman"/>
          <w:color w:val="auto"/>
          <w:lang w:val="en-US" w:eastAsia="zh-CN"/>
        </w:rPr>
        <w:t>2</w:t>
      </w:r>
      <w:r>
        <w:rPr>
          <w:rFonts w:hint="default" w:ascii="Times New Roman" w:hAnsi="Times New Roman" w:eastAsia="宋体" w:cs="Times New Roman"/>
          <w:color w:val="auto"/>
        </w:rPr>
        <w:t xml:space="preserve">种形式，同时，向项目区周边居民及社会团体进行了问卷调查。两次公示期间未收到任何反对项目建设的意见。 </w:t>
      </w:r>
    </w:p>
    <w:p w14:paraId="0C26955B">
      <w:pPr>
        <w:pStyle w:val="34"/>
        <w:spacing w:after="0"/>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首次信息公开和征求意见期间均未收到公众反馈意见。但建设单位与首次张贴公告同步向周边居民、政府和社会团体发放“建设项目环境影响评价公众意见表”</w:t>
      </w:r>
      <w:r>
        <w:rPr>
          <w:rFonts w:hint="eastAsia" w:ascii="Times New Roman" w:hAnsi="Times New Roman" w:cs="Times New Roman"/>
          <w:color w:val="auto"/>
          <w:lang w:val="en-US" w:eastAsia="zh-CN"/>
        </w:rPr>
        <w:t>59</w:t>
      </w:r>
      <w:r>
        <w:rPr>
          <w:rFonts w:hint="default" w:ascii="Times New Roman" w:hAnsi="Times New Roman" w:eastAsia="宋体" w:cs="Times New Roman"/>
          <w:color w:val="auto"/>
        </w:rPr>
        <w:t>份，收回</w:t>
      </w:r>
      <w:r>
        <w:rPr>
          <w:rFonts w:hint="eastAsia" w:ascii="Times New Roman" w:hAnsi="Times New Roman" w:cs="Times New Roman"/>
          <w:color w:val="auto"/>
          <w:lang w:val="en-US" w:eastAsia="zh-CN"/>
        </w:rPr>
        <w:t>59</w:t>
      </w:r>
      <w:r>
        <w:rPr>
          <w:rFonts w:hint="default" w:ascii="Times New Roman" w:hAnsi="Times New Roman" w:eastAsia="宋体" w:cs="Times New Roman"/>
          <w:color w:val="auto"/>
        </w:rPr>
        <w:t>份，其中社会公众意见表</w:t>
      </w:r>
      <w:r>
        <w:rPr>
          <w:rFonts w:hint="eastAsia" w:ascii="Times New Roman" w:hAnsi="Times New Roman" w:cs="Times New Roman"/>
          <w:color w:val="auto"/>
          <w:lang w:val="en-US" w:eastAsia="zh-CN"/>
        </w:rPr>
        <w:t>50</w:t>
      </w:r>
      <w:r>
        <w:rPr>
          <w:rFonts w:hint="default" w:ascii="Times New Roman" w:hAnsi="Times New Roman" w:eastAsia="宋体" w:cs="Times New Roman"/>
          <w:color w:val="auto"/>
        </w:rPr>
        <w:t>份，社会团体意见表</w:t>
      </w:r>
      <w:r>
        <w:rPr>
          <w:rFonts w:hint="eastAsia" w:ascii="Times New Roman" w:hAnsi="Times New Roman" w:cs="Times New Roman"/>
          <w:color w:val="auto"/>
          <w:lang w:val="en-US" w:eastAsia="zh-CN"/>
        </w:rPr>
        <w:t>9</w:t>
      </w:r>
      <w:r>
        <w:rPr>
          <w:rFonts w:hint="default" w:ascii="Times New Roman" w:hAnsi="Times New Roman" w:eastAsia="宋体" w:cs="Times New Roman"/>
          <w:color w:val="auto"/>
        </w:rPr>
        <w:t>份，没有人反对本项目建设，支持率达100%。</w:t>
      </w:r>
    </w:p>
    <w:p w14:paraId="7446B1E8">
      <w:pPr>
        <w:pStyle w:val="34"/>
        <w:spacing w:after="0"/>
        <w:ind w:left="0" w:leftChars="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建设单位对公众意见均有反馈，对公众提出的意见进行讲解和解释，并在报告中根据公众意见提出了加强对废水、废气、噪声、固废治理的相应的环保措施和要求，对公众意见无未采纳的情况。 </w:t>
      </w:r>
    </w:p>
    <w:p w14:paraId="06221D91">
      <w:pPr>
        <w:pStyle w:val="34"/>
        <w:spacing w:after="0"/>
        <w:ind w:left="0" w:leftChars="0" w:firstLine="480" w:firstLineChars="200"/>
        <w:rPr>
          <w:rFonts w:hint="default" w:ascii="Times New Roman" w:hAnsi="Times New Roman" w:eastAsia="宋体" w:cs="Times New Roman"/>
          <w:bCs/>
          <w:color w:val="auto"/>
        </w:rPr>
      </w:pPr>
      <w:r>
        <w:rPr>
          <w:rFonts w:hint="default" w:ascii="Times New Roman" w:hAnsi="Times New Roman" w:eastAsia="宋体" w:cs="Times New Roman"/>
          <w:color w:val="auto"/>
        </w:rPr>
        <w:t>本环评建议建设单位应做好项目建设的宣传，让公众充分认识项目建设情况，同时要求建设单位要严格按设计和环评报告的污染防治措施防止污染；项目运行后，确保各项环保措施落实到位，保证废水</w:t>
      </w:r>
      <w:r>
        <w:rPr>
          <w:rFonts w:hint="eastAsia" w:ascii="Times New Roman" w:hAnsi="Times New Roman" w:cs="Times New Roman"/>
          <w:color w:val="auto"/>
          <w:lang w:eastAsia="zh-CN"/>
        </w:rPr>
        <w:t>达标</w:t>
      </w:r>
      <w:r>
        <w:rPr>
          <w:rFonts w:hint="default" w:ascii="Times New Roman" w:hAnsi="Times New Roman" w:eastAsia="宋体" w:cs="Times New Roman"/>
          <w:color w:val="auto"/>
        </w:rPr>
        <w:t>排放，固体废弃物处置率达到100%，废气达标排放，噪声采取隔声、减震措施，以减小项目建设对公众生活及环境带来的负面影响。加强与当地居民的联系沟通，使当地居民充分了解项目的建设、“三废”的治理效果，做到相互理解，相互支持，共同发展</w:t>
      </w:r>
      <w:r>
        <w:rPr>
          <w:rFonts w:hint="default" w:ascii="Times New Roman" w:hAnsi="Times New Roman" w:eastAsia="宋体" w:cs="Times New Roman"/>
          <w:bCs/>
          <w:color w:val="auto"/>
        </w:rPr>
        <w:t>。</w:t>
      </w:r>
    </w:p>
    <w:p w14:paraId="4DDFBD5D">
      <w:pPr>
        <w:adjustRightInd w:val="0"/>
        <w:snapToGrid w:val="0"/>
        <w:spacing w:beforeLines="50"/>
        <w:outlineLvl w:val="1"/>
        <w:rPr>
          <w:rFonts w:hint="default" w:ascii="Times New Roman" w:hAnsi="Times New Roman" w:eastAsia="宋体" w:cs="Times New Roman"/>
          <w:b/>
          <w:color w:val="auto"/>
          <w:sz w:val="32"/>
          <w:szCs w:val="32"/>
        </w:rPr>
      </w:pPr>
      <w:bookmarkStart w:id="701" w:name="_Toc3900"/>
      <w:bookmarkStart w:id="702" w:name="_Toc2693272"/>
      <w:r>
        <w:rPr>
          <w:rFonts w:hint="default" w:ascii="Times New Roman" w:hAnsi="Times New Roman" w:eastAsia="宋体" w:cs="Times New Roman"/>
          <w:b/>
          <w:color w:val="auto"/>
          <w:sz w:val="32"/>
          <w:szCs w:val="32"/>
        </w:rPr>
        <w:t>11.</w:t>
      </w:r>
      <w:r>
        <w:rPr>
          <w:rFonts w:hint="default" w:ascii="Times New Roman" w:hAnsi="Times New Roman" w:eastAsia="宋体" w:cs="Times New Roman"/>
          <w:b/>
          <w:color w:val="auto"/>
          <w:sz w:val="32"/>
          <w:szCs w:val="32"/>
          <w:lang w:val="en-US" w:eastAsia="zh-CN"/>
        </w:rPr>
        <w:t>6</w:t>
      </w:r>
      <w:r>
        <w:rPr>
          <w:rFonts w:hint="default" w:ascii="Times New Roman" w:hAnsi="Times New Roman" w:eastAsia="宋体" w:cs="Times New Roman"/>
          <w:b/>
          <w:color w:val="auto"/>
          <w:sz w:val="32"/>
          <w:szCs w:val="32"/>
        </w:rPr>
        <w:t>环境管理与环境影响经济损益分析结论</w:t>
      </w:r>
      <w:bookmarkEnd w:id="701"/>
      <w:bookmarkEnd w:id="702"/>
    </w:p>
    <w:p w14:paraId="032BCBE4">
      <w:pPr>
        <w:ind w:firstLine="480" w:firstLineChars="200"/>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项目环保投资</w:t>
      </w:r>
      <w:r>
        <w:rPr>
          <w:rFonts w:hint="eastAsia" w:ascii="Times New Roman" w:hAnsi="Times New Roman" w:cs="Times New Roman"/>
          <w:color w:val="auto"/>
          <w:lang w:val="en-US" w:eastAsia="zh-CN"/>
        </w:rPr>
        <w:t>57</w:t>
      </w:r>
      <w:r>
        <w:rPr>
          <w:rFonts w:hint="default" w:ascii="Times New Roman" w:hAnsi="Times New Roman" w:eastAsia="宋体" w:cs="Times New Roman"/>
          <w:color w:val="auto"/>
        </w:rPr>
        <w:t>万元，占总投资</w:t>
      </w:r>
      <w:r>
        <w:rPr>
          <w:rFonts w:hint="eastAsia" w:ascii="Times New Roman" w:hAnsi="Times New Roman" w:cs="Times New Roman"/>
          <w:color w:val="auto"/>
          <w:lang w:val="en-US" w:eastAsia="zh-CN"/>
        </w:rPr>
        <w:t>1200</w:t>
      </w:r>
      <w:r>
        <w:rPr>
          <w:rFonts w:hint="default" w:ascii="Times New Roman" w:hAnsi="Times New Roman" w:eastAsia="宋体" w:cs="Times New Roman"/>
          <w:color w:val="auto"/>
          <w:lang w:eastAsia="zh-CN"/>
        </w:rPr>
        <w:t>万元</w:t>
      </w:r>
      <w:r>
        <w:rPr>
          <w:rFonts w:hint="default" w:ascii="Times New Roman" w:hAnsi="Times New Roman" w:eastAsia="宋体" w:cs="Times New Roman"/>
          <w:color w:val="auto"/>
        </w:rPr>
        <w:t>的</w:t>
      </w:r>
      <w:r>
        <w:rPr>
          <w:rFonts w:hint="eastAsia" w:ascii="Times New Roman" w:hAnsi="Times New Roman" w:cs="Times New Roman"/>
          <w:color w:val="auto"/>
          <w:lang w:val="en-US" w:eastAsia="zh-CN"/>
        </w:rPr>
        <w:t>4.75</w:t>
      </w:r>
      <w:r>
        <w:rPr>
          <w:rFonts w:hint="default" w:ascii="Times New Roman" w:hAnsi="Times New Roman" w:eastAsia="宋体" w:cs="Times New Roman"/>
          <w:color w:val="auto"/>
        </w:rPr>
        <w:t>%。环保投资比例合理，可以实现社会效益、经济效益及环境效益三效益的统一和谐发展。</w:t>
      </w:r>
    </w:p>
    <w:p w14:paraId="3A38AFB4">
      <w:pPr>
        <w:adjustRightInd w:val="0"/>
        <w:snapToGrid w:val="0"/>
        <w:spacing w:beforeLines="50"/>
        <w:outlineLvl w:val="1"/>
        <w:rPr>
          <w:rFonts w:hint="default" w:ascii="Times New Roman" w:hAnsi="Times New Roman" w:eastAsia="宋体" w:cs="Times New Roman"/>
          <w:b/>
          <w:color w:val="auto"/>
          <w:sz w:val="32"/>
          <w:szCs w:val="32"/>
        </w:rPr>
      </w:pPr>
      <w:bookmarkStart w:id="703" w:name="_Toc329956158"/>
      <w:bookmarkStart w:id="704" w:name="_Toc18105"/>
      <w:bookmarkStart w:id="705" w:name="_Toc2693273"/>
      <w:r>
        <w:rPr>
          <w:rFonts w:hint="default" w:ascii="Times New Roman" w:hAnsi="Times New Roman" w:eastAsia="宋体" w:cs="Times New Roman"/>
          <w:b/>
          <w:color w:val="auto"/>
          <w:sz w:val="32"/>
          <w:szCs w:val="32"/>
        </w:rPr>
        <w:t>11.</w:t>
      </w:r>
      <w:r>
        <w:rPr>
          <w:rFonts w:hint="default" w:ascii="Times New Roman" w:hAnsi="Times New Roman" w:eastAsia="宋体" w:cs="Times New Roman"/>
          <w:b/>
          <w:color w:val="auto"/>
          <w:sz w:val="32"/>
          <w:szCs w:val="32"/>
          <w:lang w:val="en-US" w:eastAsia="zh-CN"/>
        </w:rPr>
        <w:t>7</w:t>
      </w:r>
      <w:r>
        <w:rPr>
          <w:rFonts w:hint="default" w:ascii="Times New Roman" w:hAnsi="Times New Roman" w:eastAsia="宋体" w:cs="Times New Roman"/>
          <w:b/>
          <w:color w:val="auto"/>
          <w:sz w:val="32"/>
          <w:szCs w:val="32"/>
        </w:rPr>
        <w:t>总结论</w:t>
      </w:r>
      <w:bookmarkEnd w:id="703"/>
      <w:bookmarkEnd w:id="704"/>
      <w:bookmarkEnd w:id="705"/>
    </w:p>
    <w:p w14:paraId="081BED8E">
      <w:pPr>
        <w:adjustRightInd w:val="0"/>
        <w:snapToGrid w:val="0"/>
        <w:ind w:firstLine="480" w:firstLineChars="200"/>
        <w:rPr>
          <w:rFonts w:hint="default" w:ascii="Times New Roman" w:hAnsi="Times New Roman" w:eastAsia="宋体" w:cs="Times New Roman"/>
          <w:color w:val="auto"/>
          <w:szCs w:val="28"/>
        </w:rPr>
      </w:pPr>
      <w:r>
        <w:rPr>
          <w:rFonts w:hint="default" w:ascii="Times New Roman" w:hAnsi="Times New Roman" w:eastAsia="宋体" w:cs="Times New Roman"/>
          <w:color w:val="auto"/>
          <w:szCs w:val="28"/>
        </w:rPr>
        <w:t>本项目为</w:t>
      </w:r>
      <w:r>
        <w:rPr>
          <w:rFonts w:hint="eastAsia" w:ascii="Times New Roman" w:hAnsi="Times New Roman" w:cs="Times New Roman"/>
          <w:color w:val="auto"/>
          <w:szCs w:val="28"/>
          <w:lang w:eastAsia="zh-CN"/>
        </w:rPr>
        <w:t>服装制造水洗</w:t>
      </w:r>
      <w:r>
        <w:rPr>
          <w:rFonts w:hint="default" w:ascii="Times New Roman" w:hAnsi="Times New Roman" w:eastAsia="宋体" w:cs="Times New Roman"/>
          <w:color w:val="auto"/>
          <w:szCs w:val="28"/>
        </w:rPr>
        <w:t>生产建设项目，</w:t>
      </w:r>
      <w:r>
        <w:rPr>
          <w:rFonts w:hint="default" w:ascii="Times New Roman" w:hAnsi="Times New Roman" w:eastAsia="宋体" w:cs="Times New Roman"/>
          <w:color w:val="auto"/>
        </w:rPr>
        <w:t>主要进行</w:t>
      </w:r>
      <w:r>
        <w:rPr>
          <w:rFonts w:hint="eastAsia" w:ascii="Times New Roman" w:hAnsi="Times New Roman" w:cs="Times New Roman"/>
          <w:color w:val="auto"/>
          <w:lang w:eastAsia="zh-CN"/>
        </w:rPr>
        <w:t>服装</w:t>
      </w:r>
      <w:r>
        <w:rPr>
          <w:rFonts w:hint="default" w:ascii="Times New Roman" w:hAnsi="Times New Roman" w:eastAsia="宋体" w:cs="Times New Roman"/>
          <w:color w:val="auto"/>
        </w:rPr>
        <w:t>的生产</w:t>
      </w:r>
      <w:r>
        <w:rPr>
          <w:rFonts w:hint="eastAsia" w:ascii="Times New Roman" w:hAnsi="Times New Roman" w:cs="Times New Roman"/>
          <w:color w:val="auto"/>
          <w:lang w:eastAsia="zh-CN"/>
        </w:rPr>
        <w:t>和水洗</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Cs w:val="28"/>
        </w:rPr>
        <w:t>项目符合国家产业政策，符合“三线一单”的要求，符合达标排放、总量控制和不降低当地环境功能的要求；</w:t>
      </w:r>
      <w:r>
        <w:rPr>
          <w:rFonts w:hint="default" w:ascii="Times New Roman" w:hAnsi="Times New Roman" w:eastAsia="宋体" w:cs="Times New Roman"/>
          <w:color w:val="auto"/>
        </w:rPr>
        <w:t>环境影响预测分析结果表明，项目建成后产生的废气、废水、噪声、固废均得到妥善处置，对当地环境质量及主要敏感目标的影响较小</w:t>
      </w:r>
      <w:r>
        <w:rPr>
          <w:rFonts w:hint="default" w:ascii="Times New Roman" w:hAnsi="Times New Roman" w:eastAsia="宋体" w:cs="Times New Roman"/>
          <w:color w:val="auto"/>
          <w:szCs w:val="28"/>
        </w:rPr>
        <w:t>。</w:t>
      </w:r>
    </w:p>
    <w:p w14:paraId="5771F420">
      <w:pPr>
        <w:adjustRightInd w:val="0"/>
        <w:snapToGrid w:val="0"/>
        <w:ind w:firstLine="480" w:firstLineChars="200"/>
        <w:rPr>
          <w:rFonts w:hint="eastAsia" w:ascii="Times New Roman" w:hAnsi="Times New Roman" w:eastAsia="宋体" w:cs="Times New Roman"/>
          <w:color w:val="auto"/>
          <w:sz w:val="24"/>
          <w:lang w:eastAsia="zh-CN"/>
        </w:rPr>
        <w:sectPr>
          <w:headerReference r:id="rId12" w:type="default"/>
          <w:pgSz w:w="11906" w:h="16838"/>
          <w:pgMar w:top="1440" w:right="1301" w:bottom="1402" w:left="1365" w:header="851" w:footer="992" w:gutter="0"/>
          <w:pgNumType w:fmt="decimal"/>
          <w:cols w:space="425" w:num="1"/>
          <w:docGrid w:type="lines" w:linePitch="312" w:charSpace="0"/>
        </w:sectPr>
      </w:pPr>
      <w:r>
        <w:rPr>
          <w:rFonts w:hint="default" w:ascii="Times New Roman" w:hAnsi="Times New Roman" w:eastAsia="宋体" w:cs="Times New Roman"/>
          <w:color w:val="auto"/>
          <w:szCs w:val="28"/>
        </w:rPr>
        <w:t>因此，本项目在严格执行本环评提出的环境保护措施及环境保护“三同时”制度规定，严格进行环境管理，保证项目内的污染治理设施建设到位并正常运行，污染物达标排放的条件下，从环境保护角度论证，</w:t>
      </w:r>
      <w:r>
        <w:rPr>
          <w:rFonts w:hint="default" w:ascii="Times New Roman" w:hAnsi="Times New Roman" w:eastAsia="宋体" w:cs="Times New Roman"/>
          <w:color w:val="auto"/>
          <w:szCs w:val="28"/>
          <w:lang w:eastAsia="zh-CN"/>
        </w:rPr>
        <w:t>项目建设</w:t>
      </w:r>
      <w:r>
        <w:rPr>
          <w:rFonts w:hint="default" w:ascii="Times New Roman" w:hAnsi="Times New Roman" w:eastAsia="宋体" w:cs="Times New Roman"/>
          <w:color w:val="auto"/>
          <w:szCs w:val="28"/>
        </w:rPr>
        <w:t>是可行的</w:t>
      </w:r>
      <w:r>
        <w:rPr>
          <w:rFonts w:hint="eastAsia" w:ascii="Times New Roman" w:hAnsi="Times New Roman" w:cs="Times New Roman"/>
          <w:color w:val="auto"/>
          <w:szCs w:val="28"/>
          <w:lang w:eastAsia="zh-CN"/>
        </w:rPr>
        <w:t>。</w:t>
      </w:r>
    </w:p>
    <w:p w14:paraId="59CC4ECB">
      <w:pPr>
        <w:autoSpaceDE w:val="0"/>
        <w:autoSpaceDN w:val="0"/>
        <w:adjustRightInd w:val="0"/>
        <w:snapToGrid w:val="0"/>
        <w:rPr>
          <w:rFonts w:hint="default" w:ascii="Times New Roman" w:hAnsi="Times New Roman" w:eastAsia="宋体" w:cs="Times New Roman"/>
          <w:color w:val="auto"/>
        </w:rPr>
      </w:pPr>
    </w:p>
    <w:sectPr>
      <w:headerReference r:id="rId13" w:type="default"/>
      <w:pgSz w:w="11906" w:h="16838"/>
      <w:pgMar w:top="1440" w:right="1797" w:bottom="1440" w:left="1797" w:header="851" w:footer="992" w:gutter="0"/>
      <w:pgNumType w:fmt="decimal"/>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体">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汉鼎简书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华文行楷">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方正宋三简体">
    <w:altName w:val="宋体"/>
    <w:panose1 w:val="02010601030101010101"/>
    <w:charset w:val="86"/>
    <w:family w:val="auto"/>
    <w:pitch w:val="default"/>
    <w:sig w:usb0="00000000" w:usb1="00000000" w:usb2="00000000" w:usb3="00000000" w:csb0="00040000" w:csb1="00000000"/>
  </w:font>
  <w:font w:name="????">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Swiss742-SWC">
    <w:altName w:val="Arial"/>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G Times">
    <w:altName w:val="Times New Roman"/>
    <w:panose1 w:val="00000000000000000000"/>
    <w:charset w:val="00"/>
    <w:family w:val="roman"/>
    <w:pitch w:val="default"/>
    <w:sig w:usb0="00000000" w:usb1="00000000" w:usb2="00000000" w:usb3="00000000" w:csb0="00000093" w:csb1="00000000"/>
  </w:font>
  <w:font w:name="Batang">
    <w:altName w:val="Malgun Gothic"/>
    <w:panose1 w:val="02030600000101010101"/>
    <w:charset w:val="81"/>
    <w:family w:val="roman"/>
    <w:pitch w:val="default"/>
    <w:sig w:usb0="00000000" w:usb1="00000000" w:usb2="00000030" w:usb3="00000000" w:csb0="4008009F" w:csb1="DFD70000"/>
  </w:font>
  <w:font w:name="Tms Rmn">
    <w:altName w:val="Times New Roman"/>
    <w:panose1 w:val="02020603040505020304"/>
    <w:charset w:val="00"/>
    <w:family w:val="roman"/>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40001" w:csb1="00000000"/>
  </w:font>
  <w:font w:name="ˎ̥">
    <w:altName w:val="Times New Roman"/>
    <w:panose1 w:val="00000000000000000000"/>
    <w:charset w:val="01"/>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方正仿宋简体">
    <w:altName w:val="Arial Unicode MS"/>
    <w:panose1 w:val="02010601030101010101"/>
    <w:charset w:val="86"/>
    <w:family w:val="auto"/>
    <w:pitch w:val="default"/>
    <w:sig w:usb0="00000000" w:usb1="00000000" w:usb2="00000000" w:usb3="00000000" w:csb0="00040000" w:csb1="00000000"/>
  </w:font>
  <w:font w:name="方正书宋">
    <w:altName w:val="宋体"/>
    <w:panose1 w:val="00000000000000000000"/>
    <w:charset w:val="86"/>
    <w:family w:val="script"/>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2226778"/>
      <w:docPartObj>
        <w:docPartGallery w:val="autotext"/>
      </w:docPartObj>
    </w:sdtPr>
    <w:sdtContent>
      <w:p w14:paraId="6543FA7E">
        <w:pPr>
          <w:pStyle w:val="46"/>
          <w:jc w:val="center"/>
        </w:pPr>
        <w:r>
          <w:fldChar w:fldCharType="begin"/>
        </w:r>
        <w:r>
          <w:instrText xml:space="preserve"> PAGE   \* MERGEFORMAT </w:instrText>
        </w:r>
        <w:r>
          <w:fldChar w:fldCharType="separate"/>
        </w:r>
        <w:r>
          <w:rPr>
            <w:lang w:val="zh-CN"/>
          </w:rPr>
          <w:t>V</w:t>
        </w:r>
        <w:r>
          <w:rPr>
            <w:lang w:val="zh-CN"/>
          </w:rPr>
          <w:fldChar w:fldCharType="end"/>
        </w:r>
      </w:p>
    </w:sdtContent>
  </w:sdt>
  <w:p w14:paraId="0FE01EFE">
    <w:pPr>
      <w:pStyle w:val="4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18AB">
    <w:pPr>
      <w:pStyle w:val="4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34F679D4">
                          <w:pPr>
                            <w:pStyle w:val="4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TbQIF0gEAAKUDAAAOAAAAAAAAAAEAIAAAAB4BAABk&#10;cnMvZTJvRG9jLnhtbFBLBQYAAAAABgAGAFkBAABiBQAAAAA=&#10;">
              <v:fill on="f" focussize="0,0"/>
              <v:stroke on="f"/>
              <v:imagedata o:title=""/>
              <o:lock v:ext="edit" aspectratio="f"/>
              <v:textbox inset="0mm,0mm,0mm,0mm" style="mso-fit-shape-to-text:t;">
                <w:txbxContent>
                  <w:p w14:paraId="34F679D4">
                    <w:pPr>
                      <w:pStyle w:val="4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BFB8C">
    <w:pPr>
      <w:pStyle w:val="4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355B3874">
                          <w:pPr>
                            <w:pStyle w:val="4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Bj8k8D0gEAAKYDAAAOAAAAAAAAAAEAIAAAAB4BAABk&#10;cnMvZTJvRG9jLnhtbFBLBQYAAAAABgAGAFkBAABiBQAAAAA=&#10;">
              <v:fill on="f" focussize="0,0"/>
              <v:stroke on="f"/>
              <v:imagedata o:title=""/>
              <o:lock v:ext="edit" aspectratio="f"/>
              <v:textbox inset="0mm,0mm,0mm,0mm" style="mso-fit-shape-to-text:t;">
                <w:txbxContent>
                  <w:p w14:paraId="355B3874">
                    <w:pPr>
                      <w:pStyle w:val="4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0DBA7">
    <w:pPr>
      <w:pStyle w:val="47"/>
    </w:pPr>
    <w:r>
      <w:rPr>
        <w:rFonts w:hint="eastAsia"/>
        <w:lang w:eastAsia="zh-CN"/>
      </w:rPr>
      <w:t>云南业勤服饰有限公司</w:t>
    </w:r>
    <w:r>
      <w:rPr>
        <w:rFonts w:hint="eastAsia"/>
      </w:rPr>
      <w:t>建设项目环境影响报告书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57345">
    <w:pPr>
      <w:pStyle w:val="47"/>
      <w:rPr>
        <w:color w:val="auto"/>
      </w:rPr>
    </w:pPr>
    <w:r>
      <w:rPr>
        <w:rFonts w:hint="eastAsia"/>
        <w:color w:val="auto"/>
        <w:lang w:eastAsia="zh-CN"/>
      </w:rPr>
      <w:t>云南业勤服饰有限公司</w:t>
    </w:r>
    <w:r>
      <w:rPr>
        <w:rFonts w:hint="eastAsia"/>
        <w:color w:val="auto"/>
      </w:rPr>
      <w:t>建设项目环境影响报告书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C2C89">
    <w:pPr>
      <w:pStyle w:val="47"/>
      <w:rPr>
        <w:rFonts w:hint="eastAsia"/>
      </w:rPr>
    </w:pPr>
    <w:r>
      <w:rPr>
        <w:rFonts w:hint="eastAsia"/>
        <w:color w:val="auto"/>
        <w:lang w:eastAsia="zh-CN"/>
      </w:rPr>
      <w:t>云南业勤服饰有限公司</w:t>
    </w:r>
    <w:r>
      <w:rPr>
        <w:rFonts w:hint="eastAsia"/>
        <w:color w:val="auto"/>
      </w:rPr>
      <w:t>建设项目环境影响报告书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42380">
    <w:pPr>
      <w:pStyle w:val="47"/>
      <w:pBdr>
        <w:bottom w:val="single" w:color="auto" w:sz="4" w:space="0"/>
      </w:pBdr>
      <w:jc w:val="center"/>
    </w:pPr>
    <w:r>
      <w:rPr>
        <w:rFonts w:hint="eastAsia"/>
        <w:color w:val="auto"/>
        <w:lang w:eastAsia="zh-CN"/>
      </w:rPr>
      <w:t>云南业勤服饰有限公司</w:t>
    </w:r>
    <w:r>
      <w:rPr>
        <w:rFonts w:hint="eastAsia"/>
        <w:color w:val="auto"/>
      </w:rPr>
      <w:t>建设项目环境影响报告书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1576">
    <w:pPr>
      <w:pStyle w:val="47"/>
      <w:rPr>
        <w:rFonts w:hint="eastAsia"/>
        <w:szCs w:val="21"/>
      </w:rPr>
    </w:pPr>
    <w:r>
      <w:rPr>
        <w:rFonts w:hint="eastAsia"/>
        <w:color w:val="auto"/>
        <w:lang w:eastAsia="zh-CN"/>
      </w:rPr>
      <w:t>云南业勤服饰有限公司</w:t>
    </w:r>
    <w:r>
      <w:rPr>
        <w:rFonts w:hint="eastAsia"/>
        <w:color w:val="auto"/>
      </w:rPr>
      <w:t>建设项目环境影响报告书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4CD2">
    <w:pPr>
      <w:pStyle w:val="47"/>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0CCCEF"/>
    <w:multiLevelType w:val="singleLevel"/>
    <w:tmpl w:val="AA0CCCEF"/>
    <w:lvl w:ilvl="0" w:tentative="0">
      <w:start w:val="1"/>
      <w:numFmt w:val="decimal"/>
      <w:suff w:val="nothing"/>
      <w:lvlText w:val="%1、"/>
      <w:lvlJc w:val="left"/>
    </w:lvl>
  </w:abstractNum>
  <w:abstractNum w:abstractNumId="1">
    <w:nsid w:val="BBF3B16F"/>
    <w:multiLevelType w:val="singleLevel"/>
    <w:tmpl w:val="BBF3B16F"/>
    <w:lvl w:ilvl="0" w:tentative="0">
      <w:start w:val="1"/>
      <w:numFmt w:val="decimal"/>
      <w:suff w:val="nothing"/>
      <w:lvlText w:val="%1）"/>
      <w:lvlJc w:val="left"/>
    </w:lvl>
  </w:abstractNum>
  <w:abstractNum w:abstractNumId="2">
    <w:nsid w:val="F5D942ED"/>
    <w:multiLevelType w:val="singleLevel"/>
    <w:tmpl w:val="F5D942ED"/>
    <w:lvl w:ilvl="0" w:tentative="0">
      <w:start w:val="1"/>
      <w:numFmt w:val="decimal"/>
      <w:suff w:val="nothing"/>
      <w:lvlText w:val="%1、"/>
      <w:lvlJc w:val="left"/>
    </w:lvl>
  </w:abstractNum>
  <w:abstractNum w:abstractNumId="3">
    <w:nsid w:val="0000000B"/>
    <w:multiLevelType w:val="multilevel"/>
    <w:tmpl w:val="0000000B"/>
    <w:lvl w:ilvl="0" w:tentative="0">
      <w:start w:val="1"/>
      <w:numFmt w:val="decimal"/>
      <w:pStyle w:val="1266"/>
      <w:lvlText w:val="表 %1"/>
      <w:lvlJc w:val="center"/>
      <w:pPr>
        <w:ind w:left="420" w:hanging="132"/>
      </w:pPr>
      <w:rPr>
        <w:rFonts w:hint="default" w:ascii="Times New Roman" w:hAnsi="Times New Roman" w:eastAsia="宋体"/>
        <w:sz w:val="24"/>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2"/>
    <w:multiLevelType w:val="multilevel"/>
    <w:tmpl w:val="00000012"/>
    <w:lvl w:ilvl="0" w:tentative="0">
      <w:start w:val="1"/>
      <w:numFmt w:val="decimal"/>
      <w:suff w:val="nothing"/>
      <w:lvlText w:val="（%1）"/>
      <w:lvlJc w:val="left"/>
      <w:pPr>
        <w:ind w:left="0" w:firstLine="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5">
    <w:nsid w:val="28174DFA"/>
    <w:multiLevelType w:val="singleLevel"/>
    <w:tmpl w:val="28174DFA"/>
    <w:lvl w:ilvl="0" w:tentative="0">
      <w:start w:val="1"/>
      <w:numFmt w:val="decimal"/>
      <w:suff w:val="nothing"/>
      <w:lvlText w:val="（%1）"/>
      <w:lvlJc w:val="left"/>
    </w:lvl>
  </w:abstractNum>
  <w:abstractNum w:abstractNumId="6">
    <w:nsid w:val="3C97BE96"/>
    <w:multiLevelType w:val="singleLevel"/>
    <w:tmpl w:val="3C97BE96"/>
    <w:lvl w:ilvl="0" w:tentative="0">
      <w:start w:val="1"/>
      <w:numFmt w:val="decimal"/>
      <w:suff w:val="nothing"/>
      <w:lvlText w:val="%1、"/>
      <w:lvlJc w:val="left"/>
    </w:lvl>
  </w:abstractNum>
  <w:abstractNum w:abstractNumId="7">
    <w:nsid w:val="4BEA0B2C"/>
    <w:multiLevelType w:val="multilevel"/>
    <w:tmpl w:val="4BEA0B2C"/>
    <w:lvl w:ilvl="0" w:tentative="0">
      <w:start w:val="1"/>
      <w:numFmt w:val="decimal"/>
      <w:lvlText w:val="%1、"/>
      <w:lvlJc w:val="left"/>
      <w:pPr>
        <w:tabs>
          <w:tab w:val="left" w:pos="227"/>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4AC1618"/>
    <w:multiLevelType w:val="singleLevel"/>
    <w:tmpl w:val="54AC1618"/>
    <w:lvl w:ilvl="0" w:tentative="0">
      <w:start w:val="4"/>
      <w:numFmt w:val="decimal"/>
      <w:suff w:val="nothing"/>
      <w:lvlText w:val="%1、"/>
      <w:lvlJc w:val="left"/>
    </w:lvl>
  </w:abstractNum>
  <w:abstractNum w:abstractNumId="9">
    <w:nsid w:val="57BB04DE"/>
    <w:multiLevelType w:val="singleLevel"/>
    <w:tmpl w:val="57BB04DE"/>
    <w:lvl w:ilvl="0" w:tentative="0">
      <w:start w:val="3"/>
      <w:numFmt w:val="decimal"/>
      <w:suff w:val="nothing"/>
      <w:lvlText w:val="（%1）"/>
      <w:lvlJc w:val="left"/>
    </w:lvl>
  </w:abstractNum>
  <w:abstractNum w:abstractNumId="10">
    <w:nsid w:val="58D8E367"/>
    <w:multiLevelType w:val="singleLevel"/>
    <w:tmpl w:val="58D8E367"/>
    <w:lvl w:ilvl="0" w:tentative="0">
      <w:start w:val="1"/>
      <w:numFmt w:val="decimal"/>
      <w:suff w:val="nothing"/>
      <w:lvlText w:val="（%1）"/>
      <w:lvlJc w:val="left"/>
      <w:pPr>
        <w:ind w:left="0" w:firstLine="0"/>
      </w:pPr>
    </w:lvl>
  </w:abstractNum>
  <w:abstractNum w:abstractNumId="11">
    <w:nsid w:val="5C6E6D6D"/>
    <w:multiLevelType w:val="singleLevel"/>
    <w:tmpl w:val="5C6E6D6D"/>
    <w:lvl w:ilvl="0" w:tentative="0">
      <w:start w:val="1"/>
      <w:numFmt w:val="decimal"/>
      <w:suff w:val="nothing"/>
      <w:lvlText w:val="（%1）"/>
      <w:lvlJc w:val="left"/>
      <w:pPr>
        <w:ind w:left="0" w:firstLine="0"/>
      </w:pPr>
    </w:lvl>
  </w:abstractNum>
  <w:num w:numId="1">
    <w:abstractNumId w:val="3"/>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6"/>
  </w:num>
  <w:num w:numId="6">
    <w:abstractNumId w:val="11"/>
    <w:lvlOverride w:ilvl="0">
      <w:startOverride w:val="1"/>
    </w:lvlOverride>
  </w:num>
  <w:num w:numId="7">
    <w:abstractNumId w:val="9"/>
  </w:num>
  <w:num w:numId="8">
    <w:abstractNumId w:val="2"/>
  </w:num>
  <w:num w:numId="9">
    <w:abstractNumId w:val="8"/>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00172A27"/>
    <w:rsid w:val="00004076"/>
    <w:rsid w:val="00033934"/>
    <w:rsid w:val="0004363A"/>
    <w:rsid w:val="00045F26"/>
    <w:rsid w:val="00060AFD"/>
    <w:rsid w:val="0007085C"/>
    <w:rsid w:val="00085FED"/>
    <w:rsid w:val="000A1C02"/>
    <w:rsid w:val="000A4384"/>
    <w:rsid w:val="000A6D1E"/>
    <w:rsid w:val="000B48D7"/>
    <w:rsid w:val="000D1448"/>
    <w:rsid w:val="000D7829"/>
    <w:rsid w:val="000E5EE7"/>
    <w:rsid w:val="0010387B"/>
    <w:rsid w:val="001044AE"/>
    <w:rsid w:val="00110D84"/>
    <w:rsid w:val="00113337"/>
    <w:rsid w:val="00121F1B"/>
    <w:rsid w:val="001241CA"/>
    <w:rsid w:val="0013774E"/>
    <w:rsid w:val="001415DC"/>
    <w:rsid w:val="00141BAD"/>
    <w:rsid w:val="0014523C"/>
    <w:rsid w:val="00174165"/>
    <w:rsid w:val="00183C32"/>
    <w:rsid w:val="00195E44"/>
    <w:rsid w:val="0019688C"/>
    <w:rsid w:val="001B5179"/>
    <w:rsid w:val="001B683A"/>
    <w:rsid w:val="001C126E"/>
    <w:rsid w:val="001C4E10"/>
    <w:rsid w:val="001C5B25"/>
    <w:rsid w:val="001D678E"/>
    <w:rsid w:val="001F7AAD"/>
    <w:rsid w:val="00200393"/>
    <w:rsid w:val="002161F9"/>
    <w:rsid w:val="00222EDA"/>
    <w:rsid w:val="002409EA"/>
    <w:rsid w:val="002416B1"/>
    <w:rsid w:val="00242BDA"/>
    <w:rsid w:val="00285D2B"/>
    <w:rsid w:val="00286F9A"/>
    <w:rsid w:val="00287B62"/>
    <w:rsid w:val="00296457"/>
    <w:rsid w:val="00297C77"/>
    <w:rsid w:val="002A04C7"/>
    <w:rsid w:val="002B67FC"/>
    <w:rsid w:val="002C65FD"/>
    <w:rsid w:val="002D1C1B"/>
    <w:rsid w:val="00302000"/>
    <w:rsid w:val="00304851"/>
    <w:rsid w:val="00306AB8"/>
    <w:rsid w:val="00314E35"/>
    <w:rsid w:val="0032012B"/>
    <w:rsid w:val="003270FE"/>
    <w:rsid w:val="003354AE"/>
    <w:rsid w:val="00356381"/>
    <w:rsid w:val="00376717"/>
    <w:rsid w:val="0039598F"/>
    <w:rsid w:val="003A599A"/>
    <w:rsid w:val="003B2D54"/>
    <w:rsid w:val="003C0A2E"/>
    <w:rsid w:val="003C181B"/>
    <w:rsid w:val="003D0336"/>
    <w:rsid w:val="003F0067"/>
    <w:rsid w:val="00406D0E"/>
    <w:rsid w:val="004119D4"/>
    <w:rsid w:val="004129CA"/>
    <w:rsid w:val="004221B3"/>
    <w:rsid w:val="00430FAB"/>
    <w:rsid w:val="00453E6C"/>
    <w:rsid w:val="00464052"/>
    <w:rsid w:val="00470EB0"/>
    <w:rsid w:val="00473A6B"/>
    <w:rsid w:val="00492091"/>
    <w:rsid w:val="004931FB"/>
    <w:rsid w:val="004B0328"/>
    <w:rsid w:val="004B45EC"/>
    <w:rsid w:val="004D1095"/>
    <w:rsid w:val="004D5D21"/>
    <w:rsid w:val="004F5573"/>
    <w:rsid w:val="004F5985"/>
    <w:rsid w:val="004F78F5"/>
    <w:rsid w:val="00504FE2"/>
    <w:rsid w:val="00511E75"/>
    <w:rsid w:val="005201F7"/>
    <w:rsid w:val="00521BBE"/>
    <w:rsid w:val="00526CE4"/>
    <w:rsid w:val="00536CBA"/>
    <w:rsid w:val="00550669"/>
    <w:rsid w:val="00554FD3"/>
    <w:rsid w:val="00556E10"/>
    <w:rsid w:val="005751FE"/>
    <w:rsid w:val="00575490"/>
    <w:rsid w:val="00576D7F"/>
    <w:rsid w:val="00580060"/>
    <w:rsid w:val="005849FE"/>
    <w:rsid w:val="005864E9"/>
    <w:rsid w:val="00590111"/>
    <w:rsid w:val="0059038E"/>
    <w:rsid w:val="00590429"/>
    <w:rsid w:val="00592883"/>
    <w:rsid w:val="00594B7A"/>
    <w:rsid w:val="00594D7A"/>
    <w:rsid w:val="005A4AE5"/>
    <w:rsid w:val="005A74C5"/>
    <w:rsid w:val="005A787A"/>
    <w:rsid w:val="005D2191"/>
    <w:rsid w:val="005F2453"/>
    <w:rsid w:val="005F69C3"/>
    <w:rsid w:val="00604518"/>
    <w:rsid w:val="00610F55"/>
    <w:rsid w:val="0061172A"/>
    <w:rsid w:val="00617617"/>
    <w:rsid w:val="006354DD"/>
    <w:rsid w:val="00643EEB"/>
    <w:rsid w:val="0066287F"/>
    <w:rsid w:val="00663E96"/>
    <w:rsid w:val="00672FF3"/>
    <w:rsid w:val="00674E3B"/>
    <w:rsid w:val="00680B44"/>
    <w:rsid w:val="00690648"/>
    <w:rsid w:val="006A5583"/>
    <w:rsid w:val="006C1CB4"/>
    <w:rsid w:val="006C5434"/>
    <w:rsid w:val="006D41B7"/>
    <w:rsid w:val="007246EF"/>
    <w:rsid w:val="00726440"/>
    <w:rsid w:val="0072706D"/>
    <w:rsid w:val="00732899"/>
    <w:rsid w:val="00747AE8"/>
    <w:rsid w:val="0075115F"/>
    <w:rsid w:val="0075249B"/>
    <w:rsid w:val="0075691A"/>
    <w:rsid w:val="00760F29"/>
    <w:rsid w:val="00771168"/>
    <w:rsid w:val="0077451E"/>
    <w:rsid w:val="00775D94"/>
    <w:rsid w:val="00794716"/>
    <w:rsid w:val="007A17F0"/>
    <w:rsid w:val="007B0698"/>
    <w:rsid w:val="007C326E"/>
    <w:rsid w:val="007C4B87"/>
    <w:rsid w:val="007C4ECE"/>
    <w:rsid w:val="007D109A"/>
    <w:rsid w:val="007D7376"/>
    <w:rsid w:val="007F07F5"/>
    <w:rsid w:val="00800AFA"/>
    <w:rsid w:val="00805661"/>
    <w:rsid w:val="008069D3"/>
    <w:rsid w:val="0081123E"/>
    <w:rsid w:val="008201E5"/>
    <w:rsid w:val="0082198D"/>
    <w:rsid w:val="00825F9F"/>
    <w:rsid w:val="00830816"/>
    <w:rsid w:val="00834934"/>
    <w:rsid w:val="00855DA7"/>
    <w:rsid w:val="008644D4"/>
    <w:rsid w:val="008666D4"/>
    <w:rsid w:val="00877CC3"/>
    <w:rsid w:val="0088621F"/>
    <w:rsid w:val="00891D3A"/>
    <w:rsid w:val="00897399"/>
    <w:rsid w:val="008A1443"/>
    <w:rsid w:val="008B4EE5"/>
    <w:rsid w:val="008B7C8E"/>
    <w:rsid w:val="008C1578"/>
    <w:rsid w:val="008D0587"/>
    <w:rsid w:val="008E18F1"/>
    <w:rsid w:val="008E4CA1"/>
    <w:rsid w:val="008E6BC9"/>
    <w:rsid w:val="0090353C"/>
    <w:rsid w:val="00912114"/>
    <w:rsid w:val="00925F7A"/>
    <w:rsid w:val="00947269"/>
    <w:rsid w:val="00950B54"/>
    <w:rsid w:val="00955CA5"/>
    <w:rsid w:val="009620CE"/>
    <w:rsid w:val="00972C91"/>
    <w:rsid w:val="009A28AF"/>
    <w:rsid w:val="009B55BF"/>
    <w:rsid w:val="009C2186"/>
    <w:rsid w:val="009C4A9C"/>
    <w:rsid w:val="009E790B"/>
    <w:rsid w:val="009F0688"/>
    <w:rsid w:val="00A226F8"/>
    <w:rsid w:val="00A241A0"/>
    <w:rsid w:val="00A25393"/>
    <w:rsid w:val="00A337AD"/>
    <w:rsid w:val="00A42EBD"/>
    <w:rsid w:val="00A432A0"/>
    <w:rsid w:val="00A463BF"/>
    <w:rsid w:val="00A50C04"/>
    <w:rsid w:val="00A563B8"/>
    <w:rsid w:val="00A9005E"/>
    <w:rsid w:val="00AA1D48"/>
    <w:rsid w:val="00AA2237"/>
    <w:rsid w:val="00AB0FCD"/>
    <w:rsid w:val="00AB2632"/>
    <w:rsid w:val="00AB39A5"/>
    <w:rsid w:val="00AD137B"/>
    <w:rsid w:val="00AD2CB5"/>
    <w:rsid w:val="00AE0C8C"/>
    <w:rsid w:val="00AE48AC"/>
    <w:rsid w:val="00AE7F6D"/>
    <w:rsid w:val="00AF5753"/>
    <w:rsid w:val="00AF7458"/>
    <w:rsid w:val="00B01775"/>
    <w:rsid w:val="00B10B3F"/>
    <w:rsid w:val="00B11CED"/>
    <w:rsid w:val="00B30AA8"/>
    <w:rsid w:val="00B371EB"/>
    <w:rsid w:val="00B4336B"/>
    <w:rsid w:val="00B5163A"/>
    <w:rsid w:val="00B64C24"/>
    <w:rsid w:val="00B732CF"/>
    <w:rsid w:val="00B73A42"/>
    <w:rsid w:val="00B915CB"/>
    <w:rsid w:val="00B9300C"/>
    <w:rsid w:val="00BB0DBB"/>
    <w:rsid w:val="00BB33C9"/>
    <w:rsid w:val="00BB6B17"/>
    <w:rsid w:val="00BC6501"/>
    <w:rsid w:val="00BD5104"/>
    <w:rsid w:val="00BE1FAC"/>
    <w:rsid w:val="00BE5E4C"/>
    <w:rsid w:val="00C0774C"/>
    <w:rsid w:val="00C2491C"/>
    <w:rsid w:val="00C24CF6"/>
    <w:rsid w:val="00C30EB2"/>
    <w:rsid w:val="00C52412"/>
    <w:rsid w:val="00C55117"/>
    <w:rsid w:val="00C56D2B"/>
    <w:rsid w:val="00C6183C"/>
    <w:rsid w:val="00C71FB8"/>
    <w:rsid w:val="00C74F0D"/>
    <w:rsid w:val="00CA7C91"/>
    <w:rsid w:val="00CB2B43"/>
    <w:rsid w:val="00CD6E78"/>
    <w:rsid w:val="00CE35E3"/>
    <w:rsid w:val="00CE67CE"/>
    <w:rsid w:val="00CE7D18"/>
    <w:rsid w:val="00D11AEC"/>
    <w:rsid w:val="00D12BEA"/>
    <w:rsid w:val="00D13C9B"/>
    <w:rsid w:val="00D364CB"/>
    <w:rsid w:val="00D74EED"/>
    <w:rsid w:val="00DA0567"/>
    <w:rsid w:val="00DA1CD2"/>
    <w:rsid w:val="00DA3CFD"/>
    <w:rsid w:val="00DB5F2C"/>
    <w:rsid w:val="00DD5E91"/>
    <w:rsid w:val="00DE5030"/>
    <w:rsid w:val="00DF1649"/>
    <w:rsid w:val="00E16718"/>
    <w:rsid w:val="00E267D1"/>
    <w:rsid w:val="00E41064"/>
    <w:rsid w:val="00E421E0"/>
    <w:rsid w:val="00E80E40"/>
    <w:rsid w:val="00E91726"/>
    <w:rsid w:val="00EA197A"/>
    <w:rsid w:val="00EA1E63"/>
    <w:rsid w:val="00ED3F6B"/>
    <w:rsid w:val="00ED7E23"/>
    <w:rsid w:val="00EF6E9E"/>
    <w:rsid w:val="00F0041C"/>
    <w:rsid w:val="00F03381"/>
    <w:rsid w:val="00F1302B"/>
    <w:rsid w:val="00F155DA"/>
    <w:rsid w:val="00F2527C"/>
    <w:rsid w:val="00F26595"/>
    <w:rsid w:val="00F37B03"/>
    <w:rsid w:val="00F4223D"/>
    <w:rsid w:val="00F46C80"/>
    <w:rsid w:val="00F5523B"/>
    <w:rsid w:val="00F64AA0"/>
    <w:rsid w:val="00F83829"/>
    <w:rsid w:val="00F83BCD"/>
    <w:rsid w:val="00F83EC2"/>
    <w:rsid w:val="00F95332"/>
    <w:rsid w:val="00FA2BDB"/>
    <w:rsid w:val="00FB5179"/>
    <w:rsid w:val="00FD4A60"/>
    <w:rsid w:val="00FF62AE"/>
    <w:rsid w:val="00FF705E"/>
    <w:rsid w:val="015C6BA2"/>
    <w:rsid w:val="016F7BFC"/>
    <w:rsid w:val="01B12170"/>
    <w:rsid w:val="01F01356"/>
    <w:rsid w:val="020A1D13"/>
    <w:rsid w:val="02205CCF"/>
    <w:rsid w:val="02CC4512"/>
    <w:rsid w:val="03097A20"/>
    <w:rsid w:val="03B8229A"/>
    <w:rsid w:val="03CA481C"/>
    <w:rsid w:val="03E023DF"/>
    <w:rsid w:val="04437643"/>
    <w:rsid w:val="048B6530"/>
    <w:rsid w:val="04B84A70"/>
    <w:rsid w:val="04C46AAE"/>
    <w:rsid w:val="050609FE"/>
    <w:rsid w:val="05152EC1"/>
    <w:rsid w:val="05246627"/>
    <w:rsid w:val="059C7875"/>
    <w:rsid w:val="06EB0E27"/>
    <w:rsid w:val="08062835"/>
    <w:rsid w:val="09811092"/>
    <w:rsid w:val="09875382"/>
    <w:rsid w:val="0A9B189A"/>
    <w:rsid w:val="0AAF7FD1"/>
    <w:rsid w:val="0D1C7BA3"/>
    <w:rsid w:val="0DCF4D96"/>
    <w:rsid w:val="0DFD4AC8"/>
    <w:rsid w:val="0E202DF0"/>
    <w:rsid w:val="0E4C48BB"/>
    <w:rsid w:val="0E8F4C8A"/>
    <w:rsid w:val="0EBC2359"/>
    <w:rsid w:val="0F266362"/>
    <w:rsid w:val="0FA01074"/>
    <w:rsid w:val="0FC45C6E"/>
    <w:rsid w:val="106A4BF9"/>
    <w:rsid w:val="10852D6D"/>
    <w:rsid w:val="108F3E6A"/>
    <w:rsid w:val="10D44463"/>
    <w:rsid w:val="11ED708D"/>
    <w:rsid w:val="140D7525"/>
    <w:rsid w:val="140E16A7"/>
    <w:rsid w:val="14673479"/>
    <w:rsid w:val="15234181"/>
    <w:rsid w:val="167B5C57"/>
    <w:rsid w:val="16A11EFD"/>
    <w:rsid w:val="16AD742C"/>
    <w:rsid w:val="171A7B56"/>
    <w:rsid w:val="187A5369"/>
    <w:rsid w:val="188D683C"/>
    <w:rsid w:val="19CC471B"/>
    <w:rsid w:val="1B717862"/>
    <w:rsid w:val="1BD512BB"/>
    <w:rsid w:val="1BF7716F"/>
    <w:rsid w:val="1C1707E5"/>
    <w:rsid w:val="1C970D27"/>
    <w:rsid w:val="1CBE2A59"/>
    <w:rsid w:val="1DAE25C9"/>
    <w:rsid w:val="1DFE62EE"/>
    <w:rsid w:val="1E182A68"/>
    <w:rsid w:val="1EAA21C2"/>
    <w:rsid w:val="1ED97419"/>
    <w:rsid w:val="1EEA330F"/>
    <w:rsid w:val="1F554704"/>
    <w:rsid w:val="1F6239A7"/>
    <w:rsid w:val="1FEA1B33"/>
    <w:rsid w:val="20894145"/>
    <w:rsid w:val="209A3656"/>
    <w:rsid w:val="22255D7B"/>
    <w:rsid w:val="231D43AF"/>
    <w:rsid w:val="2358219E"/>
    <w:rsid w:val="235C505A"/>
    <w:rsid w:val="236E33B6"/>
    <w:rsid w:val="23C3210D"/>
    <w:rsid w:val="24010CD7"/>
    <w:rsid w:val="241749EF"/>
    <w:rsid w:val="24795C29"/>
    <w:rsid w:val="24A437CF"/>
    <w:rsid w:val="24EB5DCB"/>
    <w:rsid w:val="25090149"/>
    <w:rsid w:val="261004C6"/>
    <w:rsid w:val="26E362BA"/>
    <w:rsid w:val="273B4ED5"/>
    <w:rsid w:val="278F4E9D"/>
    <w:rsid w:val="27E67F42"/>
    <w:rsid w:val="28AE3296"/>
    <w:rsid w:val="28D94FAB"/>
    <w:rsid w:val="28ED2D2F"/>
    <w:rsid w:val="28F711B7"/>
    <w:rsid w:val="298657CF"/>
    <w:rsid w:val="29E238BC"/>
    <w:rsid w:val="29F74DB4"/>
    <w:rsid w:val="2A3C6E25"/>
    <w:rsid w:val="2AD17A5E"/>
    <w:rsid w:val="2AED30A3"/>
    <w:rsid w:val="2AEF3ACF"/>
    <w:rsid w:val="2B34445D"/>
    <w:rsid w:val="2B4B662E"/>
    <w:rsid w:val="2B9322D4"/>
    <w:rsid w:val="2C264FF0"/>
    <w:rsid w:val="2CA45136"/>
    <w:rsid w:val="2CC94E70"/>
    <w:rsid w:val="2CE77137"/>
    <w:rsid w:val="2DD25396"/>
    <w:rsid w:val="2DF608E4"/>
    <w:rsid w:val="2E5E36D4"/>
    <w:rsid w:val="2EE12615"/>
    <w:rsid w:val="2EE97D63"/>
    <w:rsid w:val="2EEC4EAC"/>
    <w:rsid w:val="2F132985"/>
    <w:rsid w:val="2F4A48E1"/>
    <w:rsid w:val="2FA377EB"/>
    <w:rsid w:val="30113779"/>
    <w:rsid w:val="30852AFC"/>
    <w:rsid w:val="31083063"/>
    <w:rsid w:val="319920DC"/>
    <w:rsid w:val="324B66A6"/>
    <w:rsid w:val="32644EF1"/>
    <w:rsid w:val="334213FF"/>
    <w:rsid w:val="33573CD9"/>
    <w:rsid w:val="33645280"/>
    <w:rsid w:val="343B507D"/>
    <w:rsid w:val="343F0016"/>
    <w:rsid w:val="34BB29CD"/>
    <w:rsid w:val="34CC1FB6"/>
    <w:rsid w:val="35EA7AF7"/>
    <w:rsid w:val="3611469A"/>
    <w:rsid w:val="36272EC7"/>
    <w:rsid w:val="367963BD"/>
    <w:rsid w:val="377A38D6"/>
    <w:rsid w:val="37BE691B"/>
    <w:rsid w:val="38AD479A"/>
    <w:rsid w:val="3A376F2D"/>
    <w:rsid w:val="3AAB4327"/>
    <w:rsid w:val="3B2124C1"/>
    <w:rsid w:val="3B656761"/>
    <w:rsid w:val="3C001C58"/>
    <w:rsid w:val="3CD9630B"/>
    <w:rsid w:val="3D834E28"/>
    <w:rsid w:val="3DB92F7E"/>
    <w:rsid w:val="3EEA5248"/>
    <w:rsid w:val="3F0D5349"/>
    <w:rsid w:val="3F1605CE"/>
    <w:rsid w:val="3F7F393E"/>
    <w:rsid w:val="3F8822C4"/>
    <w:rsid w:val="3FE52289"/>
    <w:rsid w:val="403C6F45"/>
    <w:rsid w:val="404A2289"/>
    <w:rsid w:val="409C1F35"/>
    <w:rsid w:val="417D6B57"/>
    <w:rsid w:val="41C5266A"/>
    <w:rsid w:val="4225457F"/>
    <w:rsid w:val="426C567B"/>
    <w:rsid w:val="42F87646"/>
    <w:rsid w:val="435902B8"/>
    <w:rsid w:val="43F91A57"/>
    <w:rsid w:val="44231A0B"/>
    <w:rsid w:val="446009EB"/>
    <w:rsid w:val="44C85751"/>
    <w:rsid w:val="451B6A48"/>
    <w:rsid w:val="45311C35"/>
    <w:rsid w:val="457A0026"/>
    <w:rsid w:val="459C7985"/>
    <w:rsid w:val="46B73FFF"/>
    <w:rsid w:val="47427AB6"/>
    <w:rsid w:val="475264AE"/>
    <w:rsid w:val="479E6BE2"/>
    <w:rsid w:val="48107415"/>
    <w:rsid w:val="48F27AA5"/>
    <w:rsid w:val="49054FE1"/>
    <w:rsid w:val="49567A08"/>
    <w:rsid w:val="49D73F79"/>
    <w:rsid w:val="4A221DB1"/>
    <w:rsid w:val="4A5F33F0"/>
    <w:rsid w:val="4A7A24A6"/>
    <w:rsid w:val="4A8E7CF4"/>
    <w:rsid w:val="4AC369A9"/>
    <w:rsid w:val="4AED2D8B"/>
    <w:rsid w:val="4B1A5222"/>
    <w:rsid w:val="4B6128AB"/>
    <w:rsid w:val="4B865009"/>
    <w:rsid w:val="4B8925EB"/>
    <w:rsid w:val="4BBF190B"/>
    <w:rsid w:val="4C3C10D4"/>
    <w:rsid w:val="4CAF07D8"/>
    <w:rsid w:val="4D1C5447"/>
    <w:rsid w:val="4D801C9F"/>
    <w:rsid w:val="4E3959ED"/>
    <w:rsid w:val="4E4646AA"/>
    <w:rsid w:val="51AA29F4"/>
    <w:rsid w:val="524F0E2F"/>
    <w:rsid w:val="52A014BA"/>
    <w:rsid w:val="52AE0BA3"/>
    <w:rsid w:val="53801DEF"/>
    <w:rsid w:val="56E43764"/>
    <w:rsid w:val="57695DD0"/>
    <w:rsid w:val="58952E96"/>
    <w:rsid w:val="596F28F6"/>
    <w:rsid w:val="59A4048D"/>
    <w:rsid w:val="59AD3A7C"/>
    <w:rsid w:val="5A4A0C93"/>
    <w:rsid w:val="5A7E306C"/>
    <w:rsid w:val="5A926B0F"/>
    <w:rsid w:val="5A9C5B58"/>
    <w:rsid w:val="5A9E74BC"/>
    <w:rsid w:val="5B5D0051"/>
    <w:rsid w:val="5B7C5982"/>
    <w:rsid w:val="5B802BC8"/>
    <w:rsid w:val="5BB87750"/>
    <w:rsid w:val="5C79476C"/>
    <w:rsid w:val="5C7A1317"/>
    <w:rsid w:val="5CBF3517"/>
    <w:rsid w:val="5DAF52F6"/>
    <w:rsid w:val="5EAC1CFD"/>
    <w:rsid w:val="5F684AA2"/>
    <w:rsid w:val="5FB50721"/>
    <w:rsid w:val="600E1B47"/>
    <w:rsid w:val="601C2CEB"/>
    <w:rsid w:val="60880E1E"/>
    <w:rsid w:val="61DB25D8"/>
    <w:rsid w:val="62260FA9"/>
    <w:rsid w:val="623E7AC0"/>
    <w:rsid w:val="6273320F"/>
    <w:rsid w:val="6325110C"/>
    <w:rsid w:val="63655806"/>
    <w:rsid w:val="636B0BDE"/>
    <w:rsid w:val="64B90B25"/>
    <w:rsid w:val="64D40091"/>
    <w:rsid w:val="64FF479B"/>
    <w:rsid w:val="65F22968"/>
    <w:rsid w:val="66414FC7"/>
    <w:rsid w:val="66F172E8"/>
    <w:rsid w:val="688E2F81"/>
    <w:rsid w:val="69CA1C31"/>
    <w:rsid w:val="69E0242F"/>
    <w:rsid w:val="6A6F019C"/>
    <w:rsid w:val="6A9D6160"/>
    <w:rsid w:val="6AD14D30"/>
    <w:rsid w:val="6B2543DC"/>
    <w:rsid w:val="6B2F32E4"/>
    <w:rsid w:val="6BED7DF5"/>
    <w:rsid w:val="6C637FE1"/>
    <w:rsid w:val="6C7E37D3"/>
    <w:rsid w:val="6CBA31AD"/>
    <w:rsid w:val="6CCA02CF"/>
    <w:rsid w:val="6CDD3144"/>
    <w:rsid w:val="6DD92CB7"/>
    <w:rsid w:val="6E530641"/>
    <w:rsid w:val="6EA14DBB"/>
    <w:rsid w:val="6F0F0BBD"/>
    <w:rsid w:val="6F3073B2"/>
    <w:rsid w:val="6F967AE7"/>
    <w:rsid w:val="6FDD7E6F"/>
    <w:rsid w:val="70405B6A"/>
    <w:rsid w:val="705A1DE1"/>
    <w:rsid w:val="70A85B50"/>
    <w:rsid w:val="7199371C"/>
    <w:rsid w:val="71AC369D"/>
    <w:rsid w:val="72271A5E"/>
    <w:rsid w:val="74484BCC"/>
    <w:rsid w:val="745A0226"/>
    <w:rsid w:val="74840B58"/>
    <w:rsid w:val="75320034"/>
    <w:rsid w:val="7564474F"/>
    <w:rsid w:val="76682224"/>
    <w:rsid w:val="76CD6516"/>
    <w:rsid w:val="76E62CF0"/>
    <w:rsid w:val="782A4FF9"/>
    <w:rsid w:val="78E0303F"/>
    <w:rsid w:val="793F3D57"/>
    <w:rsid w:val="798A0F3C"/>
    <w:rsid w:val="79F97008"/>
    <w:rsid w:val="7B961CC4"/>
    <w:rsid w:val="7BEB1806"/>
    <w:rsid w:val="7C4C6D0E"/>
    <w:rsid w:val="7C5248A9"/>
    <w:rsid w:val="7D7177CF"/>
    <w:rsid w:val="7DBB3A51"/>
    <w:rsid w:val="7DC4505B"/>
    <w:rsid w:val="7DCB6624"/>
    <w:rsid w:val="7E1A4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iPriority="0" w:name="Normal Indent"/>
    <w:lsdException w:qFormat="1" w:uiPriority="0" w:name="footnote text"/>
    <w:lsdException w:qFormat="1" w:uiPriority="0" w:name="annotation text"/>
    <w:lsdException w:qFormat="1" w:uiPriority="0" w:semiHidden="0" w:name="header"/>
    <w:lsdException w:qFormat="1" w:uiPriority="99" w:semiHidden="0" w:name="footer"/>
    <w:lsdException w:uiPriority="99" w:name="index heading"/>
    <w:lsdException w:qFormat="1" w:uiPriority="0" w:name="caption"/>
    <w:lsdException w:uiPriority="0" w:name="table of figures"/>
    <w:lsdException w:qFormat="1" w:uiPriority="0" w:name="envelope address"/>
    <w:lsdException w:uiPriority="0" w:name="envelope return"/>
    <w:lsdException w:uiPriority="0" w:name="footnote reference"/>
    <w:lsdException w:qFormat="1" w:uiPriority="0" w:name="annotation reference"/>
    <w:lsdException w:uiPriority="99" w:name="line number"/>
    <w:lsdException w:uiPriority="99" w:name="page number"/>
    <w:lsdException w:uiPriority="99" w:name="endnote reference"/>
    <w:lsdException w:qFormat="1" w:uiPriority="0" w:name="endnote text"/>
    <w:lsdException w:uiPriority="99" w:name="table of authorities"/>
    <w:lsdException w:qFormat="1" w:uiPriority="0" w:name="macro"/>
    <w:lsdException w:uiPriority="0" w:name="toa heading"/>
    <w:lsdException w:qFormat="1" w:uiPriority="0" w:name="List"/>
    <w:lsdException w:qFormat="1" w:uiPriority="0" w:name="List Bullet"/>
    <w:lsdException w:qFormat="1" w:uiPriority="0" w:name="List Number"/>
    <w:lsdException w:uiPriority="0" w:name="List 2"/>
    <w:lsdException w:uiPriority="0" w:name="List 3"/>
    <w:lsdException w:uiPriority="0" w:name="List 4"/>
    <w:lsdException w:uiPriority="0" w:name="List 5"/>
    <w:lsdException w:qFormat="1" w:uiPriority="0" w:name="List Bullet 2"/>
    <w:lsdException w:qFormat="1" w:uiPriority="0" w:name="List Bullet 3"/>
    <w:lsdException w:qFormat="1" w:uiPriority="0" w:name="List Bullet 4"/>
    <w:lsdException w:qFormat="1" w:uiPriority="0" w:name="List Bullet 5"/>
    <w:lsdException w:qFormat="1" w:uiPriority="0" w:name="List Number 2"/>
    <w:lsdException w:qFormat="1" w:uiPriority="0" w:name="List Number 3"/>
    <w:lsdException w:qFormat="1" w:uiPriority="0" w:name="List Number 4"/>
    <w:lsdException w:qFormat="1" w:uiPriority="0" w:name="List Number 5"/>
    <w:lsdException w:qFormat="1" w:unhideWhenUsed="0" w:uiPriority="0" w:semiHidden="0" w:name="Title"/>
    <w:lsdException w:qFormat="1" w:uiPriority="0" w:name="Closing"/>
    <w:lsdException w:qFormat="1" w:uiPriority="0" w:name="Signature"/>
    <w:lsdException w:qFormat="1" w:uiPriority="1" w:name="Default Paragraph Font"/>
    <w:lsdException w:qFormat="1" w:uiPriority="0" w:semiHidden="0" w:name="Body Text"/>
    <w:lsdException w:qFormat="1"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iPriority="0" w:name="Message Header"/>
    <w:lsdException w:qFormat="1" w:unhideWhenUsed="0" w:uiPriority="0" w:semiHidden="0" w:name="Subtitle"/>
    <w:lsdException w:qFormat="1" w:uiPriority="0" w:name="Salutation"/>
    <w:lsdException w:qFormat="1" w:uiPriority="0" w:name="Date"/>
    <w:lsdException w:qFormat="1" w:uiPriority="0" w:name="Body Text First Indent"/>
    <w:lsdException w:qFormat="1" w:uiPriority="0" w:name="Body Text First Indent 2"/>
    <w:lsdException w:qFormat="1" w:uiPriority="0" w:name="Note Heading"/>
    <w:lsdException w:qFormat="1" w:uiPriority="0" w:semiHidden="0" w:name="Body Text 2"/>
    <w:lsdException w:qFormat="1" w:uiPriority="0" w:name="Body Text 3"/>
    <w:lsdException w:qFormat="1" w:uiPriority="0" w:name="Body Text Indent 2"/>
    <w:lsdException w:qFormat="1"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iPriority="0" w:name="Document Map"/>
    <w:lsdException w:qFormat="1" w:uiPriority="0" w:semiHidden="0" w:name="Plain Text"/>
    <w:lsdException w:qFormat="1" w:uiPriority="0" w:name="E-mail Signature"/>
    <w:lsdException w:qFormat="1" w:uiPriority="0" w:name="Normal (Web)"/>
    <w:lsdException w:uiPriority="99" w:name="HTML Acronym"/>
    <w:lsdException w:qFormat="1" w:uiPriority="0" w:name="HTML Address"/>
    <w:lsdException w:uiPriority="99" w:name="HTML Cite"/>
    <w:lsdException w:uiPriority="0" w:name="HTML Code"/>
    <w:lsdException w:uiPriority="99" w:name="HTML Definition"/>
    <w:lsdException w:uiPriority="0" w:name="HTML Keyboard"/>
    <w:lsdException w:qFormat="1" w:uiPriority="0" w:name="HTML Preformatted"/>
    <w:lsdException w:uiPriority="0" w:name="HTML Sample"/>
    <w:lsdException w:uiPriority="0" w:name="HTML Typewriter"/>
    <w:lsdException w:uiPriority="99" w:name="HTML Variable"/>
    <w:lsdException w:qFormat="1" w:uiPriority="99" w:name="Normal Table"/>
    <w:lsdException w:qFormat="1" w:uiPriority="0" w:name="annotation subject"/>
    <w:lsdException w:uiPriority="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宋体" w:eastAsia="宋体" w:cs="Times New Roman"/>
      <w:kern w:val="2"/>
      <w:sz w:val="24"/>
      <w:szCs w:val="21"/>
      <w:lang w:val="en-US" w:eastAsia="zh-CN" w:bidi="ar-SA"/>
    </w:rPr>
  </w:style>
  <w:style w:type="paragraph" w:styleId="9">
    <w:name w:val="heading 1"/>
    <w:basedOn w:val="1"/>
    <w:next w:val="1"/>
    <w:link w:val="77"/>
    <w:qFormat/>
    <w:uiPriority w:val="0"/>
    <w:pPr>
      <w:keepNext/>
      <w:spacing w:line="560" w:lineRule="atLeast"/>
      <w:outlineLvl w:val="0"/>
    </w:pPr>
    <w:rPr>
      <w:rFonts w:cs="宋体"/>
      <w:sz w:val="30"/>
      <w:szCs w:val="20"/>
    </w:rPr>
  </w:style>
  <w:style w:type="paragraph" w:styleId="10">
    <w:name w:val="heading 2"/>
    <w:basedOn w:val="1"/>
    <w:next w:val="1"/>
    <w:link w:val="78"/>
    <w:semiHidden/>
    <w:unhideWhenUsed/>
    <w:qFormat/>
    <w:uiPriority w:val="0"/>
    <w:pPr>
      <w:keepNext/>
      <w:keepLines/>
      <w:spacing w:before="260" w:after="260" w:line="415" w:lineRule="auto"/>
      <w:outlineLvl w:val="1"/>
    </w:pPr>
    <w:rPr>
      <w:rFonts w:ascii="Arial" w:hAnsi="Arial" w:eastAsia="黑体"/>
      <w:b/>
      <w:bCs/>
      <w:sz w:val="32"/>
      <w:szCs w:val="32"/>
    </w:rPr>
  </w:style>
  <w:style w:type="paragraph" w:styleId="11">
    <w:name w:val="heading 3"/>
    <w:basedOn w:val="1"/>
    <w:next w:val="1"/>
    <w:link w:val="79"/>
    <w:semiHidden/>
    <w:unhideWhenUsed/>
    <w:qFormat/>
    <w:uiPriority w:val="0"/>
    <w:pPr>
      <w:keepNext/>
      <w:keepLines/>
      <w:spacing w:before="260" w:after="260" w:line="415" w:lineRule="auto"/>
      <w:outlineLvl w:val="2"/>
    </w:pPr>
    <w:rPr>
      <w:b/>
      <w:bCs/>
      <w:sz w:val="32"/>
      <w:szCs w:val="32"/>
    </w:rPr>
  </w:style>
  <w:style w:type="paragraph" w:styleId="12">
    <w:name w:val="heading 4"/>
    <w:basedOn w:val="1"/>
    <w:next w:val="1"/>
    <w:link w:val="80"/>
    <w:semiHidden/>
    <w:unhideWhenUsed/>
    <w:qFormat/>
    <w:uiPriority w:val="0"/>
    <w:pPr>
      <w:keepNext/>
      <w:keepLines/>
      <w:spacing w:before="280" w:after="290" w:line="374" w:lineRule="auto"/>
      <w:outlineLvl w:val="3"/>
    </w:pPr>
    <w:rPr>
      <w:rFonts w:ascii="Arial" w:hAnsi="Arial" w:eastAsia="黑体"/>
      <w:b/>
      <w:bCs/>
      <w:sz w:val="28"/>
      <w:szCs w:val="28"/>
    </w:rPr>
  </w:style>
  <w:style w:type="paragraph" w:styleId="13">
    <w:name w:val="heading 5"/>
    <w:basedOn w:val="11"/>
    <w:next w:val="1"/>
    <w:link w:val="81"/>
    <w:semiHidden/>
    <w:unhideWhenUsed/>
    <w:qFormat/>
    <w:uiPriority w:val="0"/>
    <w:pPr>
      <w:spacing w:line="412" w:lineRule="auto"/>
      <w:outlineLvl w:val="4"/>
    </w:pPr>
    <w:rPr>
      <w:kern w:val="0"/>
      <w:sz w:val="24"/>
    </w:rPr>
  </w:style>
  <w:style w:type="paragraph" w:styleId="14">
    <w:name w:val="heading 6"/>
    <w:basedOn w:val="1"/>
    <w:next w:val="15"/>
    <w:link w:val="83"/>
    <w:semiHidden/>
    <w:unhideWhenUsed/>
    <w:qFormat/>
    <w:uiPriority w:val="0"/>
    <w:pPr>
      <w:keepNext/>
      <w:keepLines/>
      <w:adjustRightInd w:val="0"/>
      <w:outlineLvl w:val="5"/>
    </w:pPr>
    <w:rPr>
      <w:rFonts w:ascii="Arial" w:hAnsi="Arial"/>
      <w:kern w:val="0"/>
      <w:szCs w:val="20"/>
    </w:rPr>
  </w:style>
  <w:style w:type="paragraph" w:styleId="16">
    <w:name w:val="heading 7"/>
    <w:basedOn w:val="1"/>
    <w:next w:val="15"/>
    <w:link w:val="84"/>
    <w:semiHidden/>
    <w:unhideWhenUsed/>
    <w:qFormat/>
    <w:uiPriority w:val="0"/>
    <w:pPr>
      <w:keepNext/>
      <w:keepLines/>
      <w:tabs>
        <w:tab w:val="left" w:pos="1296"/>
      </w:tabs>
      <w:adjustRightInd w:val="0"/>
      <w:ind w:left="1296" w:hanging="1296"/>
      <w:outlineLvl w:val="6"/>
    </w:pPr>
    <w:rPr>
      <w:kern w:val="0"/>
      <w:szCs w:val="20"/>
    </w:rPr>
  </w:style>
  <w:style w:type="paragraph" w:styleId="17">
    <w:name w:val="heading 8"/>
    <w:basedOn w:val="1"/>
    <w:next w:val="15"/>
    <w:link w:val="85"/>
    <w:semiHidden/>
    <w:unhideWhenUsed/>
    <w:qFormat/>
    <w:uiPriority w:val="0"/>
    <w:pPr>
      <w:keepNext/>
      <w:keepLines/>
      <w:tabs>
        <w:tab w:val="left" w:pos="1440"/>
      </w:tabs>
      <w:adjustRightInd w:val="0"/>
      <w:ind w:left="1440" w:hanging="1440"/>
      <w:outlineLvl w:val="7"/>
    </w:pPr>
    <w:rPr>
      <w:rFonts w:ascii="Arial" w:hAnsi="Arial"/>
      <w:kern w:val="0"/>
      <w:szCs w:val="20"/>
    </w:rPr>
  </w:style>
  <w:style w:type="paragraph" w:styleId="18">
    <w:name w:val="heading 9"/>
    <w:basedOn w:val="1"/>
    <w:next w:val="15"/>
    <w:link w:val="86"/>
    <w:semiHidden/>
    <w:unhideWhenUsed/>
    <w:qFormat/>
    <w:uiPriority w:val="0"/>
    <w:pPr>
      <w:keepNext/>
      <w:keepLines/>
      <w:tabs>
        <w:tab w:val="left" w:pos="1584"/>
      </w:tabs>
      <w:adjustRightInd w:val="0"/>
      <w:ind w:left="1584" w:hanging="1584"/>
      <w:outlineLvl w:val="8"/>
    </w:pPr>
    <w:rPr>
      <w:rFonts w:ascii="Arial" w:hAnsi="Arial"/>
      <w:kern w:val="0"/>
      <w:szCs w:val="20"/>
    </w:rPr>
  </w:style>
  <w:style w:type="character" w:default="1" w:styleId="68">
    <w:name w:val="Default Paragraph Font"/>
    <w:semiHidden/>
    <w:unhideWhenUsed/>
    <w:qFormat/>
    <w:uiPriority w:val="1"/>
  </w:style>
  <w:style w:type="table" w:default="1" w:styleId="66">
    <w:name w:val="Normal Table"/>
    <w:semiHidden/>
    <w:unhideWhenUsed/>
    <w:qFormat/>
    <w:uiPriority w:val="99"/>
    <w:tblPr>
      <w:tblCellMar>
        <w:top w:w="0" w:type="dxa"/>
        <w:left w:w="108" w:type="dxa"/>
        <w:bottom w:w="0" w:type="dxa"/>
        <w:right w:w="108" w:type="dxa"/>
      </w:tblCellMar>
    </w:tblPr>
  </w:style>
  <w:style w:type="paragraph" w:customStyle="1" w:styleId="2">
    <w:name w:val="四级条标题"/>
    <w:basedOn w:val="3"/>
    <w:next w:val="7"/>
    <w:qFormat/>
    <w:uiPriority w:val="0"/>
    <w:pPr>
      <w:tabs>
        <w:tab w:val="left" w:pos="360"/>
      </w:tabs>
      <w:outlineLvl w:val="5"/>
    </w:pPr>
  </w:style>
  <w:style w:type="paragraph" w:customStyle="1" w:styleId="3">
    <w:name w:val="三级条标题"/>
    <w:basedOn w:val="4"/>
    <w:next w:val="7"/>
    <w:qFormat/>
    <w:uiPriority w:val="0"/>
    <w:pPr>
      <w:tabs>
        <w:tab w:val="left" w:pos="360"/>
      </w:tabs>
      <w:outlineLvl w:val="4"/>
    </w:pPr>
  </w:style>
  <w:style w:type="paragraph" w:customStyle="1" w:styleId="4">
    <w:name w:val="二级条标题"/>
    <w:basedOn w:val="5"/>
    <w:next w:val="7"/>
    <w:qFormat/>
    <w:uiPriority w:val="0"/>
    <w:pPr>
      <w:tabs>
        <w:tab w:val="left" w:pos="360"/>
      </w:tabs>
      <w:outlineLvl w:val="3"/>
    </w:pPr>
  </w:style>
  <w:style w:type="paragraph" w:customStyle="1" w:styleId="5">
    <w:name w:val="一级条标题"/>
    <w:basedOn w:val="6"/>
    <w:next w:val="7"/>
    <w:qFormat/>
    <w:uiPriority w:val="0"/>
    <w:pPr>
      <w:keepNext w:val="0"/>
      <w:widowControl/>
      <w:tabs>
        <w:tab w:val="left" w:pos="360"/>
      </w:tabs>
      <w:spacing w:line="240" w:lineRule="auto"/>
      <w:outlineLvl w:val="2"/>
    </w:pPr>
    <w:rPr>
      <w:rFonts w:ascii="黑体" w:eastAsia="黑体" w:cs="Times New Roman"/>
      <w:kern w:val="0"/>
      <w:sz w:val="21"/>
    </w:rPr>
  </w:style>
  <w:style w:type="paragraph" w:customStyle="1" w:styleId="6">
    <w:name w:val="章标题"/>
    <w:next w:val="7"/>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7">
    <w:name w:val="段"/>
    <w:qFormat/>
    <w:uiPriority w:val="0"/>
    <w:pPr>
      <w:autoSpaceDE w:val="0"/>
      <w:autoSpaceDN w:val="0"/>
      <w:ind w:firstLine="200" w:firstLineChars="200"/>
      <w:jc w:val="both"/>
    </w:pPr>
    <w:rPr>
      <w:rFonts w:ascii="宋体" w:hAnsi="Times New Roman" w:eastAsia="宋体" w:cs="Times New Roman"/>
      <w:sz w:val="21"/>
      <w:szCs w:val="22"/>
      <w:lang w:val="zh-CN" w:eastAsia="zh-CN" w:bidi="ar-SA"/>
    </w:rPr>
  </w:style>
  <w:style w:type="paragraph" w:styleId="8">
    <w:name w:val="macro"/>
    <w:link w:val="106"/>
    <w:semiHidden/>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200" w:firstLineChars="200"/>
    </w:pPr>
    <w:rPr>
      <w:rFonts w:ascii="Courier New" w:hAnsi="Courier New" w:eastAsia="Times New Roman" w:cs="Times New Roman"/>
      <w:b/>
      <w:kern w:val="2"/>
      <w:sz w:val="24"/>
      <w:szCs w:val="24"/>
      <w:lang w:val="en-US" w:eastAsia="zh-CN" w:bidi="ar-SA"/>
    </w:rPr>
  </w:style>
  <w:style w:type="paragraph" w:styleId="15">
    <w:name w:val="Normal Indent"/>
    <w:basedOn w:val="1"/>
    <w:link w:val="82"/>
    <w:semiHidden/>
    <w:unhideWhenUsed/>
    <w:qFormat/>
    <w:uiPriority w:val="0"/>
    <w:pPr>
      <w:spacing w:line="440" w:lineRule="exact"/>
      <w:ind w:firstLine="420"/>
    </w:pPr>
    <w:rPr>
      <w:szCs w:val="20"/>
    </w:rPr>
  </w:style>
  <w:style w:type="paragraph" w:styleId="19">
    <w:name w:val="List Number 2"/>
    <w:basedOn w:val="1"/>
    <w:semiHidden/>
    <w:unhideWhenUsed/>
    <w:qFormat/>
    <w:uiPriority w:val="0"/>
    <w:pPr>
      <w:widowControl/>
      <w:tabs>
        <w:tab w:val="left" w:pos="780"/>
      </w:tabs>
      <w:spacing w:line="520" w:lineRule="exact"/>
      <w:ind w:left="780" w:leftChars="200" w:hanging="360" w:hangingChars="200"/>
    </w:pPr>
    <w:rPr>
      <w:rFonts w:cs="宋体"/>
      <w:bCs/>
      <w:kern w:val="0"/>
      <w:sz w:val="28"/>
      <w:szCs w:val="32"/>
    </w:rPr>
  </w:style>
  <w:style w:type="paragraph" w:styleId="20">
    <w:name w:val="Note Heading"/>
    <w:basedOn w:val="1"/>
    <w:next w:val="1"/>
    <w:link w:val="130"/>
    <w:semiHidden/>
    <w:unhideWhenUsed/>
    <w:qFormat/>
    <w:uiPriority w:val="0"/>
    <w:pPr>
      <w:widowControl/>
      <w:spacing w:line="520" w:lineRule="exact"/>
      <w:ind w:firstLine="700" w:firstLineChars="250"/>
      <w:jc w:val="center"/>
    </w:pPr>
    <w:rPr>
      <w:bCs/>
      <w:kern w:val="0"/>
      <w:sz w:val="28"/>
      <w:szCs w:val="32"/>
    </w:rPr>
  </w:style>
  <w:style w:type="paragraph" w:styleId="21">
    <w:name w:val="List Bullet 4"/>
    <w:basedOn w:val="1"/>
    <w:semiHidden/>
    <w:unhideWhenUsed/>
    <w:qFormat/>
    <w:uiPriority w:val="0"/>
    <w:pPr>
      <w:widowControl/>
      <w:tabs>
        <w:tab w:val="left" w:pos="1620"/>
      </w:tabs>
      <w:spacing w:line="520" w:lineRule="exact"/>
      <w:ind w:left="1620" w:leftChars="600" w:hanging="360" w:hangingChars="200"/>
    </w:pPr>
    <w:rPr>
      <w:rFonts w:cs="宋体"/>
      <w:bCs/>
      <w:kern w:val="0"/>
      <w:sz w:val="28"/>
      <w:szCs w:val="32"/>
    </w:rPr>
  </w:style>
  <w:style w:type="paragraph" w:styleId="22">
    <w:name w:val="E-mail Signature"/>
    <w:basedOn w:val="1"/>
    <w:link w:val="145"/>
    <w:semiHidden/>
    <w:unhideWhenUsed/>
    <w:qFormat/>
    <w:uiPriority w:val="0"/>
    <w:pPr>
      <w:widowControl/>
      <w:spacing w:line="520" w:lineRule="exact"/>
      <w:ind w:firstLine="700" w:firstLineChars="250"/>
    </w:pPr>
    <w:rPr>
      <w:bCs/>
      <w:kern w:val="0"/>
      <w:sz w:val="28"/>
      <w:szCs w:val="32"/>
    </w:rPr>
  </w:style>
  <w:style w:type="paragraph" w:styleId="23">
    <w:name w:val="List Number"/>
    <w:basedOn w:val="1"/>
    <w:semiHidden/>
    <w:unhideWhenUsed/>
    <w:qFormat/>
    <w:uiPriority w:val="0"/>
    <w:pPr>
      <w:widowControl/>
      <w:tabs>
        <w:tab w:val="left" w:pos="720"/>
      </w:tabs>
      <w:spacing w:line="520" w:lineRule="exact"/>
      <w:ind w:left="360" w:firstLine="250" w:firstLineChars="250"/>
    </w:pPr>
    <w:rPr>
      <w:rFonts w:cs="宋体"/>
      <w:bCs/>
      <w:kern w:val="0"/>
      <w:sz w:val="28"/>
      <w:szCs w:val="32"/>
    </w:rPr>
  </w:style>
  <w:style w:type="paragraph" w:styleId="24">
    <w:name w:val="caption"/>
    <w:basedOn w:val="1"/>
    <w:next w:val="1"/>
    <w:semiHidden/>
    <w:unhideWhenUsed/>
    <w:qFormat/>
    <w:uiPriority w:val="0"/>
    <w:rPr>
      <w:rFonts w:ascii="Arial" w:hAnsi="Arial" w:eastAsia="黑体" w:cs="Arial"/>
      <w:sz w:val="20"/>
      <w:szCs w:val="20"/>
    </w:rPr>
  </w:style>
  <w:style w:type="paragraph" w:styleId="25">
    <w:name w:val="List Bullet"/>
    <w:basedOn w:val="1"/>
    <w:semiHidden/>
    <w:unhideWhenUsed/>
    <w:qFormat/>
    <w:uiPriority w:val="0"/>
    <w:pPr>
      <w:tabs>
        <w:tab w:val="left" w:pos="360"/>
      </w:tabs>
      <w:ind w:left="360" w:hanging="360" w:hangingChars="200"/>
    </w:pPr>
  </w:style>
  <w:style w:type="paragraph" w:styleId="26">
    <w:name w:val="envelope address"/>
    <w:basedOn w:val="1"/>
    <w:semiHidden/>
    <w:unhideWhenUsed/>
    <w:qFormat/>
    <w:uiPriority w:val="0"/>
    <w:pPr>
      <w:widowControl/>
      <w:snapToGrid w:val="0"/>
      <w:spacing w:line="520" w:lineRule="exact"/>
      <w:ind w:left="100" w:leftChars="1400" w:firstLine="700" w:firstLineChars="250"/>
    </w:pPr>
    <w:rPr>
      <w:rFonts w:ascii="Arial" w:hAnsi="Arial" w:cs="Arial"/>
      <w:bCs/>
      <w:kern w:val="0"/>
    </w:rPr>
  </w:style>
  <w:style w:type="paragraph" w:styleId="27">
    <w:name w:val="Document Map"/>
    <w:basedOn w:val="1"/>
    <w:link w:val="140"/>
    <w:semiHidden/>
    <w:unhideWhenUsed/>
    <w:qFormat/>
    <w:uiPriority w:val="0"/>
    <w:pPr>
      <w:shd w:val="clear" w:color="auto" w:fill="000080"/>
    </w:pPr>
  </w:style>
  <w:style w:type="paragraph" w:styleId="28">
    <w:name w:val="annotation text"/>
    <w:basedOn w:val="1"/>
    <w:link w:val="97"/>
    <w:semiHidden/>
    <w:unhideWhenUsed/>
    <w:qFormat/>
    <w:uiPriority w:val="0"/>
    <w:pPr>
      <w:jc w:val="left"/>
    </w:pPr>
  </w:style>
  <w:style w:type="paragraph" w:styleId="29">
    <w:name w:val="Salutation"/>
    <w:basedOn w:val="1"/>
    <w:next w:val="1"/>
    <w:link w:val="122"/>
    <w:semiHidden/>
    <w:unhideWhenUsed/>
    <w:qFormat/>
    <w:uiPriority w:val="0"/>
    <w:rPr>
      <w:kern w:val="0"/>
      <w:sz w:val="28"/>
    </w:rPr>
  </w:style>
  <w:style w:type="paragraph" w:styleId="30">
    <w:name w:val="Body Text 3"/>
    <w:basedOn w:val="1"/>
    <w:link w:val="134"/>
    <w:semiHidden/>
    <w:unhideWhenUsed/>
    <w:qFormat/>
    <w:uiPriority w:val="0"/>
    <w:pPr>
      <w:spacing w:after="120"/>
    </w:pPr>
    <w:rPr>
      <w:sz w:val="16"/>
      <w:szCs w:val="16"/>
    </w:rPr>
  </w:style>
  <w:style w:type="paragraph" w:styleId="31">
    <w:name w:val="Closing"/>
    <w:basedOn w:val="1"/>
    <w:link w:val="110"/>
    <w:semiHidden/>
    <w:unhideWhenUsed/>
    <w:qFormat/>
    <w:uiPriority w:val="0"/>
    <w:pPr>
      <w:widowControl/>
      <w:spacing w:line="520" w:lineRule="exact"/>
      <w:ind w:left="100" w:leftChars="2100" w:firstLine="700" w:firstLineChars="250"/>
    </w:pPr>
    <w:rPr>
      <w:bCs/>
      <w:kern w:val="0"/>
      <w:sz w:val="28"/>
      <w:szCs w:val="32"/>
    </w:rPr>
  </w:style>
  <w:style w:type="paragraph" w:styleId="32">
    <w:name w:val="List Bullet 3"/>
    <w:basedOn w:val="1"/>
    <w:semiHidden/>
    <w:unhideWhenUsed/>
    <w:qFormat/>
    <w:uiPriority w:val="0"/>
    <w:pPr>
      <w:widowControl/>
      <w:tabs>
        <w:tab w:val="left" w:pos="1200"/>
      </w:tabs>
      <w:spacing w:line="520" w:lineRule="exact"/>
      <w:ind w:left="1200" w:leftChars="400" w:hanging="360" w:hangingChars="200"/>
    </w:pPr>
    <w:rPr>
      <w:rFonts w:cs="宋体"/>
      <w:bCs/>
      <w:kern w:val="0"/>
      <w:sz w:val="28"/>
      <w:szCs w:val="32"/>
    </w:rPr>
  </w:style>
  <w:style w:type="paragraph" w:styleId="33">
    <w:name w:val="Body Text"/>
    <w:basedOn w:val="1"/>
    <w:link w:val="114"/>
    <w:unhideWhenUsed/>
    <w:qFormat/>
    <w:uiPriority w:val="0"/>
    <w:pPr>
      <w:spacing w:after="120"/>
    </w:pPr>
  </w:style>
  <w:style w:type="paragraph" w:styleId="34">
    <w:name w:val="Body Text Indent"/>
    <w:basedOn w:val="1"/>
    <w:link w:val="116"/>
    <w:semiHidden/>
    <w:unhideWhenUsed/>
    <w:qFormat/>
    <w:uiPriority w:val="0"/>
    <w:pPr>
      <w:spacing w:after="120"/>
      <w:ind w:left="420" w:leftChars="200"/>
    </w:pPr>
  </w:style>
  <w:style w:type="paragraph" w:styleId="35">
    <w:name w:val="List Number 3"/>
    <w:basedOn w:val="1"/>
    <w:semiHidden/>
    <w:unhideWhenUsed/>
    <w:qFormat/>
    <w:uiPriority w:val="0"/>
    <w:pPr>
      <w:widowControl/>
      <w:tabs>
        <w:tab w:val="left" w:pos="1200"/>
      </w:tabs>
      <w:spacing w:line="520" w:lineRule="exact"/>
      <w:ind w:left="1200" w:leftChars="400" w:hanging="360" w:hangingChars="200"/>
    </w:pPr>
    <w:rPr>
      <w:rFonts w:cs="宋体"/>
      <w:bCs/>
      <w:kern w:val="0"/>
      <w:sz w:val="28"/>
      <w:szCs w:val="32"/>
    </w:rPr>
  </w:style>
  <w:style w:type="paragraph" w:styleId="36">
    <w:name w:val="List Bullet 2"/>
    <w:basedOn w:val="1"/>
    <w:semiHidden/>
    <w:unhideWhenUsed/>
    <w:qFormat/>
    <w:uiPriority w:val="0"/>
    <w:pPr>
      <w:widowControl/>
      <w:tabs>
        <w:tab w:val="left" w:pos="780"/>
      </w:tabs>
      <w:spacing w:line="520" w:lineRule="exact"/>
      <w:ind w:left="780" w:leftChars="200" w:hanging="360" w:hangingChars="200"/>
    </w:pPr>
    <w:rPr>
      <w:rFonts w:cs="宋体"/>
      <w:bCs/>
      <w:kern w:val="0"/>
      <w:sz w:val="28"/>
      <w:szCs w:val="32"/>
    </w:rPr>
  </w:style>
  <w:style w:type="paragraph" w:styleId="37">
    <w:name w:val="HTML Address"/>
    <w:basedOn w:val="1"/>
    <w:link w:val="90"/>
    <w:semiHidden/>
    <w:unhideWhenUsed/>
    <w:qFormat/>
    <w:uiPriority w:val="0"/>
    <w:pPr>
      <w:widowControl/>
      <w:spacing w:line="520" w:lineRule="exact"/>
      <w:ind w:firstLine="700" w:firstLineChars="250"/>
    </w:pPr>
    <w:rPr>
      <w:rFonts w:cs="宋体"/>
      <w:bCs/>
      <w:i/>
      <w:iCs/>
      <w:kern w:val="0"/>
      <w:sz w:val="28"/>
      <w:szCs w:val="32"/>
    </w:rPr>
  </w:style>
  <w:style w:type="paragraph" w:styleId="38">
    <w:name w:val="toc 3"/>
    <w:basedOn w:val="1"/>
    <w:next w:val="1"/>
    <w:semiHidden/>
    <w:unhideWhenUsed/>
    <w:qFormat/>
    <w:uiPriority w:val="39"/>
    <w:pPr>
      <w:ind w:left="480"/>
      <w:jc w:val="left"/>
    </w:pPr>
    <w:rPr>
      <w:i/>
      <w:iCs/>
      <w:sz w:val="20"/>
      <w:szCs w:val="20"/>
    </w:rPr>
  </w:style>
  <w:style w:type="paragraph" w:styleId="39">
    <w:name w:val="Plain Text"/>
    <w:basedOn w:val="1"/>
    <w:link w:val="143"/>
    <w:unhideWhenUsed/>
    <w:qFormat/>
    <w:uiPriority w:val="0"/>
    <w:rPr>
      <w:rFonts w:hAnsi="Courier New"/>
      <w:szCs w:val="20"/>
    </w:rPr>
  </w:style>
  <w:style w:type="paragraph" w:styleId="40">
    <w:name w:val="List Bullet 5"/>
    <w:basedOn w:val="1"/>
    <w:semiHidden/>
    <w:unhideWhenUsed/>
    <w:qFormat/>
    <w:uiPriority w:val="0"/>
    <w:pPr>
      <w:widowControl/>
      <w:tabs>
        <w:tab w:val="left" w:pos="2040"/>
      </w:tabs>
      <w:spacing w:line="520" w:lineRule="exact"/>
      <w:ind w:left="2040" w:leftChars="800" w:hanging="360" w:hangingChars="200"/>
    </w:pPr>
    <w:rPr>
      <w:rFonts w:cs="宋体"/>
      <w:bCs/>
      <w:kern w:val="0"/>
      <w:sz w:val="28"/>
      <w:szCs w:val="32"/>
    </w:rPr>
  </w:style>
  <w:style w:type="paragraph" w:styleId="41">
    <w:name w:val="List Number 4"/>
    <w:basedOn w:val="1"/>
    <w:semiHidden/>
    <w:unhideWhenUsed/>
    <w:qFormat/>
    <w:uiPriority w:val="0"/>
    <w:pPr>
      <w:widowControl/>
      <w:tabs>
        <w:tab w:val="left" w:pos="1620"/>
      </w:tabs>
      <w:spacing w:line="520" w:lineRule="exact"/>
      <w:ind w:left="1620" w:leftChars="600" w:hanging="360" w:hangingChars="200"/>
    </w:pPr>
    <w:rPr>
      <w:rFonts w:cs="宋体"/>
      <w:bCs/>
      <w:kern w:val="0"/>
      <w:sz w:val="28"/>
      <w:szCs w:val="32"/>
    </w:rPr>
  </w:style>
  <w:style w:type="paragraph" w:styleId="42">
    <w:name w:val="Date"/>
    <w:basedOn w:val="1"/>
    <w:next w:val="1"/>
    <w:link w:val="124"/>
    <w:semiHidden/>
    <w:unhideWhenUsed/>
    <w:qFormat/>
    <w:uiPriority w:val="0"/>
    <w:pPr>
      <w:ind w:left="100" w:leftChars="2500"/>
    </w:pPr>
    <w:rPr>
      <w:rFonts w:eastAsia="黑体"/>
      <w:kern w:val="0"/>
    </w:rPr>
  </w:style>
  <w:style w:type="paragraph" w:styleId="43">
    <w:name w:val="Body Text Indent 2"/>
    <w:basedOn w:val="1"/>
    <w:link w:val="136"/>
    <w:semiHidden/>
    <w:unhideWhenUsed/>
    <w:qFormat/>
    <w:uiPriority w:val="0"/>
    <w:pPr>
      <w:spacing w:line="460" w:lineRule="exact"/>
      <w:ind w:firstLine="480" w:firstLineChars="200"/>
    </w:pPr>
    <w:rPr>
      <w:szCs w:val="20"/>
    </w:rPr>
  </w:style>
  <w:style w:type="paragraph" w:styleId="44">
    <w:name w:val="endnote text"/>
    <w:basedOn w:val="1"/>
    <w:link w:val="104"/>
    <w:semiHidden/>
    <w:unhideWhenUsed/>
    <w:qFormat/>
    <w:uiPriority w:val="0"/>
    <w:pPr>
      <w:adjustRightInd w:val="0"/>
      <w:spacing w:line="360" w:lineRule="atLeast"/>
      <w:jc w:val="left"/>
    </w:pPr>
    <w:rPr>
      <w:kern w:val="0"/>
      <w:szCs w:val="20"/>
    </w:rPr>
  </w:style>
  <w:style w:type="paragraph" w:styleId="45">
    <w:name w:val="Balloon Text"/>
    <w:basedOn w:val="1"/>
    <w:link w:val="149"/>
    <w:semiHidden/>
    <w:unhideWhenUsed/>
    <w:qFormat/>
    <w:uiPriority w:val="0"/>
    <w:rPr>
      <w:sz w:val="18"/>
      <w:szCs w:val="18"/>
    </w:rPr>
  </w:style>
  <w:style w:type="paragraph" w:styleId="46">
    <w:name w:val="footer"/>
    <w:basedOn w:val="1"/>
    <w:link w:val="101"/>
    <w:unhideWhenUsed/>
    <w:qFormat/>
    <w:uiPriority w:val="99"/>
    <w:pPr>
      <w:tabs>
        <w:tab w:val="center" w:pos="4153"/>
        <w:tab w:val="right" w:pos="8306"/>
      </w:tabs>
      <w:snapToGrid w:val="0"/>
      <w:jc w:val="left"/>
    </w:pPr>
    <w:rPr>
      <w:sz w:val="18"/>
      <w:szCs w:val="18"/>
    </w:rPr>
  </w:style>
  <w:style w:type="paragraph" w:styleId="47">
    <w:name w:val="header"/>
    <w:basedOn w:val="1"/>
    <w:link w:val="99"/>
    <w:unhideWhenUsed/>
    <w:qFormat/>
    <w:uiPriority w:val="0"/>
    <w:pPr>
      <w:pBdr>
        <w:bottom w:val="single" w:color="auto" w:sz="6" w:space="1"/>
      </w:pBdr>
      <w:tabs>
        <w:tab w:val="center" w:pos="4153"/>
        <w:tab w:val="right" w:pos="8306"/>
      </w:tabs>
      <w:snapToGrid w:val="0"/>
      <w:jc w:val="center"/>
    </w:pPr>
    <w:rPr>
      <w:sz w:val="18"/>
      <w:szCs w:val="18"/>
    </w:rPr>
  </w:style>
  <w:style w:type="paragraph" w:styleId="48">
    <w:name w:val="Signature"/>
    <w:basedOn w:val="1"/>
    <w:link w:val="112"/>
    <w:semiHidden/>
    <w:unhideWhenUsed/>
    <w:qFormat/>
    <w:uiPriority w:val="0"/>
    <w:pPr>
      <w:widowControl/>
      <w:spacing w:line="520" w:lineRule="exact"/>
      <w:ind w:left="100" w:leftChars="2100" w:firstLine="700" w:firstLineChars="250"/>
    </w:pPr>
    <w:rPr>
      <w:bCs/>
      <w:kern w:val="0"/>
      <w:sz w:val="28"/>
      <w:szCs w:val="32"/>
    </w:rPr>
  </w:style>
  <w:style w:type="paragraph" w:styleId="49">
    <w:name w:val="toc 1"/>
    <w:basedOn w:val="1"/>
    <w:next w:val="1"/>
    <w:link w:val="94"/>
    <w:unhideWhenUsed/>
    <w:qFormat/>
    <w:uiPriority w:val="39"/>
    <w:pPr>
      <w:tabs>
        <w:tab w:val="right" w:leader="dot" w:pos="8296"/>
      </w:tabs>
      <w:spacing w:before="120" w:after="120"/>
      <w:jc w:val="center"/>
    </w:pPr>
    <w:rPr>
      <w:rFonts w:asciiTheme="minorHAnsi" w:hAnsiTheme="minorHAnsi" w:eastAsiaTheme="minorEastAsia" w:cstheme="minorBidi"/>
      <w:b/>
      <w:bCs/>
      <w:caps/>
      <w:szCs w:val="22"/>
    </w:rPr>
  </w:style>
  <w:style w:type="paragraph" w:styleId="50">
    <w:name w:val="toc 4"/>
    <w:basedOn w:val="1"/>
    <w:next w:val="1"/>
    <w:semiHidden/>
    <w:unhideWhenUsed/>
    <w:qFormat/>
    <w:uiPriority w:val="39"/>
    <w:pPr>
      <w:ind w:left="720"/>
      <w:jc w:val="left"/>
    </w:pPr>
    <w:rPr>
      <w:sz w:val="18"/>
      <w:szCs w:val="18"/>
    </w:rPr>
  </w:style>
  <w:style w:type="paragraph" w:styleId="51">
    <w:name w:val="Subtitle"/>
    <w:basedOn w:val="1"/>
    <w:link w:val="120"/>
    <w:qFormat/>
    <w:uiPriority w:val="0"/>
    <w:pPr>
      <w:adjustRightInd w:val="0"/>
      <w:snapToGrid w:val="0"/>
      <w:spacing w:before="120" w:after="120" w:line="240" w:lineRule="atLeast"/>
      <w:jc w:val="center"/>
      <w:outlineLvl w:val="1"/>
    </w:pPr>
    <w:rPr>
      <w:rFonts w:eastAsia="黑体"/>
      <w:bCs/>
      <w:kern w:val="28"/>
      <w:szCs w:val="32"/>
    </w:rPr>
  </w:style>
  <w:style w:type="paragraph" w:styleId="52">
    <w:name w:val="List Number 5"/>
    <w:basedOn w:val="1"/>
    <w:semiHidden/>
    <w:unhideWhenUsed/>
    <w:qFormat/>
    <w:uiPriority w:val="0"/>
    <w:pPr>
      <w:widowControl/>
      <w:tabs>
        <w:tab w:val="left" w:pos="2040"/>
      </w:tabs>
      <w:spacing w:line="520" w:lineRule="exact"/>
      <w:ind w:left="2040" w:leftChars="800" w:hanging="360" w:hangingChars="200"/>
    </w:pPr>
    <w:rPr>
      <w:rFonts w:cs="宋体"/>
      <w:bCs/>
      <w:kern w:val="0"/>
      <w:sz w:val="28"/>
      <w:szCs w:val="32"/>
    </w:rPr>
  </w:style>
  <w:style w:type="paragraph" w:styleId="53">
    <w:name w:val="List"/>
    <w:basedOn w:val="1"/>
    <w:semiHidden/>
    <w:unhideWhenUsed/>
    <w:qFormat/>
    <w:uiPriority w:val="0"/>
    <w:pPr>
      <w:widowControl/>
      <w:spacing w:line="520" w:lineRule="exact"/>
      <w:ind w:left="200" w:hanging="200" w:hangingChars="200"/>
    </w:pPr>
    <w:rPr>
      <w:rFonts w:cs="宋体"/>
      <w:bCs/>
      <w:kern w:val="0"/>
      <w:sz w:val="28"/>
      <w:szCs w:val="32"/>
    </w:rPr>
  </w:style>
  <w:style w:type="paragraph" w:styleId="54">
    <w:name w:val="footnote text"/>
    <w:basedOn w:val="1"/>
    <w:link w:val="95"/>
    <w:semiHidden/>
    <w:unhideWhenUsed/>
    <w:qFormat/>
    <w:uiPriority w:val="0"/>
    <w:pPr>
      <w:snapToGrid w:val="0"/>
      <w:jc w:val="left"/>
    </w:pPr>
    <w:rPr>
      <w:kern w:val="0"/>
      <w:sz w:val="18"/>
      <w:szCs w:val="18"/>
    </w:rPr>
  </w:style>
  <w:style w:type="paragraph" w:styleId="55">
    <w:name w:val="Body Text Indent 3"/>
    <w:basedOn w:val="1"/>
    <w:link w:val="138"/>
    <w:semiHidden/>
    <w:unhideWhenUsed/>
    <w:qFormat/>
    <w:uiPriority w:val="0"/>
    <w:pPr>
      <w:spacing w:after="120"/>
      <w:ind w:left="420" w:leftChars="200"/>
    </w:pPr>
    <w:rPr>
      <w:sz w:val="16"/>
      <w:szCs w:val="16"/>
    </w:rPr>
  </w:style>
  <w:style w:type="paragraph" w:styleId="56">
    <w:name w:val="toc 2"/>
    <w:basedOn w:val="1"/>
    <w:next w:val="1"/>
    <w:unhideWhenUsed/>
    <w:qFormat/>
    <w:uiPriority w:val="39"/>
    <w:pPr>
      <w:ind w:left="240"/>
      <w:jc w:val="left"/>
    </w:pPr>
    <w:rPr>
      <w:smallCaps/>
      <w:sz w:val="20"/>
      <w:szCs w:val="20"/>
    </w:rPr>
  </w:style>
  <w:style w:type="paragraph" w:styleId="57">
    <w:name w:val="Body Text 2"/>
    <w:basedOn w:val="1"/>
    <w:link w:val="132"/>
    <w:unhideWhenUsed/>
    <w:qFormat/>
    <w:uiPriority w:val="0"/>
    <w:pPr>
      <w:spacing w:after="120" w:line="480" w:lineRule="auto"/>
    </w:pPr>
    <w:rPr>
      <w:szCs w:val="20"/>
    </w:rPr>
  </w:style>
  <w:style w:type="paragraph" w:styleId="58">
    <w:name w:val="Message Header"/>
    <w:basedOn w:val="1"/>
    <w:link w:val="118"/>
    <w:semiHidden/>
    <w:unhideWhenUsed/>
    <w:qFormat/>
    <w:uiPriority w:val="0"/>
    <w:pPr>
      <w:widowControl/>
      <w:pBdr>
        <w:top w:val="single" w:color="auto" w:sz="6" w:space="1"/>
        <w:left w:val="single" w:color="auto" w:sz="6" w:space="1"/>
        <w:bottom w:val="single" w:color="auto" w:sz="6" w:space="1"/>
        <w:right w:val="single" w:color="auto" w:sz="6" w:space="1"/>
      </w:pBdr>
      <w:shd w:val="pct20" w:color="auto" w:fill="auto"/>
      <w:spacing w:line="520" w:lineRule="exact"/>
      <w:ind w:left="1080" w:leftChars="500" w:hanging="1080" w:hangingChars="500"/>
    </w:pPr>
    <w:rPr>
      <w:rFonts w:ascii="Arial" w:hAnsi="Arial"/>
      <w:bCs/>
      <w:kern w:val="0"/>
    </w:rPr>
  </w:style>
  <w:style w:type="paragraph" w:styleId="59">
    <w:name w:val="HTML Preformatted"/>
    <w:basedOn w:val="1"/>
    <w:link w:val="92"/>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20" w:lineRule="exact"/>
      <w:ind w:firstLine="700" w:firstLineChars="250"/>
    </w:pPr>
    <w:rPr>
      <w:rFonts w:ascii="Courier New" w:hAnsi="Courier New"/>
      <w:bCs/>
      <w:kern w:val="0"/>
      <w:sz w:val="20"/>
      <w:szCs w:val="20"/>
    </w:rPr>
  </w:style>
  <w:style w:type="paragraph" w:styleId="60">
    <w:name w:val="Normal (Web)"/>
    <w:basedOn w:val="1"/>
    <w:semiHidden/>
    <w:unhideWhenUsed/>
    <w:qFormat/>
    <w:uiPriority w:val="0"/>
    <w:pPr>
      <w:ind w:firstLine="200" w:firstLineChars="200"/>
    </w:pPr>
    <w:rPr>
      <w:rFonts w:ascii="Times New Roman" w:hAnsi="Times New Roman"/>
      <w:szCs w:val="24"/>
    </w:rPr>
  </w:style>
  <w:style w:type="paragraph" w:styleId="61">
    <w:name w:val="index 1"/>
    <w:basedOn w:val="1"/>
    <w:next w:val="1"/>
    <w:semiHidden/>
    <w:unhideWhenUsed/>
    <w:qFormat/>
    <w:uiPriority w:val="0"/>
    <w:pPr>
      <w:spacing w:line="480" w:lineRule="exact"/>
      <w:ind w:left="-206" w:leftChars="-98" w:firstLine="205" w:firstLineChars="93"/>
      <w:jc w:val="center"/>
    </w:pPr>
    <w:rPr>
      <w:color w:val="000000"/>
      <w:spacing w:val="20"/>
      <w:sz w:val="18"/>
      <w:szCs w:val="20"/>
    </w:rPr>
  </w:style>
  <w:style w:type="paragraph" w:styleId="62">
    <w:name w:val="Title"/>
    <w:basedOn w:val="1"/>
    <w:link w:val="108"/>
    <w:qFormat/>
    <w:uiPriority w:val="0"/>
    <w:pPr>
      <w:spacing w:beforeLines="25"/>
      <w:jc w:val="center"/>
      <w:outlineLvl w:val="0"/>
    </w:pPr>
    <w:rPr>
      <w:b/>
      <w:bCs/>
      <w:kern w:val="0"/>
      <w:sz w:val="32"/>
      <w:szCs w:val="32"/>
    </w:rPr>
  </w:style>
  <w:style w:type="paragraph" w:styleId="63">
    <w:name w:val="annotation subject"/>
    <w:basedOn w:val="28"/>
    <w:next w:val="28"/>
    <w:link w:val="147"/>
    <w:semiHidden/>
    <w:unhideWhenUsed/>
    <w:qFormat/>
    <w:uiPriority w:val="0"/>
    <w:rPr>
      <w:b/>
      <w:bCs/>
    </w:rPr>
  </w:style>
  <w:style w:type="paragraph" w:styleId="64">
    <w:name w:val="Body Text First Indent"/>
    <w:basedOn w:val="1"/>
    <w:link w:val="126"/>
    <w:semiHidden/>
    <w:unhideWhenUsed/>
    <w:qFormat/>
    <w:uiPriority w:val="0"/>
    <w:pPr>
      <w:spacing w:line="440" w:lineRule="exact"/>
      <w:ind w:firstLine="504" w:firstLineChars="200"/>
    </w:pPr>
    <w:rPr>
      <w:b/>
      <w:bCs/>
      <w:sz w:val="32"/>
      <w:szCs w:val="32"/>
    </w:rPr>
  </w:style>
  <w:style w:type="paragraph" w:styleId="65">
    <w:name w:val="Body Text First Indent 2"/>
    <w:basedOn w:val="34"/>
    <w:link w:val="128"/>
    <w:semiHidden/>
    <w:unhideWhenUsed/>
    <w:qFormat/>
    <w:uiPriority w:val="0"/>
    <w:pPr>
      <w:ind w:firstLine="420" w:firstLineChars="200"/>
    </w:pPr>
  </w:style>
  <w:style w:type="table" w:styleId="67">
    <w:name w:val="Table Grid"/>
    <w:basedOn w:val="66"/>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69">
    <w:name w:val="Emphasis"/>
    <w:qFormat/>
    <w:uiPriority w:val="0"/>
    <w:rPr>
      <w:color w:val="CC0033"/>
    </w:rPr>
  </w:style>
  <w:style w:type="character" w:styleId="70">
    <w:name w:val="Hyperlink"/>
    <w:unhideWhenUsed/>
    <w:qFormat/>
    <w:uiPriority w:val="99"/>
    <w:rPr>
      <w:color w:val="136EC2"/>
      <w:u w:val="single"/>
    </w:rPr>
  </w:style>
  <w:style w:type="character" w:styleId="71">
    <w:name w:val="annotation reference"/>
    <w:semiHidden/>
    <w:unhideWhenUsed/>
    <w:qFormat/>
    <w:uiPriority w:val="0"/>
    <w:rPr>
      <w:sz w:val="21"/>
      <w:szCs w:val="21"/>
    </w:rPr>
  </w:style>
  <w:style w:type="paragraph" w:customStyle="1" w:styleId="72">
    <w:name w:val="样式 标题 1 + 四号 段前: 0 磅 段后: 0 磅 行距: 1.5 倍行距"/>
    <w:basedOn w:val="73"/>
    <w:next w:val="74"/>
    <w:qFormat/>
    <w:uiPriority w:val="0"/>
    <w:pPr>
      <w:ind w:firstLine="588" w:firstLineChars="196"/>
      <w:jc w:val="center"/>
    </w:pPr>
    <w:rPr>
      <w:rFonts w:eastAsia="楷体_GB2312"/>
      <w:sz w:val="30"/>
      <w:szCs w:val="30"/>
    </w:rPr>
  </w:style>
  <w:style w:type="paragraph" w:customStyle="1" w:styleId="73">
    <w:name w:val="报告表正文"/>
    <w:basedOn w:val="1"/>
    <w:qFormat/>
    <w:uiPriority w:val="0"/>
    <w:pPr>
      <w:adjustRightInd w:val="0"/>
      <w:spacing w:line="300" w:lineRule="auto"/>
      <w:ind w:left="113" w:right="113"/>
    </w:pPr>
    <w:rPr>
      <w:kern w:val="0"/>
      <w:szCs w:val="20"/>
    </w:rPr>
  </w:style>
  <w:style w:type="paragraph" w:customStyle="1" w:styleId="74">
    <w:name w:val="文本正文"/>
    <w:basedOn w:val="1"/>
    <w:qFormat/>
    <w:uiPriority w:val="0"/>
    <w:pPr>
      <w:snapToGrid w:val="0"/>
      <w:spacing w:line="360" w:lineRule="auto"/>
      <w:ind w:firstLine="510"/>
      <w:jc w:val="left"/>
    </w:pPr>
    <w:rPr>
      <w:spacing w:val="4"/>
      <w:kern w:val="24"/>
      <w:szCs w:val="24"/>
      <w:lang w:val="zh-CN"/>
    </w:rPr>
  </w:style>
  <w:style w:type="paragraph" w:customStyle="1" w:styleId="75">
    <w:name w:val="1正文"/>
    <w:basedOn w:val="1"/>
    <w:qFormat/>
    <w:uiPriority w:val="0"/>
    <w:pPr>
      <w:spacing w:line="500" w:lineRule="exact"/>
      <w:ind w:firstLine="588" w:firstLineChars="196"/>
    </w:pPr>
    <w:rPr>
      <w:rFonts w:ascii="Times New Roman" w:hAnsi="Times New Roman" w:eastAsia="楷体_GB2312"/>
      <w:sz w:val="30"/>
      <w:szCs w:val="30"/>
    </w:rPr>
  </w:style>
  <w:style w:type="paragraph" w:customStyle="1" w:styleId="76">
    <w:name w:val="Default1"/>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77">
    <w:name w:val="标题 1 Char"/>
    <w:basedOn w:val="68"/>
    <w:link w:val="9"/>
    <w:qFormat/>
    <w:uiPriority w:val="0"/>
    <w:rPr>
      <w:rFonts w:ascii="宋体" w:hAnsi="Times New Roman" w:eastAsia="宋体" w:cs="宋体"/>
      <w:sz w:val="30"/>
      <w:szCs w:val="20"/>
    </w:rPr>
  </w:style>
  <w:style w:type="character" w:customStyle="1" w:styleId="78">
    <w:name w:val="标题 2 Char"/>
    <w:basedOn w:val="68"/>
    <w:link w:val="10"/>
    <w:semiHidden/>
    <w:qFormat/>
    <w:uiPriority w:val="0"/>
    <w:rPr>
      <w:rFonts w:ascii="Arial" w:hAnsi="Arial" w:eastAsia="黑体" w:cs="Times New Roman"/>
      <w:b/>
      <w:bCs/>
      <w:sz w:val="32"/>
      <w:szCs w:val="32"/>
    </w:rPr>
  </w:style>
  <w:style w:type="character" w:customStyle="1" w:styleId="79">
    <w:name w:val="标题 3 Char1"/>
    <w:link w:val="11"/>
    <w:semiHidden/>
    <w:qFormat/>
    <w:locked/>
    <w:uiPriority w:val="0"/>
    <w:rPr>
      <w:rFonts w:ascii="Times New Roman" w:hAnsi="Times New Roman" w:eastAsia="宋体" w:cs="Times New Roman"/>
      <w:b/>
      <w:bCs/>
      <w:sz w:val="32"/>
      <w:szCs w:val="32"/>
    </w:rPr>
  </w:style>
  <w:style w:type="character" w:customStyle="1" w:styleId="80">
    <w:name w:val="标题 4 Char2"/>
    <w:link w:val="12"/>
    <w:semiHidden/>
    <w:qFormat/>
    <w:locked/>
    <w:uiPriority w:val="0"/>
    <w:rPr>
      <w:rFonts w:ascii="Arial" w:hAnsi="Arial" w:eastAsia="黑体" w:cs="Times New Roman"/>
      <w:b/>
      <w:bCs/>
      <w:sz w:val="28"/>
      <w:szCs w:val="28"/>
    </w:rPr>
  </w:style>
  <w:style w:type="character" w:customStyle="1" w:styleId="81">
    <w:name w:val="标题 5 Char1"/>
    <w:link w:val="13"/>
    <w:semiHidden/>
    <w:qFormat/>
    <w:locked/>
    <w:uiPriority w:val="0"/>
    <w:rPr>
      <w:rFonts w:ascii="Times New Roman" w:hAnsi="Times New Roman" w:eastAsia="宋体" w:cs="Times New Roman"/>
      <w:b/>
      <w:bCs/>
      <w:kern w:val="0"/>
      <w:sz w:val="24"/>
      <w:szCs w:val="32"/>
    </w:rPr>
  </w:style>
  <w:style w:type="character" w:customStyle="1" w:styleId="82">
    <w:name w:val="正文缩进 Char2"/>
    <w:link w:val="15"/>
    <w:semiHidden/>
    <w:qFormat/>
    <w:locked/>
    <w:uiPriority w:val="0"/>
    <w:rPr>
      <w:rFonts w:ascii="宋体" w:hAnsi="Times New Roman" w:eastAsia="宋体" w:cs="Times New Roman"/>
      <w:sz w:val="24"/>
      <w:szCs w:val="20"/>
    </w:rPr>
  </w:style>
  <w:style w:type="character" w:customStyle="1" w:styleId="83">
    <w:name w:val="标题 6 Char"/>
    <w:basedOn w:val="68"/>
    <w:link w:val="14"/>
    <w:semiHidden/>
    <w:qFormat/>
    <w:uiPriority w:val="0"/>
    <w:rPr>
      <w:rFonts w:ascii="Arial" w:hAnsi="Arial" w:eastAsia="宋体" w:cs="Times New Roman"/>
      <w:kern w:val="0"/>
      <w:sz w:val="24"/>
      <w:szCs w:val="20"/>
    </w:rPr>
  </w:style>
  <w:style w:type="character" w:customStyle="1" w:styleId="84">
    <w:name w:val="标题 7 Char"/>
    <w:basedOn w:val="68"/>
    <w:link w:val="16"/>
    <w:semiHidden/>
    <w:qFormat/>
    <w:uiPriority w:val="0"/>
    <w:rPr>
      <w:rFonts w:ascii="Times New Roman" w:hAnsi="Times New Roman" w:eastAsia="宋体" w:cs="Times New Roman"/>
      <w:kern w:val="0"/>
      <w:sz w:val="24"/>
      <w:szCs w:val="20"/>
    </w:rPr>
  </w:style>
  <w:style w:type="character" w:customStyle="1" w:styleId="85">
    <w:name w:val="标题 8 Char"/>
    <w:basedOn w:val="68"/>
    <w:link w:val="17"/>
    <w:semiHidden/>
    <w:qFormat/>
    <w:uiPriority w:val="0"/>
    <w:rPr>
      <w:rFonts w:ascii="Arial" w:hAnsi="Arial" w:eastAsia="宋体" w:cs="Times New Roman"/>
      <w:kern w:val="0"/>
      <w:sz w:val="24"/>
      <w:szCs w:val="20"/>
    </w:rPr>
  </w:style>
  <w:style w:type="character" w:customStyle="1" w:styleId="86">
    <w:name w:val="标题 9 Char"/>
    <w:basedOn w:val="68"/>
    <w:link w:val="18"/>
    <w:semiHidden/>
    <w:qFormat/>
    <w:uiPriority w:val="0"/>
    <w:rPr>
      <w:rFonts w:ascii="Arial" w:hAnsi="Arial" w:eastAsia="宋体" w:cs="Times New Roman"/>
      <w:kern w:val="0"/>
      <w:sz w:val="24"/>
      <w:szCs w:val="20"/>
    </w:rPr>
  </w:style>
  <w:style w:type="character" w:customStyle="1" w:styleId="87">
    <w:name w:val="标题 3 Char"/>
    <w:basedOn w:val="68"/>
    <w:semiHidden/>
    <w:qFormat/>
    <w:uiPriority w:val="0"/>
    <w:rPr>
      <w:rFonts w:ascii="Times New Roman" w:hAnsi="Times New Roman" w:eastAsia="宋体" w:cs="Times New Roman"/>
      <w:b/>
      <w:bCs/>
      <w:sz w:val="32"/>
      <w:szCs w:val="32"/>
    </w:rPr>
  </w:style>
  <w:style w:type="character" w:customStyle="1" w:styleId="88">
    <w:name w:val="标题 4 Char"/>
    <w:basedOn w:val="68"/>
    <w:semiHidden/>
    <w:qFormat/>
    <w:uiPriority w:val="0"/>
    <w:rPr>
      <w:rFonts w:asciiTheme="majorHAnsi" w:hAnsiTheme="majorHAnsi" w:eastAsiaTheme="majorEastAsia" w:cstheme="majorBidi"/>
      <w:b/>
      <w:bCs/>
      <w:sz w:val="28"/>
      <w:szCs w:val="28"/>
    </w:rPr>
  </w:style>
  <w:style w:type="character" w:customStyle="1" w:styleId="89">
    <w:name w:val="标题 5 Char"/>
    <w:basedOn w:val="68"/>
    <w:semiHidden/>
    <w:qFormat/>
    <w:uiPriority w:val="0"/>
    <w:rPr>
      <w:rFonts w:ascii="Times New Roman" w:hAnsi="Times New Roman" w:eastAsia="宋体" w:cs="Times New Roman"/>
      <w:b/>
      <w:bCs/>
      <w:sz w:val="28"/>
      <w:szCs w:val="28"/>
    </w:rPr>
  </w:style>
  <w:style w:type="character" w:customStyle="1" w:styleId="90">
    <w:name w:val="HTML 地址 Char1"/>
    <w:basedOn w:val="68"/>
    <w:link w:val="37"/>
    <w:semiHidden/>
    <w:qFormat/>
    <w:locked/>
    <w:uiPriority w:val="0"/>
    <w:rPr>
      <w:rFonts w:ascii="宋体" w:hAnsi="宋体" w:eastAsia="宋体" w:cs="宋体"/>
      <w:bCs/>
      <w:i/>
      <w:iCs/>
      <w:kern w:val="0"/>
      <w:sz w:val="28"/>
      <w:szCs w:val="32"/>
    </w:rPr>
  </w:style>
  <w:style w:type="character" w:customStyle="1" w:styleId="91">
    <w:name w:val="HTML 地址 Char"/>
    <w:basedOn w:val="68"/>
    <w:semiHidden/>
    <w:qFormat/>
    <w:uiPriority w:val="0"/>
    <w:rPr>
      <w:rFonts w:ascii="Times New Roman" w:hAnsi="Times New Roman" w:eastAsia="宋体" w:cs="Times New Roman"/>
      <w:i/>
      <w:iCs/>
      <w:szCs w:val="24"/>
    </w:rPr>
  </w:style>
  <w:style w:type="character" w:customStyle="1" w:styleId="92">
    <w:name w:val="HTML 预设格式 Char1"/>
    <w:basedOn w:val="68"/>
    <w:link w:val="59"/>
    <w:semiHidden/>
    <w:qFormat/>
    <w:locked/>
    <w:uiPriority w:val="0"/>
    <w:rPr>
      <w:rFonts w:ascii="Courier New" w:hAnsi="Courier New" w:eastAsia="宋体" w:cs="Times New Roman"/>
      <w:bCs/>
      <w:kern w:val="0"/>
      <w:sz w:val="20"/>
      <w:szCs w:val="20"/>
    </w:rPr>
  </w:style>
  <w:style w:type="character" w:customStyle="1" w:styleId="93">
    <w:name w:val="HTML 预设格式 Char"/>
    <w:basedOn w:val="68"/>
    <w:semiHidden/>
    <w:qFormat/>
    <w:uiPriority w:val="0"/>
    <w:rPr>
      <w:rFonts w:ascii="Courier New" w:hAnsi="Courier New" w:eastAsia="宋体" w:cs="Courier New"/>
      <w:sz w:val="20"/>
      <w:szCs w:val="20"/>
    </w:rPr>
  </w:style>
  <w:style w:type="character" w:customStyle="1" w:styleId="94">
    <w:name w:val="目录 1 Char"/>
    <w:link w:val="49"/>
    <w:qFormat/>
    <w:locked/>
    <w:uiPriority w:val="39"/>
    <w:rPr>
      <w:b/>
      <w:bCs/>
      <w:caps/>
      <w:sz w:val="24"/>
    </w:rPr>
  </w:style>
  <w:style w:type="character" w:customStyle="1" w:styleId="95">
    <w:name w:val="脚注文本 Char1"/>
    <w:basedOn w:val="68"/>
    <w:link w:val="54"/>
    <w:semiHidden/>
    <w:qFormat/>
    <w:locked/>
    <w:uiPriority w:val="0"/>
    <w:rPr>
      <w:rFonts w:ascii="Times New Roman" w:hAnsi="Times New Roman" w:eastAsia="宋体" w:cs="Times New Roman"/>
      <w:kern w:val="0"/>
      <w:sz w:val="18"/>
      <w:szCs w:val="18"/>
    </w:rPr>
  </w:style>
  <w:style w:type="character" w:customStyle="1" w:styleId="96">
    <w:name w:val="脚注文本 Char"/>
    <w:basedOn w:val="68"/>
    <w:semiHidden/>
    <w:qFormat/>
    <w:uiPriority w:val="0"/>
    <w:rPr>
      <w:rFonts w:ascii="Times New Roman" w:hAnsi="Times New Roman" w:eastAsia="宋体" w:cs="Times New Roman"/>
      <w:sz w:val="18"/>
      <w:szCs w:val="18"/>
    </w:rPr>
  </w:style>
  <w:style w:type="character" w:customStyle="1" w:styleId="97">
    <w:name w:val="批注文字 Char1"/>
    <w:basedOn w:val="68"/>
    <w:link w:val="28"/>
    <w:semiHidden/>
    <w:qFormat/>
    <w:locked/>
    <w:uiPriority w:val="0"/>
    <w:rPr>
      <w:rFonts w:ascii="Times New Roman" w:hAnsi="Times New Roman" w:eastAsia="宋体" w:cs="Times New Roman"/>
      <w:szCs w:val="24"/>
    </w:rPr>
  </w:style>
  <w:style w:type="character" w:customStyle="1" w:styleId="98">
    <w:name w:val="批注文字 Char"/>
    <w:basedOn w:val="68"/>
    <w:semiHidden/>
    <w:qFormat/>
    <w:uiPriority w:val="0"/>
    <w:rPr>
      <w:rFonts w:ascii="Times New Roman" w:hAnsi="Times New Roman" w:eastAsia="宋体" w:cs="Times New Roman"/>
      <w:szCs w:val="24"/>
    </w:rPr>
  </w:style>
  <w:style w:type="character" w:customStyle="1" w:styleId="99">
    <w:name w:val="页眉 Char2"/>
    <w:basedOn w:val="68"/>
    <w:link w:val="47"/>
    <w:qFormat/>
    <w:locked/>
    <w:uiPriority w:val="0"/>
    <w:rPr>
      <w:rFonts w:ascii="Times New Roman" w:hAnsi="Times New Roman" w:eastAsia="宋体" w:cs="Times New Roman"/>
      <w:sz w:val="18"/>
      <w:szCs w:val="18"/>
    </w:rPr>
  </w:style>
  <w:style w:type="character" w:customStyle="1" w:styleId="100">
    <w:name w:val="页眉 Char"/>
    <w:basedOn w:val="68"/>
    <w:semiHidden/>
    <w:qFormat/>
    <w:uiPriority w:val="0"/>
    <w:rPr>
      <w:rFonts w:ascii="Times New Roman" w:hAnsi="Times New Roman" w:eastAsia="宋体" w:cs="Times New Roman"/>
      <w:sz w:val="18"/>
      <w:szCs w:val="18"/>
    </w:rPr>
  </w:style>
  <w:style w:type="character" w:customStyle="1" w:styleId="101">
    <w:name w:val="页脚 Char2"/>
    <w:basedOn w:val="68"/>
    <w:link w:val="46"/>
    <w:qFormat/>
    <w:locked/>
    <w:uiPriority w:val="0"/>
    <w:rPr>
      <w:rFonts w:ascii="Times New Roman" w:hAnsi="Times New Roman" w:eastAsia="宋体" w:cs="Times New Roman"/>
      <w:sz w:val="18"/>
      <w:szCs w:val="18"/>
    </w:rPr>
  </w:style>
  <w:style w:type="character" w:customStyle="1" w:styleId="102">
    <w:name w:val="页脚 Char"/>
    <w:basedOn w:val="68"/>
    <w:link w:val="103"/>
    <w:qFormat/>
    <w:uiPriority w:val="99"/>
    <w:rPr>
      <w:rFonts w:ascii="Times New Roman" w:hAnsi="Times New Roman" w:eastAsia="宋体" w:cs="Times New Roman"/>
      <w:sz w:val="18"/>
      <w:szCs w:val="18"/>
    </w:rPr>
  </w:style>
  <w:style w:type="paragraph" w:customStyle="1" w:styleId="103">
    <w:name w:val="页脚1"/>
    <w:basedOn w:val="1"/>
    <w:link w:val="102"/>
    <w:qFormat/>
    <w:uiPriority w:val="0"/>
    <w:pPr>
      <w:tabs>
        <w:tab w:val="center" w:pos="4153"/>
        <w:tab w:val="right" w:pos="8306"/>
      </w:tabs>
      <w:adjustRightInd w:val="0"/>
      <w:snapToGrid w:val="0"/>
      <w:ind w:firstLine="200" w:firstLineChars="200"/>
      <w:jc w:val="left"/>
    </w:pPr>
    <w:rPr>
      <w:sz w:val="18"/>
      <w:szCs w:val="18"/>
    </w:rPr>
  </w:style>
  <w:style w:type="character" w:customStyle="1" w:styleId="104">
    <w:name w:val="尾注文本 Char1"/>
    <w:basedOn w:val="68"/>
    <w:link w:val="44"/>
    <w:semiHidden/>
    <w:qFormat/>
    <w:locked/>
    <w:uiPriority w:val="0"/>
    <w:rPr>
      <w:rFonts w:ascii="Times New Roman" w:hAnsi="Times New Roman" w:eastAsia="宋体" w:cs="Times New Roman"/>
      <w:kern w:val="0"/>
      <w:sz w:val="24"/>
      <w:szCs w:val="20"/>
    </w:rPr>
  </w:style>
  <w:style w:type="character" w:customStyle="1" w:styleId="105">
    <w:name w:val="尾注文本 Char"/>
    <w:basedOn w:val="68"/>
    <w:semiHidden/>
    <w:qFormat/>
    <w:uiPriority w:val="0"/>
    <w:rPr>
      <w:rFonts w:ascii="Times New Roman" w:hAnsi="Times New Roman" w:eastAsia="宋体" w:cs="Times New Roman"/>
      <w:szCs w:val="24"/>
    </w:rPr>
  </w:style>
  <w:style w:type="character" w:customStyle="1" w:styleId="106">
    <w:name w:val="宏文本 Char1"/>
    <w:basedOn w:val="68"/>
    <w:link w:val="8"/>
    <w:semiHidden/>
    <w:qFormat/>
    <w:locked/>
    <w:uiPriority w:val="0"/>
    <w:rPr>
      <w:rFonts w:ascii="Courier New" w:hAnsi="Courier New" w:eastAsia="Times New Roman" w:cs="Times New Roman"/>
      <w:b/>
      <w:sz w:val="24"/>
      <w:szCs w:val="24"/>
    </w:rPr>
  </w:style>
  <w:style w:type="character" w:customStyle="1" w:styleId="107">
    <w:name w:val="宏文本 Char"/>
    <w:basedOn w:val="68"/>
    <w:semiHidden/>
    <w:qFormat/>
    <w:uiPriority w:val="0"/>
    <w:rPr>
      <w:rFonts w:ascii="Courier New" w:hAnsi="Courier New" w:eastAsia="宋体" w:cs="Courier New"/>
      <w:sz w:val="24"/>
      <w:szCs w:val="24"/>
    </w:rPr>
  </w:style>
  <w:style w:type="character" w:customStyle="1" w:styleId="108">
    <w:name w:val="标题 Char3"/>
    <w:basedOn w:val="68"/>
    <w:link w:val="62"/>
    <w:qFormat/>
    <w:locked/>
    <w:uiPriority w:val="0"/>
    <w:rPr>
      <w:rFonts w:ascii="Times New Roman" w:hAnsi="Times New Roman" w:eastAsia="宋体" w:cs="Times New Roman"/>
      <w:b/>
      <w:bCs/>
      <w:kern w:val="0"/>
      <w:sz w:val="32"/>
      <w:szCs w:val="32"/>
    </w:rPr>
  </w:style>
  <w:style w:type="character" w:customStyle="1" w:styleId="109">
    <w:name w:val="标题 Char"/>
    <w:basedOn w:val="68"/>
    <w:qFormat/>
    <w:uiPriority w:val="0"/>
    <w:rPr>
      <w:rFonts w:eastAsia="宋体" w:asciiTheme="majorHAnsi" w:hAnsiTheme="majorHAnsi" w:cstheme="majorBidi"/>
      <w:b/>
      <w:bCs/>
      <w:sz w:val="32"/>
      <w:szCs w:val="32"/>
    </w:rPr>
  </w:style>
  <w:style w:type="character" w:customStyle="1" w:styleId="110">
    <w:name w:val="结束语 Char1"/>
    <w:basedOn w:val="68"/>
    <w:link w:val="31"/>
    <w:semiHidden/>
    <w:qFormat/>
    <w:locked/>
    <w:uiPriority w:val="0"/>
    <w:rPr>
      <w:rFonts w:ascii="宋体" w:hAnsi="宋体" w:eastAsia="宋体" w:cs="Times New Roman"/>
      <w:bCs/>
      <w:kern w:val="0"/>
      <w:sz w:val="28"/>
      <w:szCs w:val="32"/>
    </w:rPr>
  </w:style>
  <w:style w:type="character" w:customStyle="1" w:styleId="111">
    <w:name w:val="结束语 Char"/>
    <w:basedOn w:val="68"/>
    <w:semiHidden/>
    <w:qFormat/>
    <w:uiPriority w:val="0"/>
    <w:rPr>
      <w:rFonts w:ascii="Times New Roman" w:hAnsi="Times New Roman" w:eastAsia="宋体" w:cs="Times New Roman"/>
      <w:szCs w:val="24"/>
    </w:rPr>
  </w:style>
  <w:style w:type="character" w:customStyle="1" w:styleId="112">
    <w:name w:val="签名 Char1"/>
    <w:basedOn w:val="68"/>
    <w:link w:val="48"/>
    <w:semiHidden/>
    <w:qFormat/>
    <w:locked/>
    <w:uiPriority w:val="0"/>
    <w:rPr>
      <w:rFonts w:ascii="宋体" w:hAnsi="宋体" w:eastAsia="宋体" w:cs="Times New Roman"/>
      <w:bCs/>
      <w:kern w:val="0"/>
      <w:sz w:val="28"/>
      <w:szCs w:val="32"/>
    </w:rPr>
  </w:style>
  <w:style w:type="character" w:customStyle="1" w:styleId="113">
    <w:name w:val="签名 Char"/>
    <w:basedOn w:val="68"/>
    <w:semiHidden/>
    <w:qFormat/>
    <w:uiPriority w:val="0"/>
    <w:rPr>
      <w:rFonts w:ascii="Times New Roman" w:hAnsi="Times New Roman" w:eastAsia="宋体" w:cs="Times New Roman"/>
      <w:szCs w:val="24"/>
    </w:rPr>
  </w:style>
  <w:style w:type="character" w:customStyle="1" w:styleId="114">
    <w:name w:val="正文文本 Char2"/>
    <w:basedOn w:val="68"/>
    <w:link w:val="33"/>
    <w:semiHidden/>
    <w:qFormat/>
    <w:locked/>
    <w:uiPriority w:val="0"/>
    <w:rPr>
      <w:rFonts w:ascii="Times New Roman" w:hAnsi="Times New Roman" w:eastAsia="宋体" w:cs="Times New Roman"/>
      <w:szCs w:val="24"/>
    </w:rPr>
  </w:style>
  <w:style w:type="character" w:customStyle="1" w:styleId="115">
    <w:name w:val="正文文本 Char"/>
    <w:basedOn w:val="68"/>
    <w:semiHidden/>
    <w:qFormat/>
    <w:uiPriority w:val="0"/>
    <w:rPr>
      <w:rFonts w:ascii="Times New Roman" w:hAnsi="Times New Roman" w:eastAsia="宋体" w:cs="Times New Roman"/>
      <w:szCs w:val="24"/>
    </w:rPr>
  </w:style>
  <w:style w:type="character" w:customStyle="1" w:styleId="116">
    <w:name w:val="正文文本缩进 Char1"/>
    <w:basedOn w:val="68"/>
    <w:link w:val="34"/>
    <w:semiHidden/>
    <w:qFormat/>
    <w:locked/>
    <w:uiPriority w:val="0"/>
    <w:rPr>
      <w:rFonts w:ascii="Times New Roman" w:hAnsi="Times New Roman" w:eastAsia="宋体" w:cs="Times New Roman"/>
      <w:szCs w:val="24"/>
    </w:rPr>
  </w:style>
  <w:style w:type="character" w:customStyle="1" w:styleId="117">
    <w:name w:val="正文文本缩进 Char"/>
    <w:basedOn w:val="68"/>
    <w:semiHidden/>
    <w:qFormat/>
    <w:uiPriority w:val="0"/>
    <w:rPr>
      <w:rFonts w:ascii="Times New Roman" w:hAnsi="Times New Roman" w:eastAsia="宋体" w:cs="Times New Roman"/>
      <w:szCs w:val="24"/>
    </w:rPr>
  </w:style>
  <w:style w:type="character" w:customStyle="1" w:styleId="118">
    <w:name w:val="信息标题 Char1"/>
    <w:basedOn w:val="68"/>
    <w:link w:val="58"/>
    <w:semiHidden/>
    <w:qFormat/>
    <w:locked/>
    <w:uiPriority w:val="0"/>
    <w:rPr>
      <w:rFonts w:ascii="Arial" w:hAnsi="Arial" w:eastAsia="宋体" w:cs="Times New Roman"/>
      <w:bCs/>
      <w:kern w:val="0"/>
      <w:sz w:val="24"/>
      <w:szCs w:val="24"/>
      <w:shd w:val="pct20" w:color="auto" w:fill="auto"/>
    </w:rPr>
  </w:style>
  <w:style w:type="character" w:customStyle="1" w:styleId="119">
    <w:name w:val="信息标题 Char"/>
    <w:basedOn w:val="68"/>
    <w:semiHidden/>
    <w:qFormat/>
    <w:uiPriority w:val="0"/>
    <w:rPr>
      <w:rFonts w:asciiTheme="majorHAnsi" w:hAnsiTheme="majorHAnsi" w:eastAsiaTheme="majorEastAsia" w:cstheme="majorBidi"/>
      <w:sz w:val="24"/>
      <w:szCs w:val="24"/>
      <w:shd w:val="pct20" w:color="auto" w:fill="auto"/>
    </w:rPr>
  </w:style>
  <w:style w:type="character" w:customStyle="1" w:styleId="120">
    <w:name w:val="副标题 Char2"/>
    <w:basedOn w:val="68"/>
    <w:link w:val="51"/>
    <w:qFormat/>
    <w:locked/>
    <w:uiPriority w:val="0"/>
    <w:rPr>
      <w:rFonts w:ascii="Times New Roman" w:hAnsi="Times New Roman" w:eastAsia="黑体" w:cs="Times New Roman"/>
      <w:bCs/>
      <w:kern w:val="28"/>
      <w:sz w:val="24"/>
      <w:szCs w:val="32"/>
    </w:rPr>
  </w:style>
  <w:style w:type="character" w:customStyle="1" w:styleId="121">
    <w:name w:val="副标题 Char"/>
    <w:basedOn w:val="68"/>
    <w:qFormat/>
    <w:uiPriority w:val="0"/>
    <w:rPr>
      <w:rFonts w:eastAsia="宋体" w:asciiTheme="majorHAnsi" w:hAnsiTheme="majorHAnsi" w:cstheme="majorBidi"/>
      <w:b/>
      <w:bCs/>
      <w:kern w:val="28"/>
      <w:sz w:val="32"/>
      <w:szCs w:val="32"/>
    </w:rPr>
  </w:style>
  <w:style w:type="character" w:customStyle="1" w:styleId="122">
    <w:name w:val="称呼 Char1"/>
    <w:basedOn w:val="68"/>
    <w:link w:val="29"/>
    <w:semiHidden/>
    <w:qFormat/>
    <w:locked/>
    <w:uiPriority w:val="0"/>
    <w:rPr>
      <w:rFonts w:ascii="Times New Roman" w:hAnsi="Times New Roman" w:eastAsia="宋体" w:cs="Times New Roman"/>
      <w:kern w:val="0"/>
      <w:sz w:val="28"/>
      <w:szCs w:val="24"/>
    </w:rPr>
  </w:style>
  <w:style w:type="character" w:customStyle="1" w:styleId="123">
    <w:name w:val="称呼 Char"/>
    <w:basedOn w:val="68"/>
    <w:semiHidden/>
    <w:qFormat/>
    <w:uiPriority w:val="0"/>
    <w:rPr>
      <w:rFonts w:ascii="Times New Roman" w:hAnsi="Times New Roman" w:eastAsia="宋体" w:cs="Times New Roman"/>
      <w:szCs w:val="24"/>
    </w:rPr>
  </w:style>
  <w:style w:type="character" w:customStyle="1" w:styleId="124">
    <w:name w:val="日期 Char1"/>
    <w:basedOn w:val="68"/>
    <w:link w:val="42"/>
    <w:semiHidden/>
    <w:qFormat/>
    <w:locked/>
    <w:uiPriority w:val="0"/>
    <w:rPr>
      <w:rFonts w:ascii="Times New Roman" w:hAnsi="Times New Roman" w:eastAsia="黑体" w:cs="Times New Roman"/>
      <w:kern w:val="0"/>
      <w:sz w:val="24"/>
      <w:szCs w:val="24"/>
    </w:rPr>
  </w:style>
  <w:style w:type="character" w:customStyle="1" w:styleId="125">
    <w:name w:val="日期 Char"/>
    <w:basedOn w:val="68"/>
    <w:semiHidden/>
    <w:qFormat/>
    <w:uiPriority w:val="0"/>
    <w:rPr>
      <w:rFonts w:ascii="Times New Roman" w:hAnsi="Times New Roman" w:eastAsia="宋体" w:cs="Times New Roman"/>
      <w:szCs w:val="24"/>
    </w:rPr>
  </w:style>
  <w:style w:type="character" w:customStyle="1" w:styleId="126">
    <w:name w:val="正文首行缩进 Char2"/>
    <w:basedOn w:val="114"/>
    <w:link w:val="64"/>
    <w:semiHidden/>
    <w:qFormat/>
    <w:locked/>
    <w:uiPriority w:val="0"/>
    <w:rPr>
      <w:rFonts w:ascii="Times New Roman" w:hAnsi="Times New Roman" w:eastAsia="宋体" w:cs="Times New Roman"/>
      <w:b/>
      <w:bCs/>
      <w:sz w:val="32"/>
      <w:szCs w:val="32"/>
    </w:rPr>
  </w:style>
  <w:style w:type="character" w:customStyle="1" w:styleId="127">
    <w:name w:val="正文首行缩进 Char"/>
    <w:basedOn w:val="115"/>
    <w:semiHidden/>
    <w:qFormat/>
    <w:uiPriority w:val="0"/>
    <w:rPr>
      <w:rFonts w:ascii="Times New Roman" w:hAnsi="Times New Roman" w:eastAsia="宋体" w:cs="Times New Roman"/>
      <w:szCs w:val="24"/>
    </w:rPr>
  </w:style>
  <w:style w:type="character" w:customStyle="1" w:styleId="128">
    <w:name w:val="正文首行缩进 2 Char1"/>
    <w:basedOn w:val="116"/>
    <w:link w:val="65"/>
    <w:semiHidden/>
    <w:qFormat/>
    <w:locked/>
    <w:uiPriority w:val="0"/>
    <w:rPr>
      <w:rFonts w:ascii="Times New Roman" w:hAnsi="Times New Roman" w:eastAsia="宋体" w:cs="Times New Roman"/>
      <w:szCs w:val="24"/>
    </w:rPr>
  </w:style>
  <w:style w:type="character" w:customStyle="1" w:styleId="129">
    <w:name w:val="正文首行缩进 2 Char"/>
    <w:basedOn w:val="117"/>
    <w:semiHidden/>
    <w:qFormat/>
    <w:uiPriority w:val="0"/>
    <w:rPr>
      <w:rFonts w:ascii="Times New Roman" w:hAnsi="Times New Roman" w:eastAsia="宋体" w:cs="Times New Roman"/>
      <w:szCs w:val="24"/>
    </w:rPr>
  </w:style>
  <w:style w:type="character" w:customStyle="1" w:styleId="130">
    <w:name w:val="注释标题 Char1"/>
    <w:basedOn w:val="68"/>
    <w:link w:val="20"/>
    <w:semiHidden/>
    <w:qFormat/>
    <w:locked/>
    <w:uiPriority w:val="0"/>
    <w:rPr>
      <w:rFonts w:ascii="宋体" w:hAnsi="宋体" w:eastAsia="宋体" w:cs="Times New Roman"/>
      <w:bCs/>
      <w:kern w:val="0"/>
      <w:sz w:val="28"/>
      <w:szCs w:val="32"/>
    </w:rPr>
  </w:style>
  <w:style w:type="character" w:customStyle="1" w:styleId="131">
    <w:name w:val="注释标题 Char"/>
    <w:basedOn w:val="68"/>
    <w:semiHidden/>
    <w:qFormat/>
    <w:uiPriority w:val="0"/>
    <w:rPr>
      <w:rFonts w:ascii="Times New Roman" w:hAnsi="Times New Roman" w:eastAsia="宋体" w:cs="Times New Roman"/>
      <w:szCs w:val="24"/>
    </w:rPr>
  </w:style>
  <w:style w:type="character" w:customStyle="1" w:styleId="132">
    <w:name w:val="正文文本 2 Char2"/>
    <w:basedOn w:val="68"/>
    <w:link w:val="57"/>
    <w:semiHidden/>
    <w:qFormat/>
    <w:locked/>
    <w:uiPriority w:val="0"/>
    <w:rPr>
      <w:rFonts w:ascii="Times New Roman" w:hAnsi="Times New Roman" w:eastAsia="宋体" w:cs="Times New Roman"/>
      <w:szCs w:val="20"/>
    </w:rPr>
  </w:style>
  <w:style w:type="character" w:customStyle="1" w:styleId="133">
    <w:name w:val="正文文本 2 Char"/>
    <w:basedOn w:val="68"/>
    <w:semiHidden/>
    <w:qFormat/>
    <w:uiPriority w:val="0"/>
    <w:rPr>
      <w:rFonts w:ascii="Times New Roman" w:hAnsi="Times New Roman" w:eastAsia="宋体" w:cs="Times New Roman"/>
      <w:szCs w:val="24"/>
    </w:rPr>
  </w:style>
  <w:style w:type="character" w:customStyle="1" w:styleId="134">
    <w:name w:val="正文文本 3 Char1"/>
    <w:basedOn w:val="68"/>
    <w:link w:val="30"/>
    <w:semiHidden/>
    <w:qFormat/>
    <w:locked/>
    <w:uiPriority w:val="0"/>
    <w:rPr>
      <w:rFonts w:ascii="Times New Roman" w:hAnsi="Times New Roman" w:eastAsia="宋体" w:cs="Times New Roman"/>
      <w:sz w:val="16"/>
      <w:szCs w:val="16"/>
    </w:rPr>
  </w:style>
  <w:style w:type="character" w:customStyle="1" w:styleId="135">
    <w:name w:val="正文文本 3 Char"/>
    <w:basedOn w:val="68"/>
    <w:semiHidden/>
    <w:qFormat/>
    <w:uiPriority w:val="0"/>
    <w:rPr>
      <w:rFonts w:ascii="Times New Roman" w:hAnsi="Times New Roman" w:eastAsia="宋体" w:cs="Times New Roman"/>
      <w:sz w:val="16"/>
      <w:szCs w:val="16"/>
    </w:rPr>
  </w:style>
  <w:style w:type="character" w:customStyle="1" w:styleId="136">
    <w:name w:val="正文文本缩进 2 Char2"/>
    <w:basedOn w:val="68"/>
    <w:link w:val="43"/>
    <w:semiHidden/>
    <w:qFormat/>
    <w:locked/>
    <w:uiPriority w:val="0"/>
    <w:rPr>
      <w:rFonts w:ascii="Times New Roman" w:hAnsi="Times New Roman" w:eastAsia="宋体" w:cs="Times New Roman"/>
      <w:sz w:val="24"/>
      <w:szCs w:val="20"/>
    </w:rPr>
  </w:style>
  <w:style w:type="character" w:customStyle="1" w:styleId="137">
    <w:name w:val="正文文本缩进 2 Char"/>
    <w:basedOn w:val="68"/>
    <w:semiHidden/>
    <w:qFormat/>
    <w:uiPriority w:val="0"/>
    <w:rPr>
      <w:rFonts w:ascii="Times New Roman" w:hAnsi="Times New Roman" w:eastAsia="宋体" w:cs="Times New Roman"/>
      <w:szCs w:val="24"/>
    </w:rPr>
  </w:style>
  <w:style w:type="character" w:customStyle="1" w:styleId="138">
    <w:name w:val="正文文本缩进 3 Char2"/>
    <w:basedOn w:val="68"/>
    <w:link w:val="55"/>
    <w:semiHidden/>
    <w:qFormat/>
    <w:locked/>
    <w:uiPriority w:val="0"/>
    <w:rPr>
      <w:rFonts w:ascii="Times New Roman" w:hAnsi="Times New Roman" w:eastAsia="宋体" w:cs="Times New Roman"/>
      <w:sz w:val="16"/>
      <w:szCs w:val="16"/>
    </w:rPr>
  </w:style>
  <w:style w:type="character" w:customStyle="1" w:styleId="139">
    <w:name w:val="正文文本缩进 3 Char"/>
    <w:basedOn w:val="68"/>
    <w:semiHidden/>
    <w:qFormat/>
    <w:uiPriority w:val="0"/>
    <w:rPr>
      <w:rFonts w:ascii="Times New Roman" w:hAnsi="Times New Roman" w:eastAsia="宋体" w:cs="Times New Roman"/>
      <w:sz w:val="16"/>
      <w:szCs w:val="16"/>
    </w:rPr>
  </w:style>
  <w:style w:type="character" w:customStyle="1" w:styleId="140">
    <w:name w:val="文档结构图 Char2"/>
    <w:basedOn w:val="68"/>
    <w:link w:val="27"/>
    <w:semiHidden/>
    <w:qFormat/>
    <w:locked/>
    <w:uiPriority w:val="0"/>
    <w:rPr>
      <w:rFonts w:ascii="Times New Roman" w:hAnsi="Times New Roman" w:eastAsia="宋体" w:cs="Times New Roman"/>
      <w:szCs w:val="24"/>
      <w:shd w:val="clear" w:color="auto" w:fill="000080"/>
    </w:rPr>
  </w:style>
  <w:style w:type="character" w:customStyle="1" w:styleId="141">
    <w:name w:val="文档结构图 Char"/>
    <w:basedOn w:val="68"/>
    <w:link w:val="142"/>
    <w:semiHidden/>
    <w:qFormat/>
    <w:uiPriority w:val="0"/>
    <w:rPr>
      <w:rFonts w:ascii="宋体" w:hAnsi="Times New Roman" w:eastAsia="宋体" w:cs="Times New Roman"/>
      <w:sz w:val="18"/>
      <w:szCs w:val="18"/>
    </w:rPr>
  </w:style>
  <w:style w:type="paragraph" w:customStyle="1" w:styleId="142">
    <w:name w:val="文档结构图1"/>
    <w:basedOn w:val="1"/>
    <w:link w:val="141"/>
    <w:qFormat/>
    <w:uiPriority w:val="0"/>
    <w:pPr>
      <w:shd w:val="clear" w:color="auto" w:fill="000080"/>
      <w:ind w:firstLine="200" w:firstLineChars="200"/>
    </w:pPr>
    <w:rPr>
      <w:sz w:val="18"/>
      <w:szCs w:val="18"/>
    </w:rPr>
  </w:style>
  <w:style w:type="character" w:customStyle="1" w:styleId="143">
    <w:name w:val="纯文本 Char1"/>
    <w:basedOn w:val="68"/>
    <w:link w:val="39"/>
    <w:qFormat/>
    <w:locked/>
    <w:uiPriority w:val="0"/>
    <w:rPr>
      <w:rFonts w:ascii="宋体" w:hAnsi="Courier New" w:eastAsia="宋体" w:cs="Times New Roman"/>
      <w:szCs w:val="20"/>
    </w:rPr>
  </w:style>
  <w:style w:type="character" w:customStyle="1" w:styleId="144">
    <w:name w:val="纯文本 Char"/>
    <w:basedOn w:val="68"/>
    <w:semiHidden/>
    <w:qFormat/>
    <w:uiPriority w:val="0"/>
    <w:rPr>
      <w:rFonts w:ascii="宋体" w:hAnsi="Courier New" w:eastAsia="宋体" w:cs="Courier New"/>
      <w:szCs w:val="21"/>
    </w:rPr>
  </w:style>
  <w:style w:type="character" w:customStyle="1" w:styleId="145">
    <w:name w:val="电子邮件签名 Char1"/>
    <w:basedOn w:val="68"/>
    <w:link w:val="22"/>
    <w:semiHidden/>
    <w:qFormat/>
    <w:locked/>
    <w:uiPriority w:val="0"/>
    <w:rPr>
      <w:rFonts w:ascii="宋体" w:hAnsi="宋体" w:eastAsia="宋体" w:cs="Times New Roman"/>
      <w:bCs/>
      <w:kern w:val="0"/>
      <w:sz w:val="28"/>
      <w:szCs w:val="32"/>
    </w:rPr>
  </w:style>
  <w:style w:type="character" w:customStyle="1" w:styleId="146">
    <w:name w:val="电子邮件签名 Char"/>
    <w:basedOn w:val="68"/>
    <w:semiHidden/>
    <w:qFormat/>
    <w:uiPriority w:val="0"/>
    <w:rPr>
      <w:rFonts w:ascii="Times New Roman" w:hAnsi="Times New Roman" w:eastAsia="宋体" w:cs="Times New Roman"/>
      <w:szCs w:val="24"/>
    </w:rPr>
  </w:style>
  <w:style w:type="character" w:customStyle="1" w:styleId="147">
    <w:name w:val="批注主题 Char1"/>
    <w:basedOn w:val="97"/>
    <w:link w:val="63"/>
    <w:semiHidden/>
    <w:qFormat/>
    <w:locked/>
    <w:uiPriority w:val="0"/>
    <w:rPr>
      <w:rFonts w:ascii="Times New Roman" w:hAnsi="Times New Roman" w:eastAsia="宋体" w:cs="Times New Roman"/>
      <w:b/>
      <w:bCs/>
      <w:szCs w:val="24"/>
    </w:rPr>
  </w:style>
  <w:style w:type="character" w:customStyle="1" w:styleId="148">
    <w:name w:val="批注主题 Char"/>
    <w:basedOn w:val="98"/>
    <w:semiHidden/>
    <w:qFormat/>
    <w:uiPriority w:val="0"/>
    <w:rPr>
      <w:rFonts w:ascii="Times New Roman" w:hAnsi="Times New Roman" w:eastAsia="宋体" w:cs="Times New Roman"/>
      <w:b/>
      <w:bCs/>
      <w:szCs w:val="24"/>
    </w:rPr>
  </w:style>
  <w:style w:type="character" w:customStyle="1" w:styleId="149">
    <w:name w:val="批注框文本 Char2"/>
    <w:basedOn w:val="68"/>
    <w:link w:val="45"/>
    <w:semiHidden/>
    <w:qFormat/>
    <w:locked/>
    <w:uiPriority w:val="0"/>
    <w:rPr>
      <w:rFonts w:ascii="Times New Roman" w:hAnsi="Times New Roman" w:eastAsia="宋体" w:cs="Times New Roman"/>
      <w:sz w:val="18"/>
      <w:szCs w:val="18"/>
    </w:rPr>
  </w:style>
  <w:style w:type="character" w:customStyle="1" w:styleId="150">
    <w:name w:val="批注框文本 Char"/>
    <w:basedOn w:val="68"/>
    <w:semiHidden/>
    <w:qFormat/>
    <w:uiPriority w:val="0"/>
    <w:rPr>
      <w:rFonts w:ascii="Times New Roman" w:hAnsi="Times New Roman" w:eastAsia="宋体" w:cs="Times New Roman"/>
      <w:sz w:val="18"/>
      <w:szCs w:val="18"/>
    </w:rPr>
  </w:style>
  <w:style w:type="paragraph" w:styleId="151">
    <w:name w:val="No Spacing"/>
    <w:basedOn w:val="1"/>
    <w:qFormat/>
    <w:uiPriority w:val="1"/>
    <w:pPr>
      <w:widowControl/>
      <w:jc w:val="left"/>
    </w:pPr>
    <w:rPr>
      <w:kern w:val="0"/>
      <w:szCs w:val="32"/>
      <w:lang w:eastAsia="en-US" w:bidi="en-US"/>
    </w:rPr>
  </w:style>
  <w:style w:type="paragraph" w:styleId="152">
    <w:name w:val="List Paragraph"/>
    <w:basedOn w:val="1"/>
    <w:qFormat/>
    <w:uiPriority w:val="0"/>
    <w:pPr>
      <w:widowControl/>
      <w:ind w:left="720"/>
      <w:jc w:val="left"/>
    </w:pPr>
    <w:rPr>
      <w:kern w:val="0"/>
      <w:lang w:eastAsia="en-US" w:bidi="en-US"/>
    </w:rPr>
  </w:style>
  <w:style w:type="paragraph" w:styleId="153">
    <w:name w:val="Quote"/>
    <w:basedOn w:val="1"/>
    <w:next w:val="1"/>
    <w:link w:val="154"/>
    <w:qFormat/>
    <w:uiPriority w:val="0"/>
    <w:pPr>
      <w:widowControl/>
      <w:jc w:val="left"/>
    </w:pPr>
    <w:rPr>
      <w:rFonts w:ascii="Calibri" w:hAnsi="Calibri"/>
      <w:i/>
      <w:kern w:val="0"/>
      <w:lang w:eastAsia="en-US" w:bidi="en-US"/>
    </w:rPr>
  </w:style>
  <w:style w:type="character" w:customStyle="1" w:styleId="154">
    <w:name w:val="引用 Char2"/>
    <w:basedOn w:val="68"/>
    <w:link w:val="153"/>
    <w:qFormat/>
    <w:locked/>
    <w:uiPriority w:val="0"/>
    <w:rPr>
      <w:rFonts w:ascii="Calibri" w:hAnsi="Calibri" w:eastAsia="宋体" w:cs="Times New Roman"/>
      <w:i/>
      <w:kern w:val="0"/>
      <w:sz w:val="24"/>
      <w:szCs w:val="24"/>
      <w:lang w:eastAsia="en-US" w:bidi="en-US"/>
    </w:rPr>
  </w:style>
  <w:style w:type="character" w:customStyle="1" w:styleId="155">
    <w:name w:val="引用 Char"/>
    <w:basedOn w:val="68"/>
    <w:qFormat/>
    <w:uiPriority w:val="0"/>
    <w:rPr>
      <w:rFonts w:ascii="Times New Roman" w:hAnsi="Times New Roman" w:eastAsia="宋体" w:cs="Times New Roman"/>
      <w:i/>
      <w:iCs/>
      <w:color w:val="000000" w:themeColor="text1"/>
      <w:szCs w:val="24"/>
      <w14:textFill>
        <w14:solidFill>
          <w14:schemeClr w14:val="tx1"/>
        </w14:solidFill>
      </w14:textFill>
    </w:rPr>
  </w:style>
  <w:style w:type="paragraph" w:styleId="156">
    <w:name w:val="Intense Quote"/>
    <w:basedOn w:val="1"/>
    <w:next w:val="1"/>
    <w:link w:val="157"/>
    <w:qFormat/>
    <w:uiPriority w:val="0"/>
    <w:pPr>
      <w:widowControl/>
      <w:ind w:left="720" w:right="720"/>
      <w:jc w:val="left"/>
    </w:pPr>
    <w:rPr>
      <w:rFonts w:ascii="Calibri" w:hAnsi="Calibri"/>
      <w:b/>
      <w:i/>
      <w:kern w:val="0"/>
      <w:szCs w:val="20"/>
      <w:lang w:eastAsia="en-US" w:bidi="en-US"/>
    </w:rPr>
  </w:style>
  <w:style w:type="character" w:customStyle="1" w:styleId="157">
    <w:name w:val="明显引用 Char2"/>
    <w:basedOn w:val="68"/>
    <w:link w:val="156"/>
    <w:qFormat/>
    <w:locked/>
    <w:uiPriority w:val="0"/>
    <w:rPr>
      <w:rFonts w:ascii="Calibri" w:hAnsi="Calibri" w:eastAsia="宋体" w:cs="Times New Roman"/>
      <w:b/>
      <w:i/>
      <w:kern w:val="0"/>
      <w:sz w:val="24"/>
      <w:szCs w:val="20"/>
      <w:lang w:eastAsia="en-US" w:bidi="en-US"/>
    </w:rPr>
  </w:style>
  <w:style w:type="character" w:customStyle="1" w:styleId="158">
    <w:name w:val="明显引用 Char"/>
    <w:basedOn w:val="68"/>
    <w:qFormat/>
    <w:uiPriority w:val="0"/>
    <w:rPr>
      <w:rFonts w:ascii="Times New Roman" w:hAnsi="Times New Roman" w:eastAsia="宋体" w:cs="Times New Roman"/>
      <w:b/>
      <w:bCs/>
      <w:i/>
      <w:iCs/>
      <w:color w:val="4F81BD" w:themeColor="accent1"/>
      <w:szCs w:val="24"/>
      <w14:textFill>
        <w14:solidFill>
          <w14:schemeClr w14:val="accent1"/>
        </w14:solidFill>
      </w14:textFill>
    </w:rPr>
  </w:style>
  <w:style w:type="paragraph" w:customStyle="1" w:styleId="159">
    <w:name w:val="正文段落"/>
    <w:basedOn w:val="1"/>
    <w:qFormat/>
    <w:uiPriority w:val="0"/>
    <w:pPr>
      <w:spacing w:line="360" w:lineRule="exact"/>
      <w:ind w:firstLine="476"/>
    </w:pPr>
  </w:style>
  <w:style w:type="paragraph" w:customStyle="1" w:styleId="160">
    <w:name w:val="Char21"/>
    <w:basedOn w:val="1"/>
    <w:qFormat/>
    <w:uiPriority w:val="0"/>
    <w:rPr>
      <w:rFonts w:cs="Courier New"/>
      <w:sz w:val="32"/>
      <w:szCs w:val="32"/>
    </w:rPr>
  </w:style>
  <w:style w:type="paragraph" w:customStyle="1" w:styleId="161">
    <w:name w:val="xl86"/>
    <w:basedOn w:val="1"/>
    <w:qFormat/>
    <w:uiPriority w:val="0"/>
    <w:pPr>
      <w:widowControl/>
      <w:pBdr>
        <w:top w:val="single" w:color="auto" w:sz="8" w:space="0"/>
        <w:left w:val="single" w:color="auto" w:sz="8" w:space="0"/>
        <w:bottom w:val="single" w:color="auto" w:sz="4" w:space="0"/>
      </w:pBdr>
      <w:spacing w:before="100" w:beforeAutospacing="1" w:after="100" w:afterAutospacing="1"/>
      <w:jc w:val="left"/>
    </w:pPr>
    <w:rPr>
      <w:rFonts w:eastAsia="Arial Unicode MS"/>
      <w:kern w:val="0"/>
      <w:sz w:val="16"/>
      <w:szCs w:val="16"/>
    </w:rPr>
  </w:style>
  <w:style w:type="paragraph" w:customStyle="1" w:styleId="162">
    <w:name w:val="gb1"/>
    <w:basedOn w:val="1"/>
    <w:qFormat/>
    <w:uiPriority w:val="0"/>
    <w:pPr>
      <w:widowControl/>
      <w:tabs>
        <w:tab w:val="left" w:pos="227"/>
      </w:tabs>
      <w:overflowPunct w:val="0"/>
      <w:autoSpaceDE w:val="0"/>
      <w:autoSpaceDN w:val="0"/>
      <w:adjustRightInd w:val="0"/>
      <w:spacing w:before="120" w:after="120"/>
      <w:jc w:val="left"/>
    </w:pPr>
    <w:rPr>
      <w:rFonts w:ascii="Arial" w:hAnsi="Arial" w:eastAsia="仿宋体"/>
      <w:color w:val="000000"/>
      <w:kern w:val="0"/>
      <w:szCs w:val="20"/>
    </w:rPr>
  </w:style>
  <w:style w:type="paragraph" w:customStyle="1" w:styleId="163">
    <w:name w:val="test1"/>
    <w:basedOn w:val="1"/>
    <w:qFormat/>
    <w:uiPriority w:val="0"/>
    <w:pPr>
      <w:widowControl/>
      <w:jc w:val="left"/>
    </w:pPr>
    <w:rPr>
      <w:rFonts w:ascii="Arial" w:hAnsi="Arial"/>
      <w:color w:val="000000"/>
      <w:kern w:val="0"/>
      <w:sz w:val="22"/>
      <w:szCs w:val="20"/>
      <w:lang w:val="de-DE" w:eastAsia="de-DE"/>
    </w:rPr>
  </w:style>
  <w:style w:type="paragraph" w:customStyle="1" w:styleId="164">
    <w:name w:val="表格001"/>
    <w:basedOn w:val="1"/>
    <w:qFormat/>
    <w:uiPriority w:val="0"/>
    <w:pPr>
      <w:jc w:val="center"/>
    </w:pPr>
    <w:rPr>
      <w:szCs w:val="20"/>
    </w:rPr>
  </w:style>
  <w:style w:type="paragraph" w:customStyle="1" w:styleId="165">
    <w:name w:val="样式 标题 1 + 段前: 0 磅2"/>
    <w:basedOn w:val="9"/>
    <w:qFormat/>
    <w:uiPriority w:val="0"/>
    <w:pPr>
      <w:keepLines/>
      <w:pageBreakBefore/>
      <w:tabs>
        <w:tab w:val="left" w:pos="8160"/>
      </w:tabs>
      <w:adjustRightInd w:val="0"/>
      <w:spacing w:line="240" w:lineRule="auto"/>
      <w:ind w:left="141"/>
      <w:jc w:val="left"/>
    </w:pPr>
    <w:rPr>
      <w:rFonts w:ascii="Times New Roman"/>
      <w:b/>
      <w:bCs/>
      <w:kern w:val="44"/>
      <w:sz w:val="24"/>
    </w:rPr>
  </w:style>
  <w:style w:type="paragraph" w:customStyle="1" w:styleId="166">
    <w:name w:val="Char1"/>
    <w:basedOn w:val="1"/>
    <w:qFormat/>
    <w:uiPriority w:val="0"/>
    <w:pPr>
      <w:ind w:firstLine="200" w:firstLineChars="200"/>
    </w:pPr>
    <w:rPr>
      <w:rFonts w:cs="宋体"/>
    </w:rPr>
  </w:style>
  <w:style w:type="paragraph" w:customStyle="1" w:styleId="167">
    <w:name w:val="_Style 208"/>
    <w:next w:val="1"/>
    <w:qFormat/>
    <w:uiPriority w:val="0"/>
    <w:pPr>
      <w:widowControl w:val="0"/>
      <w:spacing w:line="360" w:lineRule="auto"/>
      <w:jc w:val="both"/>
    </w:pPr>
    <w:rPr>
      <w:rFonts w:ascii="Calibri" w:hAnsi="Calibri" w:eastAsia="宋体" w:cs="Times New Roman"/>
      <w:kern w:val="2"/>
      <w:sz w:val="24"/>
      <w:szCs w:val="22"/>
      <w:lang w:val="en-US" w:eastAsia="zh-CN" w:bidi="ar-SA"/>
    </w:rPr>
  </w:style>
  <w:style w:type="paragraph" w:customStyle="1" w:styleId="168">
    <w:name w:val="xl104"/>
    <w:basedOn w:val="1"/>
    <w:qFormat/>
    <w:uiPriority w:val="0"/>
    <w:pPr>
      <w:widowControl/>
      <w:pBdr>
        <w:left w:val="single" w:color="auto" w:sz="8" w:space="0"/>
      </w:pBdr>
      <w:spacing w:before="100" w:beforeAutospacing="1" w:after="100" w:afterAutospacing="1"/>
      <w:jc w:val="left"/>
    </w:pPr>
    <w:rPr>
      <w:rFonts w:ascii="Arial Unicode MS" w:hAnsi="Arial Unicode MS" w:eastAsia="Arial Unicode MS" w:cs="Arial Unicode MS"/>
      <w:kern w:val="0"/>
      <w:sz w:val="16"/>
      <w:szCs w:val="16"/>
    </w:rPr>
  </w:style>
  <w:style w:type="character" w:customStyle="1" w:styleId="169">
    <w:name w:val="正文格式 Char"/>
    <w:link w:val="170"/>
    <w:qFormat/>
    <w:locked/>
    <w:uiPriority w:val="0"/>
    <w:rPr>
      <w:sz w:val="24"/>
      <w:szCs w:val="24"/>
    </w:rPr>
  </w:style>
  <w:style w:type="paragraph" w:customStyle="1" w:styleId="170">
    <w:name w:val="正文格式"/>
    <w:basedOn w:val="1"/>
    <w:link w:val="169"/>
    <w:qFormat/>
    <w:uiPriority w:val="0"/>
    <w:pPr>
      <w:ind w:firstLine="544" w:firstLineChars="200"/>
    </w:pPr>
    <w:rPr>
      <w:rFonts w:asciiTheme="minorHAnsi" w:hAnsiTheme="minorHAnsi" w:eastAsiaTheme="minorEastAsia" w:cstheme="minorBidi"/>
    </w:rPr>
  </w:style>
  <w:style w:type="paragraph" w:customStyle="1" w:styleId="171">
    <w:name w:val="样式 标题 4 + 段前: 7.8 磅 段后: 0 磅 行距: 单倍行距"/>
    <w:basedOn w:val="12"/>
    <w:qFormat/>
    <w:uiPriority w:val="0"/>
    <w:pPr>
      <w:tabs>
        <w:tab w:val="left" w:pos="1200"/>
        <w:tab w:val="left" w:pos="2160"/>
      </w:tabs>
      <w:spacing w:before="156" w:after="0" w:line="240" w:lineRule="auto"/>
      <w:ind w:left="1200" w:leftChars="400" w:hanging="360" w:hangingChars="200"/>
    </w:pPr>
    <w:rPr>
      <w:rFonts w:cs="宋体"/>
      <w:i/>
      <w:sz w:val="24"/>
      <w:szCs w:val="20"/>
    </w:rPr>
  </w:style>
  <w:style w:type="paragraph" w:customStyle="1" w:styleId="172">
    <w:name w:val="p15"/>
    <w:basedOn w:val="1"/>
    <w:qFormat/>
    <w:uiPriority w:val="0"/>
    <w:pPr>
      <w:widowControl/>
      <w:snapToGrid w:val="0"/>
      <w:ind w:firstLine="210"/>
      <w:jc w:val="left"/>
    </w:pPr>
    <w:rPr>
      <w:color w:val="0070C0"/>
      <w:kern w:val="0"/>
    </w:rPr>
  </w:style>
  <w:style w:type="character" w:customStyle="1" w:styleId="173">
    <w:name w:val="君邦正文 Char"/>
    <w:link w:val="174"/>
    <w:qFormat/>
    <w:locked/>
    <w:uiPriority w:val="0"/>
    <w:rPr>
      <w:bCs/>
      <w:snapToGrid w:val="0"/>
      <w:sz w:val="24"/>
    </w:rPr>
  </w:style>
  <w:style w:type="paragraph" w:customStyle="1" w:styleId="174">
    <w:name w:val="君邦正文"/>
    <w:link w:val="173"/>
    <w:qFormat/>
    <w:uiPriority w:val="0"/>
    <w:pPr>
      <w:snapToGrid w:val="0"/>
      <w:spacing w:after="60" w:line="360" w:lineRule="auto"/>
      <w:ind w:firstLine="480" w:firstLineChars="200"/>
      <w:jc w:val="both"/>
    </w:pPr>
    <w:rPr>
      <w:rFonts w:asciiTheme="minorHAnsi" w:hAnsiTheme="minorHAnsi" w:eastAsiaTheme="minorEastAsia" w:cstheme="minorBidi"/>
      <w:bCs/>
      <w:snapToGrid w:val="0"/>
      <w:kern w:val="2"/>
      <w:sz w:val="24"/>
      <w:szCs w:val="22"/>
      <w:lang w:val="en-US" w:eastAsia="zh-CN" w:bidi="ar-SA"/>
    </w:rPr>
  </w:style>
  <w:style w:type="paragraph" w:customStyle="1" w:styleId="175">
    <w:name w:val="F-表格-小5号字"/>
    <w:basedOn w:val="1"/>
    <w:next w:val="1"/>
    <w:qFormat/>
    <w:uiPriority w:val="0"/>
    <w:pPr>
      <w:spacing w:line="200" w:lineRule="exact"/>
    </w:pPr>
    <w:rPr>
      <w:sz w:val="18"/>
    </w:rPr>
  </w:style>
  <w:style w:type="paragraph" w:customStyle="1" w:styleId="176">
    <w:name w:val="Char Char Char Char Char Char Char2"/>
    <w:basedOn w:val="1"/>
    <w:qFormat/>
    <w:uiPriority w:val="0"/>
  </w:style>
  <w:style w:type="paragraph" w:customStyle="1" w:styleId="177">
    <w:name w:val="样式 (符号) 宋体"/>
    <w:basedOn w:val="1"/>
    <w:qFormat/>
    <w:uiPriority w:val="0"/>
    <w:pPr>
      <w:ind w:firstLine="504" w:firstLineChars="200"/>
    </w:pPr>
    <w:rPr>
      <w:rFonts w:cs="宋体"/>
      <w:szCs w:val="20"/>
    </w:rPr>
  </w:style>
  <w:style w:type="paragraph" w:customStyle="1" w:styleId="178">
    <w:name w:val="奇数页眉"/>
    <w:basedOn w:val="47"/>
    <w:qFormat/>
    <w:uiPriority w:val="0"/>
    <w:pPr>
      <w:widowControl/>
    </w:pPr>
    <w:rPr>
      <w:rFonts w:ascii="Calibri" w:hAnsi="Calibri"/>
      <w:kern w:val="0"/>
      <w:lang w:eastAsia="en-US" w:bidi="en-US"/>
    </w:rPr>
  </w:style>
  <w:style w:type="character" w:customStyle="1" w:styleId="179">
    <w:name w:val="表1 Char"/>
    <w:link w:val="180"/>
    <w:qFormat/>
    <w:locked/>
    <w:uiPriority w:val="0"/>
    <w:rPr>
      <w:rFonts w:ascii="Times New Roman" w:hAnsi="Times New Roman" w:eastAsia="Times New Roman" w:cs="Times New Roman"/>
      <w:szCs w:val="21"/>
    </w:rPr>
  </w:style>
  <w:style w:type="paragraph" w:customStyle="1" w:styleId="180">
    <w:name w:val="表1"/>
    <w:next w:val="1"/>
    <w:link w:val="179"/>
    <w:qFormat/>
    <w:uiPriority w:val="0"/>
    <w:pPr>
      <w:adjustRightInd w:val="0"/>
      <w:snapToGrid w:val="0"/>
      <w:jc w:val="center"/>
    </w:pPr>
    <w:rPr>
      <w:rFonts w:ascii="Times New Roman" w:hAnsi="Times New Roman" w:eastAsia="Times New Roman" w:cs="Times New Roman"/>
      <w:kern w:val="2"/>
      <w:sz w:val="21"/>
      <w:szCs w:val="21"/>
      <w:lang w:val="en-US" w:eastAsia="zh-CN" w:bidi="ar-SA"/>
    </w:rPr>
  </w:style>
  <w:style w:type="paragraph" w:customStyle="1" w:styleId="181">
    <w:name w:val="19"/>
    <w:basedOn w:val="1"/>
    <w:qFormat/>
    <w:uiPriority w:val="0"/>
    <w:pPr>
      <w:widowControl/>
      <w:snapToGrid w:val="0"/>
      <w:spacing w:before="100" w:beforeAutospacing="1" w:after="100" w:afterAutospacing="1" w:line="460" w:lineRule="atLeast"/>
    </w:pPr>
    <w:rPr>
      <w:kern w:val="0"/>
    </w:rPr>
  </w:style>
  <w:style w:type="paragraph" w:customStyle="1" w:styleId="182">
    <w:name w:val="楷体正文"/>
    <w:basedOn w:val="1"/>
    <w:qFormat/>
    <w:uiPriority w:val="0"/>
    <w:pPr>
      <w:widowControl/>
      <w:spacing w:line="413" w:lineRule="atLeast"/>
      <w:ind w:firstLine="440" w:firstLineChars="200"/>
    </w:pPr>
    <w:rPr>
      <w:color w:val="000000"/>
      <w:kern w:val="0"/>
      <w:szCs w:val="20"/>
      <w:u w:color="000000"/>
    </w:rPr>
  </w:style>
  <w:style w:type="paragraph" w:customStyle="1" w:styleId="183">
    <w:name w:val="l15"/>
    <w:basedOn w:val="1"/>
    <w:qFormat/>
    <w:uiPriority w:val="0"/>
    <w:pPr>
      <w:widowControl/>
      <w:spacing w:before="100" w:beforeAutospacing="1" w:after="100" w:afterAutospacing="1"/>
      <w:jc w:val="left"/>
    </w:pPr>
    <w:rPr>
      <w:rFonts w:ascii="Arial Unicode MS" w:hAnsi="Arial Unicode MS" w:eastAsia="Arial Unicode MS" w:cs="Arial Unicode MS"/>
      <w:color w:val="FFFFFF"/>
      <w:kern w:val="0"/>
      <w:sz w:val="18"/>
      <w:szCs w:val="18"/>
    </w:rPr>
  </w:style>
  <w:style w:type="character" w:customStyle="1" w:styleId="184">
    <w:name w:val="样式 标题 3头H3B HeadReHead 3 WSAh3标题 4 CharH31H32H33H311...2 Char"/>
    <w:link w:val="185"/>
    <w:qFormat/>
    <w:locked/>
    <w:uiPriority w:val="0"/>
    <w:rPr>
      <w:b/>
      <w:bCs/>
      <w:color w:val="000000"/>
      <w:sz w:val="28"/>
      <w:szCs w:val="28"/>
    </w:rPr>
  </w:style>
  <w:style w:type="paragraph" w:customStyle="1" w:styleId="185">
    <w:name w:val="样式 标题 3头H3B HeadReHead 3 WSAh3标题 4 CharH31H32H33H311...2"/>
    <w:basedOn w:val="11"/>
    <w:link w:val="184"/>
    <w:qFormat/>
    <w:uiPriority w:val="0"/>
    <w:pPr>
      <w:keepNext w:val="0"/>
      <w:spacing w:before="0" w:after="0" w:line="360" w:lineRule="auto"/>
    </w:pPr>
    <w:rPr>
      <w:rFonts w:asciiTheme="minorHAnsi" w:hAnsiTheme="minorHAnsi" w:eastAsiaTheme="minorEastAsia" w:cstheme="minorBidi"/>
      <w:color w:val="000000"/>
      <w:sz w:val="28"/>
      <w:szCs w:val="28"/>
    </w:rPr>
  </w:style>
  <w:style w:type="paragraph" w:customStyle="1" w:styleId="186">
    <w:name w:val="Text ag. ei. 12er"/>
    <w:basedOn w:val="1"/>
    <w:qFormat/>
    <w:uiPriority w:val="0"/>
    <w:pPr>
      <w:widowControl/>
      <w:tabs>
        <w:tab w:val="left" w:pos="851"/>
        <w:tab w:val="left" w:pos="992"/>
        <w:tab w:val="left" w:pos="4536"/>
        <w:tab w:val="decimal" w:pos="5954"/>
        <w:tab w:val="left" w:pos="7088"/>
        <w:tab w:val="left" w:pos="8505"/>
      </w:tabs>
      <w:spacing w:after="240"/>
      <w:ind w:left="992"/>
      <w:jc w:val="left"/>
    </w:pPr>
    <w:rPr>
      <w:rFonts w:ascii="Arial" w:hAnsi="Arial"/>
      <w:kern w:val="0"/>
      <w:sz w:val="22"/>
      <w:szCs w:val="20"/>
      <w:lang w:val="de-DE" w:eastAsia="de-DE"/>
    </w:rPr>
  </w:style>
  <w:style w:type="paragraph" w:customStyle="1" w:styleId="187">
    <w:name w:val="样式 标题 1 + 自动设置"/>
    <w:basedOn w:val="9"/>
    <w:qFormat/>
    <w:uiPriority w:val="0"/>
    <w:pPr>
      <w:keepLines/>
      <w:tabs>
        <w:tab w:val="left" w:pos="360"/>
        <w:tab w:val="left" w:pos="700"/>
      </w:tabs>
      <w:autoSpaceDE w:val="0"/>
      <w:autoSpaceDN w:val="0"/>
      <w:adjustRightInd w:val="0"/>
      <w:spacing w:line="360" w:lineRule="auto"/>
      <w:ind w:left="431" w:hanging="431"/>
      <w:jc w:val="center"/>
    </w:pPr>
    <w:rPr>
      <w:rFonts w:ascii="Times New Roman" w:cs="Times New Roman"/>
      <w:b/>
      <w:bCs/>
      <w:kern w:val="44"/>
      <w:sz w:val="28"/>
    </w:rPr>
  </w:style>
  <w:style w:type="paragraph" w:customStyle="1" w:styleId="188">
    <w:name w:val="Body Text 22"/>
    <w:basedOn w:val="1"/>
    <w:qFormat/>
    <w:uiPriority w:val="0"/>
    <w:pPr>
      <w:adjustRightInd w:val="0"/>
      <w:spacing w:line="440" w:lineRule="atLeast"/>
      <w:ind w:firstLine="480"/>
    </w:pPr>
    <w:rPr>
      <w:rFonts w:eastAsia="仿宋_GB2312"/>
      <w:szCs w:val="20"/>
    </w:rPr>
  </w:style>
  <w:style w:type="paragraph" w:customStyle="1" w:styleId="189">
    <w:name w:val="正文(熊)"/>
    <w:qFormat/>
    <w:uiPriority w:val="0"/>
    <w:pPr>
      <w:widowControl w:val="0"/>
      <w:adjustRightInd w:val="0"/>
      <w:snapToGrid w:val="0"/>
      <w:spacing w:line="360" w:lineRule="auto"/>
      <w:ind w:firstLine="560" w:firstLineChars="200"/>
      <w:jc w:val="both"/>
      <w:outlineLvl w:val="4"/>
    </w:pPr>
    <w:rPr>
      <w:rFonts w:ascii="Times New Roman" w:hAnsi="Times New Roman" w:eastAsia="宋体" w:cs="Times New Roman"/>
      <w:color w:val="000000"/>
      <w:kern w:val="0"/>
      <w:sz w:val="28"/>
      <w:szCs w:val="20"/>
      <w:lang w:val="en-US" w:eastAsia="zh-CN" w:bidi="ar-SA"/>
    </w:rPr>
  </w:style>
  <w:style w:type="paragraph" w:customStyle="1" w:styleId="190">
    <w:name w:val="编号m"/>
    <w:basedOn w:val="1"/>
    <w:qFormat/>
    <w:uiPriority w:val="0"/>
    <w:pPr>
      <w:tabs>
        <w:tab w:val="left" w:pos="420"/>
      </w:tabs>
      <w:spacing w:line="420" w:lineRule="exact"/>
      <w:ind w:left="420" w:hanging="420"/>
    </w:pPr>
    <w:rPr>
      <w:szCs w:val="20"/>
    </w:rPr>
  </w:style>
  <w:style w:type="character" w:customStyle="1" w:styleId="191">
    <w:name w:val="图表标题 Char"/>
    <w:link w:val="192"/>
    <w:qFormat/>
    <w:locked/>
    <w:uiPriority w:val="0"/>
    <w:rPr>
      <w:rFonts w:ascii="宋体" w:hAnsi="宋体" w:eastAsia="宋体"/>
      <w:b/>
      <w:snapToGrid w:val="0"/>
      <w:sz w:val="24"/>
      <w:szCs w:val="24"/>
    </w:rPr>
  </w:style>
  <w:style w:type="paragraph" w:customStyle="1" w:styleId="192">
    <w:name w:val="图表标题"/>
    <w:basedOn w:val="1"/>
    <w:next w:val="193"/>
    <w:link w:val="191"/>
    <w:qFormat/>
    <w:uiPriority w:val="0"/>
    <w:pPr>
      <w:widowControl/>
      <w:snapToGrid w:val="0"/>
      <w:ind w:firstLine="200" w:firstLineChars="200"/>
      <w:jc w:val="center"/>
    </w:pPr>
    <w:rPr>
      <w:rFonts w:cstheme="minorBidi"/>
      <w:b/>
      <w:snapToGrid w:val="0"/>
    </w:rPr>
  </w:style>
  <w:style w:type="paragraph" w:customStyle="1" w:styleId="193">
    <w:name w:val="图表正文"/>
    <w:basedOn w:val="1"/>
    <w:qFormat/>
    <w:uiPriority w:val="0"/>
    <w:pPr>
      <w:widowControl/>
      <w:snapToGrid w:val="0"/>
      <w:spacing w:line="360" w:lineRule="atLeast"/>
      <w:ind w:firstLine="420" w:firstLineChars="200"/>
      <w:jc w:val="center"/>
    </w:pPr>
    <w:rPr>
      <w:kern w:val="0"/>
    </w:rPr>
  </w:style>
  <w:style w:type="paragraph" w:customStyle="1" w:styleId="194">
    <w:name w:val="表格-内容"/>
    <w:basedOn w:val="1"/>
    <w:qFormat/>
    <w:uiPriority w:val="0"/>
    <w:pPr>
      <w:jc w:val="center"/>
    </w:pPr>
  </w:style>
  <w:style w:type="paragraph" w:customStyle="1" w:styleId="195">
    <w:name w:val="自定义缩进"/>
    <w:basedOn w:val="1"/>
    <w:qFormat/>
    <w:uiPriority w:val="0"/>
    <w:pPr>
      <w:keepNext/>
      <w:spacing w:line="336" w:lineRule="auto"/>
      <w:ind w:firstLine="480" w:firstLineChars="200"/>
      <w:jc w:val="left"/>
    </w:pPr>
    <w:rPr>
      <w:kern w:val="0"/>
    </w:rPr>
  </w:style>
  <w:style w:type="paragraph" w:customStyle="1" w:styleId="196">
    <w:name w:val="HTML 地址1"/>
    <w:basedOn w:val="1"/>
    <w:qFormat/>
    <w:uiPriority w:val="0"/>
    <w:pPr>
      <w:adjustRightInd w:val="0"/>
      <w:snapToGrid w:val="0"/>
      <w:ind w:firstLine="200" w:firstLineChars="200"/>
    </w:pPr>
    <w:rPr>
      <w:rFonts w:eastAsia="Times New Roman"/>
      <w:i/>
      <w:szCs w:val="20"/>
    </w:rPr>
  </w:style>
  <w:style w:type="paragraph" w:customStyle="1" w:styleId="197">
    <w:name w:val="Char Char Char Char Char Char Char Char Char Char2"/>
    <w:basedOn w:val="1"/>
    <w:qFormat/>
    <w:uiPriority w:val="0"/>
    <w:pPr>
      <w:ind w:firstLine="200" w:firstLineChars="200"/>
    </w:pPr>
    <w:rPr>
      <w:rFonts w:cs="宋体"/>
    </w:rPr>
  </w:style>
  <w:style w:type="paragraph" w:customStyle="1" w:styleId="198">
    <w:name w:val="样式 标题 3 + Arial"/>
    <w:basedOn w:val="1"/>
    <w:qFormat/>
    <w:uiPriority w:val="0"/>
    <w:rPr>
      <w:szCs w:val="20"/>
    </w:rPr>
  </w:style>
  <w:style w:type="paragraph" w:customStyle="1" w:styleId="199">
    <w:name w:val="Char1 Char Char Char1"/>
    <w:basedOn w:val="1"/>
    <w:qFormat/>
    <w:uiPriority w:val="0"/>
    <w:pPr>
      <w:ind w:firstLine="200" w:firstLineChars="200"/>
    </w:pPr>
    <w:rPr>
      <w:rFonts w:cs="宋体"/>
    </w:rPr>
  </w:style>
  <w:style w:type="paragraph" w:customStyle="1" w:styleId="200">
    <w:name w:val="內文表格樣式1"/>
    <w:basedOn w:val="1"/>
    <w:qFormat/>
    <w:uiPriority w:val="0"/>
    <w:pPr>
      <w:autoSpaceDE w:val="0"/>
      <w:autoSpaceDN w:val="0"/>
      <w:adjustRightInd w:val="0"/>
      <w:spacing w:after="120" w:line="360" w:lineRule="atLeast"/>
    </w:pPr>
    <w:rPr>
      <w:rFonts w:ascii="PMingLiU" w:eastAsia="DFKai-SB"/>
      <w:kern w:val="0"/>
      <w:szCs w:val="20"/>
      <w:lang w:eastAsia="zh-TW"/>
    </w:rPr>
  </w:style>
  <w:style w:type="paragraph" w:customStyle="1" w:styleId="201">
    <w:name w:val="样式 标题 2 + Times New Roman 小三 居中 行距: 单倍行距"/>
    <w:basedOn w:val="10"/>
    <w:qFormat/>
    <w:uiPriority w:val="0"/>
    <w:pPr>
      <w:widowControl/>
      <w:spacing w:line="240" w:lineRule="auto"/>
      <w:ind w:firstLine="538" w:firstLineChars="192"/>
      <w:jc w:val="left"/>
    </w:pPr>
    <w:rPr>
      <w:rFonts w:ascii="Times New Roman" w:hAnsi="Times New Roman" w:cs="宋体"/>
      <w:bCs w:val="0"/>
      <w:kern w:val="0"/>
      <w:sz w:val="30"/>
      <w:szCs w:val="20"/>
    </w:rPr>
  </w:style>
  <w:style w:type="paragraph" w:customStyle="1" w:styleId="202">
    <w:name w:val="标1"/>
    <w:basedOn w:val="9"/>
    <w:next w:val="1"/>
    <w:qFormat/>
    <w:uiPriority w:val="0"/>
    <w:pPr>
      <w:keepLines/>
      <w:autoSpaceDE w:val="0"/>
      <w:autoSpaceDN w:val="0"/>
      <w:adjustRightInd w:val="0"/>
      <w:snapToGrid w:val="0"/>
      <w:spacing w:beforeLines="100" w:after="240" w:line="360" w:lineRule="auto"/>
      <w:ind w:right="11"/>
      <w:outlineLvl w:val="9"/>
    </w:pPr>
    <w:rPr>
      <w:rFonts w:ascii="Times New Roman" w:eastAsia="黑体" w:cs="Times New Roman"/>
      <w:color w:val="000000"/>
      <w:spacing w:val="20"/>
      <w:kern w:val="44"/>
      <w:position w:val="4"/>
      <w:sz w:val="32"/>
      <w:szCs w:val="24"/>
    </w:rPr>
  </w:style>
  <w:style w:type="paragraph" w:customStyle="1" w:styleId="203">
    <w:name w:val="xl7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204">
    <w:name w:val="样式 标题 2标题 2 Char + 宋体 四号"/>
    <w:basedOn w:val="10"/>
    <w:qFormat/>
    <w:uiPriority w:val="0"/>
    <w:pPr>
      <w:spacing w:before="120" w:after="120" w:line="412" w:lineRule="auto"/>
    </w:pPr>
    <w:rPr>
      <w:rFonts w:ascii="Times New Roman" w:hAnsi="Times New Roman" w:eastAsia="宋体"/>
      <w:bCs w:val="0"/>
      <w:sz w:val="28"/>
      <w:szCs w:val="20"/>
    </w:rPr>
  </w:style>
  <w:style w:type="paragraph" w:customStyle="1" w:styleId="205">
    <w:name w:val="xl8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206">
    <w:name w:val="填表内容"/>
    <w:basedOn w:val="1"/>
    <w:qFormat/>
    <w:uiPriority w:val="0"/>
    <w:pPr>
      <w:adjustRightInd w:val="0"/>
      <w:spacing w:line="480" w:lineRule="exact"/>
      <w:ind w:firstLine="560" w:firstLineChars="200"/>
      <w:jc w:val="left"/>
    </w:pPr>
    <w:rPr>
      <w:rFonts w:ascii="楷体_GB2312" w:eastAsia="楷体_GB2312"/>
      <w:sz w:val="28"/>
      <w:szCs w:val="20"/>
    </w:rPr>
  </w:style>
  <w:style w:type="paragraph" w:customStyle="1" w:styleId="207">
    <w:name w:val="表头文字"/>
    <w:basedOn w:val="1"/>
    <w:qFormat/>
    <w:uiPriority w:val="0"/>
    <w:pPr>
      <w:widowControl/>
      <w:adjustRightInd w:val="0"/>
      <w:snapToGrid w:val="0"/>
      <w:spacing w:line="360" w:lineRule="exact"/>
    </w:pPr>
    <w:rPr>
      <w:b/>
      <w:kern w:val="0"/>
      <w:szCs w:val="20"/>
    </w:rPr>
  </w:style>
  <w:style w:type="paragraph" w:customStyle="1" w:styleId="208">
    <w:name w:val="_Style 24"/>
    <w:basedOn w:val="1"/>
    <w:next w:val="1"/>
    <w:qFormat/>
    <w:uiPriority w:val="0"/>
    <w:pPr>
      <w:ind w:firstLine="200" w:firstLineChars="200"/>
    </w:pPr>
    <w:rPr>
      <w:szCs w:val="20"/>
    </w:rPr>
  </w:style>
  <w:style w:type="paragraph" w:customStyle="1" w:styleId="209">
    <w:name w:val="xl60"/>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olor w:val="000000"/>
      <w:kern w:val="0"/>
    </w:rPr>
  </w:style>
  <w:style w:type="paragraph" w:customStyle="1" w:styleId="210">
    <w:name w:val="Charx"/>
    <w:basedOn w:val="1"/>
    <w:qFormat/>
    <w:uiPriority w:val="0"/>
    <w:pPr>
      <w:widowControl/>
      <w:jc w:val="left"/>
    </w:pPr>
    <w:rPr>
      <w:color w:val="000000"/>
      <w:kern w:val="0"/>
      <w:szCs w:val="20"/>
    </w:rPr>
  </w:style>
  <w:style w:type="paragraph" w:customStyle="1" w:styleId="211">
    <w:name w:val="默认段落字体 Para Char"/>
    <w:basedOn w:val="1"/>
    <w:next w:val="1"/>
    <w:qFormat/>
    <w:uiPriority w:val="0"/>
    <w:pPr>
      <w:ind w:firstLine="200" w:firstLineChars="200"/>
    </w:pPr>
    <w:rPr>
      <w:rFonts w:eastAsia="汉鼎简书宋" w:cs="宋体"/>
    </w:rPr>
  </w:style>
  <w:style w:type="paragraph" w:customStyle="1" w:styleId="212">
    <w:name w:val="l13"/>
    <w:basedOn w:val="1"/>
    <w:qFormat/>
    <w:uiPriority w:val="0"/>
    <w:pPr>
      <w:widowControl/>
      <w:spacing w:before="100" w:beforeAutospacing="1" w:after="100" w:afterAutospacing="1"/>
      <w:jc w:val="left"/>
    </w:pPr>
    <w:rPr>
      <w:rFonts w:ascii="Arial Unicode MS" w:hAnsi="Arial Unicode MS" w:eastAsia="Arial Unicode MS" w:cs="Arial Unicode MS"/>
      <w:color w:val="FFFFFF"/>
      <w:kern w:val="0"/>
      <w:sz w:val="18"/>
      <w:szCs w:val="18"/>
    </w:rPr>
  </w:style>
  <w:style w:type="paragraph" w:customStyle="1" w:styleId="213">
    <w:name w:val="图标题"/>
    <w:basedOn w:val="15"/>
    <w:next w:val="15"/>
    <w:qFormat/>
    <w:uiPriority w:val="0"/>
    <w:pPr>
      <w:tabs>
        <w:tab w:val="left" w:pos="306"/>
      </w:tabs>
      <w:snapToGrid w:val="0"/>
      <w:spacing w:line="480" w:lineRule="exact"/>
      <w:ind w:firstLine="0"/>
      <w:jc w:val="center"/>
    </w:pPr>
    <w:rPr>
      <w:rFonts w:ascii="Times New Roman"/>
      <w:kern w:val="0"/>
      <w:szCs w:val="28"/>
    </w:rPr>
  </w:style>
  <w:style w:type="paragraph" w:customStyle="1" w:styleId="214">
    <w:name w:val="四级无标题条"/>
    <w:basedOn w:val="1"/>
    <w:qFormat/>
    <w:uiPriority w:val="0"/>
  </w:style>
  <w:style w:type="paragraph" w:customStyle="1" w:styleId="215">
    <w:name w:val="6"/>
    <w:basedOn w:val="1"/>
    <w:next w:val="15"/>
    <w:qFormat/>
    <w:uiPriority w:val="0"/>
    <w:pPr>
      <w:ind w:firstLine="420"/>
    </w:pPr>
  </w:style>
  <w:style w:type="paragraph" w:customStyle="1" w:styleId="216">
    <w:name w:val="样式 标题 2 + 黑体 小三"/>
    <w:basedOn w:val="10"/>
    <w:qFormat/>
    <w:uiPriority w:val="0"/>
    <w:pPr>
      <w:adjustRightInd w:val="0"/>
      <w:snapToGrid w:val="0"/>
      <w:spacing w:before="0" w:after="0" w:line="360" w:lineRule="auto"/>
      <w:ind w:firstLine="562" w:firstLineChars="200"/>
    </w:pPr>
    <w:rPr>
      <w:rFonts w:ascii="黑体" w:hAnsi="黑体"/>
      <w:kern w:val="0"/>
      <w:sz w:val="28"/>
    </w:rPr>
  </w:style>
  <w:style w:type="paragraph" w:customStyle="1" w:styleId="217">
    <w:name w:val="Char Char Char1 Char"/>
    <w:basedOn w:val="1"/>
    <w:qFormat/>
    <w:uiPriority w:val="0"/>
  </w:style>
  <w:style w:type="paragraph" w:customStyle="1" w:styleId="218">
    <w:name w:val="_Style 11"/>
    <w:basedOn w:val="1"/>
    <w:next w:val="33"/>
    <w:qFormat/>
    <w:uiPriority w:val="0"/>
    <w:pPr>
      <w:jc w:val="center"/>
    </w:pPr>
    <w:rPr>
      <w:szCs w:val="20"/>
    </w:rPr>
  </w:style>
  <w:style w:type="paragraph" w:customStyle="1" w:styleId="21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rPr>
  </w:style>
  <w:style w:type="paragraph" w:customStyle="1" w:styleId="220">
    <w:name w:val="正文样式3"/>
    <w:basedOn w:val="1"/>
    <w:qFormat/>
    <w:uiPriority w:val="0"/>
    <w:pPr>
      <w:keepLines/>
      <w:adjustRightInd w:val="0"/>
      <w:spacing w:line="20" w:lineRule="atLeast"/>
      <w:jc w:val="center"/>
    </w:pPr>
    <w:rPr>
      <w:kern w:val="0"/>
      <w:szCs w:val="20"/>
    </w:rPr>
  </w:style>
  <w:style w:type="paragraph" w:customStyle="1" w:styleId="221">
    <w:name w:val="reader-word-layer reader-word-s1-10"/>
    <w:basedOn w:val="1"/>
    <w:qFormat/>
    <w:uiPriority w:val="0"/>
    <w:pPr>
      <w:widowControl/>
      <w:spacing w:before="100" w:beforeAutospacing="1" w:after="100" w:afterAutospacing="1"/>
      <w:jc w:val="left"/>
    </w:pPr>
    <w:rPr>
      <w:rFonts w:cs="宋体"/>
      <w:kern w:val="0"/>
    </w:rPr>
  </w:style>
  <w:style w:type="character" w:customStyle="1" w:styleId="222">
    <w:name w:val="正文（首行缩进两字）m Char Char"/>
    <w:link w:val="223"/>
    <w:qFormat/>
    <w:locked/>
    <w:uiPriority w:val="0"/>
    <w:rPr>
      <w:rFonts w:ascii="宋体" w:hAnsi="宋体" w:eastAsia="宋体"/>
      <w:sz w:val="24"/>
    </w:rPr>
  </w:style>
  <w:style w:type="paragraph" w:customStyle="1" w:styleId="223">
    <w:name w:val="正文（首行缩进两字）m"/>
    <w:basedOn w:val="15"/>
    <w:link w:val="222"/>
    <w:qFormat/>
    <w:uiPriority w:val="0"/>
    <w:pPr>
      <w:tabs>
        <w:tab w:val="left" w:pos="1848"/>
        <w:tab w:val="left" w:pos="6061"/>
        <w:tab w:val="left" w:pos="8665"/>
      </w:tabs>
      <w:snapToGrid w:val="0"/>
      <w:spacing w:beforeLines="50" w:line="460" w:lineRule="exact"/>
      <w:ind w:firstLine="480" w:firstLineChars="200"/>
    </w:pPr>
    <w:rPr>
      <w:rFonts w:cstheme="minorBidi"/>
      <w:szCs w:val="22"/>
    </w:rPr>
  </w:style>
  <w:style w:type="paragraph" w:customStyle="1" w:styleId="224">
    <w:name w:val="样式9"/>
    <w:basedOn w:val="1"/>
    <w:qFormat/>
    <w:uiPriority w:val="0"/>
    <w:pPr>
      <w:spacing w:line="360" w:lineRule="exact"/>
      <w:jc w:val="center"/>
    </w:pPr>
    <w:rPr>
      <w:color w:val="000000"/>
    </w:rPr>
  </w:style>
  <w:style w:type="character" w:customStyle="1" w:styleId="225">
    <w:name w:val="表格标题 Char"/>
    <w:link w:val="226"/>
    <w:qFormat/>
    <w:locked/>
    <w:uiPriority w:val="0"/>
    <w:rPr>
      <w:rFonts w:ascii="宋体" w:hAnsi="宋体" w:eastAsia="宋体"/>
      <w:sz w:val="24"/>
    </w:rPr>
  </w:style>
  <w:style w:type="paragraph" w:customStyle="1" w:styleId="226">
    <w:name w:val="正文缩进1"/>
    <w:basedOn w:val="1"/>
    <w:link w:val="225"/>
    <w:qFormat/>
    <w:uiPriority w:val="0"/>
    <w:pPr>
      <w:ind w:firstLine="420"/>
    </w:pPr>
    <w:rPr>
      <w:rFonts w:cstheme="minorBidi"/>
      <w:szCs w:val="22"/>
    </w:rPr>
  </w:style>
  <w:style w:type="paragraph" w:customStyle="1" w:styleId="227">
    <w:name w:val="Char Char Char1 Char Char Char Char Char Char Char"/>
    <w:basedOn w:val="1"/>
    <w:qFormat/>
    <w:uiPriority w:val="0"/>
  </w:style>
  <w:style w:type="paragraph" w:customStyle="1" w:styleId="228">
    <w:name w:val="批注框文本1"/>
    <w:basedOn w:val="1"/>
    <w:qFormat/>
    <w:uiPriority w:val="0"/>
    <w:pPr>
      <w:ind w:firstLine="200" w:firstLineChars="200"/>
    </w:pPr>
    <w:rPr>
      <w:sz w:val="18"/>
      <w:szCs w:val="18"/>
    </w:rPr>
  </w:style>
  <w:style w:type="paragraph" w:customStyle="1" w:styleId="229">
    <w:name w:val="A2 Ende 12er"/>
    <w:basedOn w:val="1"/>
    <w:qFormat/>
    <w:uiPriority w:val="0"/>
    <w:pPr>
      <w:widowControl/>
      <w:tabs>
        <w:tab w:val="left" w:pos="993"/>
        <w:tab w:val="right" w:pos="1418"/>
        <w:tab w:val="left" w:pos="1560"/>
        <w:tab w:val="left" w:pos="4536"/>
        <w:tab w:val="decimal" w:pos="5954"/>
        <w:tab w:val="left" w:pos="7088"/>
        <w:tab w:val="decimal" w:pos="8505"/>
      </w:tabs>
      <w:spacing w:after="240"/>
      <w:ind w:left="1559" w:hanging="567"/>
      <w:jc w:val="left"/>
    </w:pPr>
    <w:rPr>
      <w:rFonts w:ascii="Arial" w:hAnsi="Arial"/>
      <w:kern w:val="0"/>
      <w:sz w:val="22"/>
      <w:szCs w:val="20"/>
      <w:lang w:val="de-DE" w:eastAsia="de-DE"/>
    </w:rPr>
  </w:style>
  <w:style w:type="character" w:customStyle="1" w:styleId="230">
    <w:name w:val="Normal Char"/>
    <w:link w:val="231"/>
    <w:qFormat/>
    <w:locked/>
    <w:uiPriority w:val="0"/>
    <w:rPr>
      <w:rFonts w:ascii="宋体" w:hAnsi="宋体" w:eastAsia="Times New Roman"/>
      <w:sz w:val="24"/>
    </w:rPr>
  </w:style>
  <w:style w:type="paragraph" w:customStyle="1" w:styleId="231">
    <w:name w:val="正文1"/>
    <w:basedOn w:val="232"/>
    <w:link w:val="230"/>
    <w:qFormat/>
    <w:uiPriority w:val="0"/>
    <w:pPr>
      <w:widowControl w:val="0"/>
      <w:adjustRightInd w:val="0"/>
      <w:spacing w:line="360" w:lineRule="atLeast"/>
    </w:pPr>
    <w:rPr>
      <w:rFonts w:ascii="宋体" w:hAnsi="宋体" w:eastAsia="Times New Roman" w:cstheme="minorBidi"/>
      <w:kern w:val="2"/>
      <w:sz w:val="24"/>
      <w:szCs w:val="22"/>
      <w:lang w:val="en-US" w:eastAsia="zh-CN" w:bidi="ar-SA"/>
    </w:rPr>
  </w:style>
  <w:style w:type="paragraph" w:customStyle="1" w:styleId="232">
    <w:name w:val="标准正文"/>
    <w:basedOn w:val="1"/>
    <w:link w:val="604"/>
    <w:qFormat/>
    <w:uiPriority w:val="0"/>
    <w:pPr>
      <w:autoSpaceDE w:val="0"/>
      <w:autoSpaceDN w:val="0"/>
      <w:adjustRightInd w:val="0"/>
      <w:snapToGrid w:val="0"/>
      <w:ind w:firstLine="510"/>
    </w:pPr>
    <w:rPr>
      <w:rFonts w:asciiTheme="minorHAnsi" w:hAnsiTheme="minorHAnsi" w:eastAsiaTheme="minorEastAsia" w:cstheme="minorBidi"/>
      <w:color w:val="0000FF"/>
      <w:sz w:val="28"/>
      <w:szCs w:val="22"/>
    </w:rPr>
  </w:style>
  <w:style w:type="paragraph" w:customStyle="1" w:styleId="233">
    <w:name w:val="xl30"/>
    <w:basedOn w:val="1"/>
    <w:qFormat/>
    <w:uiPriority w:val="0"/>
    <w:pPr>
      <w:widowControl/>
      <w:spacing w:before="100" w:beforeAutospacing="1" w:after="100" w:afterAutospacing="1"/>
      <w:jc w:val="center"/>
    </w:pPr>
    <w:rPr>
      <w:rFonts w:ascii="黑体" w:hAnsi="Arial Unicode MS" w:eastAsia="黑体" w:cs="Arial Unicode MS"/>
      <w:bCs/>
      <w:kern w:val="0"/>
      <w:sz w:val="36"/>
      <w:szCs w:val="36"/>
    </w:rPr>
  </w:style>
  <w:style w:type="paragraph" w:customStyle="1" w:styleId="234">
    <w:name w:val="正文-叶"/>
    <w:basedOn w:val="1"/>
    <w:qFormat/>
    <w:uiPriority w:val="0"/>
    <w:pPr>
      <w:topLinePunct/>
      <w:spacing w:line="312" w:lineRule="auto"/>
      <w:ind w:firstLine="465" w:firstLineChars="200"/>
    </w:pPr>
    <w:rPr>
      <w:szCs w:val="20"/>
    </w:rPr>
  </w:style>
  <w:style w:type="paragraph" w:customStyle="1" w:styleId="235">
    <w:name w:val="副标题1"/>
    <w:basedOn w:val="1"/>
    <w:qFormat/>
    <w:uiPriority w:val="0"/>
    <w:pPr>
      <w:adjustRightInd w:val="0"/>
      <w:snapToGrid w:val="0"/>
      <w:spacing w:before="240" w:after="60" w:line="312" w:lineRule="auto"/>
      <w:ind w:firstLine="200" w:firstLineChars="200"/>
      <w:jc w:val="center"/>
      <w:outlineLvl w:val="1"/>
    </w:pPr>
    <w:rPr>
      <w:rFonts w:ascii="Arial" w:hAnsi="Arial"/>
      <w:b/>
      <w:kern w:val="28"/>
      <w:sz w:val="32"/>
      <w:szCs w:val="20"/>
    </w:rPr>
  </w:style>
  <w:style w:type="character" w:customStyle="1" w:styleId="236">
    <w:name w:val="正文(首行缩进) Char"/>
    <w:link w:val="237"/>
    <w:qFormat/>
    <w:locked/>
    <w:uiPriority w:val="0"/>
    <w:rPr>
      <w:color w:val="000000"/>
      <w:sz w:val="24"/>
      <w:szCs w:val="24"/>
    </w:rPr>
  </w:style>
  <w:style w:type="paragraph" w:customStyle="1" w:styleId="237">
    <w:name w:val="正文(首行缩进)"/>
    <w:basedOn w:val="1"/>
    <w:link w:val="236"/>
    <w:qFormat/>
    <w:uiPriority w:val="0"/>
    <w:pPr>
      <w:ind w:firstLine="540" w:firstLineChars="225"/>
    </w:pPr>
    <w:rPr>
      <w:rFonts w:asciiTheme="minorHAnsi" w:hAnsiTheme="minorHAnsi" w:eastAsiaTheme="minorEastAsia" w:cstheme="minorBidi"/>
      <w:color w:val="000000"/>
    </w:rPr>
  </w:style>
  <w:style w:type="paragraph" w:customStyle="1" w:styleId="238">
    <w:name w:val="字元"/>
    <w:basedOn w:val="1"/>
    <w:next w:val="1"/>
    <w:qFormat/>
    <w:uiPriority w:val="0"/>
    <w:pPr>
      <w:spacing w:line="480" w:lineRule="exact"/>
      <w:ind w:left="420" w:firstLine="420"/>
      <w:jc w:val="left"/>
    </w:pPr>
    <w:rPr>
      <w:kern w:val="0"/>
    </w:rPr>
  </w:style>
  <w:style w:type="paragraph" w:customStyle="1" w:styleId="239">
    <w:name w:val="Char Char Char Char Char Char Char Char Char1 Char"/>
    <w:basedOn w:val="1"/>
    <w:qFormat/>
    <w:uiPriority w:val="0"/>
  </w:style>
  <w:style w:type="paragraph" w:customStyle="1" w:styleId="240">
    <w:name w:val="Char Char1 Char Char Char Char Char Char Char Char Char Char Char Char Char Char Char Char Char Char Char Char1 Char"/>
    <w:basedOn w:val="1"/>
    <w:qFormat/>
    <w:uiPriority w:val="0"/>
    <w:pPr>
      <w:ind w:firstLine="200" w:firstLineChars="200"/>
    </w:pPr>
    <w:rPr>
      <w:rFonts w:cs="宋体"/>
    </w:rPr>
  </w:style>
  <w:style w:type="paragraph" w:customStyle="1" w:styleId="241">
    <w:name w:val="正文文本 33"/>
    <w:basedOn w:val="1"/>
    <w:qFormat/>
    <w:uiPriority w:val="0"/>
    <w:pPr>
      <w:adjustRightInd w:val="0"/>
      <w:jc w:val="center"/>
    </w:pPr>
    <w:rPr>
      <w:bCs/>
      <w:kern w:val="0"/>
      <w:szCs w:val="20"/>
    </w:rPr>
  </w:style>
  <w:style w:type="paragraph" w:customStyle="1" w:styleId="242">
    <w:name w:val="标题二"/>
    <w:basedOn w:val="1"/>
    <w:next w:val="62"/>
    <w:qFormat/>
    <w:uiPriority w:val="0"/>
    <w:pPr>
      <w:widowControl/>
      <w:spacing w:line="240" w:lineRule="atLeast"/>
    </w:pPr>
    <w:rPr>
      <w:kern w:val="0"/>
      <w:szCs w:val="20"/>
    </w:rPr>
  </w:style>
  <w:style w:type="character" w:customStyle="1" w:styleId="243">
    <w:name w:val="【表头】 Char"/>
    <w:link w:val="244"/>
    <w:qFormat/>
    <w:locked/>
    <w:uiPriority w:val="0"/>
    <w:rPr>
      <w:rFonts w:ascii="黑体" w:hAnsi="黑体" w:eastAsia="黑体"/>
      <w:sz w:val="24"/>
    </w:rPr>
  </w:style>
  <w:style w:type="paragraph" w:customStyle="1" w:styleId="244">
    <w:name w:val="【表头】"/>
    <w:basedOn w:val="1"/>
    <w:link w:val="243"/>
    <w:qFormat/>
    <w:uiPriority w:val="0"/>
    <w:pPr>
      <w:spacing w:line="460" w:lineRule="exact"/>
      <w:jc w:val="center"/>
    </w:pPr>
    <w:rPr>
      <w:rFonts w:ascii="黑体" w:hAnsi="黑体" w:eastAsia="黑体" w:cstheme="minorBidi"/>
      <w:szCs w:val="22"/>
    </w:rPr>
  </w:style>
  <w:style w:type="paragraph" w:customStyle="1" w:styleId="245">
    <w:name w:val="wj样式 + 首行缩进:  2 字符"/>
    <w:basedOn w:val="1"/>
    <w:next w:val="1"/>
    <w:qFormat/>
    <w:uiPriority w:val="0"/>
    <w:pPr>
      <w:ind w:firstLine="536"/>
    </w:pPr>
    <w:rPr>
      <w:rFonts w:cs="宋体"/>
      <w:spacing w:val="14"/>
      <w:szCs w:val="20"/>
    </w:rPr>
  </w:style>
  <w:style w:type="paragraph" w:customStyle="1" w:styleId="246">
    <w:name w:val="xl97"/>
    <w:basedOn w:val="1"/>
    <w:qFormat/>
    <w:uiPriority w:val="0"/>
    <w:pPr>
      <w:widowControl/>
      <w:pBdr>
        <w:left w:val="single" w:color="auto" w:sz="8" w:space="0"/>
        <w:right w:val="single" w:color="auto" w:sz="4" w:space="0"/>
      </w:pBdr>
      <w:spacing w:before="100" w:beforeAutospacing="1" w:after="100" w:afterAutospacing="1"/>
      <w:jc w:val="center"/>
    </w:pPr>
    <w:rPr>
      <w:rFonts w:eastAsia="Arial Unicode MS"/>
      <w:kern w:val="0"/>
      <w:sz w:val="16"/>
      <w:szCs w:val="16"/>
    </w:rPr>
  </w:style>
  <w:style w:type="paragraph" w:customStyle="1" w:styleId="247">
    <w:name w:val="列表 21"/>
    <w:basedOn w:val="1"/>
    <w:qFormat/>
    <w:uiPriority w:val="0"/>
    <w:pPr>
      <w:adjustRightInd w:val="0"/>
      <w:snapToGrid w:val="0"/>
      <w:ind w:left="100" w:leftChars="200" w:hanging="200" w:hangingChars="200"/>
    </w:pPr>
    <w:rPr>
      <w:rFonts w:eastAsia="Times New Roman"/>
      <w:szCs w:val="20"/>
    </w:rPr>
  </w:style>
  <w:style w:type="paragraph" w:customStyle="1" w:styleId="248">
    <w:name w:val="xl46"/>
    <w:basedOn w:val="1"/>
    <w:qFormat/>
    <w:uiPriority w:val="0"/>
    <w:pPr>
      <w:widowControl/>
      <w:pBdr>
        <w:bottom w:val="single" w:color="auto" w:sz="8" w:space="0"/>
        <w:right w:val="single" w:color="auto" w:sz="4" w:space="0"/>
      </w:pBdr>
      <w:spacing w:before="100" w:beforeAutospacing="1" w:after="100" w:afterAutospacing="1"/>
      <w:jc w:val="center"/>
    </w:pPr>
    <w:rPr>
      <w:rFonts w:eastAsia="Arial Unicode MS"/>
      <w:color w:val="000000"/>
      <w:kern w:val="0"/>
    </w:rPr>
  </w:style>
  <w:style w:type="paragraph" w:customStyle="1" w:styleId="249">
    <w:name w:val="xl7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Arial Unicode MS" w:hAnsi="Arial Unicode MS" w:eastAsia="Arial Unicode MS"/>
      <w:kern w:val="0"/>
      <w:szCs w:val="20"/>
    </w:rPr>
  </w:style>
  <w:style w:type="paragraph" w:customStyle="1" w:styleId="250">
    <w:name w:val="xl98"/>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eastAsia="Arial Unicode MS"/>
      <w:kern w:val="0"/>
      <w:sz w:val="16"/>
      <w:szCs w:val="16"/>
    </w:rPr>
  </w:style>
  <w:style w:type="paragraph" w:customStyle="1" w:styleId="251">
    <w:name w:val="正文文本 31"/>
    <w:basedOn w:val="1"/>
    <w:qFormat/>
    <w:uiPriority w:val="0"/>
    <w:pPr>
      <w:adjustRightInd w:val="0"/>
      <w:snapToGrid w:val="0"/>
      <w:spacing w:after="120"/>
      <w:ind w:firstLine="200" w:firstLineChars="200"/>
    </w:pPr>
    <w:rPr>
      <w:rFonts w:eastAsia="Times New Roman"/>
      <w:sz w:val="16"/>
      <w:szCs w:val="20"/>
    </w:rPr>
  </w:style>
  <w:style w:type="paragraph" w:customStyle="1" w:styleId="252">
    <w:name w:val="日期1"/>
    <w:basedOn w:val="1"/>
    <w:next w:val="1"/>
    <w:qFormat/>
    <w:uiPriority w:val="0"/>
    <w:pPr>
      <w:ind w:left="100" w:leftChars="2500" w:firstLine="200" w:firstLineChars="200"/>
    </w:pPr>
    <w:rPr>
      <w:szCs w:val="22"/>
    </w:rPr>
  </w:style>
  <w:style w:type="paragraph" w:customStyle="1" w:styleId="253">
    <w:name w:val="TableButton"/>
    <w:basedOn w:val="1"/>
    <w:qFormat/>
    <w:uiPriority w:val="0"/>
    <w:pPr>
      <w:kinsoku w:val="0"/>
      <w:overflowPunct w:val="0"/>
      <w:autoSpaceDE w:val="0"/>
      <w:autoSpaceDN w:val="0"/>
      <w:snapToGrid w:val="0"/>
      <w:spacing w:line="600" w:lineRule="exact"/>
      <w:jc w:val="center"/>
      <w:outlineLvl w:val="0"/>
    </w:pPr>
    <w:rPr>
      <w:kern w:val="0"/>
      <w:szCs w:val="20"/>
    </w:rPr>
  </w:style>
  <w:style w:type="paragraph" w:customStyle="1" w:styleId="254">
    <w:name w:val="涪陵表格"/>
    <w:basedOn w:val="53"/>
    <w:qFormat/>
    <w:uiPriority w:val="0"/>
  </w:style>
  <w:style w:type="paragraph" w:customStyle="1" w:styleId="255">
    <w:name w:val="奉读大示，心折殊深。"/>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256">
    <w:name w:val="A4页面"/>
    <w:basedOn w:val="1"/>
    <w:qFormat/>
    <w:uiPriority w:val="0"/>
    <w:pPr>
      <w:spacing w:line="560" w:lineRule="exact"/>
      <w:ind w:firstLine="640"/>
    </w:pPr>
    <w:rPr>
      <w:rFonts w:eastAsia="仿宋_GB2312"/>
      <w:sz w:val="32"/>
      <w:szCs w:val="20"/>
    </w:rPr>
  </w:style>
  <w:style w:type="paragraph" w:customStyle="1" w:styleId="257">
    <w:name w:val="引言"/>
    <w:basedOn w:val="1"/>
    <w:next w:val="1"/>
    <w:qFormat/>
    <w:uiPriority w:val="0"/>
    <w:pPr>
      <w:spacing w:line="480" w:lineRule="auto"/>
      <w:ind w:firstLine="480"/>
      <w:jc w:val="left"/>
    </w:pPr>
    <w:rPr>
      <w:bCs/>
      <w:kern w:val="0"/>
    </w:rPr>
  </w:style>
  <w:style w:type="paragraph" w:customStyle="1" w:styleId="258">
    <w:name w:val="xl38"/>
    <w:basedOn w:val="1"/>
    <w:qFormat/>
    <w:uiPriority w:val="0"/>
    <w:pPr>
      <w:widowControl/>
      <w:pBdr>
        <w:left w:val="single" w:color="auto" w:sz="4" w:space="0"/>
        <w:right w:val="single" w:color="auto" w:sz="4" w:space="0"/>
      </w:pBdr>
      <w:spacing w:before="100" w:after="100"/>
      <w:jc w:val="center"/>
    </w:pPr>
    <w:rPr>
      <w:rFonts w:ascii="楷体_GB2312" w:hAnsi="Arial Unicode MS" w:eastAsia="楷体_GB2312"/>
      <w:kern w:val="0"/>
      <w:szCs w:val="20"/>
    </w:rPr>
  </w:style>
  <w:style w:type="paragraph" w:customStyle="1" w:styleId="259">
    <w:name w:val="样式 方案表格标题 + 段后: 0.5 行1"/>
    <w:basedOn w:val="1"/>
    <w:qFormat/>
    <w:uiPriority w:val="0"/>
    <w:pPr>
      <w:adjustRightInd w:val="0"/>
      <w:snapToGrid w:val="0"/>
      <w:jc w:val="center"/>
    </w:pPr>
    <w:rPr>
      <w:rFonts w:cs="宋体"/>
      <w:b/>
      <w:kern w:val="0"/>
      <w:szCs w:val="20"/>
    </w:rPr>
  </w:style>
  <w:style w:type="paragraph" w:customStyle="1" w:styleId="260">
    <w:name w:val="t12"/>
    <w:basedOn w:val="1"/>
    <w:qFormat/>
    <w:uiPriority w:val="0"/>
    <w:pPr>
      <w:widowControl/>
      <w:spacing w:before="100" w:beforeAutospacing="1" w:after="100" w:afterAutospacing="1"/>
      <w:jc w:val="left"/>
    </w:pPr>
    <w:rPr>
      <w:rFonts w:cs="宋体"/>
      <w:kern w:val="0"/>
    </w:rPr>
  </w:style>
  <w:style w:type="paragraph" w:customStyle="1" w:styleId="261">
    <w:name w:val="F-表格-5号字"/>
    <w:basedOn w:val="1"/>
    <w:next w:val="1"/>
    <w:qFormat/>
    <w:uiPriority w:val="0"/>
    <w:pPr>
      <w:spacing w:line="240" w:lineRule="exact"/>
    </w:pPr>
  </w:style>
  <w:style w:type="paragraph" w:customStyle="1" w:styleId="262">
    <w:name w:val="列出段落2"/>
    <w:basedOn w:val="1"/>
    <w:qFormat/>
    <w:uiPriority w:val="0"/>
    <w:pPr>
      <w:ind w:firstLine="420" w:firstLineChars="200"/>
    </w:pPr>
  </w:style>
  <w:style w:type="character" w:customStyle="1" w:styleId="263">
    <w:name w:val="Char Char6"/>
    <w:link w:val="264"/>
    <w:qFormat/>
    <w:locked/>
    <w:uiPriority w:val="0"/>
    <w:rPr>
      <w:rFonts w:ascii="宋体" w:hAnsi="宋体" w:eastAsia="宋体" w:cs="宋体"/>
      <w:sz w:val="24"/>
      <w:szCs w:val="24"/>
    </w:rPr>
  </w:style>
  <w:style w:type="paragraph" w:customStyle="1" w:styleId="264">
    <w:name w:val="Char"/>
    <w:basedOn w:val="1"/>
    <w:link w:val="263"/>
    <w:qFormat/>
    <w:uiPriority w:val="0"/>
    <w:pPr>
      <w:ind w:firstLine="200" w:firstLineChars="200"/>
    </w:pPr>
    <w:rPr>
      <w:rFonts w:cs="宋体"/>
    </w:rPr>
  </w:style>
  <w:style w:type="paragraph" w:customStyle="1" w:styleId="265">
    <w:name w:val="font9"/>
    <w:basedOn w:val="1"/>
    <w:qFormat/>
    <w:uiPriority w:val="0"/>
    <w:pPr>
      <w:widowControl/>
      <w:spacing w:before="100" w:beforeAutospacing="1" w:after="100" w:afterAutospacing="1"/>
      <w:jc w:val="left"/>
    </w:pPr>
    <w:rPr>
      <w:color w:val="000000"/>
      <w:kern w:val="0"/>
      <w:sz w:val="20"/>
      <w:szCs w:val="20"/>
    </w:rPr>
  </w:style>
  <w:style w:type="paragraph" w:customStyle="1" w:styleId="266">
    <w:name w:val="编号1"/>
    <w:basedOn w:val="1"/>
    <w:qFormat/>
    <w:uiPriority w:val="0"/>
    <w:pPr>
      <w:tabs>
        <w:tab w:val="left" w:pos="980"/>
        <w:tab w:val="left" w:pos="1620"/>
      </w:tabs>
      <w:spacing w:line="500" w:lineRule="exact"/>
      <w:ind w:left="980" w:leftChars="600" w:hanging="420" w:hangingChars="200"/>
    </w:pPr>
    <w:rPr>
      <w:rFonts w:eastAsia="仿宋_GB2312"/>
      <w:color w:val="000000"/>
      <w:sz w:val="32"/>
      <w:szCs w:val="20"/>
    </w:rPr>
  </w:style>
  <w:style w:type="paragraph" w:customStyle="1" w:styleId="267">
    <w:name w:val="xl79"/>
    <w:basedOn w:val="1"/>
    <w:qFormat/>
    <w:uiPriority w:val="0"/>
    <w:pPr>
      <w:widowControl/>
      <w:pBdr>
        <w:top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268">
    <w:name w:val="章标题(不加入目录内)"/>
    <w:basedOn w:val="62"/>
    <w:qFormat/>
    <w:uiPriority w:val="0"/>
    <w:pPr>
      <w:keepLines/>
      <w:pageBreakBefore/>
      <w:outlineLvl w:val="9"/>
    </w:pPr>
    <w:rPr>
      <w:rFonts w:eastAsia="黑体"/>
      <w:bCs w:val="0"/>
      <w:sz w:val="36"/>
      <w:szCs w:val="20"/>
    </w:rPr>
  </w:style>
  <w:style w:type="paragraph" w:customStyle="1" w:styleId="269">
    <w:name w:val="样式"/>
    <w:basedOn w:val="1"/>
    <w:next w:val="55"/>
    <w:qFormat/>
    <w:uiPriority w:val="0"/>
    <w:pPr>
      <w:tabs>
        <w:tab w:val="left" w:pos="6720"/>
      </w:tabs>
      <w:ind w:firstLine="480" w:firstLineChars="200"/>
    </w:pPr>
    <w:rPr>
      <w:rFonts w:ascii="楷体_GB2312" w:eastAsia="楷体_GB2312"/>
    </w:rPr>
  </w:style>
  <w:style w:type="paragraph" w:customStyle="1" w:styleId="270">
    <w:name w:val="正文（首行缩进）"/>
    <w:basedOn w:val="1"/>
    <w:link w:val="1257"/>
    <w:qFormat/>
    <w:uiPriority w:val="0"/>
    <w:pPr>
      <w:widowControl/>
      <w:ind w:firstLine="480" w:firstLineChars="200"/>
      <w:jc w:val="left"/>
    </w:pPr>
    <w:rPr>
      <w:color w:val="000000"/>
      <w:szCs w:val="20"/>
    </w:rPr>
  </w:style>
  <w:style w:type="paragraph" w:customStyle="1" w:styleId="271">
    <w:name w:val="表格 32"/>
    <w:basedOn w:val="1"/>
    <w:qFormat/>
    <w:uiPriority w:val="0"/>
    <w:pPr>
      <w:autoSpaceDE w:val="0"/>
      <w:autoSpaceDN w:val="0"/>
      <w:adjustRightInd w:val="0"/>
      <w:jc w:val="center"/>
    </w:pPr>
    <w:rPr>
      <w:rFonts w:eastAsia="楷体_GB2312"/>
      <w:kern w:val="0"/>
      <w:szCs w:val="20"/>
    </w:rPr>
  </w:style>
  <w:style w:type="paragraph" w:customStyle="1" w:styleId="272">
    <w:name w:val="正文内容"/>
    <w:basedOn w:val="1"/>
    <w:qFormat/>
    <w:uiPriority w:val="0"/>
    <w:pPr>
      <w:adjustRightInd w:val="0"/>
      <w:snapToGrid w:val="0"/>
      <w:ind w:firstLine="496" w:firstLineChars="200"/>
    </w:pPr>
    <w:rPr>
      <w:spacing w:val="4"/>
      <w:kern w:val="0"/>
      <w:szCs w:val="20"/>
    </w:rPr>
  </w:style>
  <w:style w:type="paragraph" w:customStyle="1" w:styleId="273">
    <w:name w:val="调研内容"/>
    <w:basedOn w:val="1"/>
    <w:qFormat/>
    <w:uiPriority w:val="0"/>
    <w:rPr>
      <w:szCs w:val="20"/>
    </w:rPr>
  </w:style>
  <w:style w:type="paragraph" w:customStyle="1" w:styleId="274">
    <w:name w:val="zhang正文"/>
    <w:basedOn w:val="34"/>
    <w:qFormat/>
    <w:uiPriority w:val="0"/>
    <w:pPr>
      <w:autoSpaceDE w:val="0"/>
      <w:autoSpaceDN w:val="0"/>
      <w:adjustRightInd w:val="0"/>
      <w:snapToGrid w:val="0"/>
      <w:spacing w:after="0" w:line="500" w:lineRule="exact"/>
      <w:ind w:left="0" w:leftChars="0" w:firstLine="539"/>
    </w:pPr>
    <w:rPr>
      <w:rFonts w:eastAsia="楷体_GB2312"/>
      <w:kern w:val="0"/>
      <w:sz w:val="28"/>
      <w:szCs w:val="20"/>
    </w:rPr>
  </w:style>
  <w:style w:type="paragraph" w:customStyle="1" w:styleId="275">
    <w:name w:val="Char Char Char Char1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76">
    <w:name w:val="中文报告书"/>
    <w:basedOn w:val="1"/>
    <w:qFormat/>
    <w:uiPriority w:val="0"/>
    <w:pPr>
      <w:adjustRightInd w:val="0"/>
      <w:spacing w:after="80" w:line="420" w:lineRule="atLeast"/>
      <w:jc w:val="left"/>
    </w:pPr>
    <w:rPr>
      <w:kern w:val="0"/>
      <w:szCs w:val="20"/>
    </w:rPr>
  </w:style>
  <w:style w:type="paragraph" w:customStyle="1" w:styleId="277">
    <w:name w:val="Char1 Char Char Char Char Char Char"/>
    <w:basedOn w:val="1"/>
    <w:qFormat/>
    <w:uiPriority w:val="0"/>
    <w:pPr>
      <w:spacing w:beforeLines="50"/>
      <w:ind w:firstLine="200" w:firstLineChars="200"/>
    </w:pPr>
    <w:rPr>
      <w:rFonts w:cs="宋体"/>
    </w:rPr>
  </w:style>
  <w:style w:type="paragraph" w:customStyle="1" w:styleId="278">
    <w:name w:val="标题003"/>
    <w:basedOn w:val="1"/>
    <w:qFormat/>
    <w:uiPriority w:val="0"/>
    <w:pPr>
      <w:spacing w:before="120" w:line="440" w:lineRule="exact"/>
      <w:outlineLvl w:val="2"/>
    </w:pPr>
    <w:rPr>
      <w:b/>
      <w:sz w:val="27"/>
      <w:szCs w:val="20"/>
    </w:rPr>
  </w:style>
  <w:style w:type="paragraph" w:customStyle="1" w:styleId="279">
    <w:name w:val="燕山正文"/>
    <w:basedOn w:val="1"/>
    <w:qFormat/>
    <w:uiPriority w:val="0"/>
    <w:pPr>
      <w:tabs>
        <w:tab w:val="left" w:pos="4680"/>
      </w:tabs>
      <w:adjustRightInd w:val="0"/>
      <w:snapToGrid w:val="0"/>
      <w:ind w:firstLine="520" w:firstLineChars="200"/>
      <w:jc w:val="left"/>
    </w:pPr>
    <w:rPr>
      <w:rFonts w:hAnsi="Arial"/>
      <w:spacing w:val="10"/>
      <w:kern w:val="0"/>
    </w:rPr>
  </w:style>
  <w:style w:type="paragraph" w:customStyle="1" w:styleId="280">
    <w:name w:val="段标题"/>
    <w:basedOn w:val="1"/>
    <w:next w:val="1"/>
    <w:qFormat/>
    <w:uiPriority w:val="0"/>
    <w:pPr>
      <w:ind w:firstLine="200" w:firstLineChars="200"/>
      <w:jc w:val="left"/>
      <w:outlineLvl w:val="2"/>
    </w:pPr>
    <w:rPr>
      <w:bCs/>
      <w:kern w:val="0"/>
      <w:sz w:val="28"/>
      <w:szCs w:val="28"/>
    </w:rPr>
  </w:style>
  <w:style w:type="paragraph" w:customStyle="1" w:styleId="281">
    <w:name w:val="huigel标题1"/>
    <w:basedOn w:val="9"/>
    <w:next w:val="15"/>
    <w:qFormat/>
    <w:uiPriority w:val="0"/>
    <w:pPr>
      <w:keepLines/>
      <w:tabs>
        <w:tab w:val="left" w:pos="1117"/>
      </w:tabs>
      <w:spacing w:line="360" w:lineRule="auto"/>
      <w:ind w:left="397"/>
    </w:pPr>
    <w:rPr>
      <w:rFonts w:ascii="Times New Roman" w:eastAsia="仿宋_GB2312" w:cs="Times New Roman"/>
      <w:b/>
      <w:bCs/>
      <w:kern w:val="44"/>
      <w:szCs w:val="44"/>
    </w:rPr>
  </w:style>
  <w:style w:type="paragraph" w:customStyle="1" w:styleId="282">
    <w:name w:val="特殊标题３"/>
    <w:basedOn w:val="1"/>
    <w:qFormat/>
    <w:uiPriority w:val="0"/>
    <w:pPr>
      <w:overflowPunct w:val="0"/>
      <w:autoSpaceDE w:val="0"/>
      <w:autoSpaceDN w:val="0"/>
      <w:adjustRightInd w:val="0"/>
    </w:pPr>
    <w:rPr>
      <w:rFonts w:eastAsia="仿宋_GB2312"/>
      <w:kern w:val="0"/>
      <w:sz w:val="28"/>
      <w:szCs w:val="20"/>
    </w:rPr>
  </w:style>
  <w:style w:type="paragraph" w:customStyle="1" w:styleId="283">
    <w:name w:val="正文 + 首行缩进:  2 字符"/>
    <w:basedOn w:val="1"/>
    <w:qFormat/>
    <w:uiPriority w:val="0"/>
    <w:pPr>
      <w:spacing w:line="460" w:lineRule="atLeast"/>
      <w:ind w:firstLine="528" w:firstLineChars="200"/>
    </w:pPr>
    <w:rPr>
      <w:spacing w:val="12"/>
      <w:szCs w:val="20"/>
    </w:rPr>
  </w:style>
  <w:style w:type="paragraph" w:customStyle="1" w:styleId="284">
    <w:name w:val="xl88"/>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eastAsia="Arial Unicode MS"/>
      <w:kern w:val="0"/>
      <w:sz w:val="16"/>
      <w:szCs w:val="16"/>
    </w:rPr>
  </w:style>
  <w:style w:type="paragraph" w:customStyle="1" w:styleId="285">
    <w:name w:val="小四表文左齐"/>
    <w:basedOn w:val="1"/>
    <w:qFormat/>
    <w:uiPriority w:val="0"/>
    <w:pPr>
      <w:spacing w:line="360" w:lineRule="exact"/>
      <w:jc w:val="center"/>
    </w:pPr>
  </w:style>
  <w:style w:type="paragraph" w:customStyle="1" w:styleId="286">
    <w:name w:val="奇数页脚"/>
    <w:basedOn w:val="46"/>
    <w:qFormat/>
    <w:uiPriority w:val="0"/>
    <w:pPr>
      <w:widowControl/>
      <w:tabs>
        <w:tab w:val="center" w:pos="4320"/>
        <w:tab w:val="right" w:pos="8640"/>
        <w:tab w:val="clear" w:pos="4153"/>
        <w:tab w:val="clear" w:pos="8306"/>
      </w:tabs>
      <w:adjustRightInd w:val="0"/>
      <w:ind w:firstLine="480" w:firstLineChars="200"/>
      <w:jc w:val="right"/>
    </w:pPr>
    <w:rPr>
      <w:i/>
      <w:kern w:val="0"/>
      <w:sz w:val="24"/>
    </w:rPr>
  </w:style>
  <w:style w:type="paragraph" w:customStyle="1" w:styleId="287">
    <w:name w:val="列表 41"/>
    <w:basedOn w:val="1"/>
    <w:qFormat/>
    <w:uiPriority w:val="0"/>
    <w:pPr>
      <w:adjustRightInd w:val="0"/>
      <w:snapToGrid w:val="0"/>
      <w:ind w:left="100" w:leftChars="600" w:hanging="200" w:hangingChars="200"/>
    </w:pPr>
    <w:rPr>
      <w:rFonts w:eastAsia="Times New Roman"/>
      <w:szCs w:val="20"/>
    </w:rPr>
  </w:style>
  <w:style w:type="paragraph" w:customStyle="1" w:styleId="288">
    <w:name w:val="样式 标题 2 + Times New Roman"/>
    <w:basedOn w:val="10"/>
    <w:qFormat/>
    <w:uiPriority w:val="0"/>
    <w:pPr>
      <w:widowControl/>
      <w:spacing w:line="412" w:lineRule="auto"/>
      <w:ind w:firstLine="538" w:firstLineChars="192"/>
      <w:jc w:val="left"/>
    </w:pPr>
    <w:rPr>
      <w:rFonts w:ascii="Times New Roman" w:hAnsi="Times New Roman"/>
      <w:bCs w:val="0"/>
      <w:kern w:val="0"/>
      <w:sz w:val="24"/>
    </w:rPr>
  </w:style>
  <w:style w:type="paragraph" w:customStyle="1" w:styleId="289">
    <w:name w:val="hb3"/>
    <w:basedOn w:val="11"/>
    <w:qFormat/>
    <w:uiPriority w:val="0"/>
    <w:pPr>
      <w:adjustRightInd w:val="0"/>
      <w:spacing w:line="500" w:lineRule="exact"/>
      <w:jc w:val="left"/>
    </w:pPr>
    <w:rPr>
      <w:bCs w:val="0"/>
      <w:kern w:val="0"/>
      <w:sz w:val="28"/>
      <w:szCs w:val="28"/>
    </w:rPr>
  </w:style>
  <w:style w:type="paragraph" w:customStyle="1" w:styleId="290">
    <w:name w:val="列表编号 21"/>
    <w:basedOn w:val="1"/>
    <w:qFormat/>
    <w:uiPriority w:val="0"/>
    <w:pPr>
      <w:tabs>
        <w:tab w:val="left" w:pos="780"/>
      </w:tabs>
      <w:adjustRightInd w:val="0"/>
      <w:snapToGrid w:val="0"/>
      <w:ind w:left="780" w:hanging="360" w:firstLineChars="200"/>
    </w:pPr>
    <w:rPr>
      <w:rFonts w:eastAsia="Times New Roman"/>
      <w:szCs w:val="20"/>
    </w:rPr>
  </w:style>
  <w:style w:type="paragraph" w:customStyle="1" w:styleId="291">
    <w:name w:val="热电厂正文 Char"/>
    <w:basedOn w:val="1"/>
    <w:qFormat/>
    <w:uiPriority w:val="0"/>
    <w:pPr>
      <w:spacing w:line="440" w:lineRule="exact"/>
      <w:ind w:firstLine="480" w:firstLineChars="200"/>
    </w:pPr>
    <w:rPr>
      <w:szCs w:val="20"/>
    </w:rPr>
  </w:style>
  <w:style w:type="paragraph" w:customStyle="1" w:styleId="292">
    <w:name w:val="ls1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8"/>
      <w:szCs w:val="18"/>
    </w:rPr>
  </w:style>
  <w:style w:type="paragraph" w:customStyle="1" w:styleId="293">
    <w:name w:val="_Style 29"/>
    <w:basedOn w:val="1"/>
    <w:next w:val="39"/>
    <w:qFormat/>
    <w:uiPriority w:val="0"/>
    <w:pPr>
      <w:spacing w:line="240" w:lineRule="atLeast"/>
      <w:ind w:firstLine="200" w:firstLineChars="200"/>
    </w:pPr>
    <w:rPr>
      <w:rFonts w:hAnsi="Courier New"/>
      <w:sz w:val="28"/>
      <w:szCs w:val="20"/>
    </w:rPr>
  </w:style>
  <w:style w:type="character" w:customStyle="1" w:styleId="294">
    <w:name w:val="样式 段前: 0 磅 段后: 0 磅 Char"/>
    <w:link w:val="295"/>
    <w:qFormat/>
    <w:locked/>
    <w:uiPriority w:val="0"/>
    <w:rPr>
      <w:rFonts w:ascii="宋体" w:hAnsi="宋体" w:eastAsia="宋体"/>
      <w:spacing w:val="14"/>
      <w:sz w:val="24"/>
      <w:szCs w:val="24"/>
    </w:rPr>
  </w:style>
  <w:style w:type="paragraph" w:customStyle="1" w:styleId="295">
    <w:name w:val="样式 段前: 0 磅 段后: 0 磅"/>
    <w:basedOn w:val="1"/>
    <w:link w:val="294"/>
    <w:qFormat/>
    <w:uiPriority w:val="0"/>
    <w:pPr>
      <w:adjustRightInd w:val="0"/>
      <w:snapToGrid w:val="0"/>
      <w:ind w:firstLine="567"/>
    </w:pPr>
    <w:rPr>
      <w:rFonts w:cstheme="minorBidi"/>
      <w:spacing w:val="14"/>
    </w:rPr>
  </w:style>
  <w:style w:type="paragraph" w:customStyle="1" w:styleId="296">
    <w:name w:val="正文王"/>
    <w:basedOn w:val="39"/>
    <w:qFormat/>
    <w:uiPriority w:val="0"/>
    <w:pPr>
      <w:spacing w:line="440" w:lineRule="exact"/>
    </w:pPr>
    <w:rPr>
      <w:rFonts w:ascii="Arial" w:hAnsi="Arial"/>
      <w:kern w:val="0"/>
      <w:szCs w:val="21"/>
    </w:rPr>
  </w:style>
  <w:style w:type="paragraph" w:customStyle="1" w:styleId="297">
    <w:name w:val="正文并列"/>
    <w:basedOn w:val="1"/>
    <w:next w:val="1"/>
    <w:qFormat/>
    <w:uiPriority w:val="0"/>
    <w:pPr>
      <w:spacing w:line="400" w:lineRule="exact"/>
      <w:ind w:firstLine="200" w:firstLineChars="200"/>
    </w:pPr>
  </w:style>
  <w:style w:type="character" w:customStyle="1" w:styleId="298">
    <w:name w:val="4 Char"/>
    <w:link w:val="299"/>
    <w:qFormat/>
    <w:locked/>
    <w:uiPriority w:val="0"/>
    <w:rPr>
      <w:sz w:val="30"/>
      <w:szCs w:val="24"/>
    </w:rPr>
  </w:style>
  <w:style w:type="paragraph" w:customStyle="1" w:styleId="299">
    <w:name w:val="4"/>
    <w:basedOn w:val="1"/>
    <w:next w:val="57"/>
    <w:link w:val="298"/>
    <w:qFormat/>
    <w:uiPriority w:val="0"/>
    <w:rPr>
      <w:rFonts w:asciiTheme="minorHAnsi" w:hAnsiTheme="minorHAnsi" w:eastAsiaTheme="minorEastAsia" w:cstheme="minorBidi"/>
      <w:sz w:val="30"/>
    </w:rPr>
  </w:style>
  <w:style w:type="paragraph" w:customStyle="1" w:styleId="300">
    <w:name w:val="可研-正文"/>
    <w:basedOn w:val="1"/>
    <w:qFormat/>
    <w:uiPriority w:val="0"/>
    <w:pPr>
      <w:widowControl/>
      <w:spacing w:line="520" w:lineRule="exact"/>
      <w:ind w:firstLine="200" w:firstLineChars="200"/>
    </w:pPr>
  </w:style>
  <w:style w:type="paragraph" w:customStyle="1" w:styleId="301">
    <w:name w:val="可研-节标题"/>
    <w:next w:val="300"/>
    <w:qFormat/>
    <w:uiPriority w:val="0"/>
    <w:pPr>
      <w:spacing w:line="360" w:lineRule="auto"/>
      <w:outlineLvl w:val="1"/>
    </w:pPr>
    <w:rPr>
      <w:rFonts w:ascii="Times New Roman" w:hAnsi="Times New Roman" w:eastAsia="宋体" w:cs="Times New Roman"/>
      <w:b/>
      <w:kern w:val="0"/>
      <w:sz w:val="28"/>
      <w:szCs w:val="30"/>
      <w:lang w:val="en-US" w:eastAsia="zh-CN" w:bidi="ar-SA"/>
    </w:rPr>
  </w:style>
  <w:style w:type="paragraph" w:customStyle="1" w:styleId="302">
    <w:name w:val="标题样式1"/>
    <w:basedOn w:val="33"/>
    <w:qFormat/>
    <w:uiPriority w:val="0"/>
    <w:pPr>
      <w:adjustRightInd w:val="0"/>
      <w:snapToGrid w:val="0"/>
      <w:spacing w:after="0" w:line="0" w:lineRule="atLeast"/>
      <w:jc w:val="center"/>
    </w:pPr>
    <w:rPr>
      <w:b/>
      <w:bCs/>
      <w:kern w:val="0"/>
      <w:szCs w:val="20"/>
    </w:rPr>
  </w:style>
  <w:style w:type="paragraph" w:customStyle="1" w:styleId="303">
    <w:name w:val="Char Char2 Char Char Char Char2"/>
    <w:basedOn w:val="1"/>
    <w:qFormat/>
    <w:uiPriority w:val="0"/>
  </w:style>
  <w:style w:type="paragraph" w:customStyle="1" w:styleId="304">
    <w:name w:val="reader-word-layer reader-word-s1-9"/>
    <w:basedOn w:val="1"/>
    <w:qFormat/>
    <w:uiPriority w:val="0"/>
    <w:pPr>
      <w:widowControl/>
      <w:spacing w:before="100" w:beforeAutospacing="1" w:after="100" w:afterAutospacing="1"/>
      <w:jc w:val="left"/>
    </w:pPr>
    <w:rPr>
      <w:rFonts w:cs="宋体"/>
      <w:kern w:val="0"/>
    </w:rPr>
  </w:style>
  <w:style w:type="paragraph" w:customStyle="1" w:styleId="305">
    <w:name w:val="协作单位"/>
    <w:basedOn w:val="1"/>
    <w:qFormat/>
    <w:uiPriority w:val="0"/>
    <w:pPr>
      <w:spacing w:line="312" w:lineRule="auto"/>
      <w:ind w:firstLine="1260"/>
    </w:pPr>
    <w:rPr>
      <w:rFonts w:eastAsia="黑体"/>
      <w:color w:val="000000"/>
      <w:kern w:val="0"/>
      <w:sz w:val="28"/>
      <w:szCs w:val="20"/>
    </w:rPr>
  </w:style>
  <w:style w:type="paragraph" w:customStyle="1" w:styleId="306">
    <w:name w:val="1"/>
    <w:basedOn w:val="1"/>
    <w:qFormat/>
    <w:uiPriority w:val="0"/>
    <w:pPr>
      <w:ind w:firstLine="200" w:firstLineChars="200"/>
    </w:pPr>
    <w:rPr>
      <w:sz w:val="18"/>
    </w:rPr>
  </w:style>
  <w:style w:type="paragraph" w:customStyle="1" w:styleId="307">
    <w:name w:val="Char Char Char1 Char Char Char Char Char"/>
    <w:basedOn w:val="1"/>
    <w:qFormat/>
    <w:uiPriority w:val="0"/>
    <w:pPr>
      <w:widowControl/>
      <w:jc w:val="left"/>
    </w:pPr>
    <w:rPr>
      <w:rFonts w:cs="宋体"/>
      <w:kern w:val="0"/>
    </w:rPr>
  </w:style>
  <w:style w:type="paragraph" w:customStyle="1" w:styleId="308">
    <w:name w:val="nachklapp"/>
    <w:basedOn w:val="1"/>
    <w:qFormat/>
    <w:uiPriority w:val="0"/>
    <w:pPr>
      <w:widowControl/>
      <w:tabs>
        <w:tab w:val="left" w:pos="3480"/>
        <w:tab w:val="left" w:pos="4440"/>
      </w:tabs>
      <w:jc w:val="left"/>
    </w:pPr>
    <w:rPr>
      <w:rFonts w:ascii="Arial" w:hAnsi="Arial"/>
      <w:kern w:val="0"/>
      <w:sz w:val="22"/>
      <w:szCs w:val="20"/>
      <w:lang w:val="en-GB" w:eastAsia="de-DE"/>
    </w:rPr>
  </w:style>
  <w:style w:type="paragraph" w:customStyle="1" w:styleId="309">
    <w:name w:val="Char1 Char Char Char"/>
    <w:basedOn w:val="1"/>
    <w:qFormat/>
    <w:uiPriority w:val="0"/>
    <w:pPr>
      <w:snapToGrid w:val="0"/>
      <w:ind w:firstLine="200" w:firstLineChars="200"/>
    </w:pPr>
    <w:rPr>
      <w:rFonts w:eastAsia="仿宋_GB2312"/>
    </w:rPr>
  </w:style>
  <w:style w:type="paragraph" w:customStyle="1" w:styleId="310">
    <w:name w:val="xl100"/>
    <w:basedOn w:val="1"/>
    <w:qFormat/>
    <w:uiPriority w:val="0"/>
    <w:pPr>
      <w:widowControl/>
      <w:pBdr>
        <w:top w:val="single" w:color="auto" w:sz="8"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rPr>
  </w:style>
  <w:style w:type="paragraph" w:customStyle="1" w:styleId="311">
    <w:name w:val="表名"/>
    <w:basedOn w:val="1"/>
    <w:qFormat/>
    <w:uiPriority w:val="0"/>
    <w:pPr>
      <w:overflowPunct w:val="0"/>
      <w:spacing w:before="120"/>
    </w:pPr>
    <w:rPr>
      <w:rFonts w:ascii="Arial" w:hAnsi="Arial" w:eastAsia="黑体"/>
      <w:szCs w:val="20"/>
    </w:rPr>
  </w:style>
  <w:style w:type="paragraph" w:customStyle="1" w:styleId="312">
    <w:name w:val="表目录"/>
    <w:basedOn w:val="53"/>
    <w:qFormat/>
    <w:uiPriority w:val="0"/>
    <w:pPr>
      <w:widowControl w:val="0"/>
      <w:spacing w:line="240" w:lineRule="auto"/>
      <w:ind w:left="0" w:firstLine="0" w:firstLineChars="0"/>
      <w:jc w:val="center"/>
    </w:pPr>
    <w:rPr>
      <w:rFonts w:ascii="Times New Roman" w:hAnsi="Times New Roman" w:cs="Times New Roman"/>
      <w:b/>
      <w:bCs w:val="0"/>
      <w:kern w:val="2"/>
      <w:sz w:val="24"/>
      <w:szCs w:val="24"/>
    </w:rPr>
  </w:style>
  <w:style w:type="paragraph" w:customStyle="1" w:styleId="313">
    <w:name w:val="unnamed2"/>
    <w:basedOn w:val="1"/>
    <w:qFormat/>
    <w:uiPriority w:val="0"/>
    <w:pPr>
      <w:widowControl/>
      <w:spacing w:before="100" w:beforeAutospacing="1" w:after="100" w:afterAutospacing="1" w:line="240" w:lineRule="atLeast"/>
      <w:jc w:val="left"/>
    </w:pPr>
    <w:rPr>
      <w:rFonts w:cs="宋体"/>
      <w:color w:val="000000"/>
      <w:kern w:val="0"/>
      <w:sz w:val="18"/>
      <w:szCs w:val="18"/>
    </w:rPr>
  </w:style>
  <w:style w:type="paragraph" w:customStyle="1" w:styleId="314">
    <w:name w:val="Technik-text"/>
    <w:basedOn w:val="1"/>
    <w:qFormat/>
    <w:uiPriority w:val="0"/>
    <w:pPr>
      <w:widowControl/>
      <w:tabs>
        <w:tab w:val="left" w:pos="1985"/>
        <w:tab w:val="left" w:pos="4820"/>
      </w:tabs>
      <w:ind w:left="1701"/>
      <w:jc w:val="left"/>
    </w:pPr>
    <w:rPr>
      <w:rFonts w:ascii="Arial" w:hAnsi="Arial"/>
      <w:kern w:val="0"/>
      <w:sz w:val="22"/>
      <w:szCs w:val="20"/>
      <w:lang w:val="en-GB" w:eastAsia="de-DE"/>
    </w:rPr>
  </w:style>
  <w:style w:type="paragraph" w:customStyle="1" w:styleId="315">
    <w:name w:val="Technik-über."/>
    <w:basedOn w:val="1"/>
    <w:next w:val="314"/>
    <w:qFormat/>
    <w:uiPriority w:val="0"/>
    <w:pPr>
      <w:widowControl/>
      <w:tabs>
        <w:tab w:val="right" w:pos="1134"/>
        <w:tab w:val="left" w:pos="1702"/>
      </w:tabs>
      <w:spacing w:after="240"/>
      <w:ind w:right="1134"/>
    </w:pPr>
    <w:rPr>
      <w:rFonts w:ascii="Arial" w:hAnsi="Arial"/>
      <w:kern w:val="0"/>
      <w:sz w:val="22"/>
      <w:szCs w:val="20"/>
      <w:lang w:val="de-DE" w:eastAsia="de-DE"/>
    </w:rPr>
  </w:style>
  <w:style w:type="paragraph" w:customStyle="1" w:styleId="316">
    <w:name w:val="xl31"/>
    <w:basedOn w:val="1"/>
    <w:qFormat/>
    <w:uiPriority w:val="0"/>
    <w:pPr>
      <w:widowControl/>
      <w:pBdr>
        <w:bottom w:val="single" w:color="auto" w:sz="4" w:space="0"/>
        <w:right w:val="single" w:color="000000" w:sz="4" w:space="0"/>
      </w:pBdr>
      <w:spacing w:before="100" w:beforeAutospacing="1" w:after="100" w:afterAutospacing="1"/>
      <w:jc w:val="center"/>
    </w:pPr>
    <w:rPr>
      <w:rFonts w:ascii="Arial Unicode MS" w:hAnsi="Arial Unicode MS" w:eastAsia="Arial Unicode MS"/>
      <w:bCs/>
      <w:kern w:val="0"/>
    </w:rPr>
  </w:style>
  <w:style w:type="character" w:customStyle="1" w:styleId="317">
    <w:name w:val="样式 正文文本缩进正文文字( 首段缩进两字）特点标题Body Text 2 + 宋体 小四 黑色 行距: 固定值 2... Char"/>
    <w:link w:val="318"/>
    <w:qFormat/>
    <w:locked/>
    <w:uiPriority w:val="0"/>
    <w:rPr>
      <w:rFonts w:ascii="宋体" w:hAnsi="宋体" w:eastAsia="宋体"/>
      <w:bCs/>
      <w:color w:val="000000"/>
      <w:sz w:val="24"/>
      <w:szCs w:val="24"/>
    </w:rPr>
  </w:style>
  <w:style w:type="paragraph" w:customStyle="1" w:styleId="318">
    <w:name w:val="样式 正文文本缩进正文文字( 首段缩进两字）特点标题Body Text 2 + 宋体 小四 黑色 行距: 固定值 2..."/>
    <w:basedOn w:val="34"/>
    <w:link w:val="317"/>
    <w:qFormat/>
    <w:uiPriority w:val="0"/>
    <w:pPr>
      <w:spacing w:after="0" w:line="440" w:lineRule="exact"/>
      <w:ind w:left="0" w:leftChars="0" w:firstLine="720" w:firstLineChars="300"/>
    </w:pPr>
    <w:rPr>
      <w:rFonts w:cstheme="minorBidi"/>
      <w:bCs/>
      <w:color w:val="000000"/>
    </w:rPr>
  </w:style>
  <w:style w:type="paragraph" w:customStyle="1" w:styleId="319">
    <w:name w:val="样式 样式 首行缩进:  2 字符 + 首行缩进:  2 字符"/>
    <w:basedOn w:val="1"/>
    <w:qFormat/>
    <w:uiPriority w:val="0"/>
    <w:pPr>
      <w:ind w:firstLine="587" w:firstLineChars="200"/>
    </w:pPr>
    <w:rPr>
      <w:sz w:val="27"/>
      <w:szCs w:val="27"/>
    </w:rPr>
  </w:style>
  <w:style w:type="paragraph" w:customStyle="1" w:styleId="320">
    <w:name w:val="txtBox Char"/>
    <w:basedOn w:val="1"/>
    <w:qFormat/>
    <w:uiPriority w:val="0"/>
    <w:pPr>
      <w:jc w:val="center"/>
    </w:pPr>
  </w:style>
  <w:style w:type="paragraph" w:customStyle="1" w:styleId="321">
    <w:name w:val="xl110"/>
    <w:basedOn w:val="1"/>
    <w:qFormat/>
    <w:uiPriority w:val="0"/>
    <w:pPr>
      <w:widowControl/>
      <w:pBdr>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322">
    <w:name w:val="样式 标题 1 + 黑体 三号 居中 行距: 固定值 20 磅"/>
    <w:basedOn w:val="9"/>
    <w:qFormat/>
    <w:uiPriority w:val="0"/>
    <w:pPr>
      <w:keepLines/>
      <w:widowControl/>
      <w:topLinePunct/>
      <w:autoSpaceDE w:val="0"/>
      <w:autoSpaceDN w:val="0"/>
      <w:adjustRightInd w:val="0"/>
      <w:snapToGrid w:val="0"/>
      <w:spacing w:line="400" w:lineRule="exact"/>
      <w:ind w:left="141" w:firstLine="538" w:firstLineChars="224"/>
      <w:jc w:val="left"/>
    </w:pPr>
    <w:rPr>
      <w:rFonts w:ascii="黑体" w:hAnsi="黑体" w:eastAsia="黑体"/>
      <w:kern w:val="44"/>
      <w:sz w:val="32"/>
    </w:rPr>
  </w:style>
  <w:style w:type="paragraph" w:customStyle="1" w:styleId="323">
    <w:name w:val="正文3"/>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324">
    <w:name w:val="封面标题"/>
    <w:basedOn w:val="1"/>
    <w:next w:val="1"/>
    <w:qFormat/>
    <w:uiPriority w:val="0"/>
    <w:pPr>
      <w:tabs>
        <w:tab w:val="center" w:pos="6804"/>
        <w:tab w:val="right" w:pos="7371"/>
      </w:tabs>
      <w:overflowPunct w:val="0"/>
      <w:adjustRightInd w:val="0"/>
      <w:jc w:val="center"/>
    </w:pPr>
    <w:rPr>
      <w:rFonts w:ascii="Arial" w:eastAsia="黑体"/>
      <w:color w:val="FF0000"/>
      <w:spacing w:val="20"/>
      <w:kern w:val="52"/>
      <w:sz w:val="72"/>
      <w:szCs w:val="20"/>
    </w:rPr>
  </w:style>
  <w:style w:type="paragraph" w:customStyle="1" w:styleId="325">
    <w:name w:val="列表编号1"/>
    <w:basedOn w:val="1"/>
    <w:qFormat/>
    <w:uiPriority w:val="0"/>
    <w:pPr>
      <w:tabs>
        <w:tab w:val="left" w:pos="360"/>
      </w:tabs>
      <w:adjustRightInd w:val="0"/>
      <w:snapToGrid w:val="0"/>
      <w:ind w:left="360" w:hanging="360" w:firstLineChars="200"/>
    </w:pPr>
    <w:rPr>
      <w:rFonts w:eastAsia="Times New Roman"/>
      <w:szCs w:val="20"/>
    </w:rPr>
  </w:style>
  <w:style w:type="paragraph" w:customStyle="1" w:styleId="326">
    <w:name w:val="xl93"/>
    <w:basedOn w:val="1"/>
    <w:qFormat/>
    <w:uiPriority w:val="0"/>
    <w:pPr>
      <w:widowControl/>
      <w:pBdr>
        <w:top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rPr>
  </w:style>
  <w:style w:type="paragraph" w:customStyle="1" w:styleId="327">
    <w:name w:val="正文(首行缩进)宋旭峰"/>
    <w:basedOn w:val="15"/>
    <w:qFormat/>
    <w:uiPriority w:val="0"/>
    <w:pPr>
      <w:snapToGrid w:val="0"/>
      <w:spacing w:line="460" w:lineRule="exact"/>
      <w:ind w:firstLine="544" w:firstLineChars="200"/>
    </w:pPr>
    <w:rPr>
      <w:rFonts w:ascii="Times New Roman"/>
      <w:color w:val="FF0000"/>
      <w:spacing w:val="16"/>
      <w:kern w:val="0"/>
      <w:szCs w:val="24"/>
    </w:rPr>
  </w:style>
  <w:style w:type="paragraph" w:customStyle="1" w:styleId="328">
    <w:name w:val="18"/>
    <w:basedOn w:val="1"/>
    <w:qFormat/>
    <w:uiPriority w:val="0"/>
    <w:pPr>
      <w:widowControl/>
      <w:snapToGrid w:val="0"/>
      <w:spacing w:before="120" w:after="100" w:afterAutospacing="1" w:line="240" w:lineRule="atLeast"/>
      <w:jc w:val="center"/>
    </w:pPr>
    <w:rPr>
      <w:b/>
      <w:bCs/>
      <w:kern w:val="0"/>
    </w:rPr>
  </w:style>
  <w:style w:type="paragraph" w:customStyle="1" w:styleId="329">
    <w:name w:val="表体"/>
    <w:basedOn w:val="1"/>
    <w:qFormat/>
    <w:uiPriority w:val="0"/>
    <w:pPr>
      <w:adjustRightInd w:val="0"/>
      <w:snapToGrid w:val="0"/>
      <w:spacing w:line="240" w:lineRule="atLeast"/>
      <w:jc w:val="center"/>
    </w:pPr>
    <w:rPr>
      <w:rFonts w:ascii="仿宋_GB2312" w:eastAsia="仿宋_GB2312"/>
      <w:szCs w:val="20"/>
    </w:rPr>
  </w:style>
  <w:style w:type="paragraph" w:customStyle="1" w:styleId="330">
    <w:name w:val="xl95"/>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6"/>
      <w:szCs w:val="16"/>
    </w:rPr>
  </w:style>
  <w:style w:type="paragraph" w:customStyle="1" w:styleId="331">
    <w:name w:val="样式 正文1 + 段前: 0.1 行"/>
    <w:basedOn w:val="1"/>
    <w:qFormat/>
    <w:uiPriority w:val="0"/>
    <w:pPr>
      <w:snapToGrid w:val="0"/>
      <w:spacing w:beforeLines="10" w:line="440" w:lineRule="atLeast"/>
      <w:ind w:firstLine="567"/>
    </w:pPr>
    <w:rPr>
      <w:szCs w:val="20"/>
    </w:rPr>
  </w:style>
  <w:style w:type="paragraph" w:customStyle="1" w:styleId="332">
    <w:name w:val="项目点符号"/>
    <w:basedOn w:val="1"/>
    <w:qFormat/>
    <w:uiPriority w:val="0"/>
    <w:pPr>
      <w:ind w:firstLine="539" w:firstLineChars="214"/>
    </w:pPr>
    <w:rPr>
      <w:color w:val="000000"/>
      <w:spacing w:val="6"/>
    </w:rPr>
  </w:style>
  <w:style w:type="paragraph" w:customStyle="1" w:styleId="333">
    <w:name w:val="文本块3"/>
    <w:basedOn w:val="1"/>
    <w:qFormat/>
    <w:uiPriority w:val="0"/>
    <w:pPr>
      <w:tabs>
        <w:tab w:val="left" w:pos="2160"/>
        <w:tab w:val="left" w:pos="3780"/>
      </w:tabs>
      <w:adjustRightInd w:val="0"/>
      <w:spacing w:line="27" w:lineRule="atLeast"/>
      <w:ind w:left="3780" w:right="119" w:hanging="420"/>
    </w:pPr>
    <w:rPr>
      <w:spacing w:val="25"/>
      <w:kern w:val="0"/>
      <w:szCs w:val="20"/>
    </w:rPr>
  </w:style>
  <w:style w:type="paragraph" w:customStyle="1" w:styleId="334">
    <w:name w:val="Body Text 21"/>
    <w:basedOn w:val="1"/>
    <w:qFormat/>
    <w:uiPriority w:val="0"/>
    <w:pPr>
      <w:widowControl/>
      <w:overflowPunct w:val="0"/>
      <w:autoSpaceDE w:val="0"/>
      <w:autoSpaceDN w:val="0"/>
      <w:adjustRightInd w:val="0"/>
      <w:jc w:val="left"/>
    </w:pPr>
    <w:rPr>
      <w:rFonts w:ascii="Arial" w:hAnsi="Arial"/>
      <w:i/>
      <w:kern w:val="0"/>
      <w:szCs w:val="20"/>
      <w:lang w:val="de-DE" w:eastAsia="de-DE"/>
    </w:rPr>
  </w:style>
  <w:style w:type="paragraph" w:customStyle="1" w:styleId="335">
    <w:name w:val="报告表格"/>
    <w:basedOn w:val="1"/>
    <w:qFormat/>
    <w:uiPriority w:val="0"/>
    <w:pPr>
      <w:autoSpaceDE w:val="0"/>
      <w:autoSpaceDN w:val="0"/>
      <w:adjustRightInd w:val="0"/>
      <w:spacing w:before="40" w:after="40"/>
      <w:jc w:val="center"/>
    </w:pPr>
    <w:rPr>
      <w:kern w:val="0"/>
      <w:szCs w:val="20"/>
    </w:rPr>
  </w:style>
  <w:style w:type="paragraph" w:customStyle="1" w:styleId="336">
    <w:name w:val="Char Char Char Char Char Char Char Char Char Char1"/>
    <w:basedOn w:val="1"/>
    <w:qFormat/>
    <w:uiPriority w:val="0"/>
    <w:pPr>
      <w:ind w:firstLine="200" w:firstLineChars="200"/>
    </w:pPr>
    <w:rPr>
      <w:rFonts w:cs="宋体"/>
    </w:rPr>
  </w:style>
  <w:style w:type="paragraph" w:customStyle="1" w:styleId="337">
    <w:name w:val="样式 四号 首行缩进:  2字符"/>
    <w:basedOn w:val="1"/>
    <w:qFormat/>
    <w:uiPriority w:val="0"/>
    <w:pPr>
      <w:adjustRightInd w:val="0"/>
      <w:ind w:right="240" w:rightChars="100" w:firstLine="480" w:firstLineChars="200"/>
    </w:pPr>
    <w:rPr>
      <w:szCs w:val="32"/>
    </w:rPr>
  </w:style>
  <w:style w:type="paragraph" w:customStyle="1" w:styleId="338">
    <w:name w:val="Char Char Char Char Char Char2"/>
    <w:basedOn w:val="1"/>
    <w:next w:val="8"/>
    <w:qFormat/>
    <w:uiPriority w:val="0"/>
    <w:rPr>
      <w:sz w:val="28"/>
      <w:szCs w:val="28"/>
    </w:rPr>
  </w:style>
  <w:style w:type="paragraph" w:customStyle="1" w:styleId="339">
    <w:name w:val="样式0表换行"/>
    <w:basedOn w:val="1"/>
    <w:qFormat/>
    <w:uiPriority w:val="0"/>
    <w:pPr>
      <w:spacing w:line="300" w:lineRule="auto"/>
      <w:jc w:val="center"/>
    </w:pPr>
    <w:rPr>
      <w:szCs w:val="20"/>
    </w:rPr>
  </w:style>
  <w:style w:type="paragraph" w:customStyle="1" w:styleId="340">
    <w:name w:val="列表项目符号 31"/>
    <w:basedOn w:val="1"/>
    <w:qFormat/>
    <w:uiPriority w:val="0"/>
    <w:pPr>
      <w:tabs>
        <w:tab w:val="left" w:pos="1200"/>
      </w:tabs>
      <w:adjustRightInd w:val="0"/>
      <w:snapToGrid w:val="0"/>
      <w:ind w:left="1200" w:hanging="360" w:firstLineChars="200"/>
    </w:pPr>
    <w:rPr>
      <w:rFonts w:eastAsia="Times New Roman"/>
      <w:szCs w:val="20"/>
    </w:rPr>
  </w:style>
  <w:style w:type="paragraph" w:customStyle="1" w:styleId="341">
    <w:name w:val="段落"/>
    <w:basedOn w:val="1"/>
    <w:qFormat/>
    <w:uiPriority w:val="0"/>
    <w:pPr>
      <w:widowControl/>
      <w:autoSpaceDE w:val="0"/>
      <w:autoSpaceDN w:val="0"/>
      <w:adjustRightInd w:val="0"/>
      <w:spacing w:line="288" w:lineRule="auto"/>
      <w:ind w:firstLine="567" w:firstLineChars="200"/>
      <w:jc w:val="left"/>
    </w:pPr>
    <w:rPr>
      <w:spacing w:val="10"/>
      <w:kern w:val="0"/>
      <w:sz w:val="28"/>
      <w:szCs w:val="20"/>
    </w:rPr>
  </w:style>
  <w:style w:type="paragraph" w:customStyle="1" w:styleId="342">
    <w:name w:val="宏福4"/>
    <w:basedOn w:val="1"/>
    <w:qFormat/>
    <w:uiPriority w:val="0"/>
    <w:pPr>
      <w:snapToGrid w:val="0"/>
      <w:spacing w:line="400" w:lineRule="atLeast"/>
      <w:ind w:firstLine="567"/>
    </w:pPr>
    <w:rPr>
      <w:sz w:val="28"/>
      <w:szCs w:val="28"/>
    </w:rPr>
  </w:style>
  <w:style w:type="paragraph" w:customStyle="1" w:styleId="343">
    <w:name w:val="9"/>
    <w:basedOn w:val="1"/>
    <w:next w:val="34"/>
    <w:qFormat/>
    <w:uiPriority w:val="0"/>
    <w:pPr>
      <w:spacing w:line="400" w:lineRule="exact"/>
      <w:ind w:firstLine="516" w:firstLineChars="215"/>
    </w:pPr>
  </w:style>
  <w:style w:type="paragraph" w:customStyle="1" w:styleId="344">
    <w:name w:val="样式 行距: 1.5 倍行距"/>
    <w:basedOn w:val="1"/>
    <w:qFormat/>
    <w:uiPriority w:val="0"/>
    <w:pPr>
      <w:ind w:firstLine="200" w:firstLineChars="200"/>
    </w:pPr>
    <w:rPr>
      <w:rFonts w:cs="宋体"/>
    </w:rPr>
  </w:style>
  <w:style w:type="paragraph" w:customStyle="1" w:styleId="345">
    <w:name w:val="正文文本缩进 33"/>
    <w:basedOn w:val="1"/>
    <w:qFormat/>
    <w:uiPriority w:val="0"/>
    <w:pPr>
      <w:adjustRightInd w:val="0"/>
      <w:spacing w:line="480" w:lineRule="exact"/>
      <w:ind w:firstLine="570" w:firstLineChars="200"/>
    </w:pPr>
    <w:rPr>
      <w:szCs w:val="20"/>
    </w:rPr>
  </w:style>
  <w:style w:type="paragraph" w:customStyle="1" w:styleId="346">
    <w:name w:val="1.1.1"/>
    <w:qFormat/>
    <w:uiPriority w:val="0"/>
    <w:pPr>
      <w:widowControl w:val="0"/>
      <w:tabs>
        <w:tab w:val="left" w:pos="425"/>
      </w:tabs>
      <w:ind w:left="425" w:hanging="425"/>
      <w:jc w:val="both"/>
    </w:pPr>
    <w:rPr>
      <w:rFonts w:ascii="Times New Roman" w:hAnsi="Times New Roman" w:eastAsia="宋体" w:cs="Times New Roman"/>
      <w:kern w:val="2"/>
      <w:sz w:val="24"/>
      <w:szCs w:val="24"/>
      <w:lang w:val="en-US" w:eastAsia="zh-CN" w:bidi="ar-SA"/>
    </w:rPr>
  </w:style>
  <w:style w:type="paragraph" w:customStyle="1" w:styleId="347">
    <w:name w:val="font17"/>
    <w:basedOn w:val="1"/>
    <w:qFormat/>
    <w:uiPriority w:val="0"/>
    <w:pPr>
      <w:widowControl/>
      <w:spacing w:before="100" w:beforeAutospacing="1" w:after="100" w:afterAutospacing="1"/>
      <w:jc w:val="left"/>
    </w:pPr>
    <w:rPr>
      <w:rFonts w:eastAsia="Arial Unicode MS"/>
      <w:kern w:val="0"/>
      <w:sz w:val="20"/>
      <w:szCs w:val="20"/>
      <w:u w:val="single"/>
    </w:rPr>
  </w:style>
  <w:style w:type="character" w:customStyle="1" w:styleId="348">
    <w:name w:val="1正文段落 Char"/>
    <w:link w:val="349"/>
    <w:qFormat/>
    <w:locked/>
    <w:uiPriority w:val="0"/>
    <w:rPr>
      <w:sz w:val="24"/>
      <w:szCs w:val="24"/>
    </w:rPr>
  </w:style>
  <w:style w:type="paragraph" w:customStyle="1" w:styleId="349">
    <w:name w:val="1正文段落"/>
    <w:basedOn w:val="1"/>
    <w:link w:val="348"/>
    <w:qFormat/>
    <w:uiPriority w:val="0"/>
    <w:pPr>
      <w:ind w:firstLine="480" w:firstLineChars="200"/>
    </w:pPr>
    <w:rPr>
      <w:rFonts w:asciiTheme="minorHAnsi" w:hAnsiTheme="minorHAnsi" w:eastAsiaTheme="minorEastAsia" w:cstheme="minorBidi"/>
    </w:rPr>
  </w:style>
  <w:style w:type="paragraph" w:customStyle="1" w:styleId="350">
    <w:name w:val="xl99"/>
    <w:basedOn w:val="1"/>
    <w:qFormat/>
    <w:uiPriority w:val="0"/>
    <w:pPr>
      <w:widowControl/>
      <w:pBdr>
        <w:top w:val="single" w:color="auto" w:sz="8" w:space="0"/>
        <w:left w:val="single" w:color="auto" w:sz="8" w:space="0"/>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351">
    <w:name w:val="Text1"/>
    <w:basedOn w:val="1"/>
    <w:qFormat/>
    <w:uiPriority w:val="0"/>
    <w:pPr>
      <w:widowControl/>
      <w:tabs>
        <w:tab w:val="left" w:pos="1701"/>
        <w:tab w:val="left" w:pos="4536"/>
        <w:tab w:val="left" w:pos="5103"/>
      </w:tabs>
      <w:ind w:left="1418"/>
      <w:jc w:val="left"/>
    </w:pPr>
    <w:rPr>
      <w:rFonts w:ascii="Arial" w:hAnsi="Arial"/>
      <w:kern w:val="0"/>
      <w:sz w:val="22"/>
      <w:szCs w:val="20"/>
      <w:lang w:val="en-GB" w:eastAsia="de-DE"/>
    </w:rPr>
  </w:style>
  <w:style w:type="paragraph" w:customStyle="1" w:styleId="352">
    <w:name w:val="Char6"/>
    <w:basedOn w:val="1"/>
    <w:qFormat/>
    <w:uiPriority w:val="0"/>
  </w:style>
  <w:style w:type="paragraph" w:customStyle="1" w:styleId="353">
    <w:name w:val="reader-word-layer reader-word-s1-1"/>
    <w:basedOn w:val="1"/>
    <w:qFormat/>
    <w:uiPriority w:val="0"/>
    <w:pPr>
      <w:widowControl/>
      <w:spacing w:before="100" w:beforeAutospacing="1" w:after="100" w:afterAutospacing="1"/>
      <w:jc w:val="left"/>
    </w:pPr>
    <w:rPr>
      <w:rFonts w:cs="宋体"/>
      <w:kern w:val="0"/>
    </w:rPr>
  </w:style>
  <w:style w:type="paragraph" w:customStyle="1" w:styleId="354">
    <w:name w:val="Char1 Char Char Char Char Char Char1"/>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355">
    <w:name w:val="符号说明"/>
    <w:basedOn w:val="1"/>
    <w:qFormat/>
    <w:uiPriority w:val="0"/>
    <w:pPr>
      <w:tabs>
        <w:tab w:val="left" w:pos="1260"/>
        <w:tab w:val="left" w:pos="3780"/>
        <w:tab w:val="left" w:pos="4680"/>
      </w:tabs>
      <w:ind w:firstLine="840" w:firstLineChars="400"/>
    </w:pPr>
  </w:style>
  <w:style w:type="paragraph" w:customStyle="1" w:styleId="356">
    <w:name w:val="样式 宋体 小四 左 行距: 固定值 24 磅"/>
    <w:basedOn w:val="1"/>
    <w:qFormat/>
    <w:uiPriority w:val="0"/>
    <w:pPr>
      <w:spacing w:line="480" w:lineRule="exact"/>
      <w:ind w:firstLine="200" w:firstLineChars="200"/>
      <w:jc w:val="left"/>
    </w:pPr>
    <w:rPr>
      <w:rFonts w:cs="宋体"/>
      <w:kern w:val="0"/>
      <w:szCs w:val="20"/>
    </w:rPr>
  </w:style>
  <w:style w:type="paragraph" w:customStyle="1" w:styleId="357">
    <w:name w:val="批注文字1"/>
    <w:basedOn w:val="1"/>
    <w:qFormat/>
    <w:uiPriority w:val="0"/>
    <w:pPr>
      <w:ind w:firstLine="200" w:firstLineChars="200"/>
      <w:jc w:val="left"/>
    </w:pPr>
    <w:rPr>
      <w:szCs w:val="20"/>
    </w:rPr>
  </w:style>
  <w:style w:type="paragraph" w:customStyle="1" w:styleId="358">
    <w:name w:val="表内容"/>
    <w:basedOn w:val="1"/>
    <w:qFormat/>
    <w:uiPriority w:val="0"/>
    <w:pPr>
      <w:widowControl/>
      <w:autoSpaceDE w:val="0"/>
      <w:autoSpaceDN w:val="0"/>
      <w:adjustRightInd w:val="0"/>
      <w:jc w:val="center"/>
    </w:pPr>
    <w:rPr>
      <w:smallCaps/>
      <w:kern w:val="0"/>
      <w:szCs w:val="20"/>
    </w:rPr>
  </w:style>
  <w:style w:type="paragraph" w:customStyle="1" w:styleId="359">
    <w:name w:val="xl64"/>
    <w:basedOn w:val="1"/>
    <w:qFormat/>
    <w:uiPriority w:val="0"/>
    <w:pPr>
      <w:widowControl/>
      <w:pBdr>
        <w:left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olor w:val="000000"/>
      <w:kern w:val="0"/>
    </w:rPr>
  </w:style>
  <w:style w:type="paragraph" w:customStyle="1" w:styleId="360">
    <w:name w:val="nummer"/>
    <w:basedOn w:val="1"/>
    <w:qFormat/>
    <w:uiPriority w:val="0"/>
    <w:pPr>
      <w:widowControl/>
      <w:tabs>
        <w:tab w:val="left" w:pos="480"/>
        <w:tab w:val="left" w:pos="960"/>
        <w:tab w:val="left" w:pos="1320"/>
      </w:tabs>
      <w:ind w:left="960" w:hanging="960"/>
      <w:jc w:val="left"/>
    </w:pPr>
    <w:rPr>
      <w:rFonts w:ascii="Arial" w:hAnsi="Arial"/>
      <w:kern w:val="0"/>
      <w:sz w:val="22"/>
      <w:szCs w:val="20"/>
      <w:lang w:val="en-GB" w:eastAsia="de-DE"/>
    </w:rPr>
  </w:style>
  <w:style w:type="paragraph" w:customStyle="1" w:styleId="361">
    <w:name w:val="表文"/>
    <w:basedOn w:val="1"/>
    <w:qFormat/>
    <w:uiPriority w:val="0"/>
    <w:pPr>
      <w:jc w:val="center"/>
    </w:pPr>
  </w:style>
  <w:style w:type="paragraph" w:customStyle="1" w:styleId="362">
    <w:name w:val="表格下方正文"/>
    <w:basedOn w:val="1"/>
    <w:qFormat/>
    <w:uiPriority w:val="0"/>
    <w:pPr>
      <w:spacing w:before="400" w:line="460" w:lineRule="exact"/>
      <w:ind w:firstLine="200" w:firstLineChars="200"/>
    </w:pPr>
    <w:rPr>
      <w:szCs w:val="20"/>
    </w:rPr>
  </w:style>
  <w:style w:type="paragraph" w:customStyle="1" w:styleId="363">
    <w:name w:val="Char Char Char Char Char Char Char Char Char Char Char Char Char Char Char Char Char Char"/>
    <w:basedOn w:val="1"/>
    <w:qFormat/>
    <w:uiPriority w:val="0"/>
  </w:style>
  <w:style w:type="paragraph" w:customStyle="1" w:styleId="364">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Narrow" w:hAnsi="Arial Narrow"/>
      <w:kern w:val="0"/>
      <w:sz w:val="18"/>
      <w:szCs w:val="18"/>
    </w:rPr>
  </w:style>
  <w:style w:type="paragraph" w:customStyle="1" w:styleId="365">
    <w:name w:val="图表文字"/>
    <w:basedOn w:val="1"/>
    <w:qFormat/>
    <w:uiPriority w:val="0"/>
    <w:pPr>
      <w:ind w:firstLine="228" w:firstLineChars="100"/>
      <w:jc w:val="center"/>
    </w:pPr>
    <w:rPr>
      <w:spacing w:val="-6"/>
    </w:rPr>
  </w:style>
  <w:style w:type="paragraph" w:customStyle="1" w:styleId="366">
    <w:name w:val="xl69"/>
    <w:basedOn w:val="1"/>
    <w:qFormat/>
    <w:uiPriority w:val="0"/>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olor w:val="000000"/>
      <w:kern w:val="0"/>
    </w:rPr>
  </w:style>
  <w:style w:type="paragraph" w:customStyle="1" w:styleId="367">
    <w:name w:val="附录章标题"/>
    <w:next w:val="12"/>
    <w:qFormat/>
    <w:uiPriority w:val="0"/>
    <w:pPr>
      <w:tabs>
        <w:tab w:val="left" w:pos="1260"/>
      </w:tabs>
      <w:wordWrap w:val="0"/>
      <w:overflowPunct w:val="0"/>
      <w:autoSpaceDE w:val="0"/>
      <w:spacing w:beforeLines="50"/>
      <w:ind w:left="1260" w:hanging="420"/>
      <w:jc w:val="both"/>
      <w:outlineLvl w:val="1"/>
    </w:pPr>
    <w:rPr>
      <w:rFonts w:ascii="黑体" w:hAnsi="Times New Roman" w:eastAsia="黑体" w:cs="Times New Roman"/>
      <w:kern w:val="21"/>
      <w:sz w:val="21"/>
      <w:szCs w:val="20"/>
      <w:lang w:val="en-US" w:eastAsia="zh-CN" w:bidi="ar-SA"/>
    </w:rPr>
  </w:style>
  <w:style w:type="paragraph" w:customStyle="1" w:styleId="368">
    <w:name w:val="正文4"/>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369">
    <w:name w:val="3级标题"/>
    <w:basedOn w:val="1"/>
    <w:qFormat/>
    <w:uiPriority w:val="0"/>
    <w:pPr>
      <w:snapToGrid w:val="0"/>
      <w:ind w:left="200" w:leftChars="200"/>
    </w:pPr>
    <w:rPr>
      <w:kern w:val="0"/>
      <w:sz w:val="28"/>
      <w:szCs w:val="20"/>
    </w:rPr>
  </w:style>
  <w:style w:type="paragraph" w:customStyle="1" w:styleId="370">
    <w:name w:val="样式 样式 样式 正文1 + 首行缩进:  2 字符 + (符号) 宋体 首行缩进:  2 字符 + 首行缩进:  2 字符"/>
    <w:basedOn w:val="1"/>
    <w:qFormat/>
    <w:uiPriority w:val="0"/>
    <w:pPr>
      <w:snapToGrid w:val="0"/>
      <w:ind w:firstLine="480"/>
    </w:pPr>
    <w:rPr>
      <w:szCs w:val="20"/>
    </w:rPr>
  </w:style>
  <w:style w:type="paragraph" w:customStyle="1" w:styleId="371">
    <w:name w:val="xl58"/>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eastAsia="Arial Unicode MS"/>
      <w:color w:val="000000"/>
      <w:kern w:val="0"/>
    </w:rPr>
  </w:style>
  <w:style w:type="paragraph" w:customStyle="1" w:styleId="372">
    <w:name w:val="Char11"/>
    <w:basedOn w:val="1"/>
    <w:qFormat/>
    <w:uiPriority w:val="0"/>
    <w:pPr>
      <w:ind w:firstLine="200" w:firstLineChars="200"/>
    </w:pPr>
    <w:rPr>
      <w:rFonts w:cs="宋体"/>
    </w:rPr>
  </w:style>
  <w:style w:type="paragraph" w:customStyle="1" w:styleId="373">
    <w:name w:val="列表项目符号 51"/>
    <w:basedOn w:val="1"/>
    <w:qFormat/>
    <w:uiPriority w:val="0"/>
    <w:pPr>
      <w:tabs>
        <w:tab w:val="left" w:pos="2040"/>
      </w:tabs>
      <w:adjustRightInd w:val="0"/>
      <w:snapToGrid w:val="0"/>
      <w:ind w:left="2040" w:hanging="360" w:firstLineChars="200"/>
    </w:pPr>
    <w:rPr>
      <w:rFonts w:eastAsia="Times New Roman"/>
      <w:szCs w:val="20"/>
    </w:rPr>
  </w:style>
  <w:style w:type="paragraph" w:customStyle="1" w:styleId="374">
    <w:name w:val="编号3"/>
    <w:basedOn w:val="15"/>
    <w:qFormat/>
    <w:uiPriority w:val="0"/>
    <w:pPr>
      <w:tabs>
        <w:tab w:val="left" w:pos="360"/>
      </w:tabs>
      <w:snapToGrid w:val="0"/>
      <w:spacing w:line="460" w:lineRule="exact"/>
      <w:ind w:hanging="200" w:hangingChars="200"/>
    </w:pPr>
    <w:rPr>
      <w:rFonts w:ascii="Times New Roman"/>
    </w:rPr>
  </w:style>
  <w:style w:type="paragraph" w:customStyle="1" w:styleId="375">
    <w:name w:val="xl96"/>
    <w:basedOn w:val="1"/>
    <w:qFormat/>
    <w:uiPriority w:val="0"/>
    <w:pPr>
      <w:widowControl/>
      <w:pBdr>
        <w:left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376">
    <w:name w:val="表中值"/>
    <w:basedOn w:val="1"/>
    <w:qFormat/>
    <w:uiPriority w:val="0"/>
    <w:pPr>
      <w:keepLines/>
      <w:widowControl/>
      <w:spacing w:line="360" w:lineRule="exact"/>
      <w:jc w:val="center"/>
    </w:pPr>
    <w:rPr>
      <w:spacing w:val="4"/>
    </w:rPr>
  </w:style>
  <w:style w:type="paragraph" w:customStyle="1" w:styleId="377">
    <w:name w:val="Char Char Char Char Char Char Char Char Char1 Char2"/>
    <w:basedOn w:val="1"/>
    <w:qFormat/>
    <w:uiPriority w:val="0"/>
  </w:style>
  <w:style w:type="paragraph" w:customStyle="1" w:styleId="378">
    <w:name w:val="列项·"/>
    <w:qFormat/>
    <w:uiPriority w:val="0"/>
    <w:pPr>
      <w:tabs>
        <w:tab w:val="left" w:pos="840"/>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379">
    <w:name w:val="8"/>
    <w:basedOn w:val="1"/>
    <w:next w:val="34"/>
    <w:qFormat/>
    <w:uiPriority w:val="0"/>
    <w:pPr>
      <w:spacing w:line="400" w:lineRule="exact"/>
      <w:ind w:firstLine="516" w:firstLineChars="215"/>
    </w:pPr>
  </w:style>
  <w:style w:type="paragraph" w:customStyle="1" w:styleId="380">
    <w:name w:val="样1"/>
    <w:basedOn w:val="1"/>
    <w:qFormat/>
    <w:uiPriority w:val="0"/>
    <w:pPr>
      <w:autoSpaceDE w:val="0"/>
      <w:autoSpaceDN w:val="0"/>
      <w:adjustRightInd w:val="0"/>
      <w:ind w:right="232"/>
      <w:jc w:val="center"/>
    </w:pPr>
    <w:rPr>
      <w:kern w:val="0"/>
      <w:sz w:val="28"/>
      <w:szCs w:val="20"/>
    </w:rPr>
  </w:style>
  <w:style w:type="character" w:customStyle="1" w:styleId="381">
    <w:name w:val="样式 正文首行缩进 + 首行缩进:  2 字符 Char"/>
    <w:link w:val="382"/>
    <w:qFormat/>
    <w:locked/>
    <w:uiPriority w:val="0"/>
    <w:rPr>
      <w:rFonts w:ascii="宋体" w:hAnsi="宋体" w:eastAsia="黑体" w:cs="宋体"/>
      <w:b/>
      <w:bCs/>
      <w:color w:val="000000"/>
      <w:sz w:val="28"/>
      <w:szCs w:val="32"/>
    </w:rPr>
  </w:style>
  <w:style w:type="paragraph" w:customStyle="1" w:styleId="382">
    <w:name w:val="样式 正文首行缩进 + 首行缩进:  2 字符"/>
    <w:basedOn w:val="64"/>
    <w:link w:val="381"/>
    <w:qFormat/>
    <w:uiPriority w:val="0"/>
    <w:pPr>
      <w:spacing w:after="120" w:line="360" w:lineRule="auto"/>
      <w:ind w:firstLine="432"/>
    </w:pPr>
    <w:rPr>
      <w:rFonts w:eastAsia="黑体" w:cs="宋体"/>
      <w:color w:val="000000"/>
      <w:sz w:val="28"/>
    </w:rPr>
  </w:style>
  <w:style w:type="paragraph" w:customStyle="1" w:styleId="383">
    <w:name w:val="表格内"/>
    <w:basedOn w:val="1"/>
    <w:qFormat/>
    <w:uiPriority w:val="0"/>
    <w:pPr>
      <w:adjustRightInd w:val="0"/>
      <w:spacing w:line="240" w:lineRule="atLeast"/>
      <w:jc w:val="center"/>
    </w:pPr>
    <w:rPr>
      <w:color w:val="000000"/>
      <w:kern w:val="0"/>
      <w:sz w:val="28"/>
      <w:szCs w:val="20"/>
    </w:rPr>
  </w:style>
  <w:style w:type="paragraph" w:customStyle="1" w:styleId="384">
    <w:name w:val="标题样式4"/>
    <w:basedOn w:val="12"/>
    <w:qFormat/>
    <w:uiPriority w:val="0"/>
    <w:pPr>
      <w:keepNext w:val="0"/>
      <w:keepLines w:val="0"/>
      <w:spacing w:before="0" w:after="0" w:line="360" w:lineRule="auto"/>
    </w:pPr>
    <w:rPr>
      <w:rFonts w:ascii="黑体" w:hAnsi="Times New Roman"/>
      <w:szCs w:val="24"/>
      <w:lang w:val="zh-CN"/>
    </w:rPr>
  </w:style>
  <w:style w:type="paragraph" w:customStyle="1" w:styleId="385">
    <w:name w:val="表文字"/>
    <w:basedOn w:val="1"/>
    <w:qFormat/>
    <w:uiPriority w:val="0"/>
    <w:pPr>
      <w:overflowPunct w:val="0"/>
      <w:autoSpaceDE w:val="0"/>
      <w:autoSpaceDN w:val="0"/>
      <w:adjustRightInd w:val="0"/>
      <w:spacing w:line="240" w:lineRule="atLeast"/>
      <w:jc w:val="center"/>
    </w:pPr>
    <w:rPr>
      <w:kern w:val="0"/>
      <w:szCs w:val="20"/>
    </w:rPr>
  </w:style>
  <w:style w:type="paragraph" w:customStyle="1" w:styleId="386">
    <w:name w:val="Char Char Char Char Char Char Char Char Char"/>
    <w:basedOn w:val="1"/>
    <w:qFormat/>
    <w:uiPriority w:val="0"/>
  </w:style>
  <w:style w:type="paragraph" w:customStyle="1" w:styleId="387">
    <w:name w:val="标题2CY"/>
    <w:basedOn w:val="62"/>
    <w:qFormat/>
    <w:uiPriority w:val="0"/>
    <w:pPr>
      <w:keepNext/>
      <w:keepLines/>
      <w:tabs>
        <w:tab w:val="left" w:pos="1280"/>
      </w:tabs>
      <w:snapToGrid w:val="0"/>
      <w:spacing w:beforeLines="100" w:line="320" w:lineRule="exact"/>
      <w:jc w:val="both"/>
      <w:outlineLvl w:val="1"/>
    </w:pPr>
    <w:rPr>
      <w:rFonts w:cs="Arial"/>
      <w:bCs w:val="0"/>
      <w:kern w:val="2"/>
      <w:sz w:val="30"/>
    </w:rPr>
  </w:style>
  <w:style w:type="character" w:customStyle="1" w:styleId="388">
    <w:name w:val="wj样式 Char"/>
    <w:link w:val="389"/>
    <w:qFormat/>
    <w:locked/>
    <w:uiPriority w:val="0"/>
    <w:rPr>
      <w:spacing w:val="14"/>
      <w:sz w:val="24"/>
      <w:szCs w:val="24"/>
    </w:rPr>
  </w:style>
  <w:style w:type="paragraph" w:customStyle="1" w:styleId="389">
    <w:name w:val="wj样式"/>
    <w:basedOn w:val="1"/>
    <w:next w:val="1"/>
    <w:link w:val="388"/>
    <w:qFormat/>
    <w:uiPriority w:val="0"/>
    <w:rPr>
      <w:rFonts w:asciiTheme="minorHAnsi" w:hAnsiTheme="minorHAnsi" w:eastAsiaTheme="minorEastAsia" w:cstheme="minorBidi"/>
      <w:spacing w:val="14"/>
    </w:rPr>
  </w:style>
  <w:style w:type="paragraph" w:customStyle="1" w:styleId="390">
    <w:name w:val="样式 样式 正文1 + 首行缩进:  2 字符 + (符号) 宋体 首行缩进:  2 字符"/>
    <w:basedOn w:val="1"/>
    <w:qFormat/>
    <w:uiPriority w:val="0"/>
    <w:pPr>
      <w:ind w:firstLine="480" w:firstLineChars="200"/>
    </w:pPr>
    <w:rPr>
      <w:szCs w:val="20"/>
    </w:rPr>
  </w:style>
  <w:style w:type="paragraph" w:customStyle="1" w:styleId="391">
    <w:name w:val="排序（1）（2）"/>
    <w:basedOn w:val="1"/>
    <w:qFormat/>
    <w:uiPriority w:val="0"/>
    <w:pPr>
      <w:spacing w:line="460" w:lineRule="atLeast"/>
    </w:pPr>
    <w:rPr>
      <w:spacing w:val="12"/>
    </w:rPr>
  </w:style>
  <w:style w:type="paragraph" w:customStyle="1" w:styleId="392">
    <w:name w:val="简单回函地址"/>
    <w:basedOn w:val="1"/>
    <w:qFormat/>
    <w:uiPriority w:val="0"/>
    <w:pPr>
      <w:snapToGrid w:val="0"/>
    </w:pPr>
    <w:rPr>
      <w:kern w:val="0"/>
      <w:szCs w:val="20"/>
    </w:rPr>
  </w:style>
  <w:style w:type="character" w:customStyle="1" w:styleId="393">
    <w:name w:val="样式 加粗 居中 首行缩进:  2 字符 Char"/>
    <w:link w:val="394"/>
    <w:qFormat/>
    <w:locked/>
    <w:uiPriority w:val="0"/>
    <w:rPr>
      <w:rFonts w:ascii="宋体" w:hAnsi="宋体" w:eastAsia="宋体" w:cs="宋体"/>
      <w:b/>
      <w:bCs/>
      <w:sz w:val="24"/>
    </w:rPr>
  </w:style>
  <w:style w:type="paragraph" w:customStyle="1" w:styleId="394">
    <w:name w:val="样式 加粗 居中 首行缩进:  2 字符"/>
    <w:basedOn w:val="1"/>
    <w:link w:val="393"/>
    <w:qFormat/>
    <w:uiPriority w:val="0"/>
    <w:pPr>
      <w:spacing w:line="440" w:lineRule="exact"/>
      <w:jc w:val="center"/>
    </w:pPr>
    <w:rPr>
      <w:rFonts w:cs="宋体"/>
      <w:b/>
      <w:bCs/>
      <w:szCs w:val="22"/>
    </w:rPr>
  </w:style>
  <w:style w:type="character" w:customStyle="1" w:styleId="395">
    <w:name w:val="方案正文样式 Char"/>
    <w:link w:val="396"/>
    <w:qFormat/>
    <w:locked/>
    <w:uiPriority w:val="0"/>
    <w:rPr>
      <w:snapToGrid w:val="0"/>
      <w:sz w:val="24"/>
    </w:rPr>
  </w:style>
  <w:style w:type="paragraph" w:customStyle="1" w:styleId="396">
    <w:name w:val="方案正文样式"/>
    <w:basedOn w:val="1"/>
    <w:link w:val="395"/>
    <w:qFormat/>
    <w:uiPriority w:val="0"/>
    <w:pPr>
      <w:adjustRightInd w:val="0"/>
      <w:snapToGrid w:val="0"/>
      <w:ind w:firstLine="454"/>
    </w:pPr>
    <w:rPr>
      <w:rFonts w:asciiTheme="minorHAnsi" w:hAnsiTheme="minorHAnsi" w:eastAsiaTheme="minorEastAsia" w:cstheme="minorBidi"/>
      <w:snapToGrid w:val="0"/>
      <w:szCs w:val="22"/>
    </w:rPr>
  </w:style>
  <w:style w:type="paragraph" w:customStyle="1" w:styleId="397">
    <w:name w:val="Char Char Char Char Char Char Char3"/>
    <w:basedOn w:val="1"/>
    <w:qFormat/>
    <w:uiPriority w:val="0"/>
  </w:style>
  <w:style w:type="character" w:customStyle="1" w:styleId="398">
    <w:name w:val="样式 标题 4h41.1.1.1可研-标题 4标题 4 Char Char Char Char标题 4 Char Ch... Char"/>
    <w:link w:val="399"/>
    <w:qFormat/>
    <w:locked/>
    <w:uiPriority w:val="0"/>
    <w:rPr>
      <w:rFonts w:ascii="黑体" w:hAnsi="黑体" w:eastAsia="黑体"/>
      <w:sz w:val="24"/>
    </w:rPr>
  </w:style>
  <w:style w:type="paragraph" w:customStyle="1" w:styleId="399">
    <w:name w:val="样式 标题 4h41.1.1.1可研-标题 4标题 4 Char Char Char Char标题 4 Char Ch..."/>
    <w:basedOn w:val="12"/>
    <w:link w:val="398"/>
    <w:qFormat/>
    <w:uiPriority w:val="0"/>
    <w:pPr>
      <w:tabs>
        <w:tab w:val="left" w:pos="864"/>
      </w:tabs>
      <w:spacing w:before="0" w:after="0" w:line="360" w:lineRule="auto"/>
      <w:ind w:left="864" w:hanging="864"/>
    </w:pPr>
    <w:rPr>
      <w:rFonts w:ascii="黑体" w:hAnsi="黑体" w:cstheme="minorBidi"/>
      <w:b w:val="0"/>
      <w:bCs w:val="0"/>
      <w:sz w:val="24"/>
      <w:szCs w:val="22"/>
    </w:rPr>
  </w:style>
  <w:style w:type="character" w:customStyle="1" w:styleId="400">
    <w:name w:val="正文＋首行缩进2字符 Char"/>
    <w:link w:val="401"/>
    <w:qFormat/>
    <w:locked/>
    <w:uiPriority w:val="0"/>
    <w:rPr>
      <w:spacing w:val="14"/>
      <w:sz w:val="24"/>
    </w:rPr>
  </w:style>
  <w:style w:type="paragraph" w:customStyle="1" w:styleId="401">
    <w:name w:val="正文＋首行缩进2字符"/>
    <w:basedOn w:val="1"/>
    <w:link w:val="400"/>
    <w:qFormat/>
    <w:uiPriority w:val="0"/>
    <w:rPr>
      <w:rFonts w:asciiTheme="minorHAnsi" w:hAnsiTheme="minorHAnsi" w:eastAsiaTheme="minorEastAsia" w:cstheme="minorBidi"/>
      <w:spacing w:val="14"/>
      <w:szCs w:val="22"/>
    </w:rPr>
  </w:style>
  <w:style w:type="character" w:customStyle="1" w:styleId="402">
    <w:name w:val="正文样式 Char"/>
    <w:link w:val="403"/>
    <w:qFormat/>
    <w:locked/>
    <w:uiPriority w:val="0"/>
    <w:rPr>
      <w:rFonts w:ascii="宋体" w:hAnsi="宋体" w:eastAsia="宋体"/>
      <w:color w:val="000000"/>
      <w:sz w:val="24"/>
      <w:szCs w:val="24"/>
    </w:rPr>
  </w:style>
  <w:style w:type="paragraph" w:customStyle="1" w:styleId="403">
    <w:name w:val="正文样式"/>
    <w:basedOn w:val="1"/>
    <w:link w:val="402"/>
    <w:qFormat/>
    <w:uiPriority w:val="0"/>
    <w:pPr>
      <w:ind w:firstLine="480" w:firstLineChars="200"/>
    </w:pPr>
    <w:rPr>
      <w:rFonts w:cstheme="minorBidi"/>
      <w:color w:val="000000"/>
    </w:rPr>
  </w:style>
  <w:style w:type="paragraph" w:customStyle="1" w:styleId="404">
    <w:name w:val="Char Char Char Char Char Char"/>
    <w:basedOn w:val="1"/>
    <w:qFormat/>
    <w:uiPriority w:val="0"/>
  </w:style>
  <w:style w:type="character" w:customStyle="1" w:styleId="405">
    <w:name w:val="表格内文字 Char"/>
    <w:link w:val="406"/>
    <w:qFormat/>
    <w:locked/>
    <w:uiPriority w:val="0"/>
    <w:rPr>
      <w:rFonts w:ascii="仿宋_GB2312" w:eastAsia="仿宋_GB2312"/>
      <w:spacing w:val="4"/>
      <w:kern w:val="18"/>
      <w:sz w:val="24"/>
      <w:szCs w:val="24"/>
    </w:rPr>
  </w:style>
  <w:style w:type="paragraph" w:customStyle="1" w:styleId="406">
    <w:name w:val="表格内文字"/>
    <w:basedOn w:val="1"/>
    <w:link w:val="405"/>
    <w:qFormat/>
    <w:uiPriority w:val="0"/>
    <w:pPr>
      <w:tabs>
        <w:tab w:val="left" w:pos="0"/>
      </w:tabs>
      <w:adjustRightInd w:val="0"/>
      <w:snapToGrid w:val="0"/>
      <w:jc w:val="center"/>
    </w:pPr>
    <w:rPr>
      <w:rFonts w:ascii="仿宋_GB2312" w:eastAsia="仿宋_GB2312" w:hAnsiTheme="minorHAnsi" w:cstheme="minorBidi"/>
      <w:spacing w:val="4"/>
      <w:kern w:val="18"/>
    </w:rPr>
  </w:style>
  <w:style w:type="paragraph" w:customStyle="1" w:styleId="407">
    <w:name w:val="样式 左侧:  0.85 厘米 首行缩进:  2 字符"/>
    <w:basedOn w:val="1"/>
    <w:qFormat/>
    <w:uiPriority w:val="0"/>
    <w:pPr>
      <w:ind w:left="482" w:firstLine="200" w:firstLineChars="200"/>
    </w:pPr>
    <w:rPr>
      <w:szCs w:val="20"/>
    </w:rPr>
  </w:style>
  <w:style w:type="paragraph" w:customStyle="1" w:styleId="408">
    <w:name w:val="二级无标题条"/>
    <w:basedOn w:val="1"/>
    <w:qFormat/>
    <w:uiPriority w:val="0"/>
  </w:style>
  <w:style w:type="paragraph" w:customStyle="1" w:styleId="409">
    <w:name w:val="xl55"/>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rPr>
  </w:style>
  <w:style w:type="paragraph" w:customStyle="1" w:styleId="410">
    <w:name w:val="xl70"/>
    <w:basedOn w:val="1"/>
    <w:qFormat/>
    <w:uiPriority w:val="0"/>
    <w:pPr>
      <w:widowControl/>
      <w:spacing w:before="100" w:beforeAutospacing="1" w:after="100" w:afterAutospacing="1"/>
      <w:jc w:val="center"/>
    </w:pPr>
    <w:rPr>
      <w:kern w:val="0"/>
    </w:rPr>
  </w:style>
  <w:style w:type="paragraph" w:customStyle="1" w:styleId="411">
    <w:name w:val="Char Char1 Char Char Char Char Char Char Char Char Char Char Char Char Char Char Char"/>
    <w:basedOn w:val="1"/>
    <w:qFormat/>
    <w:uiPriority w:val="0"/>
    <w:pPr>
      <w:ind w:firstLine="200" w:firstLineChars="200"/>
    </w:pPr>
    <w:rPr>
      <w:rFonts w:cs="宋体"/>
    </w:rPr>
  </w:style>
  <w:style w:type="paragraph" w:customStyle="1" w:styleId="412">
    <w:name w:val="a1 Char Char Char"/>
    <w:basedOn w:val="1"/>
    <w:next w:val="413"/>
    <w:qFormat/>
    <w:uiPriority w:val="0"/>
    <w:pPr>
      <w:ind w:firstLine="480" w:firstLineChars="200"/>
    </w:pPr>
    <w:rPr>
      <w:color w:val="FF0000"/>
      <w:szCs w:val="20"/>
    </w:rPr>
  </w:style>
  <w:style w:type="paragraph" w:customStyle="1" w:styleId="413">
    <w:name w:val="正文文本缩进 21"/>
    <w:basedOn w:val="1"/>
    <w:qFormat/>
    <w:uiPriority w:val="0"/>
    <w:pPr>
      <w:adjustRightInd w:val="0"/>
      <w:ind w:firstLine="510"/>
    </w:pPr>
    <w:rPr>
      <w:sz w:val="28"/>
      <w:szCs w:val="20"/>
    </w:rPr>
  </w:style>
  <w:style w:type="paragraph" w:customStyle="1" w:styleId="414">
    <w:name w:val="Char C1har Char Char Char Char"/>
    <w:basedOn w:val="1"/>
    <w:next w:val="412"/>
    <w:qFormat/>
    <w:uiPriority w:val="0"/>
    <w:rPr>
      <w:sz w:val="28"/>
      <w:szCs w:val="28"/>
    </w:rPr>
  </w:style>
  <w:style w:type="paragraph" w:customStyle="1" w:styleId="415">
    <w:name w:val="xl59"/>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eastAsia="Arial Unicode MS"/>
      <w:color w:val="000000"/>
      <w:kern w:val="0"/>
    </w:rPr>
  </w:style>
  <w:style w:type="paragraph" w:customStyle="1" w:styleId="416">
    <w:name w:val="编号5"/>
    <w:basedOn w:val="1"/>
    <w:qFormat/>
    <w:uiPriority w:val="0"/>
    <w:pPr>
      <w:tabs>
        <w:tab w:val="left" w:pos="420"/>
      </w:tabs>
      <w:spacing w:line="380" w:lineRule="exact"/>
      <w:ind w:firstLine="567"/>
    </w:pPr>
    <w:rPr>
      <w:szCs w:val="20"/>
    </w:rPr>
  </w:style>
  <w:style w:type="paragraph" w:customStyle="1" w:styleId="417">
    <w:name w:val="表格后-段落"/>
    <w:basedOn w:val="194"/>
    <w:qFormat/>
    <w:uiPriority w:val="0"/>
    <w:pPr>
      <w:spacing w:beforeLines="150"/>
      <w:ind w:firstLine="200" w:firstLineChars="200"/>
      <w:jc w:val="left"/>
    </w:pPr>
    <w:rPr>
      <w:szCs w:val="24"/>
    </w:rPr>
  </w:style>
  <w:style w:type="paragraph" w:customStyle="1" w:styleId="418">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ind w:left="1080" w:leftChars="500" w:hanging="1080" w:hangingChars="500"/>
    </w:pPr>
    <w:rPr>
      <w:rFonts w:ascii="Arial" w:hAnsi="Arial" w:eastAsia="Times New Roman"/>
      <w:szCs w:val="20"/>
    </w:rPr>
  </w:style>
  <w:style w:type="paragraph" w:customStyle="1" w:styleId="419">
    <w:name w:val="Char5"/>
    <w:basedOn w:val="1"/>
    <w:next w:val="1"/>
    <w:qFormat/>
    <w:uiPriority w:val="0"/>
    <w:pPr>
      <w:ind w:firstLine="200" w:firstLineChars="200"/>
    </w:pPr>
  </w:style>
  <w:style w:type="paragraph" w:customStyle="1" w:styleId="420">
    <w:name w:val="F-2级标题"/>
    <w:basedOn w:val="10"/>
    <w:next w:val="1"/>
    <w:qFormat/>
    <w:uiPriority w:val="0"/>
    <w:pPr>
      <w:spacing w:before="100" w:after="100" w:line="240" w:lineRule="auto"/>
    </w:pPr>
    <w:rPr>
      <w:b w:val="0"/>
    </w:rPr>
  </w:style>
  <w:style w:type="paragraph" w:customStyle="1" w:styleId="421">
    <w:name w:val="五级无标题条"/>
    <w:basedOn w:val="1"/>
    <w:qFormat/>
    <w:uiPriority w:val="0"/>
  </w:style>
  <w:style w:type="paragraph" w:customStyle="1" w:styleId="422">
    <w:name w:val="前言、引言标题"/>
    <w:next w:val="1"/>
    <w:qFormat/>
    <w:uiPriority w:val="0"/>
    <w:pPr>
      <w:shd w:val="clear" w:color="auto"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423">
    <w:name w:val="标注1"/>
    <w:basedOn w:val="223"/>
    <w:qFormat/>
    <w:uiPriority w:val="0"/>
    <w:pPr>
      <w:tabs>
        <w:tab w:val="left" w:pos="1034"/>
        <w:tab w:val="left" w:pos="3010"/>
        <w:tab w:val="clear" w:pos="1848"/>
        <w:tab w:val="clear" w:pos="6061"/>
        <w:tab w:val="clear" w:pos="8665"/>
      </w:tabs>
      <w:ind w:left="1034" w:hanging="720" w:firstLineChars="0"/>
    </w:pPr>
  </w:style>
  <w:style w:type="character" w:customStyle="1" w:styleId="424">
    <w:name w:val="【标题4】 Char"/>
    <w:link w:val="425"/>
    <w:qFormat/>
    <w:locked/>
    <w:uiPriority w:val="0"/>
    <w:rPr>
      <w:b/>
      <w:bCs/>
      <w:sz w:val="24"/>
      <w:szCs w:val="24"/>
      <w:lang w:bidi="en-US"/>
    </w:rPr>
  </w:style>
  <w:style w:type="paragraph" w:customStyle="1" w:styleId="425">
    <w:name w:val="【标题4】"/>
    <w:basedOn w:val="1"/>
    <w:link w:val="424"/>
    <w:qFormat/>
    <w:uiPriority w:val="0"/>
    <w:pPr>
      <w:keepLines/>
      <w:adjustRightInd w:val="0"/>
      <w:snapToGrid w:val="0"/>
      <w:spacing w:beforeLines="50"/>
      <w:ind w:left="855" w:hanging="855" w:hangingChars="355"/>
      <w:jc w:val="left"/>
      <w:outlineLvl w:val="3"/>
    </w:pPr>
    <w:rPr>
      <w:rFonts w:asciiTheme="minorHAnsi" w:hAnsiTheme="minorHAnsi" w:eastAsiaTheme="minorEastAsia" w:cstheme="minorBidi"/>
      <w:b/>
      <w:bCs/>
      <w:lang w:bidi="en-US"/>
    </w:rPr>
  </w:style>
  <w:style w:type="character" w:customStyle="1" w:styleId="426">
    <w:name w:val="文档结构图 Char1"/>
    <w:link w:val="427"/>
    <w:qFormat/>
    <w:locked/>
    <w:uiPriority w:val="0"/>
    <w:rPr>
      <w:rFonts w:ascii="宋体" w:hAnsi="宋体" w:eastAsia="宋体"/>
      <w:sz w:val="18"/>
      <w:szCs w:val="18"/>
    </w:rPr>
  </w:style>
  <w:style w:type="paragraph" w:customStyle="1" w:styleId="427">
    <w:name w:val="文档结构图2"/>
    <w:basedOn w:val="1"/>
    <w:link w:val="426"/>
    <w:qFormat/>
    <w:uiPriority w:val="0"/>
    <w:pPr>
      <w:ind w:firstLine="200" w:firstLineChars="200"/>
    </w:pPr>
    <w:rPr>
      <w:rFonts w:cstheme="minorBidi"/>
      <w:sz w:val="18"/>
      <w:szCs w:val="18"/>
    </w:rPr>
  </w:style>
  <w:style w:type="paragraph" w:customStyle="1" w:styleId="428">
    <w:name w:val="Char Char Char Char Char Char Char Char Char Char Char Char Char Char Char Char Char Char Char"/>
    <w:basedOn w:val="1"/>
    <w:qFormat/>
    <w:uiPriority w:val="0"/>
    <w:pPr>
      <w:ind w:left="510"/>
    </w:pPr>
  </w:style>
  <w:style w:type="paragraph" w:customStyle="1" w:styleId="429">
    <w:name w:val="Char1 Char Char Char Char Char Char2"/>
    <w:basedOn w:val="1"/>
    <w:qFormat/>
    <w:uiPriority w:val="0"/>
    <w:pPr>
      <w:widowControl/>
      <w:spacing w:after="160" w:line="240" w:lineRule="exact"/>
      <w:jc w:val="left"/>
    </w:pPr>
    <w:rPr>
      <w:rFonts w:ascii="Verdana" w:hAnsi="Verdana" w:eastAsia="仿宋_GB2312"/>
      <w:kern w:val="0"/>
      <w:szCs w:val="20"/>
      <w:lang w:eastAsia="en-US"/>
    </w:rPr>
  </w:style>
  <w:style w:type="character" w:customStyle="1" w:styleId="430">
    <w:name w:val="F正文 Char Char"/>
    <w:link w:val="431"/>
    <w:qFormat/>
    <w:locked/>
    <w:uiPriority w:val="0"/>
    <w:rPr>
      <w:sz w:val="24"/>
      <w:szCs w:val="24"/>
    </w:rPr>
  </w:style>
  <w:style w:type="paragraph" w:customStyle="1" w:styleId="431">
    <w:name w:val="F正文"/>
    <w:basedOn w:val="1"/>
    <w:link w:val="430"/>
    <w:qFormat/>
    <w:uiPriority w:val="0"/>
    <w:pPr>
      <w:ind w:firstLine="200" w:firstLineChars="200"/>
    </w:pPr>
    <w:rPr>
      <w:rFonts w:asciiTheme="minorHAnsi" w:hAnsiTheme="minorHAnsi" w:eastAsiaTheme="minorEastAsia" w:cstheme="minorBidi"/>
    </w:rPr>
  </w:style>
  <w:style w:type="paragraph" w:customStyle="1" w:styleId="432">
    <w:name w:val="列表接续 21"/>
    <w:basedOn w:val="1"/>
    <w:qFormat/>
    <w:uiPriority w:val="0"/>
    <w:pPr>
      <w:adjustRightInd w:val="0"/>
      <w:snapToGrid w:val="0"/>
      <w:spacing w:after="120"/>
      <w:ind w:left="840" w:leftChars="400" w:firstLine="200" w:firstLineChars="200"/>
    </w:pPr>
    <w:rPr>
      <w:rFonts w:eastAsia="Times New Roman"/>
      <w:szCs w:val="20"/>
    </w:rPr>
  </w:style>
  <w:style w:type="paragraph" w:customStyle="1" w:styleId="433">
    <w:name w:val="font5"/>
    <w:basedOn w:val="1"/>
    <w:qFormat/>
    <w:uiPriority w:val="0"/>
    <w:pPr>
      <w:widowControl/>
      <w:spacing w:before="100" w:beforeAutospacing="1" w:after="100" w:afterAutospacing="1"/>
      <w:jc w:val="left"/>
    </w:pPr>
    <w:rPr>
      <w:kern w:val="0"/>
    </w:rPr>
  </w:style>
  <w:style w:type="paragraph" w:customStyle="1" w:styleId="434">
    <w:name w:val="style18"/>
    <w:basedOn w:val="1"/>
    <w:qFormat/>
    <w:uiPriority w:val="0"/>
    <w:pPr>
      <w:widowControl/>
      <w:spacing w:before="100" w:beforeAutospacing="1" w:after="100" w:afterAutospacing="1"/>
      <w:jc w:val="left"/>
    </w:pPr>
    <w:rPr>
      <w:color w:val="000000"/>
      <w:kern w:val="0"/>
    </w:rPr>
  </w:style>
  <w:style w:type="paragraph" w:customStyle="1" w:styleId="435">
    <w:name w:val="Char Char Char1 Char Char Char Char Char Char Char Char Char Char"/>
    <w:basedOn w:val="1"/>
    <w:qFormat/>
    <w:uiPriority w:val="0"/>
    <w:rPr>
      <w:szCs w:val="20"/>
    </w:rPr>
  </w:style>
  <w:style w:type="paragraph" w:customStyle="1" w:styleId="436">
    <w:name w:val="font16"/>
    <w:basedOn w:val="1"/>
    <w:qFormat/>
    <w:uiPriority w:val="0"/>
    <w:pPr>
      <w:widowControl/>
      <w:spacing w:before="100" w:beforeAutospacing="1" w:after="100" w:afterAutospacing="1"/>
      <w:jc w:val="left"/>
    </w:pPr>
    <w:rPr>
      <w:rFonts w:cs="Arial Unicode MS"/>
      <w:kern w:val="0"/>
      <w:sz w:val="20"/>
      <w:szCs w:val="20"/>
      <w:u w:val="single"/>
    </w:rPr>
  </w:style>
  <w:style w:type="paragraph" w:customStyle="1" w:styleId="437">
    <w:name w:val="注释"/>
    <w:basedOn w:val="1"/>
    <w:qFormat/>
    <w:uiPriority w:val="0"/>
    <w:pPr>
      <w:ind w:firstLine="420" w:firstLineChars="200"/>
    </w:pPr>
    <w:rPr>
      <w:rFonts w:eastAsia="仿宋_GB2312" w:cs="宋体"/>
      <w:szCs w:val="20"/>
    </w:rPr>
  </w:style>
  <w:style w:type="character" w:customStyle="1" w:styleId="438">
    <w:name w:val="样式5 Char"/>
    <w:link w:val="439"/>
    <w:qFormat/>
    <w:locked/>
    <w:uiPriority w:val="0"/>
    <w:rPr>
      <w:rFonts w:ascii="宋体" w:hAnsi="宋体" w:eastAsia="宋体"/>
      <w:b/>
      <w:sz w:val="30"/>
      <w:szCs w:val="30"/>
    </w:rPr>
  </w:style>
  <w:style w:type="paragraph" w:customStyle="1" w:styleId="439">
    <w:name w:val="样式5"/>
    <w:basedOn w:val="1"/>
    <w:link w:val="438"/>
    <w:qFormat/>
    <w:uiPriority w:val="0"/>
    <w:pPr>
      <w:tabs>
        <w:tab w:val="left" w:pos="-3240"/>
      </w:tabs>
      <w:spacing w:beforeLines="50"/>
      <w:outlineLvl w:val="0"/>
    </w:pPr>
    <w:rPr>
      <w:rFonts w:cstheme="minorBidi"/>
      <w:b/>
      <w:sz w:val="30"/>
      <w:szCs w:val="30"/>
    </w:rPr>
  </w:style>
  <w:style w:type="paragraph" w:customStyle="1" w:styleId="440">
    <w:name w:val="样式 标题 2 + Times New Roman 小三 居中 行距: 固定值 20 磅"/>
    <w:basedOn w:val="10"/>
    <w:qFormat/>
    <w:uiPriority w:val="0"/>
    <w:pPr>
      <w:widowControl/>
      <w:spacing w:line="400" w:lineRule="exact"/>
      <w:ind w:firstLine="538" w:firstLineChars="192"/>
      <w:jc w:val="left"/>
    </w:pPr>
    <w:rPr>
      <w:rFonts w:ascii="Times New Roman" w:hAnsi="Times New Roman" w:cs="宋体"/>
      <w:bCs w:val="0"/>
      <w:kern w:val="0"/>
      <w:sz w:val="30"/>
      <w:szCs w:val="20"/>
    </w:rPr>
  </w:style>
  <w:style w:type="character" w:customStyle="1" w:styleId="441">
    <w:name w:val="正文文本（使用1） Char"/>
    <w:link w:val="442"/>
    <w:qFormat/>
    <w:locked/>
    <w:uiPriority w:val="0"/>
    <w:rPr>
      <w:rFonts w:ascii="宋体" w:hAnsi="宋体" w:eastAsia="宋体"/>
      <w:color w:val="0000FF"/>
      <w:sz w:val="24"/>
      <w:szCs w:val="24"/>
    </w:rPr>
  </w:style>
  <w:style w:type="paragraph" w:customStyle="1" w:styleId="442">
    <w:name w:val="正文文本（使用1）"/>
    <w:basedOn w:val="1"/>
    <w:link w:val="441"/>
    <w:qFormat/>
    <w:uiPriority w:val="0"/>
    <w:pPr>
      <w:adjustRightInd w:val="0"/>
      <w:snapToGrid w:val="0"/>
      <w:spacing w:line="520" w:lineRule="exact"/>
      <w:ind w:firstLine="480" w:firstLineChars="200"/>
    </w:pPr>
    <w:rPr>
      <w:rFonts w:cstheme="minorBidi"/>
      <w:color w:val="0000FF"/>
    </w:rPr>
  </w:style>
  <w:style w:type="paragraph" w:customStyle="1" w:styleId="443">
    <w:name w:val="正文表格"/>
    <w:basedOn w:val="1"/>
    <w:qFormat/>
    <w:uiPriority w:val="0"/>
    <w:pPr>
      <w:keepNext/>
      <w:keepLines/>
      <w:tabs>
        <w:tab w:val="center" w:pos="6804"/>
      </w:tabs>
      <w:overflowPunct w:val="0"/>
      <w:adjustRightInd w:val="0"/>
      <w:spacing w:before="80"/>
      <w:jc w:val="center"/>
    </w:pPr>
    <w:rPr>
      <w:kern w:val="0"/>
      <w:sz w:val="28"/>
      <w:szCs w:val="20"/>
    </w:rPr>
  </w:style>
  <w:style w:type="paragraph" w:customStyle="1" w:styleId="444">
    <w:name w:val="正文表头"/>
    <w:basedOn w:val="1"/>
    <w:next w:val="443"/>
    <w:qFormat/>
    <w:uiPriority w:val="0"/>
    <w:pPr>
      <w:keepNext/>
      <w:tabs>
        <w:tab w:val="center" w:pos="4253"/>
        <w:tab w:val="right" w:pos="8505"/>
      </w:tabs>
      <w:overflowPunct w:val="0"/>
      <w:adjustRightInd w:val="0"/>
      <w:spacing w:before="120"/>
      <w:jc w:val="center"/>
    </w:pPr>
    <w:rPr>
      <w:rFonts w:eastAsia="黑体"/>
      <w:kern w:val="0"/>
      <w:sz w:val="28"/>
      <w:szCs w:val="20"/>
    </w:rPr>
  </w:style>
  <w:style w:type="paragraph" w:customStyle="1" w:styleId="445">
    <w:name w:val="报告书"/>
    <w:basedOn w:val="1"/>
    <w:qFormat/>
    <w:uiPriority w:val="0"/>
    <w:pPr>
      <w:adjustRightInd w:val="0"/>
      <w:snapToGrid w:val="0"/>
      <w:spacing w:beforeLines="50" w:line="312" w:lineRule="auto"/>
      <w:jc w:val="center"/>
    </w:pPr>
    <w:rPr>
      <w:rFonts w:ascii="Times" w:hAnsi="Times" w:eastAsia="黑体"/>
      <w:spacing w:val="16"/>
      <w:kern w:val="0"/>
      <w:sz w:val="72"/>
    </w:rPr>
  </w:style>
  <w:style w:type="paragraph" w:customStyle="1" w:styleId="446">
    <w:name w:val="列表接续1"/>
    <w:basedOn w:val="1"/>
    <w:qFormat/>
    <w:uiPriority w:val="0"/>
    <w:pPr>
      <w:adjustRightInd w:val="0"/>
      <w:snapToGrid w:val="0"/>
      <w:spacing w:after="120"/>
      <w:ind w:left="420" w:leftChars="200" w:firstLine="200" w:firstLineChars="200"/>
    </w:pPr>
    <w:rPr>
      <w:rFonts w:eastAsia="Times New Roman"/>
      <w:szCs w:val="20"/>
    </w:rPr>
  </w:style>
  <w:style w:type="paragraph" w:customStyle="1" w:styleId="447">
    <w:name w:val="cucd-3"/>
    <w:next w:val="1"/>
    <w:qFormat/>
    <w:uiPriority w:val="0"/>
    <w:pPr>
      <w:tabs>
        <w:tab w:val="left" w:pos="709"/>
      </w:tabs>
      <w:spacing w:line="360" w:lineRule="auto"/>
      <w:ind w:firstLine="482" w:firstLineChars="200"/>
      <w:jc w:val="both"/>
    </w:pPr>
    <w:rPr>
      <w:rFonts w:ascii="宋体" w:hAnsi="宋体" w:eastAsia="宋体" w:cs="Times New Roman"/>
      <w:b/>
      <w:bCs/>
      <w:kern w:val="2"/>
      <w:sz w:val="24"/>
      <w:szCs w:val="24"/>
      <w:lang w:val="en-US" w:eastAsia="zh-CN" w:bidi="ar-SA"/>
    </w:rPr>
  </w:style>
  <w:style w:type="character" w:customStyle="1" w:styleId="448">
    <w:name w:val="热电厂正文 Char Char Char Char Char"/>
    <w:link w:val="449"/>
    <w:qFormat/>
    <w:locked/>
    <w:uiPriority w:val="0"/>
    <w:rPr>
      <w:sz w:val="24"/>
    </w:rPr>
  </w:style>
  <w:style w:type="paragraph" w:customStyle="1" w:styleId="449">
    <w:name w:val="热电厂正文 Char Char Char Char"/>
    <w:basedOn w:val="1"/>
    <w:link w:val="448"/>
    <w:qFormat/>
    <w:uiPriority w:val="0"/>
    <w:pPr>
      <w:spacing w:line="440" w:lineRule="exact"/>
      <w:ind w:firstLine="480" w:firstLineChars="200"/>
    </w:pPr>
    <w:rPr>
      <w:rFonts w:asciiTheme="minorHAnsi" w:hAnsiTheme="minorHAnsi" w:eastAsiaTheme="minorEastAsia" w:cstheme="minorBidi"/>
      <w:szCs w:val="22"/>
    </w:rPr>
  </w:style>
  <w:style w:type="paragraph" w:customStyle="1" w:styleId="450">
    <w:name w:val="签名1"/>
    <w:basedOn w:val="1"/>
    <w:qFormat/>
    <w:uiPriority w:val="0"/>
    <w:pPr>
      <w:adjustRightInd w:val="0"/>
      <w:snapToGrid w:val="0"/>
      <w:ind w:left="100" w:leftChars="2100" w:firstLine="200" w:firstLineChars="200"/>
    </w:pPr>
    <w:rPr>
      <w:rFonts w:eastAsia="Times New Roman"/>
      <w:szCs w:val="20"/>
    </w:rPr>
  </w:style>
  <w:style w:type="paragraph" w:customStyle="1" w:styleId="451">
    <w:name w:val="font6"/>
    <w:basedOn w:val="1"/>
    <w:qFormat/>
    <w:uiPriority w:val="0"/>
    <w:pPr>
      <w:widowControl/>
      <w:spacing w:before="100" w:beforeAutospacing="1" w:after="100" w:afterAutospacing="1"/>
      <w:jc w:val="left"/>
    </w:pPr>
    <w:rPr>
      <w:kern w:val="0"/>
      <w:sz w:val="18"/>
      <w:szCs w:val="18"/>
    </w:rPr>
  </w:style>
  <w:style w:type="character" w:customStyle="1" w:styleId="452">
    <w:name w:val="正文-------- Char"/>
    <w:link w:val="453"/>
    <w:qFormat/>
    <w:locked/>
    <w:uiPriority w:val="0"/>
    <w:rPr>
      <w:sz w:val="24"/>
    </w:rPr>
  </w:style>
  <w:style w:type="paragraph" w:customStyle="1" w:styleId="453">
    <w:name w:val="正文--------"/>
    <w:basedOn w:val="1"/>
    <w:link w:val="452"/>
    <w:qFormat/>
    <w:uiPriority w:val="0"/>
    <w:pPr>
      <w:spacing w:line="460" w:lineRule="exact"/>
      <w:ind w:firstLine="480" w:firstLineChars="200"/>
      <w:jc w:val="left"/>
    </w:pPr>
    <w:rPr>
      <w:rFonts w:asciiTheme="minorHAnsi" w:hAnsiTheme="minorHAnsi" w:eastAsiaTheme="minorEastAsia" w:cstheme="minorBidi"/>
      <w:szCs w:val="22"/>
    </w:rPr>
  </w:style>
  <w:style w:type="character" w:customStyle="1" w:styleId="454">
    <w:name w:val="【表中文字】 Char"/>
    <w:link w:val="455"/>
    <w:qFormat/>
    <w:locked/>
    <w:uiPriority w:val="0"/>
    <w:rPr>
      <w:sz w:val="24"/>
    </w:rPr>
  </w:style>
  <w:style w:type="paragraph" w:customStyle="1" w:styleId="455">
    <w:name w:val="【表中文字】"/>
    <w:basedOn w:val="1"/>
    <w:link w:val="454"/>
    <w:qFormat/>
    <w:uiPriority w:val="0"/>
    <w:pPr>
      <w:jc w:val="center"/>
    </w:pPr>
    <w:rPr>
      <w:rFonts w:asciiTheme="minorHAnsi" w:hAnsiTheme="minorHAnsi" w:eastAsiaTheme="minorEastAsia" w:cstheme="minorBidi"/>
      <w:szCs w:val="22"/>
    </w:rPr>
  </w:style>
  <w:style w:type="paragraph" w:customStyle="1" w:styleId="456">
    <w:name w:val="font14"/>
    <w:basedOn w:val="1"/>
    <w:qFormat/>
    <w:uiPriority w:val="0"/>
    <w:pPr>
      <w:widowControl/>
      <w:spacing w:before="100" w:beforeAutospacing="1" w:after="100" w:afterAutospacing="1"/>
      <w:jc w:val="left"/>
    </w:pPr>
    <w:rPr>
      <w:rFonts w:cs="Arial Unicode MS"/>
      <w:b/>
      <w:bCs/>
      <w:kern w:val="0"/>
      <w:sz w:val="16"/>
      <w:szCs w:val="16"/>
    </w:rPr>
  </w:style>
  <w:style w:type="paragraph" w:customStyle="1" w:styleId="457">
    <w:name w:val="reader-word-layer reader-word-s1-2"/>
    <w:basedOn w:val="1"/>
    <w:qFormat/>
    <w:uiPriority w:val="0"/>
    <w:pPr>
      <w:widowControl/>
      <w:spacing w:before="100" w:beforeAutospacing="1" w:after="100" w:afterAutospacing="1"/>
      <w:jc w:val="left"/>
    </w:pPr>
    <w:rPr>
      <w:rFonts w:cs="宋体"/>
      <w:kern w:val="0"/>
    </w:rPr>
  </w:style>
  <w:style w:type="paragraph" w:customStyle="1" w:styleId="458">
    <w:name w:val="xl4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eastAsia="Arial Unicode MS"/>
      <w:color w:val="000000"/>
      <w:kern w:val="0"/>
    </w:rPr>
  </w:style>
  <w:style w:type="paragraph" w:customStyle="1" w:styleId="459">
    <w:name w:val="文本块21"/>
    <w:basedOn w:val="1"/>
    <w:qFormat/>
    <w:uiPriority w:val="0"/>
    <w:pPr>
      <w:tabs>
        <w:tab w:val="left" w:pos="2160"/>
        <w:tab w:val="left" w:pos="3780"/>
      </w:tabs>
      <w:adjustRightInd w:val="0"/>
      <w:spacing w:line="27" w:lineRule="atLeast"/>
      <w:ind w:left="3780" w:right="119" w:hanging="420"/>
    </w:pPr>
    <w:rPr>
      <w:spacing w:val="25"/>
      <w:kern w:val="0"/>
      <w:szCs w:val="20"/>
    </w:rPr>
  </w:style>
  <w:style w:type="paragraph" w:customStyle="1" w:styleId="460">
    <w:name w:val="xl109"/>
    <w:basedOn w:val="1"/>
    <w:qFormat/>
    <w:uiPriority w:val="0"/>
    <w:pPr>
      <w:widowControl/>
      <w:pBdr>
        <w:top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character" w:customStyle="1" w:styleId="461">
    <w:name w:val="样式 正文首行缩进 + 首行缩进:  1 字符 Char"/>
    <w:link w:val="462"/>
    <w:qFormat/>
    <w:locked/>
    <w:uiPriority w:val="0"/>
    <w:rPr>
      <w:rFonts w:ascii="宋体" w:hAnsi="宋体" w:eastAsia="宋体"/>
      <w:spacing w:val="6"/>
      <w:kern w:val="21"/>
      <w:sz w:val="28"/>
      <w:szCs w:val="28"/>
    </w:rPr>
  </w:style>
  <w:style w:type="paragraph" w:customStyle="1" w:styleId="462">
    <w:name w:val="样式 正文首行缩进 + 首行缩进:  1 字符"/>
    <w:basedOn w:val="64"/>
    <w:link w:val="461"/>
    <w:qFormat/>
    <w:uiPriority w:val="0"/>
    <w:pPr>
      <w:spacing w:after="120" w:line="360" w:lineRule="auto"/>
      <w:ind w:firstLine="584"/>
    </w:pPr>
    <w:rPr>
      <w:rFonts w:cstheme="minorBidi"/>
      <w:b w:val="0"/>
      <w:bCs w:val="0"/>
      <w:spacing w:val="6"/>
      <w:kern w:val="21"/>
      <w:sz w:val="28"/>
      <w:szCs w:val="28"/>
    </w:rPr>
  </w:style>
  <w:style w:type="paragraph" w:customStyle="1" w:styleId="463">
    <w:name w:val="首缩"/>
    <w:basedOn w:val="1"/>
    <w:qFormat/>
    <w:uiPriority w:val="0"/>
    <w:pPr>
      <w:adjustRightInd w:val="0"/>
      <w:snapToGrid w:val="0"/>
      <w:spacing w:line="500" w:lineRule="exact"/>
      <w:ind w:firstLine="200" w:firstLineChars="200"/>
    </w:pPr>
    <w:rPr>
      <w:rFonts w:eastAsia="仿宋_GB2312"/>
      <w:kern w:val="0"/>
      <w:sz w:val="28"/>
      <w:szCs w:val="20"/>
    </w:rPr>
  </w:style>
  <w:style w:type="paragraph" w:customStyle="1" w:styleId="464">
    <w:name w:val="日期2"/>
    <w:basedOn w:val="1"/>
    <w:next w:val="1"/>
    <w:qFormat/>
    <w:uiPriority w:val="0"/>
    <w:pPr>
      <w:autoSpaceDE w:val="0"/>
      <w:autoSpaceDN w:val="0"/>
      <w:adjustRightInd w:val="0"/>
      <w:spacing w:line="360" w:lineRule="atLeast"/>
      <w:jc w:val="left"/>
    </w:pPr>
    <w:rPr>
      <w:rFonts w:eastAsia="楷体_GB2312"/>
      <w:kern w:val="0"/>
      <w:szCs w:val="20"/>
    </w:rPr>
  </w:style>
  <w:style w:type="paragraph" w:customStyle="1" w:styleId="465">
    <w:name w:val="f14"/>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8"/>
      <w:szCs w:val="18"/>
    </w:rPr>
  </w:style>
  <w:style w:type="paragraph" w:customStyle="1" w:styleId="466">
    <w:name w:val="表"/>
    <w:basedOn w:val="1"/>
    <w:next w:val="1"/>
    <w:qFormat/>
    <w:uiPriority w:val="0"/>
    <w:pPr>
      <w:adjustRightInd w:val="0"/>
      <w:spacing w:before="120"/>
      <w:jc w:val="center"/>
    </w:pPr>
    <w:rPr>
      <w:kern w:val="0"/>
      <w:szCs w:val="20"/>
    </w:rPr>
  </w:style>
  <w:style w:type="character" w:customStyle="1" w:styleId="467">
    <w:name w:val="【正文】 Char"/>
    <w:link w:val="468"/>
    <w:qFormat/>
    <w:locked/>
    <w:uiPriority w:val="0"/>
    <w:rPr>
      <w:b/>
      <w:sz w:val="24"/>
    </w:rPr>
  </w:style>
  <w:style w:type="paragraph" w:customStyle="1" w:styleId="468">
    <w:name w:val="【正文】"/>
    <w:basedOn w:val="1"/>
    <w:link w:val="467"/>
    <w:qFormat/>
    <w:uiPriority w:val="0"/>
    <w:pPr>
      <w:adjustRightInd w:val="0"/>
      <w:snapToGrid w:val="0"/>
      <w:ind w:left="-2" w:leftChars="-1"/>
      <w:jc w:val="left"/>
    </w:pPr>
    <w:rPr>
      <w:rFonts w:asciiTheme="minorHAnsi" w:hAnsiTheme="minorHAnsi" w:eastAsiaTheme="minorEastAsia" w:cstheme="minorBidi"/>
      <w:b/>
      <w:szCs w:val="22"/>
    </w:rPr>
  </w:style>
  <w:style w:type="paragraph" w:customStyle="1" w:styleId="469">
    <w:name w:val="列表1"/>
    <w:basedOn w:val="1"/>
    <w:qFormat/>
    <w:uiPriority w:val="0"/>
    <w:pPr>
      <w:ind w:left="200" w:hanging="200" w:hangingChars="200"/>
    </w:pPr>
    <w:rPr>
      <w:szCs w:val="22"/>
    </w:rPr>
  </w:style>
  <w:style w:type="paragraph" w:customStyle="1" w:styleId="470">
    <w:name w:val="表字"/>
    <w:basedOn w:val="1"/>
    <w:qFormat/>
    <w:uiPriority w:val="0"/>
    <w:pPr>
      <w:jc w:val="center"/>
    </w:pPr>
    <w:rPr>
      <w:szCs w:val="20"/>
    </w:rPr>
  </w:style>
  <w:style w:type="paragraph" w:customStyle="1" w:styleId="471">
    <w:name w:val="表头样式"/>
    <w:basedOn w:val="1"/>
    <w:qFormat/>
    <w:uiPriority w:val="0"/>
    <w:pPr>
      <w:keepNext/>
      <w:widowControl/>
      <w:spacing w:beforeLines="50" w:line="520" w:lineRule="exact"/>
      <w:ind w:firstLine="280" w:firstLineChars="100"/>
    </w:pPr>
    <w:rPr>
      <w:rFonts w:cs="宋体"/>
      <w:bCs/>
      <w:sz w:val="28"/>
      <w:szCs w:val="28"/>
    </w:rPr>
  </w:style>
  <w:style w:type="paragraph" w:customStyle="1" w:styleId="472">
    <w:name w:val="xl83"/>
    <w:basedOn w:val="1"/>
    <w:qFormat/>
    <w:uiPriority w:val="0"/>
    <w:pPr>
      <w:widowControl/>
      <w:pBdr>
        <w:top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473">
    <w:name w:val="reader-word-layer reader-word-s1-3 reader-word-s1-21"/>
    <w:basedOn w:val="1"/>
    <w:qFormat/>
    <w:uiPriority w:val="0"/>
    <w:pPr>
      <w:widowControl/>
      <w:spacing w:before="100" w:beforeAutospacing="1" w:after="100" w:afterAutospacing="1"/>
      <w:jc w:val="left"/>
    </w:pPr>
    <w:rPr>
      <w:rFonts w:cs="宋体"/>
      <w:kern w:val="0"/>
    </w:rPr>
  </w:style>
  <w:style w:type="paragraph" w:customStyle="1" w:styleId="474">
    <w:name w:val="Char Char Char1 Char3"/>
    <w:basedOn w:val="1"/>
    <w:qFormat/>
    <w:uiPriority w:val="0"/>
  </w:style>
  <w:style w:type="paragraph" w:customStyle="1" w:styleId="475">
    <w:name w:val="默认段落字体 Para Char Char Char Char"/>
    <w:basedOn w:val="1"/>
    <w:qFormat/>
    <w:uiPriority w:val="0"/>
  </w:style>
  <w:style w:type="paragraph" w:customStyle="1" w:styleId="476">
    <w:name w:val="正文2"/>
    <w:basedOn w:val="1"/>
    <w:qFormat/>
    <w:uiPriority w:val="0"/>
    <w:pPr>
      <w:adjustRightInd w:val="0"/>
      <w:snapToGrid w:val="0"/>
      <w:spacing w:line="440" w:lineRule="atLeast"/>
      <w:ind w:firstLine="567"/>
    </w:pPr>
    <w:rPr>
      <w:szCs w:val="20"/>
    </w:rPr>
  </w:style>
  <w:style w:type="paragraph" w:customStyle="1" w:styleId="477">
    <w:name w:val="样式 标题 3样式　标题 3　自动设置标题 3 Char章 + Times New 表题3"/>
    <w:basedOn w:val="11"/>
    <w:qFormat/>
    <w:uiPriority w:val="0"/>
    <w:pPr>
      <w:tabs>
        <w:tab w:val="left" w:pos="3800"/>
        <w:tab w:val="left" w:pos="5200"/>
      </w:tabs>
      <w:autoSpaceDE w:val="0"/>
      <w:autoSpaceDN w:val="0"/>
      <w:adjustRightInd w:val="0"/>
      <w:snapToGrid w:val="0"/>
      <w:spacing w:beforeLines="50" w:afterLines="50" w:line="240" w:lineRule="auto"/>
      <w:ind w:firstLine="1523"/>
    </w:pPr>
    <w:rPr>
      <w:rFonts w:cs="宋体"/>
      <w:kern w:val="0"/>
      <w:sz w:val="28"/>
      <w:szCs w:val="28"/>
    </w:rPr>
  </w:style>
  <w:style w:type="paragraph" w:customStyle="1" w:styleId="478">
    <w:name w:val="样式 四号"/>
    <w:next w:val="1"/>
    <w:qFormat/>
    <w:uiPriority w:val="0"/>
    <w:pPr>
      <w:ind w:firstLine="560" w:firstLineChars="200"/>
    </w:pPr>
    <w:rPr>
      <w:rFonts w:ascii="Times New Roman" w:hAnsi="Times New Roman" w:eastAsia="宋体" w:cs="宋体"/>
      <w:kern w:val="2"/>
      <w:sz w:val="28"/>
      <w:szCs w:val="20"/>
      <w:lang w:val="en-US" w:eastAsia="zh-CN" w:bidi="ar-SA"/>
    </w:rPr>
  </w:style>
  <w:style w:type="paragraph" w:customStyle="1" w:styleId="479">
    <w:name w:val="S表格"/>
    <w:basedOn w:val="1"/>
    <w:qFormat/>
    <w:uiPriority w:val="0"/>
    <w:pPr>
      <w:spacing w:before="240"/>
      <w:outlineLvl w:val="2"/>
    </w:pPr>
    <w:rPr>
      <w:bCs/>
    </w:rPr>
  </w:style>
  <w:style w:type="paragraph" w:customStyle="1" w:styleId="480">
    <w:name w:val="Char2 Char Char Char Char Char Char Char Char Char Char Char Char2"/>
    <w:basedOn w:val="1"/>
    <w:qFormat/>
    <w:uiPriority w:val="0"/>
    <w:pPr>
      <w:spacing w:line="560" w:lineRule="exact"/>
      <w:ind w:firstLine="200" w:firstLineChars="200"/>
    </w:pPr>
    <w:rPr>
      <w:rFonts w:cs="宋体"/>
      <w:sz w:val="28"/>
      <w:szCs w:val="28"/>
    </w:rPr>
  </w:style>
  <w:style w:type="paragraph" w:customStyle="1" w:styleId="481">
    <w:name w:val="正文麽拉人"/>
    <w:basedOn w:val="1"/>
    <w:qFormat/>
    <w:uiPriority w:val="0"/>
  </w:style>
  <w:style w:type="paragraph" w:customStyle="1" w:styleId="482">
    <w:name w:val="F-3级目录"/>
    <w:basedOn w:val="38"/>
    <w:qFormat/>
    <w:uiPriority w:val="0"/>
    <w:pPr>
      <w:spacing w:line="240" w:lineRule="auto"/>
      <w:ind w:left="200" w:leftChars="200"/>
    </w:pPr>
    <w:rPr>
      <w:sz w:val="24"/>
    </w:rPr>
  </w:style>
  <w:style w:type="character" w:customStyle="1" w:styleId="483">
    <w:name w:val="表、图名 Char"/>
    <w:link w:val="484"/>
    <w:qFormat/>
    <w:locked/>
    <w:uiPriority w:val="0"/>
    <w:rPr>
      <w:rFonts w:ascii="黑体" w:hAnsi="黑体" w:eastAsia="黑体"/>
      <w:sz w:val="24"/>
      <w:szCs w:val="21"/>
    </w:rPr>
  </w:style>
  <w:style w:type="paragraph" w:customStyle="1" w:styleId="484">
    <w:name w:val="表、图名"/>
    <w:basedOn w:val="1"/>
    <w:link w:val="483"/>
    <w:qFormat/>
    <w:uiPriority w:val="0"/>
    <w:pPr>
      <w:adjustRightInd w:val="0"/>
      <w:snapToGrid w:val="0"/>
      <w:jc w:val="center"/>
    </w:pPr>
    <w:rPr>
      <w:rFonts w:ascii="黑体" w:hAnsi="黑体" w:eastAsia="黑体" w:cstheme="minorBidi"/>
    </w:rPr>
  </w:style>
  <w:style w:type="paragraph" w:customStyle="1" w:styleId="485">
    <w:name w:val="电子邮件签名1"/>
    <w:basedOn w:val="1"/>
    <w:qFormat/>
    <w:uiPriority w:val="0"/>
    <w:pPr>
      <w:adjustRightInd w:val="0"/>
      <w:snapToGrid w:val="0"/>
      <w:ind w:firstLine="200" w:firstLineChars="200"/>
    </w:pPr>
    <w:rPr>
      <w:rFonts w:eastAsia="Times New Roman"/>
      <w:szCs w:val="20"/>
    </w:rPr>
  </w:style>
  <w:style w:type="paragraph" w:customStyle="1" w:styleId="486">
    <w:name w:val="Char Char Char1 Char Char Char Char1"/>
    <w:basedOn w:val="1"/>
    <w:qFormat/>
    <w:uiPriority w:val="0"/>
  </w:style>
  <w:style w:type="paragraph" w:customStyle="1" w:styleId="487">
    <w:name w:val="样式 表格 + 首行缩进:  0.74 厘米"/>
    <w:basedOn w:val="1"/>
    <w:qFormat/>
    <w:uiPriority w:val="0"/>
    <w:pPr>
      <w:jc w:val="center"/>
    </w:pPr>
    <w:rPr>
      <w:rFonts w:cs="宋体"/>
      <w:szCs w:val="20"/>
    </w:rPr>
  </w:style>
  <w:style w:type="paragraph" w:customStyle="1" w:styleId="488">
    <w:name w:val="样式 标题 3 + 小四"/>
    <w:basedOn w:val="11"/>
    <w:qFormat/>
    <w:uiPriority w:val="0"/>
    <w:pPr>
      <w:spacing w:before="120" w:after="120" w:line="412" w:lineRule="auto"/>
    </w:pPr>
    <w:rPr>
      <w:bCs w:val="0"/>
      <w:kern w:val="0"/>
      <w:sz w:val="24"/>
      <w:szCs w:val="20"/>
    </w:rPr>
  </w:style>
  <w:style w:type="paragraph" w:customStyle="1" w:styleId="489">
    <w:name w:val="样式 正文样式 + 五号 居中"/>
    <w:basedOn w:val="403"/>
    <w:qFormat/>
    <w:uiPriority w:val="0"/>
    <w:pPr>
      <w:spacing w:line="240" w:lineRule="auto"/>
      <w:ind w:firstLine="0" w:firstLineChars="0"/>
      <w:jc w:val="center"/>
    </w:pPr>
    <w:rPr>
      <w:rFonts w:ascii="Times New Roman" w:hAnsi="Times New Roman" w:cs="宋体"/>
      <w:color w:val="auto"/>
      <w:sz w:val="21"/>
      <w:szCs w:val="20"/>
    </w:rPr>
  </w:style>
  <w:style w:type="paragraph" w:customStyle="1" w:styleId="490">
    <w:name w:val="Char Char1 Char Char Char Char Char Char Char Char Char Char Char Char Char Char Char Char Char Char Char Char1 Char2"/>
    <w:basedOn w:val="1"/>
    <w:qFormat/>
    <w:uiPriority w:val="0"/>
    <w:pPr>
      <w:ind w:firstLine="200" w:firstLineChars="200"/>
    </w:pPr>
    <w:rPr>
      <w:rFonts w:cs="宋体"/>
    </w:rPr>
  </w:style>
  <w:style w:type="paragraph" w:customStyle="1" w:styleId="491">
    <w:name w:val="尾注文本1"/>
    <w:basedOn w:val="231"/>
    <w:qFormat/>
    <w:uiPriority w:val="0"/>
    <w:rPr>
      <w:sz w:val="21"/>
    </w:rPr>
  </w:style>
  <w:style w:type="paragraph" w:customStyle="1" w:styleId="492">
    <w:name w:val="正文(首行缩进2字)"/>
    <w:basedOn w:val="1"/>
    <w:next w:val="1"/>
    <w:qFormat/>
    <w:uiPriority w:val="0"/>
    <w:pPr>
      <w:adjustRightInd w:val="0"/>
      <w:snapToGrid w:val="0"/>
      <w:ind w:firstLine="232" w:firstLineChars="232"/>
    </w:pPr>
    <w:rPr>
      <w:kern w:val="0"/>
      <w:szCs w:val="20"/>
    </w:rPr>
  </w:style>
  <w:style w:type="character" w:customStyle="1" w:styleId="493">
    <w:name w:val="小四+首行缩进 Char2"/>
    <w:link w:val="494"/>
    <w:qFormat/>
    <w:locked/>
    <w:uiPriority w:val="0"/>
    <w:rPr>
      <w:rFonts w:ascii="宋体" w:hAnsi="宋体" w:eastAsia="宋体"/>
      <w:sz w:val="24"/>
    </w:rPr>
  </w:style>
  <w:style w:type="paragraph" w:customStyle="1" w:styleId="494">
    <w:name w:val="小四+首行缩进"/>
    <w:basedOn w:val="1"/>
    <w:link w:val="493"/>
    <w:qFormat/>
    <w:uiPriority w:val="0"/>
    <w:pPr>
      <w:ind w:firstLine="482"/>
    </w:pPr>
    <w:rPr>
      <w:rFonts w:cstheme="minorBidi"/>
      <w:szCs w:val="22"/>
    </w:rPr>
  </w:style>
  <w:style w:type="character" w:customStyle="1" w:styleId="495">
    <w:name w:val="表格标题新 Char"/>
    <w:link w:val="496"/>
    <w:qFormat/>
    <w:locked/>
    <w:uiPriority w:val="0"/>
    <w:rPr>
      <w:rFonts w:ascii="仿宋_GB2312" w:eastAsia="黑体"/>
      <w:b/>
      <w:snapToGrid w:val="0"/>
      <w:spacing w:val="4"/>
      <w:kern w:val="18"/>
      <w:sz w:val="24"/>
      <w:szCs w:val="24"/>
    </w:rPr>
  </w:style>
  <w:style w:type="paragraph" w:customStyle="1" w:styleId="496">
    <w:name w:val="表格标题新"/>
    <w:basedOn w:val="406"/>
    <w:link w:val="495"/>
    <w:qFormat/>
    <w:uiPriority w:val="0"/>
    <w:pPr>
      <w:spacing w:beforeLines="50"/>
      <w:ind w:firstLine="562"/>
    </w:pPr>
    <w:rPr>
      <w:rFonts w:eastAsia="黑体"/>
      <w:b/>
      <w:snapToGrid w:val="0"/>
    </w:rPr>
  </w:style>
  <w:style w:type="paragraph" w:customStyle="1" w:styleId="497">
    <w:name w:val="正文首行缩进3"/>
    <w:basedOn w:val="1"/>
    <w:qFormat/>
    <w:uiPriority w:val="0"/>
    <w:pPr>
      <w:adjustRightInd w:val="0"/>
      <w:spacing w:line="312" w:lineRule="atLeast"/>
      <w:ind w:firstLine="567" w:firstLineChars="200"/>
      <w:jc w:val="left"/>
    </w:pPr>
    <w:rPr>
      <w:kern w:val="0"/>
      <w:sz w:val="28"/>
      <w:szCs w:val="20"/>
    </w:rPr>
  </w:style>
  <w:style w:type="paragraph" w:customStyle="1" w:styleId="498">
    <w:name w:val="表题"/>
    <w:basedOn w:val="1"/>
    <w:qFormat/>
    <w:uiPriority w:val="0"/>
    <w:pPr>
      <w:keepNext/>
      <w:spacing w:line="460" w:lineRule="atLeast"/>
      <w:jc w:val="center"/>
    </w:pPr>
    <w:rPr>
      <w:b/>
      <w:spacing w:val="12"/>
      <w:w w:val="90"/>
    </w:rPr>
  </w:style>
  <w:style w:type="paragraph" w:customStyle="1" w:styleId="499">
    <w:name w:val="Default"/>
    <w:qFormat/>
    <w:uiPriority w:val="0"/>
    <w:pPr>
      <w:widowControl w:val="0"/>
      <w:autoSpaceDE w:val="0"/>
      <w:autoSpaceDN w:val="0"/>
      <w:adjustRightInd w:val="0"/>
    </w:pPr>
    <w:rPr>
      <w:rFonts w:ascii="宋体" w:hAnsi="Times New Roman" w:eastAsia="宋体" w:cs="Times New Roman"/>
      <w:kern w:val="0"/>
      <w:sz w:val="20"/>
      <w:szCs w:val="20"/>
      <w:lang w:val="en-US" w:eastAsia="zh-CN" w:bidi="ar-SA"/>
    </w:rPr>
  </w:style>
  <w:style w:type="paragraph" w:customStyle="1" w:styleId="500">
    <w:name w:val="xl80"/>
    <w:basedOn w:val="1"/>
    <w:qFormat/>
    <w:uiPriority w:val="0"/>
    <w:pPr>
      <w:widowControl/>
      <w:pBdr>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501">
    <w:name w:val="样式 报告表正文 + 首行缩进:  2 字符 行距: 1.5 倍行距"/>
    <w:basedOn w:val="1"/>
    <w:qFormat/>
    <w:uiPriority w:val="0"/>
    <w:pPr>
      <w:adjustRightInd w:val="0"/>
      <w:ind w:left="113" w:right="113" w:firstLine="480" w:firstLineChars="200"/>
    </w:pPr>
    <w:rPr>
      <w:rFonts w:cs="宋体"/>
      <w:kern w:val="0"/>
    </w:rPr>
  </w:style>
  <w:style w:type="paragraph" w:customStyle="1" w:styleId="502">
    <w:name w:val="目录"/>
    <w:basedOn w:val="49"/>
    <w:qFormat/>
    <w:uiPriority w:val="0"/>
    <w:rPr>
      <w:sz w:val="44"/>
    </w:rPr>
  </w:style>
  <w:style w:type="paragraph" w:customStyle="1" w:styleId="503">
    <w:name w:val="Char Char Char Char Char Char Char"/>
    <w:basedOn w:val="1"/>
    <w:qFormat/>
    <w:uiPriority w:val="0"/>
  </w:style>
  <w:style w:type="paragraph" w:customStyle="1" w:styleId="504">
    <w:name w:val="Preise1"/>
    <w:basedOn w:val="1"/>
    <w:qFormat/>
    <w:uiPriority w:val="0"/>
    <w:pPr>
      <w:widowControl/>
      <w:tabs>
        <w:tab w:val="right" w:pos="1361"/>
        <w:tab w:val="left" w:pos="1560"/>
        <w:tab w:val="decimal" w:pos="8732"/>
      </w:tabs>
      <w:jc w:val="left"/>
    </w:pPr>
    <w:rPr>
      <w:rFonts w:ascii="Arial" w:hAnsi="Arial"/>
      <w:kern w:val="0"/>
      <w:sz w:val="22"/>
      <w:szCs w:val="20"/>
      <w:lang w:val="de-DE" w:eastAsia="de-DE"/>
    </w:rPr>
  </w:style>
  <w:style w:type="paragraph" w:customStyle="1" w:styleId="505">
    <w:name w:val="表格内容居中"/>
    <w:basedOn w:val="1"/>
    <w:qFormat/>
    <w:uiPriority w:val="0"/>
    <w:pPr>
      <w:overflowPunct w:val="0"/>
      <w:adjustRightInd w:val="0"/>
      <w:snapToGrid w:val="0"/>
      <w:spacing w:line="460" w:lineRule="exact"/>
      <w:jc w:val="center"/>
    </w:pPr>
    <w:rPr>
      <w:rFonts w:ascii="仿宋_GB2312" w:eastAsia="仿宋_GB2312"/>
      <w:spacing w:val="12"/>
      <w:kern w:val="0"/>
    </w:rPr>
  </w:style>
  <w:style w:type="paragraph" w:customStyle="1" w:styleId="506">
    <w:name w:val="Char Char Char Char Char Char1 Char1"/>
    <w:basedOn w:val="1"/>
    <w:next w:val="8"/>
    <w:qFormat/>
    <w:uiPriority w:val="0"/>
    <w:rPr>
      <w:sz w:val="28"/>
      <w:szCs w:val="28"/>
    </w:rPr>
  </w:style>
  <w:style w:type="paragraph" w:customStyle="1" w:styleId="507">
    <w:name w:val="称呼1"/>
    <w:basedOn w:val="1"/>
    <w:next w:val="1"/>
    <w:qFormat/>
    <w:uiPriority w:val="0"/>
    <w:pPr>
      <w:adjustRightInd w:val="0"/>
      <w:snapToGrid w:val="0"/>
      <w:ind w:firstLine="200" w:firstLineChars="200"/>
    </w:pPr>
    <w:rPr>
      <w:rFonts w:eastAsia="Times New Roman"/>
      <w:szCs w:val="20"/>
    </w:rPr>
  </w:style>
  <w:style w:type="character" w:customStyle="1" w:styleId="508">
    <w:name w:val="样式 公式---------------------- + 首行缩进:  2 字符 Char"/>
    <w:link w:val="509"/>
    <w:qFormat/>
    <w:locked/>
    <w:uiPriority w:val="0"/>
    <w:rPr>
      <w:spacing w:val="16"/>
      <w:sz w:val="24"/>
    </w:rPr>
  </w:style>
  <w:style w:type="paragraph" w:customStyle="1" w:styleId="509">
    <w:name w:val="样式 公式---------------------- + 首行缩进:  2 字符"/>
    <w:basedOn w:val="1"/>
    <w:link w:val="508"/>
    <w:qFormat/>
    <w:uiPriority w:val="0"/>
    <w:pPr>
      <w:ind w:firstLine="200" w:firstLineChars="200"/>
      <w:jc w:val="center"/>
    </w:pPr>
    <w:rPr>
      <w:rFonts w:asciiTheme="minorHAnsi" w:hAnsiTheme="minorHAnsi" w:eastAsiaTheme="minorEastAsia" w:cstheme="minorBidi"/>
      <w:spacing w:val="16"/>
      <w:szCs w:val="22"/>
    </w:rPr>
  </w:style>
  <w:style w:type="paragraph" w:customStyle="1" w:styleId="510">
    <w:name w:val="正文文本缩进 321"/>
    <w:basedOn w:val="1"/>
    <w:qFormat/>
    <w:uiPriority w:val="0"/>
    <w:pPr>
      <w:adjustRightInd w:val="0"/>
      <w:spacing w:line="480" w:lineRule="exact"/>
      <w:ind w:firstLine="570" w:firstLineChars="200"/>
    </w:pPr>
    <w:rPr>
      <w:szCs w:val="20"/>
    </w:rPr>
  </w:style>
  <w:style w:type="paragraph" w:customStyle="1" w:styleId="511">
    <w:name w:val="正文文本 21"/>
    <w:basedOn w:val="1"/>
    <w:qFormat/>
    <w:uiPriority w:val="0"/>
    <w:pPr>
      <w:overflowPunct w:val="0"/>
      <w:autoSpaceDE w:val="0"/>
      <w:autoSpaceDN w:val="0"/>
      <w:adjustRightInd w:val="0"/>
      <w:spacing w:after="120"/>
    </w:pPr>
    <w:rPr>
      <w:szCs w:val="20"/>
    </w:rPr>
  </w:style>
  <w:style w:type="paragraph" w:customStyle="1" w:styleId="512">
    <w:name w:val="fs14"/>
    <w:basedOn w:val="1"/>
    <w:qFormat/>
    <w:uiPriority w:val="0"/>
    <w:pPr>
      <w:widowControl/>
      <w:pBdr>
        <w:top w:val="single" w:color="022E49" w:sz="6" w:space="0"/>
        <w:left w:val="single" w:color="022E49" w:sz="6" w:space="0"/>
        <w:bottom w:val="single" w:color="022E49" w:sz="6" w:space="0"/>
        <w:right w:val="single" w:color="022E49" w:sz="6" w:space="0"/>
      </w:pBdr>
      <w:spacing w:before="100" w:beforeAutospacing="1" w:after="100" w:afterAutospacing="1"/>
      <w:jc w:val="left"/>
    </w:pPr>
    <w:rPr>
      <w:rFonts w:ascii="Arial Unicode MS" w:hAnsi="Arial Unicode MS" w:eastAsia="Arial Unicode MS" w:cs="Arial Unicode MS"/>
      <w:color w:val="022E49"/>
      <w:kern w:val="0"/>
    </w:rPr>
  </w:style>
  <w:style w:type="paragraph" w:customStyle="1" w:styleId="513">
    <w:name w:val="CM3"/>
    <w:basedOn w:val="499"/>
    <w:next w:val="499"/>
    <w:qFormat/>
    <w:uiPriority w:val="0"/>
    <w:pPr>
      <w:spacing w:line="480" w:lineRule="atLeast"/>
    </w:pPr>
    <w:rPr>
      <w:sz w:val="24"/>
      <w:szCs w:val="24"/>
    </w:rPr>
  </w:style>
  <w:style w:type="paragraph" w:customStyle="1" w:styleId="514">
    <w:name w:val="页号"/>
    <w:basedOn w:val="46"/>
    <w:qFormat/>
    <w:uiPriority w:val="0"/>
    <w:pPr>
      <w:tabs>
        <w:tab w:val="center" w:pos="4320"/>
        <w:tab w:val="right" w:pos="8640"/>
        <w:tab w:val="clear" w:pos="4153"/>
        <w:tab w:val="clear" w:pos="8306"/>
      </w:tabs>
      <w:adjustRightInd w:val="0"/>
      <w:snapToGrid/>
      <w:jc w:val="center"/>
    </w:pPr>
    <w:rPr>
      <w:rFonts w:hAnsi="Arial"/>
      <w:spacing w:val="3"/>
      <w:kern w:val="24"/>
      <w:sz w:val="24"/>
      <w:szCs w:val="20"/>
    </w:rPr>
  </w:style>
  <w:style w:type="paragraph" w:customStyle="1" w:styleId="515">
    <w:name w:val="Char Char2 Char Char Char Char"/>
    <w:basedOn w:val="1"/>
    <w:qFormat/>
    <w:uiPriority w:val="0"/>
  </w:style>
  <w:style w:type="character" w:customStyle="1" w:styleId="516">
    <w:name w:val="表头1 Char"/>
    <w:link w:val="517"/>
    <w:qFormat/>
    <w:locked/>
    <w:uiPriority w:val="0"/>
    <w:rPr>
      <w:rFonts w:ascii="黑体" w:hAnsi="黑体" w:eastAsia="黑体"/>
      <w:sz w:val="24"/>
      <w:szCs w:val="28"/>
    </w:rPr>
  </w:style>
  <w:style w:type="paragraph" w:customStyle="1" w:styleId="517">
    <w:name w:val="表头1"/>
    <w:basedOn w:val="1"/>
    <w:next w:val="1"/>
    <w:link w:val="516"/>
    <w:qFormat/>
    <w:uiPriority w:val="0"/>
    <w:pPr>
      <w:tabs>
        <w:tab w:val="left" w:pos="605"/>
      </w:tabs>
      <w:adjustRightInd w:val="0"/>
      <w:snapToGrid w:val="0"/>
      <w:jc w:val="center"/>
    </w:pPr>
    <w:rPr>
      <w:rFonts w:ascii="黑体" w:hAnsi="黑体" w:eastAsia="黑体" w:cstheme="minorBidi"/>
      <w:szCs w:val="28"/>
    </w:rPr>
  </w:style>
  <w:style w:type="paragraph" w:customStyle="1" w:styleId="518">
    <w:name w:val="CM11"/>
    <w:basedOn w:val="499"/>
    <w:next w:val="499"/>
    <w:qFormat/>
    <w:uiPriority w:val="0"/>
    <w:pPr>
      <w:spacing w:line="480" w:lineRule="atLeast"/>
    </w:pPr>
    <w:rPr>
      <w:sz w:val="24"/>
      <w:szCs w:val="24"/>
    </w:rPr>
  </w:style>
  <w:style w:type="paragraph" w:customStyle="1" w:styleId="519">
    <w:name w:val="6表格"/>
    <w:basedOn w:val="1"/>
    <w:qFormat/>
    <w:uiPriority w:val="0"/>
    <w:pPr>
      <w:adjustRightInd w:val="0"/>
      <w:snapToGrid w:val="0"/>
      <w:spacing w:before="60" w:line="240" w:lineRule="atLeast"/>
      <w:ind w:firstLine="200" w:firstLineChars="200"/>
      <w:jc w:val="center"/>
    </w:pPr>
    <w:rPr>
      <w:kern w:val="0"/>
      <w:szCs w:val="20"/>
    </w:rPr>
  </w:style>
  <w:style w:type="paragraph" w:customStyle="1" w:styleId="520">
    <w:name w:val="F-1级标题"/>
    <w:basedOn w:val="9"/>
    <w:next w:val="1"/>
    <w:qFormat/>
    <w:uiPriority w:val="0"/>
    <w:pPr>
      <w:keepLines/>
      <w:spacing w:before="400" w:after="400" w:line="240" w:lineRule="auto"/>
    </w:pPr>
    <w:rPr>
      <w:rFonts w:ascii="Times New Roman" w:eastAsia="黑体" w:cs="Times New Roman"/>
      <w:bCs/>
      <w:kern w:val="44"/>
      <w:sz w:val="36"/>
      <w:szCs w:val="44"/>
    </w:rPr>
  </w:style>
  <w:style w:type="paragraph" w:customStyle="1" w:styleId="521">
    <w:name w:val="可研-表格正文"/>
    <w:basedOn w:val="300"/>
    <w:qFormat/>
    <w:uiPriority w:val="0"/>
    <w:pPr>
      <w:widowControl w:val="0"/>
      <w:spacing w:line="0" w:lineRule="atLeast"/>
      <w:ind w:firstLine="0" w:firstLineChars="0"/>
    </w:pPr>
  </w:style>
  <w:style w:type="paragraph" w:customStyle="1" w:styleId="522">
    <w:name w:val="表格样式1"/>
    <w:basedOn w:val="1"/>
    <w:qFormat/>
    <w:uiPriority w:val="0"/>
    <w:pPr>
      <w:adjustRightInd w:val="0"/>
      <w:spacing w:line="20" w:lineRule="atLeast"/>
      <w:jc w:val="center"/>
    </w:pPr>
    <w:rPr>
      <w:kern w:val="0"/>
      <w:szCs w:val="20"/>
    </w:rPr>
  </w:style>
  <w:style w:type="paragraph" w:customStyle="1" w:styleId="523">
    <w:name w:val="Char Char Char Char Char Char1 Char3"/>
    <w:basedOn w:val="1"/>
    <w:next w:val="8"/>
    <w:qFormat/>
    <w:uiPriority w:val="0"/>
    <w:rPr>
      <w:sz w:val="28"/>
      <w:szCs w:val="28"/>
    </w:rPr>
  </w:style>
  <w:style w:type="paragraph" w:customStyle="1" w:styleId="524">
    <w:name w:val="Char1 Char Char Char Char Char Char3"/>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525">
    <w:name w:val="Char1 Char Char Char4"/>
    <w:basedOn w:val="1"/>
    <w:qFormat/>
    <w:uiPriority w:val="0"/>
    <w:pPr>
      <w:snapToGrid w:val="0"/>
      <w:ind w:firstLine="200" w:firstLineChars="200"/>
    </w:pPr>
    <w:rPr>
      <w:rFonts w:eastAsia="仿宋_GB2312"/>
    </w:rPr>
  </w:style>
  <w:style w:type="paragraph" w:customStyle="1" w:styleId="526">
    <w:name w:val="无悬挂正文5号"/>
    <w:basedOn w:val="1"/>
    <w:qFormat/>
    <w:uiPriority w:val="0"/>
    <w:pPr>
      <w:jc w:val="center"/>
    </w:pPr>
  </w:style>
  <w:style w:type="paragraph" w:customStyle="1" w:styleId="527">
    <w:name w:val="xl36"/>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kern w:val="0"/>
      <w:sz w:val="16"/>
      <w:szCs w:val="16"/>
    </w:rPr>
  </w:style>
  <w:style w:type="paragraph" w:customStyle="1" w:styleId="528">
    <w:name w:val="样式 标题 1 + 华文行楷 初号 居中"/>
    <w:basedOn w:val="9"/>
    <w:qFormat/>
    <w:uiPriority w:val="0"/>
    <w:pPr>
      <w:keepLines/>
      <w:spacing w:line="240" w:lineRule="auto"/>
      <w:ind w:left="141"/>
      <w:jc w:val="center"/>
    </w:pPr>
    <w:rPr>
      <w:rFonts w:ascii="华文行楷" w:hAnsi="Arial" w:eastAsia="华文行楷"/>
      <w:kern w:val="44"/>
      <w:sz w:val="84"/>
    </w:rPr>
  </w:style>
  <w:style w:type="paragraph" w:customStyle="1" w:styleId="529">
    <w:name w:val="xl8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530">
    <w:name w:val="表1表2"/>
    <w:basedOn w:val="1"/>
    <w:qFormat/>
    <w:uiPriority w:val="0"/>
    <w:pPr>
      <w:autoSpaceDE w:val="0"/>
      <w:autoSpaceDN w:val="0"/>
      <w:adjustRightInd w:val="0"/>
      <w:ind w:firstLine="200" w:firstLineChars="200"/>
      <w:jc w:val="center"/>
    </w:pPr>
    <w:rPr>
      <w:rFonts w:eastAsia="黑体"/>
      <w:kern w:val="0"/>
      <w:szCs w:val="20"/>
    </w:rPr>
  </w:style>
  <w:style w:type="paragraph" w:customStyle="1" w:styleId="531">
    <w:name w:val="标准"/>
    <w:basedOn w:val="1"/>
    <w:qFormat/>
    <w:uiPriority w:val="0"/>
    <w:pPr>
      <w:adjustRightInd w:val="0"/>
      <w:spacing w:line="312" w:lineRule="atLeast"/>
    </w:pPr>
    <w:rPr>
      <w:kern w:val="0"/>
      <w:szCs w:val="20"/>
    </w:rPr>
  </w:style>
  <w:style w:type="paragraph" w:customStyle="1" w:styleId="532">
    <w:name w:val="我的正文"/>
    <w:basedOn w:val="1"/>
    <w:qFormat/>
    <w:uiPriority w:val="0"/>
    <w:rPr>
      <w:szCs w:val="20"/>
    </w:rPr>
  </w:style>
  <w:style w:type="character" w:customStyle="1" w:styleId="533">
    <w:name w:val="样式 标题 1 + 小二 Char"/>
    <w:link w:val="534"/>
    <w:qFormat/>
    <w:locked/>
    <w:uiPriority w:val="0"/>
    <w:rPr>
      <w:b/>
      <w:bCs/>
      <w:kern w:val="44"/>
      <w:sz w:val="36"/>
      <w:szCs w:val="24"/>
    </w:rPr>
  </w:style>
  <w:style w:type="paragraph" w:customStyle="1" w:styleId="534">
    <w:name w:val="样式 标题 1 + 小二"/>
    <w:basedOn w:val="9"/>
    <w:link w:val="533"/>
    <w:qFormat/>
    <w:uiPriority w:val="0"/>
    <w:pPr>
      <w:keepLines/>
      <w:pageBreakBefore/>
      <w:tabs>
        <w:tab w:val="left" w:pos="8160"/>
      </w:tabs>
      <w:adjustRightInd w:val="0"/>
      <w:spacing w:before="120" w:line="240" w:lineRule="auto"/>
      <w:ind w:left="141"/>
      <w:jc w:val="left"/>
    </w:pPr>
    <w:rPr>
      <w:rFonts w:asciiTheme="minorHAnsi" w:hAnsiTheme="minorHAnsi" w:eastAsiaTheme="minorEastAsia" w:cstheme="minorBidi"/>
      <w:b/>
      <w:bCs/>
      <w:kern w:val="44"/>
      <w:sz w:val="36"/>
      <w:szCs w:val="24"/>
    </w:rPr>
  </w:style>
  <w:style w:type="paragraph" w:customStyle="1" w:styleId="535">
    <w:name w:val="xl87"/>
    <w:basedOn w:val="1"/>
    <w:qFormat/>
    <w:uiPriority w:val="0"/>
    <w:pPr>
      <w:widowControl/>
      <w:pBdr>
        <w:top w:val="single" w:color="auto" w:sz="8" w:space="0"/>
        <w:bottom w:val="single" w:color="auto" w:sz="4" w:space="0"/>
        <w:right w:val="single" w:color="auto" w:sz="4" w:space="0"/>
      </w:pBdr>
      <w:spacing w:before="100" w:beforeAutospacing="1" w:after="100" w:afterAutospacing="1"/>
      <w:jc w:val="left"/>
    </w:pPr>
    <w:rPr>
      <w:rFonts w:eastAsia="Arial Unicode MS"/>
      <w:kern w:val="0"/>
      <w:sz w:val="16"/>
      <w:szCs w:val="16"/>
    </w:rPr>
  </w:style>
  <w:style w:type="paragraph" w:customStyle="1" w:styleId="536">
    <w:name w:val="xl61"/>
    <w:basedOn w:val="1"/>
    <w:qFormat/>
    <w:uiPriority w:val="0"/>
    <w:pPr>
      <w:widowControl/>
      <w:pBdr>
        <w:top w:val="single" w:color="auto" w:sz="4" w:space="0"/>
        <w:left w:val="single" w:color="auto" w:sz="8"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537">
    <w:name w:val="Char Char Char Char Char Char Char Char Char Char Char Char Char Char Char Char Char Char Char Char Char Char Char Char Char Char Char Char Char Char Char Char Char Char2"/>
    <w:basedOn w:val="1"/>
    <w:qFormat/>
    <w:uiPriority w:val="0"/>
  </w:style>
  <w:style w:type="paragraph" w:customStyle="1" w:styleId="538">
    <w:name w:val="xl25"/>
    <w:basedOn w:val="1"/>
    <w:qFormat/>
    <w:uiPriority w:val="0"/>
    <w:pPr>
      <w:widowControl/>
      <w:pBdr>
        <w:bottom w:val="single" w:color="auto" w:sz="4" w:space="0"/>
        <w:right w:val="single" w:color="auto" w:sz="4" w:space="0"/>
      </w:pBdr>
      <w:spacing w:before="100" w:beforeAutospacing="1" w:after="100" w:afterAutospacing="1"/>
    </w:pPr>
    <w:rPr>
      <w:rFonts w:eastAsia="Arial Unicode MS"/>
      <w:kern w:val="0"/>
      <w:sz w:val="20"/>
      <w:szCs w:val="20"/>
    </w:rPr>
  </w:style>
  <w:style w:type="paragraph" w:customStyle="1" w:styleId="539">
    <w:name w:val="悬挂式正文"/>
    <w:basedOn w:val="1"/>
    <w:qFormat/>
    <w:uiPriority w:val="0"/>
    <w:pPr>
      <w:tabs>
        <w:tab w:val="center" w:pos="6804"/>
        <w:tab w:val="right" w:pos="7371"/>
      </w:tabs>
      <w:overflowPunct w:val="0"/>
      <w:adjustRightInd w:val="0"/>
      <w:ind w:left="1701" w:hanging="1134"/>
    </w:pPr>
    <w:rPr>
      <w:kern w:val="0"/>
      <w:sz w:val="28"/>
      <w:szCs w:val="20"/>
    </w:rPr>
  </w:style>
  <w:style w:type="paragraph" w:customStyle="1" w:styleId="540">
    <w:name w:val="表内字"/>
    <w:qFormat/>
    <w:uiPriority w:val="0"/>
    <w:pPr>
      <w:spacing w:line="312" w:lineRule="auto"/>
      <w:jc w:val="center"/>
    </w:pPr>
    <w:rPr>
      <w:rFonts w:ascii="Times New Roman" w:hAnsi="Times New Roman" w:eastAsia="宋体" w:cs="Times New Roman"/>
      <w:color w:val="000000"/>
      <w:kern w:val="0"/>
      <w:sz w:val="21"/>
      <w:szCs w:val="20"/>
      <w:lang w:val="en-US" w:eastAsia="zh-CN" w:bidi="ar-SA"/>
    </w:rPr>
  </w:style>
  <w:style w:type="paragraph" w:customStyle="1" w:styleId="541">
    <w:name w:val="Char Char Char1 Char1"/>
    <w:basedOn w:val="1"/>
    <w:qFormat/>
    <w:uiPriority w:val="0"/>
  </w:style>
  <w:style w:type="character" w:customStyle="1" w:styleId="542">
    <w:name w:val="表格文字 Char"/>
    <w:link w:val="543"/>
    <w:qFormat/>
    <w:locked/>
    <w:uiPriority w:val="0"/>
    <w:rPr>
      <w:rFonts w:ascii="宋体" w:hAnsi="宋体" w:eastAsia="Times New Roman"/>
    </w:rPr>
  </w:style>
  <w:style w:type="paragraph" w:customStyle="1" w:styleId="543">
    <w:name w:val="表格文字"/>
    <w:link w:val="542"/>
    <w:qFormat/>
    <w:uiPriority w:val="0"/>
    <w:pPr>
      <w:snapToGrid w:val="0"/>
    </w:pPr>
    <w:rPr>
      <w:rFonts w:ascii="宋体" w:hAnsi="宋体" w:eastAsia="Times New Roman" w:cstheme="minorBidi"/>
      <w:kern w:val="2"/>
      <w:sz w:val="21"/>
      <w:szCs w:val="22"/>
      <w:lang w:val="en-US" w:eastAsia="zh-CN" w:bidi="ar-SA"/>
    </w:rPr>
  </w:style>
  <w:style w:type="paragraph" w:customStyle="1" w:styleId="544">
    <w:name w:val="Char4 Char Char Char Char Char Char1"/>
    <w:basedOn w:val="1"/>
    <w:qFormat/>
    <w:uiPriority w:val="0"/>
    <w:pPr>
      <w:ind w:firstLine="200" w:firstLineChars="200"/>
    </w:pPr>
    <w:rPr>
      <w:rFonts w:cs="宋体"/>
    </w:rPr>
  </w:style>
  <w:style w:type="paragraph" w:customStyle="1" w:styleId="545">
    <w:name w:val="04"/>
    <w:basedOn w:val="1"/>
    <w:qFormat/>
    <w:uiPriority w:val="0"/>
    <w:pPr>
      <w:spacing w:line="312" w:lineRule="auto"/>
    </w:pPr>
    <w:rPr>
      <w:rFonts w:eastAsia="华文仿宋"/>
      <w:szCs w:val="30"/>
    </w:rPr>
  </w:style>
  <w:style w:type="character" w:customStyle="1" w:styleId="546">
    <w:name w:val="【标题3】 Char"/>
    <w:link w:val="547"/>
    <w:qFormat/>
    <w:locked/>
    <w:uiPriority w:val="0"/>
    <w:rPr>
      <w:b/>
      <w:bCs/>
      <w:sz w:val="28"/>
    </w:rPr>
  </w:style>
  <w:style w:type="paragraph" w:customStyle="1" w:styleId="547">
    <w:name w:val="【标题3】"/>
    <w:basedOn w:val="11"/>
    <w:link w:val="546"/>
    <w:qFormat/>
    <w:uiPriority w:val="0"/>
    <w:pPr>
      <w:keepNext w:val="0"/>
      <w:adjustRightInd w:val="0"/>
      <w:snapToGrid w:val="0"/>
      <w:spacing w:beforeLines="50" w:afterLines="25" w:line="360" w:lineRule="auto"/>
      <w:ind w:left="814" w:hanging="814" w:hangingChars="338"/>
    </w:pPr>
    <w:rPr>
      <w:rFonts w:asciiTheme="minorHAnsi" w:hAnsiTheme="minorHAnsi" w:eastAsiaTheme="minorEastAsia" w:cstheme="minorBidi"/>
      <w:sz w:val="28"/>
      <w:szCs w:val="22"/>
    </w:rPr>
  </w:style>
  <w:style w:type="paragraph" w:customStyle="1" w:styleId="548">
    <w:name w:val="正文2 Char Char Char Char Char Char Char Char Char Char Char Char1 Char Char Char Char Char Char Char Char1 Char Char Char Char Char Char"/>
    <w:basedOn w:val="1"/>
    <w:qFormat/>
    <w:uiPriority w:val="0"/>
    <w:pPr>
      <w:widowControl/>
      <w:spacing w:line="400" w:lineRule="exact"/>
      <w:jc w:val="center"/>
    </w:pPr>
  </w:style>
  <w:style w:type="paragraph" w:customStyle="1" w:styleId="549">
    <w:name w:val="xl23"/>
    <w:basedOn w:val="1"/>
    <w:qFormat/>
    <w:uiPriority w:val="0"/>
    <w:pPr>
      <w:widowControl/>
      <w:spacing w:before="100" w:beforeAutospacing="1" w:after="100" w:afterAutospacing="1"/>
      <w:jc w:val="center"/>
    </w:pPr>
    <w:rPr>
      <w:kern w:val="0"/>
    </w:rPr>
  </w:style>
  <w:style w:type="paragraph" w:customStyle="1" w:styleId="550">
    <w:name w:val="样式6"/>
    <w:qFormat/>
    <w:uiPriority w:val="0"/>
    <w:pPr>
      <w:adjustRightInd w:val="0"/>
      <w:snapToGrid w:val="0"/>
      <w:spacing w:line="360" w:lineRule="auto"/>
      <w:jc w:val="both"/>
    </w:pPr>
    <w:rPr>
      <w:rFonts w:ascii="Times New Roman" w:hAnsi="Times New Roman" w:eastAsia="宋体" w:cs="Times New Roman"/>
      <w:color w:val="000000"/>
      <w:kern w:val="0"/>
      <w:sz w:val="18"/>
      <w:szCs w:val="20"/>
      <w:lang w:val="en-US" w:eastAsia="zh-CN" w:bidi="ar-SA"/>
    </w:rPr>
  </w:style>
  <w:style w:type="character" w:customStyle="1" w:styleId="551">
    <w:name w:val="表格式 Char"/>
    <w:link w:val="552"/>
    <w:qFormat/>
    <w:locked/>
    <w:uiPriority w:val="0"/>
    <w:rPr>
      <w:rFonts w:ascii="宋体" w:hAnsi="宋体" w:eastAsia="宋体"/>
      <w:color w:val="000000"/>
      <w:sz w:val="24"/>
      <w:szCs w:val="21"/>
    </w:rPr>
  </w:style>
  <w:style w:type="paragraph" w:customStyle="1" w:styleId="552">
    <w:name w:val="表格式"/>
    <w:basedOn w:val="1"/>
    <w:link w:val="551"/>
    <w:qFormat/>
    <w:uiPriority w:val="0"/>
    <w:pPr>
      <w:spacing w:line="260" w:lineRule="exact"/>
      <w:jc w:val="center"/>
    </w:pPr>
    <w:rPr>
      <w:rFonts w:cstheme="minorBidi"/>
      <w:color w:val="000000"/>
    </w:rPr>
  </w:style>
  <w:style w:type="paragraph" w:customStyle="1" w:styleId="553">
    <w:name w:val="Char Char Char Char Char Char Char Char Char Char Char Char Char Char Char Char Char Char Char Char Char Char Char Char Char Char Char Char Char Char Char Char Char Char"/>
    <w:basedOn w:val="1"/>
    <w:qFormat/>
    <w:uiPriority w:val="0"/>
  </w:style>
  <w:style w:type="paragraph" w:customStyle="1" w:styleId="554">
    <w:name w:val="正文(a)"/>
    <w:basedOn w:val="33"/>
    <w:qFormat/>
    <w:uiPriority w:val="0"/>
    <w:pPr>
      <w:widowControl/>
      <w:tabs>
        <w:tab w:val="left" w:pos="1139"/>
      </w:tabs>
      <w:spacing w:after="0" w:line="351" w:lineRule="atLeast"/>
      <w:ind w:left="-141" w:firstLine="566"/>
    </w:pPr>
    <w:rPr>
      <w:rFonts w:cs="宋体"/>
      <w:bCs/>
      <w:color w:val="000000"/>
      <w:spacing w:val="5"/>
      <w:kern w:val="0"/>
      <w:u w:color="000000"/>
    </w:rPr>
  </w:style>
  <w:style w:type="paragraph" w:customStyle="1" w:styleId="555">
    <w:name w:val="Char Char Char Char Char1 Char Char Char Char2"/>
    <w:basedOn w:val="1"/>
    <w:qFormat/>
    <w:uiPriority w:val="0"/>
  </w:style>
  <w:style w:type="paragraph" w:customStyle="1" w:styleId="556">
    <w:name w:val="正文文本缩进1"/>
    <w:basedOn w:val="1"/>
    <w:qFormat/>
    <w:uiPriority w:val="0"/>
    <w:pPr>
      <w:spacing w:after="120"/>
      <w:ind w:left="420" w:leftChars="200" w:firstLine="200" w:firstLineChars="200"/>
    </w:pPr>
    <w:rPr>
      <w:szCs w:val="22"/>
    </w:rPr>
  </w:style>
  <w:style w:type="paragraph" w:customStyle="1" w:styleId="557">
    <w:name w:val="陈策次目录"/>
    <w:basedOn w:val="1"/>
    <w:qFormat/>
    <w:uiPriority w:val="0"/>
    <w:pPr>
      <w:widowControl/>
      <w:adjustRightInd w:val="0"/>
      <w:snapToGrid w:val="0"/>
      <w:ind w:firstLine="552" w:firstLineChars="200"/>
    </w:pPr>
    <w:rPr>
      <w:rFonts w:ascii="Arial Narrow" w:hAnsi="Arial Narrow" w:eastAsia="华文中宋"/>
    </w:rPr>
  </w:style>
  <w:style w:type="paragraph" w:customStyle="1" w:styleId="558">
    <w:name w:val="正文m"/>
    <w:basedOn w:val="1"/>
    <w:qFormat/>
    <w:uiPriority w:val="0"/>
    <w:pPr>
      <w:spacing w:beforeLines="50" w:line="500" w:lineRule="exact"/>
      <w:ind w:firstLine="510"/>
    </w:pPr>
    <w:rPr>
      <w:szCs w:val="20"/>
    </w:rPr>
  </w:style>
  <w:style w:type="character" w:customStyle="1" w:styleId="559">
    <w:name w:val="样式 样式 方正宋三简体 14 磅 行距: 1.5 倍行距1 + 首行缩进:  2 字符 Char"/>
    <w:link w:val="560"/>
    <w:qFormat/>
    <w:locked/>
    <w:uiPriority w:val="0"/>
    <w:rPr>
      <w:rFonts w:ascii="宋体" w:hAnsi="方正宋三简体" w:eastAsia="宋体"/>
      <w:sz w:val="27"/>
      <w:szCs w:val="27"/>
    </w:rPr>
  </w:style>
  <w:style w:type="paragraph" w:customStyle="1" w:styleId="560">
    <w:name w:val="样式 样式 方正宋三简体 14 磅 行距: 1.5 倍行距1 + 首行缩进:  2 字符"/>
    <w:basedOn w:val="1"/>
    <w:link w:val="559"/>
    <w:qFormat/>
    <w:uiPriority w:val="0"/>
    <w:pPr>
      <w:ind w:firstLine="200" w:firstLineChars="200"/>
    </w:pPr>
    <w:rPr>
      <w:rFonts w:hAnsi="方正宋三简体" w:cstheme="minorBidi"/>
      <w:sz w:val="27"/>
      <w:szCs w:val="27"/>
    </w:rPr>
  </w:style>
  <w:style w:type="paragraph" w:customStyle="1" w:styleId="561">
    <w:name w:val="xx"/>
    <w:basedOn w:val="43"/>
    <w:qFormat/>
    <w:uiPriority w:val="0"/>
    <w:pPr>
      <w:spacing w:line="360" w:lineRule="auto"/>
      <w:ind w:firstLine="425" w:firstLineChars="0"/>
    </w:pPr>
  </w:style>
  <w:style w:type="character" w:customStyle="1" w:styleId="562">
    <w:name w:val="纯文本 Char2"/>
    <w:link w:val="563"/>
    <w:qFormat/>
    <w:locked/>
    <w:uiPriority w:val="0"/>
    <w:rPr>
      <w:rFonts w:ascii="宋体" w:hAnsi="Courier New" w:eastAsia="宋体"/>
      <w:szCs w:val="21"/>
    </w:rPr>
  </w:style>
  <w:style w:type="paragraph" w:customStyle="1" w:styleId="563">
    <w:name w:val="纯文本2"/>
    <w:basedOn w:val="1"/>
    <w:link w:val="562"/>
    <w:qFormat/>
    <w:uiPriority w:val="0"/>
    <w:rPr>
      <w:rFonts w:hAnsi="Courier New" w:cstheme="minorBidi"/>
    </w:rPr>
  </w:style>
  <w:style w:type="paragraph" w:customStyle="1" w:styleId="564">
    <w:name w:val="日期3"/>
    <w:basedOn w:val="1"/>
    <w:next w:val="1"/>
    <w:qFormat/>
    <w:uiPriority w:val="0"/>
    <w:pPr>
      <w:autoSpaceDE w:val="0"/>
      <w:autoSpaceDN w:val="0"/>
      <w:adjustRightInd w:val="0"/>
      <w:spacing w:line="360" w:lineRule="atLeast"/>
      <w:jc w:val="left"/>
    </w:pPr>
    <w:rPr>
      <w:rFonts w:eastAsia="楷体_GB2312"/>
      <w:kern w:val="0"/>
      <w:szCs w:val="20"/>
    </w:rPr>
  </w:style>
  <w:style w:type="paragraph" w:customStyle="1" w:styleId="565">
    <w:name w:val="xl85"/>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566">
    <w:name w:val="Char Char Char Char Char Char Char Char Char Char Char Char Char Char Char Char Char Char Char Char Char Char Char Char Char Char Char Char Char Char Char Char Char"/>
    <w:basedOn w:val="1"/>
    <w:qFormat/>
    <w:uiPriority w:val="0"/>
    <w:pPr>
      <w:widowControl/>
      <w:ind w:firstLine="480" w:firstLineChars="200"/>
    </w:pPr>
    <w:rPr>
      <w:rFonts w:ascii="Verdana" w:hAnsi="Verdana" w:eastAsia="仿宋_GB2312" w:cs="Verdana"/>
      <w:kern w:val="0"/>
      <w:lang w:eastAsia="en-US"/>
    </w:rPr>
  </w:style>
  <w:style w:type="paragraph" w:customStyle="1" w:styleId="567">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eastAsia="Arial Unicode MS"/>
      <w:kern w:val="0"/>
      <w:sz w:val="16"/>
      <w:szCs w:val="16"/>
    </w:rPr>
  </w:style>
  <w:style w:type="paragraph" w:customStyle="1" w:styleId="568">
    <w:name w:val="列表项目符号 21"/>
    <w:basedOn w:val="1"/>
    <w:qFormat/>
    <w:uiPriority w:val="0"/>
    <w:pPr>
      <w:tabs>
        <w:tab w:val="left" w:pos="780"/>
      </w:tabs>
      <w:adjustRightInd w:val="0"/>
      <w:snapToGrid w:val="0"/>
      <w:ind w:left="780" w:hanging="360" w:firstLineChars="200"/>
    </w:pPr>
    <w:rPr>
      <w:rFonts w:eastAsia="Times New Roman"/>
      <w:szCs w:val="20"/>
    </w:rPr>
  </w:style>
  <w:style w:type="paragraph" w:customStyle="1" w:styleId="569">
    <w:name w:val="表格"/>
    <w:basedOn w:val="1"/>
    <w:qFormat/>
    <w:uiPriority w:val="0"/>
    <w:pPr>
      <w:widowControl/>
      <w:snapToGrid w:val="0"/>
      <w:jc w:val="center"/>
    </w:pPr>
    <w:rPr>
      <w:rFonts w:eastAsia="Times New Roman"/>
      <w:position w:val="6"/>
      <w:szCs w:val="20"/>
    </w:rPr>
  </w:style>
  <w:style w:type="paragraph" w:customStyle="1" w:styleId="570">
    <w:name w:val="xl42"/>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8"/>
      <w:szCs w:val="18"/>
    </w:rPr>
  </w:style>
  <w:style w:type="paragraph" w:customStyle="1" w:styleId="571">
    <w:name w:val="正文文本 32"/>
    <w:basedOn w:val="1"/>
    <w:qFormat/>
    <w:uiPriority w:val="0"/>
    <w:pPr>
      <w:adjustRightInd w:val="0"/>
      <w:jc w:val="center"/>
    </w:pPr>
    <w:rPr>
      <w:bCs/>
      <w:kern w:val="0"/>
      <w:szCs w:val="20"/>
    </w:rPr>
  </w:style>
  <w:style w:type="paragraph" w:customStyle="1" w:styleId="572">
    <w:name w:val="head"/>
    <w:basedOn w:val="1"/>
    <w:next w:val="64"/>
    <w:qFormat/>
    <w:uiPriority w:val="0"/>
    <w:pPr>
      <w:keepNext/>
      <w:keepLines/>
      <w:snapToGrid w:val="0"/>
      <w:spacing w:before="120" w:after="120"/>
      <w:jc w:val="left"/>
    </w:pPr>
    <w:rPr>
      <w:rFonts w:cs="宋体"/>
      <w:sz w:val="32"/>
      <w:szCs w:val="32"/>
    </w:rPr>
  </w:style>
  <w:style w:type="paragraph" w:customStyle="1" w:styleId="573">
    <w:name w:val="xl5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rPr>
  </w:style>
  <w:style w:type="paragraph" w:customStyle="1" w:styleId="574">
    <w:name w:val="表格+小四"/>
    <w:basedOn w:val="1"/>
    <w:next w:val="1"/>
    <w:qFormat/>
    <w:uiPriority w:val="0"/>
    <w:pPr>
      <w:spacing w:line="320" w:lineRule="exact"/>
      <w:jc w:val="center"/>
    </w:pPr>
    <w:rPr>
      <w:color w:val="000000"/>
      <w:kern w:val="0"/>
    </w:rPr>
  </w:style>
  <w:style w:type="paragraph" w:customStyle="1" w:styleId="575">
    <w:name w:val="样式 标题 3 + 左侧:  0.85 厘米 首行缩进:  2 字符"/>
    <w:basedOn w:val="11"/>
    <w:qFormat/>
    <w:uiPriority w:val="0"/>
    <w:pPr>
      <w:spacing w:line="412" w:lineRule="auto"/>
    </w:pPr>
    <w:rPr>
      <w:b w:val="0"/>
      <w:bCs w:val="0"/>
      <w:sz w:val="28"/>
      <w:szCs w:val="20"/>
    </w:rPr>
  </w:style>
  <w:style w:type="paragraph" w:customStyle="1" w:styleId="576">
    <w:name w:val="寄信人地址1"/>
    <w:basedOn w:val="1"/>
    <w:qFormat/>
    <w:uiPriority w:val="0"/>
    <w:pPr>
      <w:adjustRightInd w:val="0"/>
      <w:snapToGrid w:val="0"/>
      <w:ind w:firstLine="200" w:firstLineChars="200"/>
    </w:pPr>
    <w:rPr>
      <w:rFonts w:ascii="Arial" w:hAnsi="Arial" w:eastAsia="Times New Roman"/>
      <w:szCs w:val="20"/>
    </w:rPr>
  </w:style>
  <w:style w:type="paragraph" w:customStyle="1" w:styleId="577">
    <w:name w:val="样2"/>
    <w:basedOn w:val="1"/>
    <w:next w:val="1"/>
    <w:qFormat/>
    <w:uiPriority w:val="0"/>
    <w:pPr>
      <w:adjustRightInd w:val="0"/>
      <w:jc w:val="center"/>
    </w:pPr>
    <w:rPr>
      <w:kern w:val="0"/>
      <w:szCs w:val="20"/>
    </w:rPr>
  </w:style>
  <w:style w:type="character" w:customStyle="1" w:styleId="578">
    <w:name w:val="报告正文 Char1"/>
    <w:link w:val="579"/>
    <w:qFormat/>
    <w:locked/>
    <w:uiPriority w:val="0"/>
    <w:rPr>
      <w:color w:val="000000"/>
      <w:sz w:val="24"/>
    </w:rPr>
  </w:style>
  <w:style w:type="paragraph" w:customStyle="1" w:styleId="579">
    <w:name w:val="报告正文"/>
    <w:basedOn w:val="1"/>
    <w:link w:val="578"/>
    <w:qFormat/>
    <w:uiPriority w:val="0"/>
    <w:pPr>
      <w:ind w:firstLine="480" w:firstLineChars="200"/>
    </w:pPr>
    <w:rPr>
      <w:rFonts w:asciiTheme="minorHAnsi" w:hAnsiTheme="minorHAnsi" w:eastAsiaTheme="minorEastAsia" w:cstheme="minorBidi"/>
      <w:color w:val="000000"/>
      <w:szCs w:val="22"/>
    </w:rPr>
  </w:style>
  <w:style w:type="character" w:customStyle="1" w:styleId="580">
    <w:name w:val="样式表 Char"/>
    <w:link w:val="581"/>
    <w:qFormat/>
    <w:locked/>
    <w:uiPriority w:val="0"/>
    <w:rPr>
      <w:rFonts w:ascii="黑体" w:hAnsi="黑体" w:eastAsia="黑体"/>
      <w:color w:val="000000"/>
      <w:spacing w:val="8"/>
      <w:sz w:val="24"/>
      <w:szCs w:val="24"/>
    </w:rPr>
  </w:style>
  <w:style w:type="paragraph" w:customStyle="1" w:styleId="581">
    <w:name w:val="样式表"/>
    <w:basedOn w:val="24"/>
    <w:link w:val="580"/>
    <w:qFormat/>
    <w:uiPriority w:val="0"/>
    <w:pPr>
      <w:widowControl/>
      <w:spacing w:beforeLines="50"/>
      <w:jc w:val="center"/>
    </w:pPr>
    <w:rPr>
      <w:rFonts w:ascii="黑体" w:hAnsi="黑体" w:cstheme="minorBidi"/>
      <w:color w:val="000000"/>
      <w:spacing w:val="8"/>
      <w:sz w:val="24"/>
      <w:szCs w:val="24"/>
    </w:rPr>
  </w:style>
  <w:style w:type="paragraph" w:customStyle="1" w:styleId="582">
    <w:name w:val="样式 首行缩进:  2 字符1"/>
    <w:basedOn w:val="1"/>
    <w:qFormat/>
    <w:uiPriority w:val="0"/>
    <w:pPr>
      <w:ind w:firstLine="504" w:firstLineChars="200"/>
    </w:pPr>
    <w:rPr>
      <w:rFonts w:cs="宋体"/>
      <w:szCs w:val="20"/>
    </w:rPr>
  </w:style>
  <w:style w:type="paragraph" w:customStyle="1" w:styleId="583">
    <w:name w:val="样式 标题 2 + 左侧:  0.85 厘米 首行缩进:  2 字符 段前: 1.5 行 段后: 1 行"/>
    <w:basedOn w:val="10"/>
    <w:qFormat/>
    <w:uiPriority w:val="0"/>
    <w:pPr>
      <w:spacing w:beforeLines="150" w:afterLines="100" w:line="360" w:lineRule="auto"/>
      <w:jc w:val="left"/>
    </w:pPr>
    <w:rPr>
      <w:rFonts w:eastAsia="宋体"/>
      <w:bCs w:val="0"/>
      <w:sz w:val="28"/>
      <w:szCs w:val="20"/>
    </w:rPr>
  </w:style>
  <w:style w:type="paragraph" w:customStyle="1" w:styleId="584">
    <w:name w:val="Char Char1"/>
    <w:basedOn w:val="1"/>
    <w:qFormat/>
    <w:uiPriority w:val="0"/>
    <w:pPr>
      <w:widowControl/>
      <w:spacing w:before="100" w:beforeAutospacing="1" w:after="100" w:afterAutospacing="1"/>
      <w:ind w:firstLine="200" w:firstLineChars="200"/>
      <w:jc w:val="left"/>
    </w:pPr>
    <w:rPr>
      <w:rFonts w:ascii="Verdana" w:hAnsi="Verdana" w:eastAsia="仿宋_GB2312"/>
      <w:kern w:val="0"/>
      <w:sz w:val="20"/>
      <w:lang w:eastAsia="en-US"/>
    </w:rPr>
  </w:style>
  <w:style w:type="paragraph" w:customStyle="1" w:styleId="585">
    <w:name w:val="Char22"/>
    <w:basedOn w:val="1"/>
    <w:qFormat/>
    <w:uiPriority w:val="0"/>
    <w:rPr>
      <w:rFonts w:cs="Courier New"/>
      <w:sz w:val="32"/>
      <w:szCs w:val="32"/>
    </w:rPr>
  </w:style>
  <w:style w:type="paragraph" w:customStyle="1" w:styleId="586">
    <w:name w:val="样式 首行缩进:  2 字符2"/>
    <w:basedOn w:val="1"/>
    <w:qFormat/>
    <w:uiPriority w:val="0"/>
    <w:pPr>
      <w:ind w:firstLine="504" w:firstLineChars="200"/>
    </w:pPr>
    <w:rPr>
      <w:rFonts w:cs="宋体"/>
      <w:szCs w:val="20"/>
    </w:rPr>
  </w:style>
  <w:style w:type="paragraph" w:customStyle="1" w:styleId="587">
    <w:name w:val="列表项目符号 41"/>
    <w:basedOn w:val="1"/>
    <w:qFormat/>
    <w:uiPriority w:val="0"/>
    <w:pPr>
      <w:tabs>
        <w:tab w:val="left" w:pos="1620"/>
      </w:tabs>
      <w:adjustRightInd w:val="0"/>
      <w:snapToGrid w:val="0"/>
      <w:ind w:left="1620" w:hanging="360" w:firstLineChars="200"/>
    </w:pPr>
    <w:rPr>
      <w:rFonts w:eastAsia="Times New Roman"/>
      <w:szCs w:val="20"/>
    </w:rPr>
  </w:style>
  <w:style w:type="paragraph" w:customStyle="1" w:styleId="588">
    <w:name w:val="纯文本1"/>
    <w:basedOn w:val="1"/>
    <w:qFormat/>
    <w:uiPriority w:val="0"/>
    <w:rPr>
      <w:rFonts w:hAnsi="Courier New"/>
      <w:kern w:val="0"/>
      <w:sz w:val="20"/>
      <w:szCs w:val="20"/>
    </w:rPr>
  </w:style>
  <w:style w:type="paragraph" w:customStyle="1" w:styleId="589">
    <w:name w:val="偶数页眉"/>
    <w:basedOn w:val="47"/>
    <w:qFormat/>
    <w:uiPriority w:val="0"/>
    <w:pPr>
      <w:widowControl/>
    </w:pPr>
    <w:rPr>
      <w:rFonts w:ascii="Calibri" w:hAnsi="Calibri"/>
      <w:kern w:val="0"/>
      <w:lang w:eastAsia="en-US" w:bidi="en-US"/>
    </w:rPr>
  </w:style>
  <w:style w:type="paragraph" w:customStyle="1" w:styleId="590">
    <w:name w:val="正文标题3"/>
    <w:basedOn w:val="11"/>
    <w:qFormat/>
    <w:uiPriority w:val="0"/>
    <w:pPr>
      <w:keepLines w:val="0"/>
      <w:spacing w:beforeLines="50" w:afterLines="10" w:line="360" w:lineRule="auto"/>
      <w:ind w:firstLine="562" w:firstLineChars="200"/>
    </w:pPr>
    <w:rPr>
      <w:rFonts w:eastAsia="黑体"/>
      <w:b w:val="0"/>
      <w:kern w:val="0"/>
      <w:sz w:val="28"/>
    </w:rPr>
  </w:style>
  <w:style w:type="paragraph" w:customStyle="1" w:styleId="591">
    <w:name w:val="样式 标题 1 + 黑体 三号"/>
    <w:basedOn w:val="9"/>
    <w:qFormat/>
    <w:uiPriority w:val="0"/>
    <w:pPr>
      <w:keepLines/>
      <w:widowControl/>
      <w:topLinePunct/>
      <w:autoSpaceDE w:val="0"/>
      <w:autoSpaceDN w:val="0"/>
      <w:adjustRightInd w:val="0"/>
      <w:snapToGrid w:val="0"/>
      <w:spacing w:line="240" w:lineRule="auto"/>
      <w:ind w:left="141" w:firstLine="538" w:firstLineChars="224"/>
    </w:pPr>
    <w:rPr>
      <w:rFonts w:ascii="黑体" w:hAnsi="黑体" w:eastAsia="黑体" w:cs="Times New Roman"/>
      <w:kern w:val="44"/>
      <w:sz w:val="32"/>
      <w:szCs w:val="44"/>
    </w:rPr>
  </w:style>
  <w:style w:type="paragraph" w:customStyle="1" w:styleId="592">
    <w:name w:val="xl76"/>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593">
    <w:name w:val="s0"/>
    <w:qFormat/>
    <w:uiPriority w:val="0"/>
    <w:pPr>
      <w:widowControl w:val="0"/>
      <w:autoSpaceDE w:val="0"/>
      <w:autoSpaceDN w:val="0"/>
      <w:adjustRightInd w:val="0"/>
    </w:pPr>
    <w:rPr>
      <w:rFonts w:ascii="????" w:hAnsi="Times New Roman" w:eastAsia="????" w:cs="Times New Roman"/>
      <w:kern w:val="0"/>
      <w:sz w:val="20"/>
      <w:szCs w:val="20"/>
      <w:lang w:val="en-US" w:eastAsia="zh-CN" w:bidi="ar-SA"/>
    </w:rPr>
  </w:style>
  <w:style w:type="paragraph" w:customStyle="1" w:styleId="594">
    <w:name w:val="图题"/>
    <w:basedOn w:val="1"/>
    <w:qFormat/>
    <w:uiPriority w:val="0"/>
    <w:pPr>
      <w:jc w:val="center"/>
    </w:pPr>
    <w:rPr>
      <w:rFonts w:eastAsia="黑体"/>
      <w:b/>
      <w:bCs/>
    </w:rPr>
  </w:style>
  <w:style w:type="character" w:customStyle="1" w:styleId="595">
    <w:name w:val="表标题 Char"/>
    <w:link w:val="596"/>
    <w:qFormat/>
    <w:locked/>
    <w:uiPriority w:val="0"/>
    <w:rPr>
      <w:b/>
      <w:color w:val="0000FF"/>
      <w:szCs w:val="21"/>
    </w:rPr>
  </w:style>
  <w:style w:type="paragraph" w:customStyle="1" w:styleId="596">
    <w:name w:val="表标题"/>
    <w:basedOn w:val="1"/>
    <w:next w:val="1"/>
    <w:link w:val="595"/>
    <w:qFormat/>
    <w:uiPriority w:val="0"/>
    <w:pPr>
      <w:adjustRightInd w:val="0"/>
      <w:snapToGrid w:val="0"/>
      <w:jc w:val="center"/>
    </w:pPr>
    <w:rPr>
      <w:rFonts w:asciiTheme="minorHAnsi" w:hAnsiTheme="minorHAnsi" w:eastAsiaTheme="minorEastAsia" w:cstheme="minorBidi"/>
      <w:b/>
      <w:color w:val="0000FF"/>
    </w:rPr>
  </w:style>
  <w:style w:type="paragraph" w:customStyle="1" w:styleId="597">
    <w:name w:val="列表项目符号1"/>
    <w:basedOn w:val="1"/>
    <w:qFormat/>
    <w:uiPriority w:val="0"/>
    <w:pPr>
      <w:tabs>
        <w:tab w:val="left" w:pos="360"/>
      </w:tabs>
      <w:adjustRightInd w:val="0"/>
      <w:snapToGrid w:val="0"/>
      <w:ind w:left="360" w:hanging="360" w:firstLineChars="200"/>
    </w:pPr>
    <w:rPr>
      <w:rFonts w:eastAsia="Times New Roman"/>
      <w:szCs w:val="20"/>
    </w:rPr>
  </w:style>
  <w:style w:type="paragraph" w:customStyle="1" w:styleId="598">
    <w:name w:val="样式 标题 1m"/>
    <w:basedOn w:val="9"/>
    <w:qFormat/>
    <w:uiPriority w:val="0"/>
    <w:pPr>
      <w:keepLines/>
      <w:spacing w:after="120" w:line="360" w:lineRule="auto"/>
      <w:ind w:left="180"/>
      <w:jc w:val="left"/>
    </w:pPr>
    <w:rPr>
      <w:rFonts w:ascii="Times New Roman" w:cs="Times New Roman"/>
      <w:b/>
      <w:kern w:val="44"/>
      <w:sz w:val="44"/>
    </w:rPr>
  </w:style>
  <w:style w:type="paragraph" w:customStyle="1" w:styleId="599">
    <w:name w:val="Char Char Char Char Char1 Char Char Char Char"/>
    <w:basedOn w:val="1"/>
    <w:qFormat/>
    <w:uiPriority w:val="0"/>
  </w:style>
  <w:style w:type="paragraph" w:customStyle="1" w:styleId="600">
    <w:name w:val="xl102"/>
    <w:basedOn w:val="1"/>
    <w:qFormat/>
    <w:uiPriority w:val="0"/>
    <w:pPr>
      <w:widowControl/>
      <w:pBdr>
        <w:top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rPr>
  </w:style>
  <w:style w:type="paragraph" w:customStyle="1" w:styleId="601">
    <w:name w:val="zg1"/>
    <w:basedOn w:val="1"/>
    <w:qFormat/>
    <w:uiPriority w:val="0"/>
    <w:pPr>
      <w:ind w:firstLine="425"/>
    </w:pPr>
    <w:rPr>
      <w:szCs w:val="20"/>
    </w:rPr>
  </w:style>
  <w:style w:type="paragraph" w:customStyle="1" w:styleId="602">
    <w:name w:val="正文文本最新 Char Char Char1 Char Char Char Char Char Char"/>
    <w:qFormat/>
    <w:uiPriority w:val="0"/>
    <w:pPr>
      <w:spacing w:line="360" w:lineRule="auto"/>
      <w:ind w:firstLine="200" w:firstLineChars="200"/>
      <w:jc w:val="both"/>
    </w:pPr>
    <w:rPr>
      <w:rFonts w:ascii="Times New Roman" w:hAnsi="Times New Roman" w:eastAsia="宋体" w:cs="Times New Roman"/>
      <w:b/>
      <w:bCs/>
      <w:kern w:val="2"/>
      <w:sz w:val="28"/>
      <w:szCs w:val="24"/>
      <w:lang w:val="en-US" w:eastAsia="zh-CN" w:bidi="ar-SA"/>
    </w:rPr>
  </w:style>
  <w:style w:type="paragraph" w:customStyle="1" w:styleId="603">
    <w:name w:val="5"/>
    <w:qFormat/>
    <w:uiPriority w:val="0"/>
    <w:pPr>
      <w:widowControl w:val="0"/>
      <w:spacing w:line="360" w:lineRule="auto"/>
      <w:jc w:val="both"/>
    </w:pPr>
    <w:rPr>
      <w:rFonts w:ascii="宋体" w:hAnsi="宋体" w:eastAsia="宋体" w:cs="宋体"/>
      <w:kern w:val="2"/>
      <w:sz w:val="24"/>
      <w:szCs w:val="24"/>
      <w:lang w:val="en-US" w:eastAsia="zh-CN" w:bidi="ar-SA"/>
    </w:rPr>
  </w:style>
  <w:style w:type="character" w:customStyle="1" w:styleId="604">
    <w:name w:val="标准正文 Char"/>
    <w:link w:val="232"/>
    <w:qFormat/>
    <w:locked/>
    <w:uiPriority w:val="0"/>
    <w:rPr>
      <w:color w:val="0000FF"/>
      <w:sz w:val="28"/>
    </w:rPr>
  </w:style>
  <w:style w:type="paragraph" w:customStyle="1" w:styleId="605">
    <w:name w:val="表 头"/>
    <w:basedOn w:val="1"/>
    <w:qFormat/>
    <w:uiPriority w:val="0"/>
    <w:pPr>
      <w:adjustRightInd w:val="0"/>
      <w:snapToGrid w:val="0"/>
      <w:spacing w:line="440" w:lineRule="exact"/>
      <w:jc w:val="center"/>
    </w:pPr>
    <w:rPr>
      <w:b/>
      <w:color w:val="000000"/>
      <w:spacing w:val="-8"/>
      <w:kern w:val="0"/>
      <w:szCs w:val="20"/>
    </w:rPr>
  </w:style>
  <w:style w:type="paragraph" w:customStyle="1" w:styleId="606">
    <w:name w:val="正文-G Char Char"/>
    <w:basedOn w:val="1"/>
    <w:qFormat/>
    <w:uiPriority w:val="0"/>
    <w:pPr>
      <w:spacing w:line="400" w:lineRule="exact"/>
      <w:ind w:firstLine="480" w:firstLineChars="200"/>
    </w:pPr>
    <w:rPr>
      <w:rFonts w:eastAsia="仿宋_GB2312"/>
      <w:kern w:val="0"/>
      <w:szCs w:val="20"/>
    </w:rPr>
  </w:style>
  <w:style w:type="paragraph" w:customStyle="1" w:styleId="607">
    <w:name w:val="表格2"/>
    <w:basedOn w:val="1"/>
    <w:qFormat/>
    <w:uiPriority w:val="0"/>
    <w:pPr>
      <w:autoSpaceDE w:val="0"/>
      <w:autoSpaceDN w:val="0"/>
      <w:adjustRightInd w:val="0"/>
      <w:snapToGrid w:val="0"/>
      <w:jc w:val="center"/>
    </w:pPr>
    <w:rPr>
      <w:spacing w:val="-8"/>
    </w:rPr>
  </w:style>
  <w:style w:type="paragraph" w:customStyle="1" w:styleId="608">
    <w:name w:val="表6"/>
    <w:basedOn w:val="33"/>
    <w:qFormat/>
    <w:uiPriority w:val="0"/>
    <w:pPr>
      <w:tabs>
        <w:tab w:val="left" w:pos="425"/>
      </w:tabs>
      <w:spacing w:after="0"/>
      <w:ind w:left="425" w:hanging="425"/>
      <w:jc w:val="center"/>
    </w:pPr>
    <w:rPr>
      <w:rFonts w:eastAsia="黑体"/>
      <w:kern w:val="0"/>
    </w:rPr>
  </w:style>
  <w:style w:type="character" w:customStyle="1" w:styleId="609">
    <w:name w:val="蒲标题3 Char"/>
    <w:link w:val="610"/>
    <w:qFormat/>
    <w:locked/>
    <w:uiPriority w:val="0"/>
    <w:rPr>
      <w:bCs/>
      <w:sz w:val="28"/>
      <w:szCs w:val="28"/>
    </w:rPr>
  </w:style>
  <w:style w:type="paragraph" w:customStyle="1" w:styleId="610">
    <w:name w:val="蒲标题3"/>
    <w:basedOn w:val="11"/>
    <w:link w:val="609"/>
    <w:qFormat/>
    <w:uiPriority w:val="0"/>
    <w:pPr>
      <w:autoSpaceDE w:val="0"/>
      <w:autoSpaceDN w:val="0"/>
      <w:adjustRightInd w:val="0"/>
      <w:snapToGrid w:val="0"/>
      <w:spacing w:before="0" w:after="0" w:line="360" w:lineRule="auto"/>
      <w:ind w:left="288"/>
      <w:outlineLvl w:val="0"/>
    </w:pPr>
    <w:rPr>
      <w:rFonts w:asciiTheme="minorHAnsi" w:hAnsiTheme="minorHAnsi" w:eastAsiaTheme="minorEastAsia" w:cstheme="minorBidi"/>
      <w:b w:val="0"/>
      <w:sz w:val="28"/>
      <w:szCs w:val="28"/>
    </w:rPr>
  </w:style>
  <w:style w:type="character" w:customStyle="1" w:styleId="611">
    <w:name w:val="样式2 Char"/>
    <w:link w:val="612"/>
    <w:qFormat/>
    <w:locked/>
    <w:uiPriority w:val="0"/>
    <w:rPr>
      <w:sz w:val="24"/>
      <w:szCs w:val="21"/>
    </w:rPr>
  </w:style>
  <w:style w:type="paragraph" w:customStyle="1" w:styleId="612">
    <w:name w:val="样式2"/>
    <w:basedOn w:val="1"/>
    <w:link w:val="611"/>
    <w:qFormat/>
    <w:uiPriority w:val="0"/>
    <w:pPr>
      <w:autoSpaceDE w:val="0"/>
      <w:autoSpaceDN w:val="0"/>
      <w:adjustRightInd w:val="0"/>
      <w:snapToGrid w:val="0"/>
      <w:jc w:val="center"/>
    </w:pPr>
    <w:rPr>
      <w:rFonts w:asciiTheme="minorHAnsi" w:hAnsiTheme="minorHAnsi" w:eastAsiaTheme="minorEastAsia" w:cstheme="minorBidi"/>
    </w:rPr>
  </w:style>
  <w:style w:type="paragraph" w:customStyle="1" w:styleId="613">
    <w:name w:val="表中文字++++++++"/>
    <w:basedOn w:val="1"/>
    <w:qFormat/>
    <w:uiPriority w:val="0"/>
    <w:pPr>
      <w:spacing w:line="240" w:lineRule="exact"/>
      <w:jc w:val="center"/>
    </w:pPr>
  </w:style>
  <w:style w:type="paragraph" w:customStyle="1" w:styleId="614">
    <w:name w:val="xl48"/>
    <w:basedOn w:val="1"/>
    <w:qFormat/>
    <w:uiPriority w:val="0"/>
    <w:pPr>
      <w:widowControl/>
      <w:pBdr>
        <w:bottom w:val="single" w:color="auto" w:sz="8" w:space="0"/>
      </w:pBdr>
      <w:spacing w:before="100" w:beforeAutospacing="1" w:after="100" w:afterAutospacing="1"/>
      <w:jc w:val="left"/>
    </w:pPr>
    <w:rPr>
      <w:rFonts w:eastAsia="Arial Unicode MS"/>
      <w:b/>
      <w:bCs/>
      <w:color w:val="000000"/>
      <w:kern w:val="0"/>
      <w:sz w:val="44"/>
      <w:szCs w:val="44"/>
    </w:rPr>
  </w:style>
  <w:style w:type="paragraph" w:customStyle="1" w:styleId="615">
    <w:name w:val="_Style 34"/>
    <w:basedOn w:val="1"/>
    <w:next w:val="1"/>
    <w:qFormat/>
    <w:uiPriority w:val="0"/>
    <w:pPr>
      <w:ind w:firstLine="200" w:firstLineChars="200"/>
      <w:jc w:val="center"/>
    </w:pPr>
    <w:rPr>
      <w:szCs w:val="20"/>
    </w:rPr>
  </w:style>
  <w:style w:type="paragraph" w:customStyle="1" w:styleId="616">
    <w:name w:val="样式 首行缩进"/>
    <w:basedOn w:val="1"/>
    <w:qFormat/>
    <w:uiPriority w:val="0"/>
    <w:pPr>
      <w:spacing w:before="60" w:after="60"/>
      <w:ind w:firstLine="480" w:firstLineChars="200"/>
    </w:pPr>
    <w:rPr>
      <w:rFonts w:cs="宋体"/>
      <w:szCs w:val="20"/>
    </w:rPr>
  </w:style>
  <w:style w:type="character" w:customStyle="1" w:styleId="617">
    <w:name w:val="样式 样式 小四 段前: 7.8 磅 段后: 7.8 磅 行距: 1.5 倍行距 + 首行缩进:  2 字符 Char"/>
    <w:link w:val="618"/>
    <w:qFormat/>
    <w:locked/>
    <w:uiPriority w:val="0"/>
    <w:rPr>
      <w:rFonts w:ascii="宋体" w:hAnsi="宋体" w:eastAsia="宋体"/>
      <w:sz w:val="24"/>
      <w:szCs w:val="24"/>
    </w:rPr>
  </w:style>
  <w:style w:type="paragraph" w:customStyle="1" w:styleId="618">
    <w:name w:val="样式 样式 小四 段前: 7.8 磅 段后: 7.8 磅 行距: 1.5 倍行距 + 首行缩进:  2 字符"/>
    <w:basedOn w:val="1"/>
    <w:link w:val="617"/>
    <w:qFormat/>
    <w:uiPriority w:val="0"/>
    <w:pPr>
      <w:ind w:firstLine="426" w:firstLineChars="177"/>
      <w:jc w:val="left"/>
    </w:pPr>
    <w:rPr>
      <w:rFonts w:cstheme="minorBidi"/>
    </w:rPr>
  </w:style>
  <w:style w:type="paragraph" w:customStyle="1" w:styleId="619">
    <w:name w:val="节标题1"/>
    <w:basedOn w:val="1"/>
    <w:qFormat/>
    <w:uiPriority w:val="0"/>
    <w:pPr>
      <w:spacing w:line="700" w:lineRule="exact"/>
      <w:outlineLvl w:val="2"/>
    </w:pPr>
    <w:rPr>
      <w:rFonts w:ascii="Arial" w:hAnsi="Arial" w:eastAsia="仿宋_GB2312"/>
      <w:b/>
      <w:sz w:val="28"/>
      <w:szCs w:val="20"/>
    </w:rPr>
  </w:style>
  <w:style w:type="paragraph" w:customStyle="1" w:styleId="620">
    <w:name w:val="xl68"/>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rFonts w:eastAsia="Arial Unicode MS"/>
      <w:color w:val="000000"/>
      <w:kern w:val="0"/>
      <w:sz w:val="20"/>
      <w:szCs w:val="20"/>
    </w:rPr>
  </w:style>
  <w:style w:type="character" w:customStyle="1" w:styleId="621">
    <w:name w:val="样式 正文首行缩进2 + 首行缩进:  0.95 厘米 Char"/>
    <w:link w:val="622"/>
    <w:qFormat/>
    <w:locked/>
    <w:uiPriority w:val="0"/>
    <w:rPr>
      <w:color w:val="000000"/>
      <w:spacing w:val="14"/>
      <w:sz w:val="24"/>
      <w:szCs w:val="24"/>
    </w:rPr>
  </w:style>
  <w:style w:type="paragraph" w:customStyle="1" w:styleId="622">
    <w:name w:val="样式 正文首行缩进2 + 首行缩进:  0.95 厘米"/>
    <w:basedOn w:val="1"/>
    <w:link w:val="621"/>
    <w:qFormat/>
    <w:uiPriority w:val="0"/>
    <w:pPr>
      <w:adjustRightInd w:val="0"/>
      <w:snapToGrid w:val="0"/>
      <w:ind w:firstLine="536"/>
    </w:pPr>
    <w:rPr>
      <w:rFonts w:asciiTheme="minorHAnsi" w:hAnsiTheme="minorHAnsi" w:eastAsiaTheme="minorEastAsia" w:cstheme="minorBidi"/>
      <w:color w:val="000000"/>
      <w:spacing w:val="14"/>
    </w:rPr>
  </w:style>
  <w:style w:type="paragraph" w:customStyle="1" w:styleId="623">
    <w:name w:val="样式1"/>
    <w:basedOn w:val="1"/>
    <w:qFormat/>
    <w:uiPriority w:val="0"/>
    <w:pPr>
      <w:adjustRightInd w:val="0"/>
      <w:snapToGrid w:val="0"/>
      <w:spacing w:beforeLines="50"/>
      <w:jc w:val="left"/>
    </w:pPr>
    <w:rPr>
      <w:rFonts w:eastAsia="黑体"/>
      <w:color w:val="000000"/>
      <w:spacing w:val="16"/>
      <w:szCs w:val="20"/>
    </w:rPr>
  </w:style>
  <w:style w:type="paragraph" w:customStyle="1" w:styleId="624">
    <w:name w:val="样式 标题 2H2节标题 1.1节标题 1.1 Char1.1  标题 2  节标题 1.1第一章 标题 2Head..."/>
    <w:basedOn w:val="10"/>
    <w:qFormat/>
    <w:uiPriority w:val="0"/>
    <w:pPr>
      <w:spacing w:before="0" w:after="0" w:line="360" w:lineRule="auto"/>
    </w:pPr>
    <w:rPr>
      <w:rFonts w:ascii="Times New Roman" w:hAnsi="Times New Roman" w:eastAsia="宋体" w:cs="宋体"/>
      <w:kern w:val="0"/>
      <w:sz w:val="24"/>
      <w:szCs w:val="20"/>
    </w:rPr>
  </w:style>
  <w:style w:type="paragraph" w:customStyle="1" w:styleId="625">
    <w:name w:val="Char Char Char Char Char Char1 Char2"/>
    <w:basedOn w:val="1"/>
    <w:next w:val="8"/>
    <w:qFormat/>
    <w:uiPriority w:val="0"/>
    <w:rPr>
      <w:sz w:val="28"/>
      <w:szCs w:val="28"/>
    </w:rPr>
  </w:style>
  <w:style w:type="paragraph" w:customStyle="1" w:styleId="626">
    <w:name w:val="xl108"/>
    <w:basedOn w:val="1"/>
    <w:qFormat/>
    <w:uiPriority w:val="0"/>
    <w:pPr>
      <w:widowControl/>
      <w:pBdr>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627">
    <w:name w:val="正文样式1"/>
    <w:basedOn w:val="1"/>
    <w:qFormat/>
    <w:uiPriority w:val="0"/>
    <w:pPr>
      <w:spacing w:line="520" w:lineRule="exact"/>
      <w:jc w:val="center"/>
    </w:pPr>
  </w:style>
  <w:style w:type="paragraph" w:customStyle="1" w:styleId="628">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Cs/>
      <w:kern w:val="0"/>
      <w:sz w:val="20"/>
      <w:szCs w:val="32"/>
    </w:rPr>
  </w:style>
  <w:style w:type="paragraph" w:customStyle="1" w:styleId="629">
    <w:name w:val="Char Char Char Char Char Char1 Char"/>
    <w:basedOn w:val="1"/>
    <w:qFormat/>
    <w:uiPriority w:val="0"/>
    <w:pPr>
      <w:widowControl/>
      <w:spacing w:after="160" w:line="240" w:lineRule="exact"/>
      <w:jc w:val="left"/>
    </w:pPr>
    <w:rPr>
      <w:szCs w:val="20"/>
    </w:rPr>
  </w:style>
  <w:style w:type="paragraph" w:customStyle="1" w:styleId="630">
    <w:name w:val="规划正文样式"/>
    <w:basedOn w:val="1"/>
    <w:qFormat/>
    <w:uiPriority w:val="0"/>
    <w:pPr>
      <w:spacing w:line="400" w:lineRule="exact"/>
      <w:ind w:firstLine="480" w:firstLineChars="200"/>
    </w:pPr>
  </w:style>
  <w:style w:type="paragraph" w:customStyle="1" w:styleId="631">
    <w:name w:val="【标题1】"/>
    <w:basedOn w:val="9"/>
    <w:qFormat/>
    <w:uiPriority w:val="0"/>
    <w:pPr>
      <w:keepLines/>
      <w:pageBreakBefore/>
      <w:adjustRightInd w:val="0"/>
      <w:snapToGrid w:val="0"/>
      <w:spacing w:before="156" w:after="156" w:line="360" w:lineRule="auto"/>
      <w:jc w:val="left"/>
    </w:pPr>
    <w:rPr>
      <w:rFonts w:ascii="Calibri" w:hAnsi="Calibri" w:cs="Times New Roman"/>
      <w:b/>
      <w:bCs/>
      <w:color w:val="000000"/>
      <w:kern w:val="44"/>
      <w:sz w:val="32"/>
      <w:szCs w:val="32"/>
      <w:lang w:bidi="en-US"/>
    </w:rPr>
  </w:style>
  <w:style w:type="paragraph" w:customStyle="1" w:styleId="632">
    <w:name w:val="样式 样式 宋体 小四 左 行距: 固定值 24 磅 + 黑色 居中 首行缩进:  2 字符 段前: 5 磅 段后: 5..."/>
    <w:basedOn w:val="356"/>
    <w:qFormat/>
    <w:uiPriority w:val="0"/>
    <w:pPr>
      <w:spacing w:before="100" w:after="100"/>
      <w:ind w:firstLine="0" w:firstLineChars="0"/>
      <w:jc w:val="center"/>
    </w:pPr>
    <w:rPr>
      <w:color w:val="000000"/>
    </w:rPr>
  </w:style>
  <w:style w:type="paragraph" w:customStyle="1" w:styleId="633">
    <w:name w:val="正文文本 321"/>
    <w:basedOn w:val="1"/>
    <w:qFormat/>
    <w:uiPriority w:val="0"/>
    <w:pPr>
      <w:adjustRightInd w:val="0"/>
      <w:jc w:val="center"/>
    </w:pPr>
    <w:rPr>
      <w:bCs/>
      <w:kern w:val="0"/>
      <w:szCs w:val="20"/>
    </w:rPr>
  </w:style>
  <w:style w:type="paragraph" w:customStyle="1" w:styleId="634">
    <w:name w:val="F-2级目录"/>
    <w:basedOn w:val="56"/>
    <w:qFormat/>
    <w:uiPriority w:val="0"/>
    <w:pPr>
      <w:spacing w:line="300" w:lineRule="exact"/>
      <w:ind w:left="100" w:leftChars="100"/>
    </w:pPr>
    <w:rPr>
      <w:rFonts w:eastAsia="黑体"/>
      <w:sz w:val="28"/>
      <w:szCs w:val="28"/>
    </w:rPr>
  </w:style>
  <w:style w:type="paragraph" w:customStyle="1" w:styleId="635">
    <w:name w:val="表格文字2"/>
    <w:basedOn w:val="543"/>
    <w:qFormat/>
    <w:uiPriority w:val="0"/>
    <w:pPr>
      <w:widowControl w:val="0"/>
      <w:adjustRightInd w:val="0"/>
      <w:snapToGrid/>
      <w:spacing w:before="60"/>
      <w:jc w:val="center"/>
    </w:pPr>
    <w:rPr>
      <w:rFonts w:hAnsi="Times New Roman"/>
      <w:sz w:val="24"/>
    </w:rPr>
  </w:style>
  <w:style w:type="paragraph" w:customStyle="1" w:styleId="636">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eastAsia="Arial Unicode MS"/>
      <w:kern w:val="0"/>
    </w:rPr>
  </w:style>
  <w:style w:type="character" w:customStyle="1" w:styleId="637">
    <w:name w:val="正文01 Char"/>
    <w:link w:val="638"/>
    <w:qFormat/>
    <w:locked/>
    <w:uiPriority w:val="0"/>
    <w:rPr>
      <w:sz w:val="27"/>
    </w:rPr>
  </w:style>
  <w:style w:type="paragraph" w:customStyle="1" w:styleId="638">
    <w:name w:val="正文01"/>
    <w:basedOn w:val="1"/>
    <w:link w:val="637"/>
    <w:qFormat/>
    <w:uiPriority w:val="0"/>
    <w:pPr>
      <w:spacing w:before="60" w:line="460" w:lineRule="exact"/>
      <w:ind w:firstLine="539"/>
    </w:pPr>
    <w:rPr>
      <w:rFonts w:asciiTheme="minorHAnsi" w:hAnsiTheme="minorHAnsi" w:eastAsiaTheme="minorEastAsia" w:cstheme="minorBidi"/>
      <w:sz w:val="27"/>
      <w:szCs w:val="22"/>
    </w:rPr>
  </w:style>
  <w:style w:type="paragraph" w:customStyle="1" w:styleId="639">
    <w:name w:val="02"/>
    <w:basedOn w:val="10"/>
    <w:qFormat/>
    <w:uiPriority w:val="0"/>
    <w:pPr>
      <w:spacing w:before="0" w:after="0" w:line="480" w:lineRule="auto"/>
    </w:pPr>
    <w:rPr>
      <w:rFonts w:ascii="Times New Roman" w:hAnsi="Times New Roman" w:eastAsia="宋体"/>
      <w:color w:val="333333"/>
      <w:kern w:val="0"/>
      <w:sz w:val="24"/>
      <w:szCs w:val="20"/>
    </w:rPr>
  </w:style>
  <w:style w:type="paragraph" w:customStyle="1" w:styleId="640">
    <w:name w:val="123"/>
    <w:basedOn w:val="1"/>
    <w:qFormat/>
    <w:uiPriority w:val="0"/>
    <w:pPr>
      <w:ind w:firstLine="454"/>
    </w:pPr>
    <w:rPr>
      <w:szCs w:val="20"/>
    </w:rPr>
  </w:style>
  <w:style w:type="paragraph" w:customStyle="1" w:styleId="641">
    <w:name w:val="页眉4"/>
    <w:basedOn w:val="1"/>
    <w:qFormat/>
    <w:uiPriority w:val="0"/>
    <w:pPr>
      <w:widowControl/>
      <w:spacing w:before="100" w:beforeAutospacing="1" w:after="100" w:afterAutospacing="1"/>
      <w:jc w:val="left"/>
    </w:pPr>
    <w:rPr>
      <w:rFonts w:cs="宋体"/>
      <w:kern w:val="0"/>
    </w:rPr>
  </w:style>
  <w:style w:type="character" w:customStyle="1" w:styleId="642">
    <w:name w:val="表头 Char"/>
    <w:link w:val="643"/>
    <w:qFormat/>
    <w:locked/>
    <w:uiPriority w:val="0"/>
    <w:rPr>
      <w:rFonts w:ascii="宋体" w:hAnsi="宋体" w:eastAsia="黑体"/>
      <w:spacing w:val="16"/>
      <w:sz w:val="24"/>
      <w:szCs w:val="24"/>
    </w:rPr>
  </w:style>
  <w:style w:type="paragraph" w:customStyle="1" w:styleId="643">
    <w:name w:val="表头"/>
    <w:basedOn w:val="1"/>
    <w:next w:val="1"/>
    <w:link w:val="642"/>
    <w:qFormat/>
    <w:uiPriority w:val="0"/>
    <w:pPr>
      <w:tabs>
        <w:tab w:val="left" w:pos="4440"/>
      </w:tabs>
      <w:autoSpaceDE w:val="0"/>
      <w:autoSpaceDN w:val="0"/>
      <w:adjustRightInd w:val="0"/>
      <w:snapToGrid w:val="0"/>
      <w:spacing w:beforeLines="50"/>
      <w:jc w:val="center"/>
    </w:pPr>
    <w:rPr>
      <w:rFonts w:eastAsia="黑体" w:cstheme="minorBidi"/>
      <w:spacing w:val="16"/>
    </w:rPr>
  </w:style>
  <w:style w:type="paragraph" w:customStyle="1" w:styleId="644">
    <w:name w:val="F-4级标题"/>
    <w:basedOn w:val="12"/>
    <w:next w:val="1"/>
    <w:qFormat/>
    <w:uiPriority w:val="0"/>
    <w:pPr>
      <w:spacing w:before="20" w:after="20" w:line="240" w:lineRule="auto"/>
    </w:pPr>
    <w:rPr>
      <w:b w:val="0"/>
      <w:sz w:val="24"/>
    </w:rPr>
  </w:style>
  <w:style w:type="paragraph" w:customStyle="1" w:styleId="645">
    <w:name w:val="font8"/>
    <w:basedOn w:val="1"/>
    <w:qFormat/>
    <w:uiPriority w:val="0"/>
    <w:pPr>
      <w:widowControl/>
      <w:spacing w:before="100" w:beforeAutospacing="1" w:after="100" w:afterAutospacing="1"/>
      <w:jc w:val="left"/>
    </w:pPr>
    <w:rPr>
      <w:b/>
      <w:bCs/>
      <w:color w:val="000000"/>
      <w:kern w:val="0"/>
      <w:sz w:val="44"/>
      <w:szCs w:val="44"/>
    </w:rPr>
  </w:style>
  <w:style w:type="paragraph" w:customStyle="1" w:styleId="646">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Times New Roman"/>
      <w:kern w:val="2"/>
      <w:sz w:val="24"/>
      <w:szCs w:val="20"/>
      <w:lang w:val="en-US" w:eastAsia="zh-CN" w:bidi="ar-SA"/>
    </w:rPr>
  </w:style>
  <w:style w:type="paragraph" w:customStyle="1" w:styleId="647">
    <w:name w:val="注释标题1"/>
    <w:basedOn w:val="1"/>
    <w:next w:val="1"/>
    <w:qFormat/>
    <w:uiPriority w:val="0"/>
    <w:pPr>
      <w:adjustRightInd w:val="0"/>
      <w:snapToGrid w:val="0"/>
      <w:ind w:firstLine="200" w:firstLineChars="200"/>
      <w:jc w:val="center"/>
    </w:pPr>
    <w:rPr>
      <w:rFonts w:eastAsia="Times New Roman"/>
      <w:szCs w:val="20"/>
    </w:rPr>
  </w:style>
  <w:style w:type="paragraph" w:customStyle="1" w:styleId="648">
    <w:name w:val="样式1－表头"/>
    <w:basedOn w:val="1"/>
    <w:qFormat/>
    <w:uiPriority w:val="0"/>
    <w:pPr>
      <w:adjustRightInd w:val="0"/>
      <w:snapToGrid w:val="0"/>
      <w:spacing w:beforeLines="50" w:line="336" w:lineRule="auto"/>
      <w:jc w:val="center"/>
    </w:pPr>
    <w:rPr>
      <w:rFonts w:eastAsia="黑体"/>
      <w:spacing w:val="6"/>
      <w:szCs w:val="20"/>
    </w:rPr>
  </w:style>
  <w:style w:type="paragraph" w:customStyle="1" w:styleId="649">
    <w:name w:val="Char3"/>
    <w:basedOn w:val="1"/>
    <w:qFormat/>
    <w:uiPriority w:val="0"/>
  </w:style>
  <w:style w:type="paragraph" w:customStyle="1" w:styleId="650">
    <w:name w:val="Char Char Char Char Char Char Char1 Char Char Char Char Char Char Char Char Char Char Char Char"/>
    <w:basedOn w:val="1"/>
    <w:qFormat/>
    <w:uiPriority w:val="0"/>
    <w:pPr>
      <w:widowControl/>
      <w:spacing w:before="480" w:after="480"/>
      <w:jc w:val="left"/>
    </w:pPr>
    <w:rPr>
      <w:kern w:val="0"/>
      <w:sz w:val="20"/>
      <w:szCs w:val="20"/>
    </w:rPr>
  </w:style>
  <w:style w:type="paragraph" w:customStyle="1" w:styleId="651">
    <w:name w:val="样式 表格正文 + 五号"/>
    <w:qFormat/>
    <w:uiPriority w:val="0"/>
    <w:rPr>
      <w:rFonts w:ascii="Times New Roman" w:hAnsi="Times New Roman" w:eastAsia="宋体" w:cs="Times New Roman"/>
      <w:kern w:val="0"/>
      <w:sz w:val="20"/>
      <w:szCs w:val="20"/>
      <w:lang w:val="en-US" w:eastAsia="zh-CN" w:bidi="ar-SA"/>
    </w:rPr>
  </w:style>
  <w:style w:type="paragraph" w:customStyle="1" w:styleId="652">
    <w:name w:val="正文首行缩进1"/>
    <w:basedOn w:val="34"/>
    <w:qFormat/>
    <w:uiPriority w:val="0"/>
    <w:pPr>
      <w:adjustRightInd w:val="0"/>
      <w:snapToGrid w:val="0"/>
      <w:ind w:left="0" w:leftChars="0" w:firstLine="420" w:firstLineChars="100"/>
    </w:pPr>
    <w:rPr>
      <w:rFonts w:eastAsia="Times New Roman"/>
      <w:szCs w:val="20"/>
    </w:rPr>
  </w:style>
  <w:style w:type="paragraph" w:customStyle="1" w:styleId="653">
    <w:name w:val="标题样式3"/>
    <w:basedOn w:val="11"/>
    <w:qFormat/>
    <w:uiPriority w:val="0"/>
    <w:pPr>
      <w:keepNext w:val="0"/>
      <w:spacing w:before="0" w:after="0" w:line="360" w:lineRule="auto"/>
    </w:pPr>
    <w:rPr>
      <w:rFonts w:ascii="黑体" w:eastAsia="黑体" w:cs="黑体"/>
      <w:color w:val="000000"/>
      <w:kern w:val="0"/>
      <w:sz w:val="28"/>
      <w:szCs w:val="28"/>
      <w:lang w:val="zh-CN"/>
    </w:rPr>
  </w:style>
  <w:style w:type="paragraph" w:customStyle="1" w:styleId="654">
    <w:name w:val="文本块1"/>
    <w:basedOn w:val="1"/>
    <w:qFormat/>
    <w:uiPriority w:val="0"/>
    <w:pPr>
      <w:adjustRightInd w:val="0"/>
      <w:snapToGrid w:val="0"/>
      <w:spacing w:after="120"/>
      <w:ind w:left="1440" w:leftChars="700" w:right="700" w:rightChars="700" w:firstLine="200" w:firstLineChars="200"/>
    </w:pPr>
    <w:rPr>
      <w:rFonts w:eastAsia="Times New Roman"/>
      <w:szCs w:val="20"/>
    </w:rPr>
  </w:style>
  <w:style w:type="paragraph" w:customStyle="1" w:styleId="655">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656">
    <w:name w:val="样式 标题 1 + 段前: 0 磅"/>
    <w:basedOn w:val="9"/>
    <w:qFormat/>
    <w:uiPriority w:val="0"/>
    <w:pPr>
      <w:keepLines/>
      <w:pageBreakBefore/>
      <w:tabs>
        <w:tab w:val="left" w:pos="8160"/>
      </w:tabs>
      <w:adjustRightInd w:val="0"/>
      <w:spacing w:line="240" w:lineRule="auto"/>
      <w:ind w:left="141"/>
      <w:jc w:val="left"/>
    </w:pPr>
    <w:rPr>
      <w:rFonts w:ascii="Times New Roman"/>
      <w:b/>
      <w:bCs/>
      <w:kern w:val="44"/>
      <w:sz w:val="24"/>
    </w:rPr>
  </w:style>
  <w:style w:type="paragraph" w:customStyle="1" w:styleId="657">
    <w:name w:val="正文文字缩进 31"/>
    <w:basedOn w:val="1"/>
    <w:next w:val="43"/>
    <w:qFormat/>
    <w:uiPriority w:val="0"/>
    <w:pPr>
      <w:ind w:firstLine="280" w:firstLineChars="100"/>
    </w:pPr>
    <w:rPr>
      <w:rFonts w:cs="宋体"/>
      <w:bCs/>
      <w:sz w:val="28"/>
      <w:szCs w:val="30"/>
    </w:rPr>
  </w:style>
  <w:style w:type="paragraph" w:customStyle="1" w:styleId="658">
    <w:name w:val="页脚3"/>
    <w:basedOn w:val="368"/>
    <w:qFormat/>
    <w:uiPriority w:val="0"/>
    <w:pPr>
      <w:tabs>
        <w:tab w:val="center" w:pos="4153"/>
        <w:tab w:val="right" w:pos="8306"/>
      </w:tabs>
      <w:spacing w:line="240" w:lineRule="atLeast"/>
    </w:pPr>
    <w:rPr>
      <w:sz w:val="18"/>
    </w:rPr>
  </w:style>
  <w:style w:type="paragraph" w:customStyle="1" w:styleId="659">
    <w:name w:val="小节标题"/>
    <w:basedOn w:val="1"/>
    <w:next w:val="1"/>
    <w:qFormat/>
    <w:uiPriority w:val="0"/>
    <w:pPr>
      <w:widowControl/>
      <w:spacing w:before="175" w:after="102" w:line="351" w:lineRule="atLeast"/>
    </w:pPr>
    <w:rPr>
      <w:rFonts w:eastAsia="黑体"/>
      <w:color w:val="000000"/>
      <w:kern w:val="0"/>
      <w:szCs w:val="20"/>
      <w:u w:color="000000"/>
    </w:rPr>
  </w:style>
  <w:style w:type="paragraph" w:customStyle="1" w:styleId="660">
    <w:name w:val="报告书表格"/>
    <w:basedOn w:val="1"/>
    <w:qFormat/>
    <w:uiPriority w:val="0"/>
    <w:pPr>
      <w:adjustRightInd w:val="0"/>
      <w:spacing w:before="60" w:after="60" w:line="240" w:lineRule="atLeast"/>
      <w:jc w:val="center"/>
    </w:pPr>
    <w:rPr>
      <w:kern w:val="0"/>
      <w:szCs w:val="20"/>
    </w:rPr>
  </w:style>
  <w:style w:type="paragraph" w:customStyle="1" w:styleId="661">
    <w:name w:val="Überschrift 1.Haupt Überschrift.x"/>
    <w:basedOn w:val="1"/>
    <w:next w:val="1"/>
    <w:qFormat/>
    <w:uiPriority w:val="0"/>
    <w:pPr>
      <w:widowControl/>
      <w:tabs>
        <w:tab w:val="left" w:pos="993"/>
        <w:tab w:val="left" w:pos="1418"/>
      </w:tabs>
      <w:spacing w:after="240"/>
      <w:ind w:right="1133"/>
      <w:outlineLvl w:val="0"/>
    </w:pPr>
    <w:rPr>
      <w:rFonts w:ascii="Arial" w:hAnsi="Arial"/>
      <w:kern w:val="0"/>
      <w:sz w:val="22"/>
      <w:szCs w:val="20"/>
      <w:lang w:val="de-DE" w:eastAsia="de-DE"/>
    </w:rPr>
  </w:style>
  <w:style w:type="paragraph" w:customStyle="1" w:styleId="662">
    <w:name w:val="文章总标题"/>
    <w:basedOn w:val="1"/>
    <w:next w:val="1"/>
    <w:qFormat/>
    <w:uiPriority w:val="0"/>
    <w:pPr>
      <w:widowControl/>
      <w:spacing w:before="566" w:after="544" w:line="566" w:lineRule="atLeast"/>
      <w:jc w:val="center"/>
    </w:pPr>
    <w:rPr>
      <w:rFonts w:ascii="Arial" w:eastAsia="黑体" w:cs="Arial"/>
      <w:bCs/>
      <w:color w:val="000000"/>
      <w:kern w:val="0"/>
      <w:sz w:val="54"/>
      <w:szCs w:val="54"/>
      <w:u w:color="000000"/>
    </w:rPr>
  </w:style>
  <w:style w:type="paragraph" w:customStyle="1" w:styleId="663">
    <w:name w:val="cd1"/>
    <w:basedOn w:val="1"/>
    <w:qFormat/>
    <w:uiPriority w:val="0"/>
    <w:pPr>
      <w:spacing w:before="120"/>
      <w:jc w:val="center"/>
    </w:pPr>
    <w:rPr>
      <w:rFonts w:eastAsia="黑体"/>
      <w:b/>
      <w:szCs w:val="20"/>
    </w:rPr>
  </w:style>
  <w:style w:type="character" w:customStyle="1" w:styleId="664">
    <w:name w:val="文字 Char"/>
    <w:link w:val="665"/>
    <w:qFormat/>
    <w:locked/>
    <w:uiPriority w:val="0"/>
    <w:rPr>
      <w:sz w:val="24"/>
      <w:szCs w:val="24"/>
    </w:rPr>
  </w:style>
  <w:style w:type="paragraph" w:customStyle="1" w:styleId="665">
    <w:name w:val="文字"/>
    <w:basedOn w:val="1"/>
    <w:link w:val="664"/>
    <w:qFormat/>
    <w:uiPriority w:val="0"/>
    <w:pPr>
      <w:ind w:firstLine="200" w:firstLineChars="200"/>
    </w:pPr>
    <w:rPr>
      <w:rFonts w:asciiTheme="minorHAnsi" w:hAnsiTheme="minorHAnsi" w:eastAsiaTheme="minorEastAsia" w:cstheme="minorBidi"/>
    </w:rPr>
  </w:style>
  <w:style w:type="paragraph" w:customStyle="1" w:styleId="666">
    <w:name w:val="正文图标题"/>
    <w:next w:val="12"/>
    <w:qFormat/>
    <w:uiPriority w:val="0"/>
    <w:pPr>
      <w:jc w:val="center"/>
    </w:pPr>
    <w:rPr>
      <w:rFonts w:ascii="黑体" w:hAnsi="Times New Roman" w:eastAsia="黑体" w:cs="Times New Roman"/>
      <w:kern w:val="0"/>
      <w:sz w:val="21"/>
      <w:szCs w:val="20"/>
      <w:lang w:val="en-US" w:eastAsia="zh-CN" w:bidi="ar-SA"/>
    </w:rPr>
  </w:style>
  <w:style w:type="paragraph" w:customStyle="1" w:styleId="667">
    <w:name w:val="font10"/>
    <w:basedOn w:val="1"/>
    <w:qFormat/>
    <w:uiPriority w:val="0"/>
    <w:pPr>
      <w:widowControl/>
      <w:spacing w:before="100" w:beforeAutospacing="1" w:after="100" w:afterAutospacing="1"/>
      <w:jc w:val="left"/>
    </w:pPr>
    <w:rPr>
      <w:color w:val="000000"/>
      <w:kern w:val="0"/>
      <w:sz w:val="20"/>
      <w:szCs w:val="20"/>
    </w:rPr>
  </w:style>
  <w:style w:type="paragraph" w:customStyle="1" w:styleId="668">
    <w:name w:val="font13"/>
    <w:basedOn w:val="1"/>
    <w:qFormat/>
    <w:uiPriority w:val="0"/>
    <w:pPr>
      <w:widowControl/>
      <w:spacing w:before="100" w:beforeAutospacing="1" w:after="100" w:afterAutospacing="1"/>
      <w:ind w:firstLine="200" w:firstLineChars="200"/>
      <w:jc w:val="left"/>
    </w:pPr>
    <w:rPr>
      <w:rFonts w:eastAsia="Arial Unicode MS"/>
      <w:i/>
      <w:iCs/>
      <w:kern w:val="0"/>
    </w:rPr>
  </w:style>
  <w:style w:type="paragraph" w:customStyle="1" w:styleId="669">
    <w:name w:val="CM1"/>
    <w:basedOn w:val="499"/>
    <w:next w:val="499"/>
    <w:qFormat/>
    <w:uiPriority w:val="0"/>
    <w:rPr>
      <w:sz w:val="24"/>
      <w:szCs w:val="24"/>
    </w:rPr>
  </w:style>
  <w:style w:type="paragraph" w:customStyle="1" w:styleId="670">
    <w:name w:val="样式 标题 4常用标题 4 + 段前: 6 磅 段后: 6 磅 行距: 固定值 26 磅"/>
    <w:basedOn w:val="12"/>
    <w:qFormat/>
    <w:uiPriority w:val="0"/>
    <w:pPr>
      <w:tabs>
        <w:tab w:val="left" w:pos="800"/>
      </w:tabs>
      <w:spacing w:before="120" w:after="120" w:line="520" w:lineRule="exact"/>
    </w:pPr>
    <w:rPr>
      <w:rFonts w:cs="宋体"/>
      <w:b w:val="0"/>
      <w:szCs w:val="20"/>
    </w:rPr>
  </w:style>
  <w:style w:type="paragraph" w:customStyle="1" w:styleId="671">
    <w:name w:val="Char Char Char1 Char2"/>
    <w:basedOn w:val="1"/>
    <w:qFormat/>
    <w:uiPriority w:val="0"/>
  </w:style>
  <w:style w:type="paragraph" w:customStyle="1" w:styleId="672">
    <w:name w:val="xl62"/>
    <w:basedOn w:val="1"/>
    <w:qFormat/>
    <w:uiPriority w:val="0"/>
    <w:pPr>
      <w:widowControl/>
      <w:pBdr>
        <w:top w:val="single" w:color="auto" w:sz="4" w:space="0"/>
        <w:left w:val="single" w:color="auto" w:sz="4" w:space="0"/>
        <w:right w:val="single" w:color="auto" w:sz="8" w:space="0"/>
      </w:pBdr>
      <w:spacing w:before="100" w:beforeAutospacing="1" w:after="100" w:afterAutospacing="1"/>
      <w:jc w:val="left"/>
    </w:pPr>
    <w:rPr>
      <w:rFonts w:ascii="Arial Unicode MS" w:hAnsi="Arial Unicode MS" w:eastAsia="Arial Unicode MS"/>
      <w:color w:val="000000"/>
      <w:kern w:val="0"/>
    </w:rPr>
  </w:style>
  <w:style w:type="paragraph" w:customStyle="1" w:styleId="673">
    <w:name w:val="表样式"/>
    <w:basedOn w:val="471"/>
    <w:qFormat/>
    <w:uiPriority w:val="0"/>
    <w:pPr>
      <w:keepNext w:val="0"/>
      <w:widowControl w:val="0"/>
      <w:spacing w:line="240" w:lineRule="auto"/>
    </w:pPr>
    <w:rPr>
      <w:rFonts w:ascii="仿宋_GB2312" w:eastAsia="黑体"/>
      <w:sz w:val="21"/>
    </w:rPr>
  </w:style>
  <w:style w:type="paragraph" w:customStyle="1" w:styleId="674">
    <w:name w:val="CM6"/>
    <w:basedOn w:val="499"/>
    <w:next w:val="499"/>
    <w:qFormat/>
    <w:uiPriority w:val="0"/>
    <w:pPr>
      <w:spacing w:after="255"/>
    </w:pPr>
    <w:rPr>
      <w:sz w:val="24"/>
      <w:szCs w:val="24"/>
    </w:rPr>
  </w:style>
  <w:style w:type="paragraph" w:customStyle="1" w:styleId="675">
    <w:name w:val="样式 标题 3 + 小四 段前: 6 磅 段后: 6 磅 行距: 多倍行距 1.73 字行"/>
    <w:basedOn w:val="11"/>
    <w:qFormat/>
    <w:uiPriority w:val="0"/>
    <w:pPr>
      <w:spacing w:before="120" w:after="120" w:line="412" w:lineRule="auto"/>
    </w:pPr>
    <w:rPr>
      <w:bCs w:val="0"/>
      <w:kern w:val="0"/>
      <w:sz w:val="24"/>
      <w:szCs w:val="20"/>
    </w:rPr>
  </w:style>
  <w:style w:type="paragraph" w:customStyle="1" w:styleId="676">
    <w:name w:val="一级无标题条"/>
    <w:basedOn w:val="1"/>
    <w:qFormat/>
    <w:uiPriority w:val="0"/>
  </w:style>
  <w:style w:type="paragraph" w:customStyle="1" w:styleId="677">
    <w:name w:val="环境报告书"/>
    <w:basedOn w:val="1"/>
    <w:qFormat/>
    <w:uiPriority w:val="0"/>
    <w:pPr>
      <w:spacing w:before="240" w:after="240" w:line="360" w:lineRule="atLeast"/>
      <w:jc w:val="center"/>
    </w:pPr>
    <w:rPr>
      <w:spacing w:val="12"/>
      <w:szCs w:val="20"/>
    </w:rPr>
  </w:style>
  <w:style w:type="paragraph" w:customStyle="1" w:styleId="67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kern w:val="0"/>
      <w:sz w:val="16"/>
      <w:szCs w:val="16"/>
    </w:rPr>
  </w:style>
  <w:style w:type="paragraph" w:customStyle="1" w:styleId="679">
    <w:name w:val="粗体字"/>
    <w:basedOn w:val="1"/>
    <w:qFormat/>
    <w:uiPriority w:val="0"/>
    <w:pPr>
      <w:ind w:firstLine="200" w:firstLineChars="200"/>
    </w:pPr>
    <w:rPr>
      <w:b/>
      <w:kern w:val="0"/>
      <w:szCs w:val="20"/>
    </w:rPr>
  </w:style>
  <w:style w:type="paragraph" w:customStyle="1" w:styleId="680">
    <w:name w:val="文件"/>
    <w:basedOn w:val="1"/>
    <w:qFormat/>
    <w:uiPriority w:val="0"/>
    <w:pPr>
      <w:tabs>
        <w:tab w:val="left" w:pos="1440"/>
        <w:tab w:val="left" w:pos="1680"/>
      </w:tabs>
      <w:adjustRightInd w:val="0"/>
      <w:snapToGrid w:val="0"/>
      <w:spacing w:before="120" w:after="120"/>
    </w:pPr>
    <w:rPr>
      <w:rFonts w:ascii="黑体" w:eastAsia="黑体"/>
      <w:w w:val="110"/>
      <w:kern w:val="0"/>
      <w:szCs w:val="20"/>
    </w:rPr>
  </w:style>
  <w:style w:type="paragraph" w:customStyle="1" w:styleId="681">
    <w:name w:val="表标"/>
    <w:next w:val="1"/>
    <w:qFormat/>
    <w:uiPriority w:val="0"/>
    <w:pPr>
      <w:tabs>
        <w:tab w:val="left" w:pos="8207"/>
      </w:tabs>
      <w:adjustRightInd w:val="0"/>
      <w:snapToGrid w:val="0"/>
      <w:spacing w:before="120" w:line="312" w:lineRule="auto"/>
      <w:jc w:val="center"/>
    </w:pPr>
    <w:rPr>
      <w:rFonts w:ascii="Times New Roman" w:hAnsi="Times New Roman" w:eastAsia="黑体" w:cs="Times New Roman"/>
      <w:kern w:val="2"/>
      <w:sz w:val="24"/>
      <w:szCs w:val="20"/>
      <w:lang w:val="en-US" w:eastAsia="zh-CN" w:bidi="ar-SA"/>
    </w:rPr>
  </w:style>
  <w:style w:type="paragraph" w:customStyle="1" w:styleId="682">
    <w:name w:val="reader-word-layer reader-word-s1-7"/>
    <w:basedOn w:val="1"/>
    <w:qFormat/>
    <w:uiPriority w:val="0"/>
    <w:pPr>
      <w:widowControl/>
      <w:spacing w:before="100" w:beforeAutospacing="1" w:after="100" w:afterAutospacing="1"/>
      <w:jc w:val="left"/>
    </w:pPr>
    <w:rPr>
      <w:rFonts w:cs="宋体"/>
      <w:kern w:val="0"/>
    </w:rPr>
  </w:style>
  <w:style w:type="paragraph" w:customStyle="1" w:styleId="683">
    <w:name w:val="样式 标题 1 + 段前: 0 磅1"/>
    <w:basedOn w:val="9"/>
    <w:qFormat/>
    <w:uiPriority w:val="0"/>
    <w:pPr>
      <w:keepLines/>
      <w:pageBreakBefore/>
      <w:tabs>
        <w:tab w:val="left" w:pos="8160"/>
      </w:tabs>
      <w:adjustRightInd w:val="0"/>
      <w:spacing w:line="240" w:lineRule="auto"/>
      <w:ind w:left="141"/>
      <w:jc w:val="left"/>
    </w:pPr>
    <w:rPr>
      <w:rFonts w:ascii="Times New Roman"/>
      <w:b/>
      <w:bCs/>
      <w:kern w:val="44"/>
      <w:sz w:val="24"/>
    </w:rPr>
  </w:style>
  <w:style w:type="paragraph" w:customStyle="1" w:styleId="684">
    <w:name w:val="样式 样式2 + 段前: 6 磅 行距: 单倍行距2"/>
    <w:basedOn w:val="612"/>
    <w:qFormat/>
    <w:uiPriority w:val="0"/>
    <w:pPr>
      <w:spacing w:before="120" w:line="240" w:lineRule="auto"/>
    </w:pPr>
    <w:rPr>
      <w:spacing w:val="-16"/>
    </w:rPr>
  </w:style>
  <w:style w:type="paragraph" w:customStyle="1" w:styleId="685">
    <w:name w:val="初设正文"/>
    <w:basedOn w:val="1"/>
    <w:qFormat/>
    <w:uiPriority w:val="0"/>
    <w:pPr>
      <w:spacing w:after="120" w:line="440" w:lineRule="exact"/>
      <w:ind w:left="425" w:firstLine="425"/>
    </w:pPr>
    <w:rPr>
      <w:rFonts w:ascii="Arial" w:hAnsi="Arial" w:cs="宋体"/>
      <w:kern w:val="0"/>
      <w:szCs w:val="20"/>
    </w:rPr>
  </w:style>
  <w:style w:type="character" w:customStyle="1" w:styleId="686">
    <w:name w:val="【标题2】 Char"/>
    <w:link w:val="687"/>
    <w:qFormat/>
    <w:locked/>
    <w:uiPriority w:val="0"/>
    <w:rPr>
      <w:rFonts w:ascii="宋体" w:hAnsi="宋体" w:eastAsia="宋体" w:cs="宋体"/>
      <w:b/>
      <w:sz w:val="30"/>
      <w:lang w:bidi="en-US"/>
    </w:rPr>
  </w:style>
  <w:style w:type="paragraph" w:customStyle="1" w:styleId="687">
    <w:name w:val="【标题2】"/>
    <w:basedOn w:val="10"/>
    <w:link w:val="686"/>
    <w:qFormat/>
    <w:uiPriority w:val="0"/>
    <w:pPr>
      <w:keepNext w:val="0"/>
      <w:adjustRightInd w:val="0"/>
      <w:snapToGrid w:val="0"/>
      <w:spacing w:beforeLines="50" w:after="0" w:line="360" w:lineRule="auto"/>
      <w:ind w:left="1516" w:hanging="1516" w:hangingChars="472"/>
    </w:pPr>
    <w:rPr>
      <w:rFonts w:ascii="宋体" w:hAnsi="宋体" w:eastAsia="宋体" w:cs="宋体"/>
      <w:bCs w:val="0"/>
      <w:sz w:val="30"/>
      <w:szCs w:val="22"/>
      <w:lang w:bidi="en-US"/>
    </w:rPr>
  </w:style>
  <w:style w:type="paragraph" w:customStyle="1" w:styleId="688">
    <w:name w:val="F-1级目录"/>
    <w:basedOn w:val="49"/>
    <w:next w:val="1"/>
    <w:qFormat/>
    <w:uiPriority w:val="0"/>
    <w:pPr>
      <w:spacing w:line="500" w:lineRule="exact"/>
    </w:pPr>
    <w:rPr>
      <w:rFonts w:eastAsia="黑体"/>
      <w:sz w:val="30"/>
    </w:rPr>
  </w:style>
  <w:style w:type="paragraph" w:customStyle="1" w:styleId="689">
    <w:name w:val="F-4级目录"/>
    <w:basedOn w:val="50"/>
    <w:qFormat/>
    <w:uiPriority w:val="0"/>
    <w:pPr>
      <w:spacing w:line="240" w:lineRule="auto"/>
      <w:ind w:left="300" w:leftChars="300"/>
    </w:pPr>
    <w:rPr>
      <w:sz w:val="24"/>
    </w:rPr>
  </w:style>
  <w:style w:type="paragraph" w:customStyle="1" w:styleId="690">
    <w:name w:val="样式 燕山正文 + 首行缩进:  3.5 字符"/>
    <w:basedOn w:val="279"/>
    <w:qFormat/>
    <w:uiPriority w:val="0"/>
    <w:pPr>
      <w:jc w:val="both"/>
    </w:pPr>
    <w:rPr>
      <w:rFonts w:hAnsi="Times New Roman"/>
      <w:kern w:val="2"/>
    </w:rPr>
  </w:style>
  <w:style w:type="paragraph" w:customStyle="1" w:styleId="691">
    <w:name w:val="三级无标题条"/>
    <w:basedOn w:val="1"/>
    <w:qFormat/>
    <w:uiPriority w:val="0"/>
  </w:style>
  <w:style w:type="paragraph" w:customStyle="1" w:styleId="692">
    <w:name w:val="Stichwort 12er"/>
    <w:basedOn w:val="1"/>
    <w:qFormat/>
    <w:uiPriority w:val="0"/>
    <w:pPr>
      <w:widowControl/>
      <w:tabs>
        <w:tab w:val="left" w:pos="1418"/>
        <w:tab w:val="left" w:pos="4536"/>
        <w:tab w:val="decimal" w:pos="5954"/>
        <w:tab w:val="left" w:pos="7088"/>
        <w:tab w:val="decimal" w:pos="8505"/>
      </w:tabs>
      <w:spacing w:after="240"/>
      <w:ind w:left="1418" w:hanging="1418"/>
      <w:jc w:val="left"/>
    </w:pPr>
    <w:rPr>
      <w:rFonts w:ascii="Swiss742-SWC" w:hAnsi="Swiss742-SWC"/>
      <w:kern w:val="0"/>
      <w:sz w:val="22"/>
      <w:szCs w:val="20"/>
      <w:lang w:val="de-DE" w:eastAsia="de-DE"/>
    </w:rPr>
  </w:style>
  <w:style w:type="paragraph" w:customStyle="1" w:styleId="693">
    <w:name w:val="标题06"/>
    <w:basedOn w:val="1"/>
    <w:qFormat/>
    <w:uiPriority w:val="0"/>
    <w:pPr>
      <w:adjustRightInd w:val="0"/>
      <w:spacing w:before="2040" w:line="400" w:lineRule="atLeast"/>
    </w:pPr>
    <w:rPr>
      <w:rFonts w:eastAsia="黑体"/>
      <w:spacing w:val="10"/>
      <w:kern w:val="0"/>
      <w:sz w:val="28"/>
      <w:szCs w:val="20"/>
    </w:rPr>
  </w:style>
  <w:style w:type="paragraph" w:customStyle="1" w:styleId="694">
    <w:name w:val="xl54"/>
    <w:basedOn w:val="1"/>
    <w:qFormat/>
    <w:uiPriority w:val="0"/>
    <w:pPr>
      <w:widowControl/>
      <w:pBdr>
        <w:left w:val="single" w:color="auto" w:sz="4" w:space="0"/>
        <w:bottom w:val="single" w:color="auto" w:sz="4" w:space="0"/>
      </w:pBdr>
      <w:spacing w:before="100" w:beforeAutospacing="1" w:after="100" w:afterAutospacing="1"/>
      <w:jc w:val="center"/>
    </w:pPr>
    <w:rPr>
      <w:rFonts w:eastAsia="Arial Unicode MS"/>
      <w:color w:val="000000"/>
      <w:kern w:val="0"/>
    </w:rPr>
  </w:style>
  <w:style w:type="paragraph" w:customStyle="1" w:styleId="695">
    <w:name w:val="封面正文"/>
    <w:qFormat/>
    <w:uiPriority w:val="0"/>
    <w:pPr>
      <w:jc w:val="both"/>
    </w:pPr>
    <w:rPr>
      <w:rFonts w:ascii="Times New Roman" w:hAnsi="Times New Roman" w:eastAsia="宋体" w:cs="Times New Roman"/>
      <w:kern w:val="0"/>
      <w:sz w:val="20"/>
      <w:szCs w:val="20"/>
      <w:lang w:val="en-US" w:eastAsia="zh-CN" w:bidi="ar-SA"/>
    </w:rPr>
  </w:style>
  <w:style w:type="character" w:customStyle="1" w:styleId="696">
    <w:name w:val="样式 样式 【正文】 + 首行缩进:  2 字符 行距: 1.5 倍行距 + 首行缩进:  2 字符 Char"/>
    <w:link w:val="697"/>
    <w:qFormat/>
    <w:locked/>
    <w:uiPriority w:val="0"/>
    <w:rPr>
      <w:sz w:val="24"/>
    </w:rPr>
  </w:style>
  <w:style w:type="paragraph" w:customStyle="1" w:styleId="697">
    <w:name w:val="样式 样式 【正文】 + 首行缩进:  2 字符 行距: 1.5 倍行距 + 首行缩进:  2 字符"/>
    <w:basedOn w:val="1"/>
    <w:link w:val="696"/>
    <w:qFormat/>
    <w:uiPriority w:val="0"/>
    <w:pPr>
      <w:ind w:firstLine="200" w:firstLineChars="200"/>
    </w:pPr>
    <w:rPr>
      <w:rFonts w:asciiTheme="minorHAnsi" w:hAnsiTheme="minorHAnsi" w:eastAsiaTheme="minorEastAsia" w:cstheme="minorBidi"/>
      <w:szCs w:val="22"/>
    </w:rPr>
  </w:style>
  <w:style w:type="paragraph" w:customStyle="1" w:styleId="698">
    <w:name w:val="单元格格式"/>
    <w:qFormat/>
    <w:uiPriority w:val="0"/>
    <w:pPr>
      <w:widowControl w:val="0"/>
      <w:adjustRightInd w:val="0"/>
      <w:spacing w:beforeLines="20" w:line="320" w:lineRule="exact"/>
      <w:ind w:left="32" w:leftChars="10" w:right="32" w:rightChars="10"/>
    </w:pPr>
    <w:rPr>
      <w:rFonts w:ascii="宋体" w:hAnsi="宋体" w:eastAsia="宋体" w:cs="Times New Roman"/>
      <w:kern w:val="0"/>
      <w:sz w:val="28"/>
      <w:szCs w:val="20"/>
      <w:lang w:val="en-US" w:eastAsia="zh-CN" w:bidi="ar-SA"/>
    </w:rPr>
  </w:style>
  <w:style w:type="paragraph" w:customStyle="1" w:styleId="699">
    <w:name w:val="样式 表格标题 + 左侧:  -0.45 字符"/>
    <w:basedOn w:val="1"/>
    <w:qFormat/>
    <w:uiPriority w:val="0"/>
    <w:pPr>
      <w:adjustRightInd w:val="0"/>
      <w:snapToGrid w:val="0"/>
      <w:spacing w:before="120" w:after="60" w:line="400" w:lineRule="exact"/>
      <w:ind w:left="-45" w:leftChars="-45"/>
      <w:jc w:val="center"/>
    </w:pPr>
    <w:rPr>
      <w:rFonts w:ascii="Times" w:eastAsia="仿宋_GB2312" w:cs="宋体"/>
      <w:b/>
      <w:bCs/>
      <w:szCs w:val="20"/>
    </w:rPr>
  </w:style>
  <w:style w:type="paragraph" w:customStyle="1" w:styleId="700">
    <w:name w:val="xl90"/>
    <w:basedOn w:val="1"/>
    <w:qFormat/>
    <w:uiPriority w:val="0"/>
    <w:pPr>
      <w:widowControl/>
      <w:pBdr>
        <w:top w:val="single" w:color="auto" w:sz="4" w:space="0"/>
        <w:left w:val="single" w:color="auto" w:sz="8" w:space="0"/>
        <w:bottom w:val="single" w:color="auto" w:sz="8" w:space="0"/>
      </w:pBdr>
      <w:spacing w:before="100" w:beforeAutospacing="1" w:after="100" w:afterAutospacing="1"/>
      <w:jc w:val="left"/>
    </w:pPr>
    <w:rPr>
      <w:rFonts w:eastAsia="Arial Unicode MS"/>
      <w:kern w:val="0"/>
      <w:sz w:val="16"/>
      <w:szCs w:val="16"/>
    </w:rPr>
  </w:style>
  <w:style w:type="paragraph" w:customStyle="1" w:styleId="701">
    <w:name w:val="样式 首行缩进:  2 字符"/>
    <w:basedOn w:val="1"/>
    <w:qFormat/>
    <w:uiPriority w:val="0"/>
    <w:pPr>
      <w:ind w:firstLine="506" w:firstLineChars="200"/>
    </w:pPr>
    <w:rPr>
      <w:rFonts w:cs="宋体"/>
      <w:szCs w:val="20"/>
    </w:rPr>
  </w:style>
  <w:style w:type="paragraph" w:customStyle="1" w:styleId="702">
    <w:name w:val="reader-word-layer reader-word-s1-22"/>
    <w:basedOn w:val="1"/>
    <w:qFormat/>
    <w:uiPriority w:val="0"/>
    <w:pPr>
      <w:widowControl/>
      <w:spacing w:before="100" w:beforeAutospacing="1" w:after="100" w:afterAutospacing="1"/>
      <w:jc w:val="left"/>
    </w:pPr>
    <w:rPr>
      <w:rFonts w:cs="宋体"/>
      <w:kern w:val="0"/>
    </w:rPr>
  </w:style>
  <w:style w:type="paragraph" w:customStyle="1" w:styleId="703">
    <w:name w:val="蒲表头"/>
    <w:basedOn w:val="1"/>
    <w:qFormat/>
    <w:uiPriority w:val="0"/>
    <w:pPr>
      <w:jc w:val="center"/>
    </w:pPr>
    <w:rPr>
      <w:b/>
      <w:color w:val="FF0000"/>
    </w:rPr>
  </w:style>
  <w:style w:type="paragraph" w:customStyle="1" w:styleId="704">
    <w:name w:val="蒲标题2"/>
    <w:basedOn w:val="10"/>
    <w:qFormat/>
    <w:uiPriority w:val="0"/>
    <w:pPr>
      <w:tabs>
        <w:tab w:val="left" w:pos="1245"/>
      </w:tabs>
      <w:autoSpaceDE w:val="0"/>
      <w:autoSpaceDN w:val="0"/>
      <w:adjustRightInd w:val="0"/>
      <w:snapToGrid w:val="0"/>
      <w:spacing w:before="0" w:after="0" w:line="360" w:lineRule="auto"/>
      <w:ind w:left="525"/>
    </w:pPr>
    <w:rPr>
      <w:rFonts w:ascii="Times New Roman" w:hAnsi="Times New Roman" w:eastAsia="宋体"/>
      <w:kern w:val="0"/>
      <w:sz w:val="28"/>
      <w:szCs w:val="28"/>
    </w:rPr>
  </w:style>
  <w:style w:type="paragraph" w:customStyle="1" w:styleId="705">
    <w:name w:val="kk"/>
    <w:basedOn w:val="33"/>
    <w:qFormat/>
    <w:uiPriority w:val="0"/>
    <w:pPr>
      <w:autoSpaceDE w:val="0"/>
      <w:autoSpaceDN w:val="0"/>
      <w:adjustRightInd w:val="0"/>
      <w:spacing w:after="0"/>
    </w:pPr>
    <w:rPr>
      <w:spacing w:val="10"/>
      <w:kern w:val="0"/>
      <w:szCs w:val="20"/>
    </w:rPr>
  </w:style>
  <w:style w:type="paragraph" w:customStyle="1" w:styleId="706">
    <w:name w:val="灯泡注释(打印无效)"/>
    <w:basedOn w:val="64"/>
    <w:qFormat/>
    <w:uiPriority w:val="0"/>
    <w:pPr>
      <w:snapToGrid w:val="0"/>
      <w:spacing w:line="240" w:lineRule="auto"/>
      <w:ind w:firstLine="0" w:firstLineChars="0"/>
    </w:pPr>
    <w:rPr>
      <w:i/>
      <w:vanish/>
      <w:color w:val="FF0000"/>
      <w:sz w:val="21"/>
      <w:szCs w:val="21"/>
    </w:rPr>
  </w:style>
  <w:style w:type="paragraph" w:customStyle="1" w:styleId="707">
    <w:name w:val="偶数页脚"/>
    <w:basedOn w:val="46"/>
    <w:qFormat/>
    <w:uiPriority w:val="0"/>
    <w:pPr>
      <w:widowControl/>
      <w:tabs>
        <w:tab w:val="center" w:pos="4320"/>
        <w:tab w:val="right" w:pos="8640"/>
        <w:tab w:val="clear" w:pos="4153"/>
        <w:tab w:val="clear" w:pos="8306"/>
      </w:tabs>
      <w:adjustRightInd w:val="0"/>
      <w:ind w:firstLine="360" w:firstLineChars="200"/>
    </w:pPr>
    <w:rPr>
      <w:kern w:val="0"/>
      <w:sz w:val="24"/>
    </w:rPr>
  </w:style>
  <w:style w:type="paragraph" w:customStyle="1" w:styleId="708">
    <w:name w:val="表格小五"/>
    <w:basedOn w:val="1"/>
    <w:qFormat/>
    <w:uiPriority w:val="0"/>
    <w:pPr>
      <w:adjustRightInd w:val="0"/>
      <w:snapToGrid w:val="0"/>
      <w:jc w:val="center"/>
    </w:pPr>
    <w:rPr>
      <w:rFonts w:eastAsia="新宋体"/>
      <w:kern w:val="40"/>
      <w:sz w:val="18"/>
      <w:szCs w:val="18"/>
    </w:rPr>
  </w:style>
  <w:style w:type="paragraph" w:customStyle="1" w:styleId="709">
    <w:name w:val="_Style 30"/>
    <w:basedOn w:val="1"/>
    <w:next w:val="57"/>
    <w:qFormat/>
    <w:uiPriority w:val="0"/>
    <w:pPr>
      <w:ind w:firstLine="200" w:firstLineChars="200"/>
      <w:jc w:val="center"/>
    </w:pPr>
    <w:rPr>
      <w:szCs w:val="20"/>
    </w:rPr>
  </w:style>
  <w:style w:type="paragraph" w:customStyle="1" w:styleId="710">
    <w:name w:val="xl91"/>
    <w:basedOn w:val="1"/>
    <w:qFormat/>
    <w:uiPriority w:val="0"/>
    <w:pPr>
      <w:widowControl/>
      <w:pBdr>
        <w:top w:val="single" w:color="auto" w:sz="4" w:space="0"/>
        <w:bottom w:val="single" w:color="auto" w:sz="8" w:space="0"/>
        <w:right w:val="single" w:color="auto" w:sz="4" w:space="0"/>
      </w:pBdr>
      <w:spacing w:before="100" w:beforeAutospacing="1" w:after="100" w:afterAutospacing="1"/>
      <w:jc w:val="left"/>
    </w:pPr>
    <w:rPr>
      <w:rFonts w:eastAsia="Arial Unicode MS"/>
      <w:kern w:val="0"/>
      <w:sz w:val="16"/>
      <w:szCs w:val="16"/>
    </w:rPr>
  </w:style>
  <w:style w:type="paragraph" w:customStyle="1" w:styleId="711">
    <w:name w:val="表中文字----------------"/>
    <w:basedOn w:val="1"/>
    <w:qFormat/>
    <w:uiPriority w:val="0"/>
    <w:pPr>
      <w:jc w:val="center"/>
    </w:pPr>
    <w:rPr>
      <w:szCs w:val="20"/>
    </w:rPr>
  </w:style>
  <w:style w:type="character" w:customStyle="1" w:styleId="712">
    <w:name w:val="正文001 Char"/>
    <w:link w:val="713"/>
    <w:qFormat/>
    <w:locked/>
    <w:uiPriority w:val="0"/>
    <w:rPr>
      <w:sz w:val="24"/>
    </w:rPr>
  </w:style>
  <w:style w:type="paragraph" w:customStyle="1" w:styleId="713">
    <w:name w:val="正文001"/>
    <w:basedOn w:val="1"/>
    <w:link w:val="712"/>
    <w:qFormat/>
    <w:uiPriority w:val="0"/>
    <w:pPr>
      <w:spacing w:before="60" w:line="460" w:lineRule="exact"/>
      <w:ind w:firstLine="482"/>
    </w:pPr>
    <w:rPr>
      <w:rFonts w:asciiTheme="minorHAnsi" w:hAnsiTheme="minorHAnsi" w:eastAsiaTheme="minorEastAsia" w:cstheme="minorBidi"/>
      <w:szCs w:val="22"/>
    </w:rPr>
  </w:style>
  <w:style w:type="paragraph" w:customStyle="1" w:styleId="714">
    <w:name w:val="列表 51"/>
    <w:basedOn w:val="1"/>
    <w:qFormat/>
    <w:uiPriority w:val="0"/>
    <w:pPr>
      <w:adjustRightInd w:val="0"/>
      <w:snapToGrid w:val="0"/>
      <w:ind w:left="100" w:leftChars="800" w:hanging="200" w:hangingChars="200"/>
    </w:pPr>
    <w:rPr>
      <w:rFonts w:eastAsia="Times New Roman"/>
      <w:szCs w:val="20"/>
    </w:rPr>
  </w:style>
  <w:style w:type="paragraph" w:customStyle="1" w:styleId="715">
    <w:name w:val="纯文本21"/>
    <w:basedOn w:val="1"/>
    <w:qFormat/>
    <w:uiPriority w:val="0"/>
    <w:rPr>
      <w:rFonts w:hAnsi="Courier New"/>
    </w:rPr>
  </w:style>
  <w:style w:type="paragraph" w:customStyle="1" w:styleId="716">
    <w:name w:val="宏福2"/>
    <w:basedOn w:val="10"/>
    <w:qFormat/>
    <w:uiPriority w:val="0"/>
    <w:pPr>
      <w:adjustRightInd w:val="0"/>
      <w:snapToGrid w:val="0"/>
      <w:spacing w:before="240" w:after="0" w:line="240" w:lineRule="auto"/>
    </w:pPr>
    <w:rPr>
      <w:rFonts w:eastAsia="宋体"/>
      <w:b w:val="0"/>
      <w:bCs w:val="0"/>
      <w:color w:val="FF0000"/>
      <w:kern w:val="0"/>
      <w:sz w:val="30"/>
      <w:szCs w:val="20"/>
    </w:rPr>
  </w:style>
  <w:style w:type="paragraph" w:customStyle="1" w:styleId="717">
    <w:name w:val="正文5"/>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718">
    <w:name w:val="p0"/>
    <w:basedOn w:val="1"/>
    <w:qFormat/>
    <w:uiPriority w:val="0"/>
    <w:pPr>
      <w:widowControl/>
      <w:jc w:val="left"/>
    </w:pPr>
    <w:rPr>
      <w:kern w:val="0"/>
      <w:sz w:val="20"/>
      <w:szCs w:val="20"/>
    </w:rPr>
  </w:style>
  <w:style w:type="paragraph" w:customStyle="1" w:styleId="719">
    <w:name w:val="样式 标题 1一级标题一级标题(章)标题1章节H1一、章 + 段前: 0.5 行 段后: 0.5 行"/>
    <w:basedOn w:val="9"/>
    <w:qFormat/>
    <w:uiPriority w:val="0"/>
    <w:pPr>
      <w:keepNext w:val="0"/>
      <w:keepLines/>
      <w:pageBreakBefore/>
      <w:spacing w:beforeLines="50" w:line="360" w:lineRule="auto"/>
      <w:ind w:left="141"/>
    </w:pPr>
    <w:rPr>
      <w:rFonts w:ascii="Times New Roman" w:eastAsia="黑体"/>
      <w:kern w:val="44"/>
    </w:rPr>
  </w:style>
  <w:style w:type="paragraph" w:customStyle="1" w:styleId="720">
    <w:name w:val="正文首行缩进 21"/>
    <w:basedOn w:val="556"/>
    <w:qFormat/>
    <w:uiPriority w:val="0"/>
    <w:pPr>
      <w:adjustRightInd w:val="0"/>
      <w:snapToGrid w:val="0"/>
      <w:ind w:firstLine="420"/>
    </w:pPr>
    <w:rPr>
      <w:rFonts w:eastAsia="Times New Roman"/>
      <w:szCs w:val="20"/>
    </w:rPr>
  </w:style>
  <w:style w:type="paragraph" w:customStyle="1" w:styleId="721">
    <w:name w:val="图表文字注释"/>
    <w:qFormat/>
    <w:uiPriority w:val="0"/>
    <w:pPr>
      <w:spacing w:line="360" w:lineRule="auto"/>
      <w:jc w:val="center"/>
      <w:outlineLvl w:val="3"/>
    </w:pPr>
    <w:rPr>
      <w:rFonts w:ascii="Times New Roman" w:hAnsi="Times New Roman" w:eastAsia="宋体" w:cs="Times New Roman"/>
      <w:kern w:val="2"/>
      <w:sz w:val="21"/>
      <w:szCs w:val="24"/>
      <w:lang w:val="en-US" w:eastAsia="zh-CN" w:bidi="ar-SA"/>
    </w:rPr>
  </w:style>
  <w:style w:type="paragraph" w:customStyle="1" w:styleId="722">
    <w:name w:val="样式 小四 段前: 7.8 磅 段后: 7.8 磅 行距: 1.5 倍行距"/>
    <w:basedOn w:val="1"/>
    <w:qFormat/>
    <w:uiPriority w:val="0"/>
    <w:pPr>
      <w:ind w:firstLine="480"/>
    </w:pPr>
  </w:style>
  <w:style w:type="paragraph" w:customStyle="1" w:styleId="723">
    <w:name w:val="1表格"/>
    <w:basedOn w:val="1"/>
    <w:qFormat/>
    <w:uiPriority w:val="0"/>
    <w:pPr>
      <w:snapToGrid w:val="0"/>
      <w:spacing w:line="160" w:lineRule="atLeast"/>
      <w:jc w:val="center"/>
    </w:pPr>
    <w:rPr>
      <w:rFonts w:eastAsia="仿宋_GB2312"/>
      <w:szCs w:val="20"/>
    </w:rPr>
  </w:style>
  <w:style w:type="paragraph" w:customStyle="1" w:styleId="724">
    <w:name w:val="普通 (Web)"/>
    <w:basedOn w:val="1"/>
    <w:qFormat/>
    <w:uiPriority w:val="0"/>
    <w:pPr>
      <w:widowControl/>
      <w:spacing w:before="100" w:beforeAutospacing="1" w:after="100" w:afterAutospacing="1"/>
      <w:jc w:val="left"/>
    </w:pPr>
    <w:rPr>
      <w:color w:val="000000"/>
      <w:kern w:val="0"/>
    </w:rPr>
  </w:style>
  <w:style w:type="paragraph" w:customStyle="1" w:styleId="725">
    <w:name w:val="表中正文"/>
    <w:basedOn w:val="1"/>
    <w:qFormat/>
    <w:uiPriority w:val="0"/>
    <w:pPr>
      <w:tabs>
        <w:tab w:val="left" w:pos="958"/>
        <w:tab w:val="left" w:pos="7320"/>
        <w:tab w:val="left" w:pos="8160"/>
      </w:tabs>
      <w:adjustRightInd w:val="0"/>
      <w:spacing w:line="360" w:lineRule="atLeast"/>
      <w:ind w:right="113"/>
      <w:jc w:val="center"/>
    </w:pPr>
    <w:rPr>
      <w:spacing w:val="6"/>
      <w:kern w:val="20"/>
    </w:rPr>
  </w:style>
  <w:style w:type="paragraph" w:customStyle="1" w:styleId="726">
    <w:name w:val="Char2 Char Char Char Char Char Char Char Char Char Char Char Char1"/>
    <w:basedOn w:val="1"/>
    <w:qFormat/>
    <w:uiPriority w:val="0"/>
    <w:pPr>
      <w:spacing w:line="560" w:lineRule="exact"/>
      <w:ind w:firstLine="200" w:firstLineChars="200"/>
    </w:pPr>
    <w:rPr>
      <w:rFonts w:cs="宋体"/>
      <w:sz w:val="28"/>
      <w:szCs w:val="28"/>
    </w:rPr>
  </w:style>
  <w:style w:type="paragraph" w:customStyle="1" w:styleId="727">
    <w:name w:val="标题五"/>
    <w:basedOn w:val="1"/>
    <w:qFormat/>
    <w:uiPriority w:val="0"/>
    <w:pPr>
      <w:widowControl/>
      <w:tabs>
        <w:tab w:val="left" w:pos="987"/>
      </w:tabs>
      <w:ind w:left="987" w:hanging="420"/>
    </w:pPr>
  </w:style>
  <w:style w:type="paragraph" w:customStyle="1" w:styleId="728">
    <w:name w:val="列项——"/>
    <w:qFormat/>
    <w:uiPriority w:val="0"/>
    <w:pPr>
      <w:widowControl w:val="0"/>
      <w:tabs>
        <w:tab w:val="left" w:pos="854"/>
      </w:tabs>
      <w:ind w:left="840" w:leftChars="200" w:hanging="420" w:hangingChars="200"/>
      <w:jc w:val="both"/>
    </w:pPr>
    <w:rPr>
      <w:rFonts w:ascii="宋体" w:hAnsi="Times New Roman" w:eastAsia="宋体" w:cs="Times New Roman"/>
      <w:kern w:val="0"/>
      <w:sz w:val="21"/>
      <w:szCs w:val="20"/>
      <w:lang w:val="en-US" w:eastAsia="zh-CN" w:bidi="ar-SA"/>
    </w:rPr>
  </w:style>
  <w:style w:type="paragraph" w:customStyle="1" w:styleId="729">
    <w:name w:val="样式 表格文字 +"/>
    <w:basedOn w:val="39"/>
    <w:qFormat/>
    <w:uiPriority w:val="0"/>
    <w:pPr>
      <w:ind w:firstLine="45"/>
      <w:jc w:val="center"/>
    </w:pPr>
    <w:rPr>
      <w:rFonts w:ascii="Times New Roman" w:hAnsi="Times New Roman"/>
      <w:color w:val="000000"/>
      <w:kern w:val="0"/>
      <w:position w:val="-24"/>
    </w:rPr>
  </w:style>
  <w:style w:type="character" w:customStyle="1" w:styleId="730">
    <w:name w:val="表格居中 Char1"/>
    <w:link w:val="731"/>
    <w:qFormat/>
    <w:locked/>
    <w:uiPriority w:val="0"/>
    <w:rPr>
      <w:rFonts w:ascii="宋体" w:hAnsi="宋体" w:eastAsia="宋体"/>
      <w:spacing w:val="-4"/>
      <w:w w:val="90"/>
      <w:sz w:val="24"/>
      <w:szCs w:val="24"/>
    </w:rPr>
  </w:style>
  <w:style w:type="paragraph" w:customStyle="1" w:styleId="731">
    <w:name w:val="表格居中"/>
    <w:basedOn w:val="1"/>
    <w:link w:val="730"/>
    <w:qFormat/>
    <w:uiPriority w:val="0"/>
    <w:pPr>
      <w:jc w:val="center"/>
    </w:pPr>
    <w:rPr>
      <w:rFonts w:cstheme="minorBidi"/>
      <w:spacing w:val="-4"/>
      <w:w w:val="90"/>
    </w:rPr>
  </w:style>
  <w:style w:type="character" w:customStyle="1" w:styleId="732">
    <w:name w:val="段落1 Char1"/>
    <w:link w:val="733"/>
    <w:qFormat/>
    <w:locked/>
    <w:uiPriority w:val="0"/>
    <w:rPr>
      <w:sz w:val="24"/>
      <w:szCs w:val="24"/>
    </w:rPr>
  </w:style>
  <w:style w:type="paragraph" w:customStyle="1" w:styleId="733">
    <w:name w:val="段落1"/>
    <w:basedOn w:val="1"/>
    <w:link w:val="732"/>
    <w:qFormat/>
    <w:uiPriority w:val="0"/>
    <w:pPr>
      <w:adjustRightInd w:val="0"/>
      <w:spacing w:line="480" w:lineRule="exact"/>
      <w:ind w:firstLine="480" w:firstLineChars="200"/>
    </w:pPr>
    <w:rPr>
      <w:rFonts w:asciiTheme="minorHAnsi" w:hAnsiTheme="minorHAnsi" w:eastAsiaTheme="minorEastAsia" w:cstheme="minorBidi"/>
    </w:rPr>
  </w:style>
  <w:style w:type="character" w:customStyle="1" w:styleId="734">
    <w:name w:val="彩云湾表格标题 Char"/>
    <w:link w:val="735"/>
    <w:qFormat/>
    <w:locked/>
    <w:uiPriority w:val="0"/>
    <w:rPr>
      <w:rFonts w:ascii="黑体" w:hAnsi="黑体" w:eastAsia="黑体"/>
      <w:sz w:val="24"/>
    </w:rPr>
  </w:style>
  <w:style w:type="paragraph" w:customStyle="1" w:styleId="735">
    <w:name w:val="彩云湾表格标题"/>
    <w:basedOn w:val="596"/>
    <w:link w:val="734"/>
    <w:qFormat/>
    <w:uiPriority w:val="0"/>
    <w:pPr>
      <w:jc w:val="left"/>
    </w:pPr>
    <w:rPr>
      <w:rFonts w:ascii="黑体" w:hAnsi="黑体" w:eastAsia="黑体"/>
      <w:b w:val="0"/>
      <w:color w:val="auto"/>
      <w:szCs w:val="22"/>
    </w:rPr>
  </w:style>
  <w:style w:type="paragraph" w:customStyle="1" w:styleId="736">
    <w:name w:val="样式 标题 2M"/>
    <w:basedOn w:val="10"/>
    <w:qFormat/>
    <w:uiPriority w:val="0"/>
    <w:pPr>
      <w:tabs>
        <w:tab w:val="left" w:pos="696"/>
      </w:tabs>
      <w:spacing w:after="0" w:line="360" w:lineRule="auto"/>
      <w:ind w:left="696" w:hanging="696"/>
      <w:jc w:val="left"/>
    </w:pPr>
    <w:rPr>
      <w:rFonts w:ascii="Times New Roman" w:hAnsi="Times New Roman"/>
      <w:bCs w:val="0"/>
      <w:kern w:val="0"/>
      <w:sz w:val="24"/>
      <w:szCs w:val="20"/>
    </w:rPr>
  </w:style>
  <w:style w:type="paragraph" w:customStyle="1" w:styleId="737">
    <w:name w:val="样式 行距: 多倍行距 1.35 字行"/>
    <w:basedOn w:val="1"/>
    <w:qFormat/>
    <w:uiPriority w:val="0"/>
    <w:pPr>
      <w:adjustRightInd w:val="0"/>
      <w:snapToGrid w:val="0"/>
      <w:ind w:firstLine="480" w:firstLineChars="200"/>
    </w:pPr>
    <w:rPr>
      <w:rFonts w:cs="宋体"/>
    </w:rPr>
  </w:style>
  <w:style w:type="paragraph" w:customStyle="1" w:styleId="738">
    <w:name w:val="xl47"/>
    <w:basedOn w:val="1"/>
    <w:qFormat/>
    <w:uiPriority w:val="0"/>
    <w:pPr>
      <w:widowControl/>
      <w:pBdr>
        <w:bottom w:val="single" w:color="auto" w:sz="8" w:space="0"/>
      </w:pBdr>
      <w:spacing w:before="100" w:beforeAutospacing="1" w:after="100" w:afterAutospacing="1"/>
      <w:jc w:val="center"/>
    </w:pPr>
    <w:rPr>
      <w:rFonts w:ascii="Arial Unicode MS" w:hAnsi="Arial Unicode MS" w:eastAsia="Arial Unicode MS"/>
      <w:color w:val="000000"/>
      <w:kern w:val="0"/>
      <w:sz w:val="20"/>
      <w:szCs w:val="20"/>
    </w:rPr>
  </w:style>
  <w:style w:type="character" w:customStyle="1" w:styleId="739">
    <w:name w:val="【公式】 Char"/>
    <w:link w:val="740"/>
    <w:qFormat/>
    <w:locked/>
    <w:uiPriority w:val="0"/>
    <w:rPr>
      <w:spacing w:val="16"/>
      <w:sz w:val="24"/>
    </w:rPr>
  </w:style>
  <w:style w:type="paragraph" w:customStyle="1" w:styleId="740">
    <w:name w:val="【公式】"/>
    <w:basedOn w:val="509"/>
    <w:link w:val="739"/>
    <w:qFormat/>
    <w:uiPriority w:val="0"/>
    <w:pPr>
      <w:ind w:left="100" w:leftChars="100" w:right="100" w:rightChars="100" w:firstLine="0" w:firstLineChars="0"/>
    </w:pPr>
  </w:style>
  <w:style w:type="paragraph" w:customStyle="1" w:styleId="741">
    <w:name w:val="正文文本缩进 23"/>
    <w:basedOn w:val="1"/>
    <w:qFormat/>
    <w:uiPriority w:val="0"/>
    <w:pPr>
      <w:adjustRightInd w:val="0"/>
      <w:spacing w:before="240" w:line="480" w:lineRule="exact"/>
      <w:ind w:firstLine="480" w:firstLineChars="200"/>
    </w:pPr>
    <w:rPr>
      <w:szCs w:val="20"/>
    </w:rPr>
  </w:style>
  <w:style w:type="paragraph" w:customStyle="1" w:styleId="742">
    <w:name w:val="xl6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olor w:val="000000"/>
      <w:kern w:val="0"/>
    </w:rPr>
  </w:style>
  <w:style w:type="paragraph" w:customStyle="1" w:styleId="743">
    <w:name w:val="报告"/>
    <w:basedOn w:val="1"/>
    <w:qFormat/>
    <w:uiPriority w:val="0"/>
    <w:pPr>
      <w:adjustRightInd w:val="0"/>
      <w:ind w:firstLine="505"/>
      <w:jc w:val="left"/>
    </w:pPr>
    <w:rPr>
      <w:kern w:val="0"/>
      <w:szCs w:val="20"/>
    </w:rPr>
  </w:style>
  <w:style w:type="paragraph" w:customStyle="1" w:styleId="744">
    <w:name w:val="nachklappeinzug"/>
    <w:basedOn w:val="34"/>
    <w:qFormat/>
    <w:uiPriority w:val="0"/>
    <w:pPr>
      <w:widowControl/>
      <w:spacing w:after="0"/>
      <w:ind w:left="1600" w:leftChars="0" w:hanging="720"/>
      <w:jc w:val="left"/>
    </w:pPr>
    <w:rPr>
      <w:rFonts w:ascii="Arial" w:hAnsi="Arial"/>
      <w:color w:val="000000"/>
      <w:kern w:val="0"/>
      <w:sz w:val="22"/>
      <w:szCs w:val="20"/>
      <w:lang w:val="en-GB" w:eastAsia="de-DE"/>
    </w:rPr>
  </w:style>
  <w:style w:type="paragraph" w:customStyle="1" w:styleId="745">
    <w:name w:val="环保"/>
    <w:basedOn w:val="55"/>
    <w:qFormat/>
    <w:uiPriority w:val="0"/>
    <w:pPr>
      <w:adjustRightInd w:val="0"/>
      <w:snapToGrid w:val="0"/>
      <w:spacing w:before="60" w:after="60" w:line="600" w:lineRule="exact"/>
      <w:ind w:left="0" w:leftChars="0"/>
    </w:pPr>
    <w:rPr>
      <w:kern w:val="21"/>
      <w:sz w:val="21"/>
      <w:szCs w:val="20"/>
    </w:rPr>
  </w:style>
  <w:style w:type="paragraph" w:customStyle="1" w:styleId="746">
    <w:name w:val="列出段落3"/>
    <w:basedOn w:val="1"/>
    <w:qFormat/>
    <w:uiPriority w:val="0"/>
    <w:pPr>
      <w:ind w:firstLine="420" w:firstLineChars="200"/>
    </w:pPr>
  </w:style>
  <w:style w:type="paragraph" w:customStyle="1" w:styleId="747">
    <w:name w:val="正文文本3"/>
    <w:basedOn w:val="1"/>
    <w:qFormat/>
    <w:uiPriority w:val="0"/>
    <w:pPr>
      <w:spacing w:line="440" w:lineRule="exact"/>
      <w:jc w:val="center"/>
    </w:pPr>
  </w:style>
  <w:style w:type="paragraph" w:customStyle="1" w:styleId="748">
    <w:name w:val="报告1"/>
    <w:basedOn w:val="743"/>
    <w:qFormat/>
    <w:uiPriority w:val="0"/>
    <w:pPr>
      <w:jc w:val="both"/>
    </w:pPr>
    <w:rPr>
      <w:kern w:val="24"/>
    </w:rPr>
  </w:style>
  <w:style w:type="paragraph" w:customStyle="1" w:styleId="749">
    <w:name w:val="正文首行缩进2"/>
    <w:basedOn w:val="1"/>
    <w:qFormat/>
    <w:uiPriority w:val="0"/>
    <w:pPr>
      <w:adjustRightInd w:val="0"/>
      <w:spacing w:line="312" w:lineRule="atLeast"/>
      <w:ind w:firstLine="567" w:firstLineChars="200"/>
      <w:jc w:val="left"/>
    </w:pPr>
    <w:rPr>
      <w:kern w:val="0"/>
      <w:sz w:val="28"/>
      <w:szCs w:val="20"/>
    </w:rPr>
  </w:style>
  <w:style w:type="paragraph" w:customStyle="1" w:styleId="750">
    <w:name w:val="xl72"/>
    <w:basedOn w:val="1"/>
    <w:qFormat/>
    <w:uiPriority w:val="0"/>
    <w:pPr>
      <w:widowControl/>
      <w:pBdr>
        <w:left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olor w:val="000000"/>
      <w:kern w:val="0"/>
    </w:rPr>
  </w:style>
  <w:style w:type="paragraph" w:customStyle="1" w:styleId="751">
    <w:name w:val="!Texte courant"/>
    <w:qFormat/>
    <w:uiPriority w:val="0"/>
    <w:pPr>
      <w:spacing w:before="120" w:line="280" w:lineRule="atLeast"/>
      <w:jc w:val="both"/>
    </w:pPr>
    <w:rPr>
      <w:rFonts w:ascii="Times New Roman" w:hAnsi="Times New Roman" w:eastAsia="宋体" w:cs="Times New Roman"/>
      <w:kern w:val="0"/>
      <w:sz w:val="24"/>
      <w:szCs w:val="20"/>
      <w:lang w:val="fr-FR" w:eastAsia="en-US" w:bidi="ar-SA"/>
    </w:rPr>
  </w:style>
  <w:style w:type="paragraph" w:customStyle="1" w:styleId="752">
    <w:name w:val="宏福1"/>
    <w:basedOn w:val="9"/>
    <w:qFormat/>
    <w:uiPriority w:val="0"/>
    <w:pPr>
      <w:keepLines/>
      <w:pageBreakBefore/>
      <w:adjustRightInd w:val="0"/>
      <w:snapToGrid w:val="0"/>
      <w:spacing w:before="360" w:after="40" w:line="240" w:lineRule="auto"/>
      <w:ind w:firstLine="595"/>
      <w:jc w:val="center"/>
    </w:pPr>
    <w:rPr>
      <w:rFonts w:ascii="Calibri" w:hAnsi="Calibri" w:cs="Times New Roman"/>
      <w:kern w:val="44"/>
      <w:sz w:val="32"/>
    </w:rPr>
  </w:style>
  <w:style w:type="paragraph" w:customStyle="1" w:styleId="753">
    <w:name w:val="a8"/>
    <w:basedOn w:val="1"/>
    <w:qFormat/>
    <w:uiPriority w:val="0"/>
    <w:pPr>
      <w:widowControl/>
      <w:spacing w:before="100" w:beforeAutospacing="1" w:after="100" w:afterAutospacing="1"/>
      <w:jc w:val="left"/>
    </w:pPr>
    <w:rPr>
      <w:color w:val="000000"/>
      <w:kern w:val="0"/>
    </w:rPr>
  </w:style>
  <w:style w:type="paragraph" w:customStyle="1" w:styleId="754">
    <w:name w:val="标2"/>
    <w:basedOn w:val="10"/>
    <w:next w:val="1"/>
    <w:qFormat/>
    <w:uiPriority w:val="0"/>
    <w:pPr>
      <w:autoSpaceDE w:val="0"/>
      <w:autoSpaceDN w:val="0"/>
      <w:adjustRightInd w:val="0"/>
      <w:snapToGrid w:val="0"/>
      <w:spacing w:beforeLines="50" w:after="40" w:line="288" w:lineRule="auto"/>
      <w:ind w:firstLine="601"/>
      <w:outlineLvl w:val="9"/>
    </w:pPr>
    <w:rPr>
      <w:rFonts w:ascii="Times New Roman" w:hAnsi="Times New Roman" w:eastAsia="宋体"/>
      <w:b w:val="0"/>
      <w:color w:val="000000"/>
      <w:kern w:val="0"/>
      <w:sz w:val="30"/>
      <w:szCs w:val="24"/>
    </w:rPr>
  </w:style>
  <w:style w:type="paragraph" w:customStyle="1" w:styleId="755">
    <w:name w:val="Betreff"/>
    <w:basedOn w:val="1"/>
    <w:qFormat/>
    <w:uiPriority w:val="0"/>
    <w:pPr>
      <w:widowControl/>
      <w:tabs>
        <w:tab w:val="right" w:pos="851"/>
        <w:tab w:val="left" w:pos="992"/>
        <w:tab w:val="left" w:pos="4536"/>
        <w:tab w:val="decimal" w:pos="5954"/>
        <w:tab w:val="left" w:pos="7088"/>
        <w:tab w:val="decimal" w:pos="8505"/>
      </w:tabs>
      <w:spacing w:after="240"/>
      <w:jc w:val="left"/>
    </w:pPr>
    <w:rPr>
      <w:rFonts w:ascii="Arial" w:hAnsi="Arial"/>
      <w:kern w:val="0"/>
      <w:sz w:val="22"/>
      <w:szCs w:val="20"/>
      <w:lang w:val="de-DE" w:eastAsia="de-DE"/>
    </w:rPr>
  </w:style>
  <w:style w:type="paragraph" w:customStyle="1" w:styleId="756">
    <w:name w:val="表格正文"/>
    <w:next w:val="757"/>
    <w:qFormat/>
    <w:uiPriority w:val="0"/>
    <w:pPr>
      <w:tabs>
        <w:tab w:val="left" w:pos="324"/>
      </w:tabs>
      <w:spacing w:before="60" w:after="60" w:line="440" w:lineRule="exact"/>
      <w:jc w:val="center"/>
    </w:pPr>
    <w:rPr>
      <w:rFonts w:ascii="Times New Roman" w:hAnsi="Times New Roman" w:eastAsia="宋体" w:cs="Times New Roman"/>
      <w:kern w:val="0"/>
      <w:sz w:val="21"/>
      <w:szCs w:val="20"/>
      <w:lang w:val="en-US" w:eastAsia="zh-CN" w:bidi="ar-SA"/>
    </w:rPr>
  </w:style>
  <w:style w:type="paragraph" w:customStyle="1" w:styleId="757">
    <w:name w:val="1-正文"/>
    <w:basedOn w:val="1"/>
    <w:link w:val="863"/>
    <w:qFormat/>
    <w:uiPriority w:val="0"/>
    <w:pPr>
      <w:ind w:firstLine="200" w:firstLineChars="200"/>
    </w:pPr>
    <w:rPr>
      <w:rFonts w:cstheme="minorBidi"/>
    </w:rPr>
  </w:style>
  <w:style w:type="paragraph" w:customStyle="1" w:styleId="758">
    <w:name w:val="xl33"/>
    <w:basedOn w:val="1"/>
    <w:qFormat/>
    <w:uiPriority w:val="0"/>
    <w:pPr>
      <w:widowControl/>
      <w:pBdr>
        <w:top w:val="single" w:color="auto" w:sz="4" w:space="0"/>
        <w:bottom w:val="single" w:color="000000" w:sz="4" w:space="0"/>
        <w:right w:val="single" w:color="000000" w:sz="4" w:space="0"/>
      </w:pBdr>
      <w:spacing w:before="100" w:beforeAutospacing="1" w:after="100" w:afterAutospacing="1"/>
      <w:jc w:val="center"/>
    </w:pPr>
    <w:rPr>
      <w:rFonts w:ascii="Arial Unicode MS" w:hAnsi="Arial Unicode MS" w:eastAsia="Arial Unicode MS"/>
      <w:bCs/>
      <w:kern w:val="0"/>
    </w:rPr>
  </w:style>
  <w:style w:type="paragraph" w:customStyle="1" w:styleId="759">
    <w:name w:val="zwwz"/>
    <w:basedOn w:val="1"/>
    <w:qFormat/>
    <w:uiPriority w:val="0"/>
    <w:pPr>
      <w:adjustRightInd w:val="0"/>
      <w:ind w:firstLine="567" w:firstLineChars="200"/>
    </w:pPr>
    <w:rPr>
      <w:spacing w:val="10"/>
      <w:kern w:val="0"/>
      <w:sz w:val="28"/>
      <w:szCs w:val="20"/>
    </w:rPr>
  </w:style>
  <w:style w:type="paragraph" w:customStyle="1" w:styleId="760">
    <w:name w:val="样式 正文首行缩进 + 首行缩进:  2 字符1"/>
    <w:basedOn w:val="1"/>
    <w:next w:val="451"/>
    <w:qFormat/>
    <w:uiPriority w:val="0"/>
    <w:pPr>
      <w:ind w:firstLine="480" w:firstLineChars="200"/>
    </w:pPr>
  </w:style>
  <w:style w:type="paragraph" w:customStyle="1" w:styleId="761">
    <w:name w:val="表格小四"/>
    <w:basedOn w:val="1"/>
    <w:qFormat/>
    <w:uiPriority w:val="0"/>
    <w:rPr>
      <w:w w:val="110"/>
      <w:szCs w:val="20"/>
    </w:rPr>
  </w:style>
  <w:style w:type="character" w:customStyle="1" w:styleId="762">
    <w:name w:val="表格1 Char"/>
    <w:link w:val="763"/>
    <w:qFormat/>
    <w:locked/>
    <w:uiPriority w:val="0"/>
    <w:rPr>
      <w:rFonts w:ascii="宋体" w:hAnsi="宋体" w:eastAsia="宋体"/>
      <w:szCs w:val="21"/>
    </w:rPr>
  </w:style>
  <w:style w:type="paragraph" w:customStyle="1" w:styleId="763">
    <w:name w:val="表格1"/>
    <w:basedOn w:val="1"/>
    <w:link w:val="762"/>
    <w:qFormat/>
    <w:uiPriority w:val="0"/>
    <w:pPr>
      <w:spacing w:line="240" w:lineRule="exact"/>
    </w:pPr>
    <w:rPr>
      <w:rFonts w:cstheme="minorBidi"/>
    </w:rPr>
  </w:style>
  <w:style w:type="paragraph" w:customStyle="1" w:styleId="764">
    <w:name w:val="结束语1"/>
    <w:basedOn w:val="1"/>
    <w:qFormat/>
    <w:uiPriority w:val="0"/>
    <w:pPr>
      <w:adjustRightInd w:val="0"/>
      <w:snapToGrid w:val="0"/>
      <w:ind w:left="100" w:leftChars="2100" w:firstLine="200" w:firstLineChars="200"/>
    </w:pPr>
    <w:rPr>
      <w:rFonts w:eastAsia="Times New Roman"/>
      <w:szCs w:val="20"/>
    </w:rPr>
  </w:style>
  <w:style w:type="paragraph" w:customStyle="1" w:styleId="765">
    <w:name w:val="正文样式一"/>
    <w:basedOn w:val="1"/>
    <w:qFormat/>
    <w:uiPriority w:val="0"/>
    <w:pPr>
      <w:adjustRightInd w:val="0"/>
      <w:spacing w:line="400" w:lineRule="atLeast"/>
      <w:ind w:firstLine="510"/>
    </w:pPr>
    <w:rPr>
      <w:kern w:val="0"/>
      <w:szCs w:val="20"/>
    </w:rPr>
  </w:style>
  <w:style w:type="paragraph" w:customStyle="1" w:styleId="766">
    <w:name w:val="大表"/>
    <w:basedOn w:val="1"/>
    <w:qFormat/>
    <w:uiPriority w:val="0"/>
    <w:pPr>
      <w:pageBreakBefore/>
      <w:jc w:val="center"/>
    </w:pPr>
    <w:rPr>
      <w:rFonts w:eastAsia="黑体"/>
      <w:b/>
      <w:bCs/>
      <w:sz w:val="28"/>
    </w:rPr>
  </w:style>
  <w:style w:type="paragraph" w:customStyle="1" w:styleId="767">
    <w:name w:val="Char Char Char Char Char Char Char Char Char Char"/>
    <w:basedOn w:val="1"/>
    <w:qFormat/>
    <w:uiPriority w:val="0"/>
    <w:pPr>
      <w:ind w:firstLine="200" w:firstLineChars="200"/>
    </w:pPr>
    <w:rPr>
      <w:rFonts w:cs="宋体"/>
    </w:rPr>
  </w:style>
  <w:style w:type="paragraph" w:customStyle="1" w:styleId="768">
    <w:name w:val="正文文本1"/>
    <w:basedOn w:val="1"/>
    <w:next w:val="1"/>
    <w:qFormat/>
    <w:uiPriority w:val="0"/>
    <w:pPr>
      <w:widowControl/>
      <w:autoSpaceDE w:val="0"/>
      <w:autoSpaceDN w:val="0"/>
      <w:adjustRightInd w:val="0"/>
      <w:spacing w:before="60" w:after="60"/>
      <w:jc w:val="left"/>
    </w:pPr>
    <w:rPr>
      <w:kern w:val="0"/>
      <w:lang w:eastAsia="en-US"/>
    </w:rPr>
  </w:style>
  <w:style w:type="paragraph" w:customStyle="1" w:styleId="769">
    <w:name w:val="自定义正文 Char Char Char"/>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paragraph" w:customStyle="1" w:styleId="770">
    <w:name w:val="尾注文本2"/>
    <w:basedOn w:val="368"/>
    <w:qFormat/>
    <w:uiPriority w:val="0"/>
    <w:rPr>
      <w:sz w:val="21"/>
    </w:rPr>
  </w:style>
  <w:style w:type="paragraph" w:customStyle="1" w:styleId="771">
    <w:name w:val="Char Char Char1 Char Char Char Char2"/>
    <w:basedOn w:val="1"/>
    <w:qFormat/>
    <w:uiPriority w:val="0"/>
  </w:style>
  <w:style w:type="paragraph" w:customStyle="1" w:styleId="772">
    <w:name w:val="Char Char1 Char Char Char Char Char Char Char Char Char Char Char Char Char Char Char1"/>
    <w:basedOn w:val="1"/>
    <w:qFormat/>
    <w:uiPriority w:val="0"/>
    <w:pPr>
      <w:ind w:firstLine="200" w:firstLineChars="200"/>
    </w:pPr>
    <w:rPr>
      <w:rFonts w:cs="宋体"/>
    </w:rPr>
  </w:style>
  <w:style w:type="paragraph" w:customStyle="1" w:styleId="773">
    <w:name w:val="样式 标题 2 + Times New Roman 小三 居中"/>
    <w:basedOn w:val="10"/>
    <w:qFormat/>
    <w:uiPriority w:val="0"/>
    <w:pPr>
      <w:widowControl/>
      <w:spacing w:line="412" w:lineRule="auto"/>
      <w:ind w:firstLine="538" w:firstLineChars="192"/>
      <w:jc w:val="left"/>
    </w:pPr>
    <w:rPr>
      <w:rFonts w:ascii="Times New Roman" w:hAnsi="Times New Roman" w:cs="宋体"/>
      <w:bCs w:val="0"/>
      <w:kern w:val="0"/>
      <w:sz w:val="30"/>
      <w:szCs w:val="20"/>
    </w:rPr>
  </w:style>
  <w:style w:type="paragraph" w:customStyle="1" w:styleId="774">
    <w:name w:val="Char1 Char Char Char3"/>
    <w:basedOn w:val="1"/>
    <w:qFormat/>
    <w:uiPriority w:val="0"/>
    <w:pPr>
      <w:snapToGrid w:val="0"/>
      <w:ind w:firstLine="200" w:firstLineChars="200"/>
    </w:pPr>
    <w:rPr>
      <w:rFonts w:eastAsia="仿宋_GB2312"/>
    </w:rPr>
  </w:style>
  <w:style w:type="paragraph" w:customStyle="1" w:styleId="775">
    <w:name w:val="表项"/>
    <w:basedOn w:val="1"/>
    <w:qFormat/>
    <w:uiPriority w:val="0"/>
    <w:pPr>
      <w:adjustRightInd w:val="0"/>
      <w:spacing w:before="60" w:after="60" w:line="288" w:lineRule="auto"/>
      <w:jc w:val="center"/>
    </w:pPr>
    <w:rPr>
      <w:rFonts w:eastAsia="楷体"/>
      <w:kern w:val="44"/>
      <w:sz w:val="18"/>
      <w:szCs w:val="18"/>
      <w:lang w:val="en-GB"/>
    </w:rPr>
  </w:style>
  <w:style w:type="paragraph" w:customStyle="1" w:styleId="776">
    <w:name w:val="Char4"/>
    <w:basedOn w:val="1"/>
    <w:qFormat/>
    <w:uiPriority w:val="0"/>
  </w:style>
  <w:style w:type="paragraph" w:customStyle="1" w:styleId="777">
    <w:name w:val="样式 标题2　自动设置"/>
    <w:basedOn w:val="10"/>
    <w:qFormat/>
    <w:uiPriority w:val="0"/>
    <w:pPr>
      <w:tabs>
        <w:tab w:val="left" w:pos="576"/>
      </w:tabs>
      <w:spacing w:beforeLines="50" w:afterLines="50" w:line="240" w:lineRule="auto"/>
      <w:ind w:left="576" w:hanging="576"/>
    </w:pPr>
    <w:rPr>
      <w:rFonts w:ascii="宋体" w:hAnsi="宋体" w:eastAsia="宋体" w:cs="宋体"/>
      <w:kern w:val="0"/>
      <w:sz w:val="28"/>
      <w:szCs w:val="20"/>
    </w:rPr>
  </w:style>
  <w:style w:type="paragraph" w:customStyle="1" w:styleId="778">
    <w:name w:val="备注"/>
    <w:basedOn w:val="1"/>
    <w:qFormat/>
    <w:uiPriority w:val="0"/>
    <w:pPr>
      <w:spacing w:line="240" w:lineRule="atLeast"/>
    </w:pPr>
    <w:rPr>
      <w:rFonts w:cs="宋体"/>
    </w:rPr>
  </w:style>
  <w:style w:type="paragraph" w:customStyle="1" w:styleId="779">
    <w:name w:val="xl65"/>
    <w:basedOn w:val="1"/>
    <w:qFormat/>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kern w:val="0"/>
    </w:rPr>
  </w:style>
  <w:style w:type="paragraph" w:customStyle="1" w:styleId="780">
    <w:name w:val="批注主题1"/>
    <w:basedOn w:val="357"/>
    <w:next w:val="357"/>
    <w:qFormat/>
    <w:uiPriority w:val="0"/>
    <w:rPr>
      <w:b/>
    </w:rPr>
  </w:style>
  <w:style w:type="paragraph" w:customStyle="1" w:styleId="781">
    <w:name w:val="三级标题"/>
    <w:basedOn w:val="1"/>
    <w:qFormat/>
    <w:uiPriority w:val="0"/>
    <w:pPr>
      <w:snapToGrid w:val="0"/>
      <w:spacing w:before="300" w:line="460" w:lineRule="exact"/>
      <w:outlineLvl w:val="2"/>
    </w:pPr>
    <w:rPr>
      <w:b/>
      <w:bCs/>
      <w:kern w:val="0"/>
    </w:rPr>
  </w:style>
  <w:style w:type="paragraph" w:customStyle="1" w:styleId="782">
    <w:name w:val="样式 四号 首行缩进:  2 字符"/>
    <w:basedOn w:val="1"/>
    <w:qFormat/>
    <w:uiPriority w:val="0"/>
    <w:pPr>
      <w:spacing w:line="480" w:lineRule="atLeast"/>
      <w:ind w:firstLine="200" w:firstLineChars="200"/>
    </w:pPr>
  </w:style>
  <w:style w:type="paragraph" w:customStyle="1" w:styleId="783">
    <w:name w:val="标题 21"/>
    <w:basedOn w:val="1"/>
    <w:next w:val="1"/>
    <w:qFormat/>
    <w:uiPriority w:val="0"/>
    <w:pPr>
      <w:keepNext/>
      <w:keepLines/>
      <w:widowControl/>
      <w:spacing w:before="260" w:after="260" w:line="415" w:lineRule="auto"/>
      <w:jc w:val="left"/>
      <w:outlineLvl w:val="1"/>
    </w:pPr>
    <w:rPr>
      <w:rFonts w:ascii="Arial" w:hAnsi="Arial" w:eastAsia="黑体"/>
      <w:b/>
      <w:bCs/>
      <w:sz w:val="32"/>
      <w:szCs w:val="32"/>
    </w:rPr>
  </w:style>
  <w:style w:type="paragraph" w:customStyle="1" w:styleId="784">
    <w:name w:val="封面标准号1"/>
    <w:basedOn w:val="1"/>
    <w:next w:val="1"/>
    <w:qFormat/>
    <w:uiPriority w:val="0"/>
    <w:pPr>
      <w:autoSpaceDE w:val="0"/>
      <w:autoSpaceDN w:val="0"/>
      <w:adjustRightInd w:val="0"/>
      <w:spacing w:before="308"/>
      <w:jc w:val="left"/>
    </w:pPr>
    <w:rPr>
      <w:kern w:val="0"/>
    </w:rPr>
  </w:style>
  <w:style w:type="paragraph" w:customStyle="1" w:styleId="785">
    <w:name w:val="纯文本3"/>
    <w:basedOn w:val="1"/>
    <w:qFormat/>
    <w:uiPriority w:val="0"/>
    <w:rPr>
      <w:rFonts w:hAnsi="Courier New"/>
    </w:rPr>
  </w:style>
  <w:style w:type="paragraph" w:customStyle="1" w:styleId="786">
    <w:name w:val="xl24"/>
    <w:basedOn w:val="1"/>
    <w:qFormat/>
    <w:uiPriority w:val="0"/>
    <w:pPr>
      <w:widowControl/>
      <w:spacing w:before="100" w:after="100"/>
      <w:jc w:val="right"/>
    </w:pPr>
    <w:rPr>
      <w:kern w:val="0"/>
      <w:szCs w:val="20"/>
    </w:rPr>
  </w:style>
  <w:style w:type="paragraph" w:customStyle="1" w:styleId="787">
    <w:name w:val="表格 23"/>
    <w:basedOn w:val="1"/>
    <w:qFormat/>
    <w:uiPriority w:val="0"/>
    <w:pPr>
      <w:spacing w:beforeLines="50" w:line="300" w:lineRule="auto"/>
      <w:jc w:val="center"/>
    </w:pPr>
  </w:style>
  <w:style w:type="paragraph" w:customStyle="1" w:styleId="788">
    <w:name w:val="缩进"/>
    <w:basedOn w:val="1"/>
    <w:qFormat/>
    <w:uiPriority w:val="0"/>
    <w:pPr>
      <w:autoSpaceDE w:val="0"/>
      <w:autoSpaceDN w:val="0"/>
      <w:adjustRightInd w:val="0"/>
      <w:spacing w:line="400" w:lineRule="atLeast"/>
      <w:ind w:firstLine="200" w:firstLineChars="200"/>
    </w:pPr>
    <w:rPr>
      <w:rFonts w:ascii="Calibri" w:hAnsi="Calibri"/>
      <w:kern w:val="0"/>
      <w:szCs w:val="20"/>
    </w:rPr>
  </w:style>
  <w:style w:type="paragraph" w:customStyle="1" w:styleId="789">
    <w:name w:val="正文+++++++++++++++++++++++"/>
    <w:basedOn w:val="231"/>
    <w:qFormat/>
    <w:uiPriority w:val="0"/>
    <w:pPr>
      <w:spacing w:line="460" w:lineRule="exact"/>
      <w:ind w:left="1" w:firstLine="522" w:firstLineChars="192"/>
      <w:jc w:val="both"/>
    </w:pPr>
    <w:rPr>
      <w:rFonts w:ascii="Times New Roman" w:cs="宋体"/>
      <w:spacing w:val="16"/>
    </w:rPr>
  </w:style>
  <w:style w:type="paragraph" w:customStyle="1" w:styleId="790">
    <w:name w:val="reader-word-layer reader-word-s1-4"/>
    <w:basedOn w:val="1"/>
    <w:qFormat/>
    <w:uiPriority w:val="0"/>
    <w:pPr>
      <w:widowControl/>
      <w:spacing w:before="100" w:beforeAutospacing="1" w:after="100" w:afterAutospacing="1"/>
      <w:jc w:val="left"/>
    </w:pPr>
    <w:rPr>
      <w:rFonts w:cs="宋体"/>
      <w:kern w:val="0"/>
    </w:rPr>
  </w:style>
  <w:style w:type="paragraph" w:customStyle="1" w:styleId="791">
    <w:name w:val="文本块2"/>
    <w:basedOn w:val="1"/>
    <w:qFormat/>
    <w:uiPriority w:val="0"/>
    <w:pPr>
      <w:tabs>
        <w:tab w:val="left" w:pos="2160"/>
        <w:tab w:val="left" w:pos="3780"/>
      </w:tabs>
      <w:adjustRightInd w:val="0"/>
      <w:spacing w:line="27" w:lineRule="atLeast"/>
      <w:ind w:left="3780" w:right="119" w:hanging="420"/>
    </w:pPr>
    <w:rPr>
      <w:spacing w:val="25"/>
      <w:kern w:val="0"/>
      <w:szCs w:val="20"/>
    </w:rPr>
  </w:style>
  <w:style w:type="paragraph" w:customStyle="1" w:styleId="792">
    <w:name w:val="Char Char Char Char Char"/>
    <w:basedOn w:val="1"/>
    <w:qFormat/>
    <w:uiPriority w:val="0"/>
    <w:rPr>
      <w:rFonts w:hAnsi="Courier New" w:cs="Courier New"/>
    </w:rPr>
  </w:style>
  <w:style w:type="paragraph" w:customStyle="1" w:styleId="793">
    <w:name w:val="表文1"/>
    <w:basedOn w:val="361"/>
    <w:qFormat/>
    <w:uiPriority w:val="0"/>
    <w:pPr>
      <w:spacing w:line="500" w:lineRule="exact"/>
      <w:jc w:val="both"/>
    </w:pPr>
    <w:rPr>
      <w:rFonts w:ascii="CG Times" w:hAnsi="CG Times"/>
      <w:szCs w:val="20"/>
    </w:rPr>
  </w:style>
  <w:style w:type="paragraph" w:customStyle="1" w:styleId="794">
    <w:name w:val="Char Char Char Char Char Char Char Char Char1 Char1"/>
    <w:basedOn w:val="1"/>
    <w:qFormat/>
    <w:uiPriority w:val="0"/>
  </w:style>
  <w:style w:type="paragraph" w:customStyle="1" w:styleId="795">
    <w:name w:val="Char Char Char Char Char Char Char Char Char Char Char Char Char Char Char Char Char Char Char Char Char Char Char Char Char Char Char Char Char Char Char Char Char Char1"/>
    <w:basedOn w:val="1"/>
    <w:qFormat/>
    <w:uiPriority w:val="0"/>
  </w:style>
  <w:style w:type="paragraph" w:customStyle="1" w:styleId="796">
    <w:name w:val="正正正文"/>
    <w:basedOn w:val="1"/>
    <w:qFormat/>
    <w:uiPriority w:val="0"/>
    <w:pPr>
      <w:adjustRightInd w:val="0"/>
      <w:spacing w:beforeLines="50" w:line="440" w:lineRule="exact"/>
      <w:jc w:val="left"/>
    </w:pPr>
    <w:rPr>
      <w:kern w:val="0"/>
    </w:rPr>
  </w:style>
  <w:style w:type="paragraph" w:customStyle="1" w:styleId="797">
    <w:name w:val="Char Char Char Char Char Char3"/>
    <w:basedOn w:val="1"/>
    <w:next w:val="8"/>
    <w:qFormat/>
    <w:uiPriority w:val="0"/>
    <w:rPr>
      <w:sz w:val="28"/>
      <w:szCs w:val="28"/>
    </w:rPr>
  </w:style>
  <w:style w:type="character" w:customStyle="1" w:styleId="798">
    <w:name w:val="样式 标题 2H2H21标题 2XW3号宋体居中行距2倍节标题 1.11.1标题2Se节名Se Char标题... Char"/>
    <w:link w:val="799"/>
    <w:qFormat/>
    <w:locked/>
    <w:uiPriority w:val="0"/>
    <w:rPr>
      <w:bCs/>
      <w:sz w:val="28"/>
      <w:szCs w:val="28"/>
    </w:rPr>
  </w:style>
  <w:style w:type="paragraph" w:customStyle="1" w:styleId="799">
    <w:name w:val="样式 标题 2H2H21标题 2XW3号宋体居中行距2倍节标题 1.11.1标题2Se节名Se Char标题..."/>
    <w:basedOn w:val="10"/>
    <w:link w:val="798"/>
    <w:qFormat/>
    <w:uiPriority w:val="0"/>
    <w:pPr>
      <w:spacing w:before="200" w:after="200" w:line="240" w:lineRule="auto"/>
    </w:pPr>
    <w:rPr>
      <w:rFonts w:asciiTheme="minorHAnsi" w:hAnsiTheme="minorHAnsi" w:eastAsiaTheme="minorEastAsia" w:cstheme="minorBidi"/>
      <w:b w:val="0"/>
      <w:sz w:val="28"/>
      <w:szCs w:val="28"/>
    </w:rPr>
  </w:style>
  <w:style w:type="paragraph" w:customStyle="1" w:styleId="800">
    <w:name w:val="表格文字小四"/>
    <w:basedOn w:val="1"/>
    <w:next w:val="33"/>
    <w:qFormat/>
    <w:uiPriority w:val="0"/>
    <w:pPr>
      <w:adjustRightInd w:val="0"/>
      <w:snapToGrid w:val="0"/>
      <w:ind w:left="-593"/>
      <w:jc w:val="center"/>
    </w:pPr>
  </w:style>
  <w:style w:type="character" w:customStyle="1" w:styleId="801">
    <w:name w:val="正文---------------- Char"/>
    <w:link w:val="802"/>
    <w:qFormat/>
    <w:locked/>
    <w:uiPriority w:val="0"/>
    <w:rPr>
      <w:spacing w:val="16"/>
      <w:sz w:val="24"/>
    </w:rPr>
  </w:style>
  <w:style w:type="paragraph" w:customStyle="1" w:styleId="802">
    <w:name w:val="正文----------------"/>
    <w:basedOn w:val="1"/>
    <w:link w:val="801"/>
    <w:qFormat/>
    <w:uiPriority w:val="0"/>
    <w:pPr>
      <w:spacing w:line="440" w:lineRule="exact"/>
      <w:ind w:firstLine="544" w:firstLineChars="200"/>
    </w:pPr>
    <w:rPr>
      <w:rFonts w:asciiTheme="minorHAnsi" w:hAnsiTheme="minorHAnsi" w:eastAsiaTheme="minorEastAsia" w:cstheme="minorBidi"/>
      <w:spacing w:val="16"/>
      <w:szCs w:val="22"/>
    </w:rPr>
  </w:style>
  <w:style w:type="paragraph" w:customStyle="1" w:styleId="803">
    <w:name w:val="注×："/>
    <w:qFormat/>
    <w:uiPriority w:val="0"/>
    <w:pPr>
      <w:widowControl w:val="0"/>
      <w:tabs>
        <w:tab w:val="left" w:pos="630"/>
      </w:tabs>
      <w:autoSpaceDE w:val="0"/>
      <w:autoSpaceDN w:val="0"/>
      <w:jc w:val="both"/>
    </w:pPr>
    <w:rPr>
      <w:rFonts w:ascii="宋体" w:hAnsi="Times New Roman" w:eastAsia="宋体" w:cs="Times New Roman"/>
      <w:kern w:val="0"/>
      <w:sz w:val="18"/>
      <w:szCs w:val="20"/>
      <w:lang w:val="en-US" w:eastAsia="zh-CN" w:bidi="ar-SA"/>
    </w:rPr>
  </w:style>
  <w:style w:type="paragraph" w:customStyle="1" w:styleId="804">
    <w:name w:val="普通(网站)1"/>
    <w:basedOn w:val="1"/>
    <w:qFormat/>
    <w:uiPriority w:val="0"/>
    <w:pPr>
      <w:adjustRightInd w:val="0"/>
      <w:snapToGrid w:val="0"/>
      <w:ind w:firstLine="200" w:firstLineChars="200"/>
    </w:pPr>
    <w:rPr>
      <w:rFonts w:eastAsia="Times New Roman"/>
      <w:szCs w:val="20"/>
    </w:rPr>
  </w:style>
  <w:style w:type="paragraph" w:customStyle="1" w:styleId="805">
    <w:name w:val="xl44"/>
    <w:basedOn w:val="1"/>
    <w:qFormat/>
    <w:uiPriority w:val="0"/>
    <w:pPr>
      <w:widowControl/>
      <w:pBdr>
        <w:right w:val="single" w:color="auto" w:sz="4" w:space="0"/>
      </w:pBdr>
      <w:spacing w:before="100" w:beforeAutospacing="1" w:after="100" w:afterAutospacing="1"/>
      <w:jc w:val="center"/>
    </w:pPr>
    <w:rPr>
      <w:rFonts w:eastAsia="Arial Unicode MS"/>
      <w:color w:val="000000"/>
      <w:kern w:val="0"/>
    </w:rPr>
  </w:style>
  <w:style w:type="paragraph" w:customStyle="1" w:styleId="806">
    <w:name w:val="Char12"/>
    <w:basedOn w:val="1"/>
    <w:qFormat/>
    <w:uiPriority w:val="0"/>
    <w:pPr>
      <w:ind w:firstLine="200" w:firstLineChars="200"/>
    </w:pPr>
    <w:rPr>
      <w:rFonts w:cs="宋体"/>
    </w:rPr>
  </w:style>
  <w:style w:type="paragraph" w:customStyle="1" w:styleId="807">
    <w:name w:val="Char13"/>
    <w:basedOn w:val="1"/>
    <w:qFormat/>
    <w:uiPriority w:val="0"/>
    <w:pPr>
      <w:ind w:firstLine="200" w:firstLineChars="200"/>
    </w:pPr>
    <w:rPr>
      <w:rFonts w:cs="宋体"/>
    </w:rPr>
  </w:style>
  <w:style w:type="paragraph" w:customStyle="1" w:styleId="808">
    <w:name w:val="标题04"/>
    <w:basedOn w:val="39"/>
    <w:next w:val="43"/>
    <w:qFormat/>
    <w:uiPriority w:val="0"/>
    <w:pPr>
      <w:jc w:val="center"/>
    </w:pPr>
    <w:rPr>
      <w:rFonts w:ascii="Times New Roman" w:hAnsi="Times New Roman"/>
      <w:b/>
      <w:szCs w:val="24"/>
    </w:rPr>
  </w:style>
  <w:style w:type="paragraph" w:customStyle="1" w:styleId="809">
    <w:name w:val="图1-1"/>
    <w:basedOn w:val="498"/>
    <w:qFormat/>
    <w:uiPriority w:val="0"/>
    <w:pPr>
      <w:keepNext w:val="0"/>
      <w:keepLines/>
      <w:spacing w:line="240" w:lineRule="auto"/>
    </w:pPr>
    <w:rPr>
      <w:b w:val="0"/>
      <w:spacing w:val="0"/>
      <w:w w:val="100"/>
      <w:sz w:val="21"/>
    </w:rPr>
  </w:style>
  <w:style w:type="paragraph" w:customStyle="1" w:styleId="810">
    <w:name w:val="表中文字"/>
    <w:basedOn w:val="1"/>
    <w:qFormat/>
    <w:uiPriority w:val="0"/>
    <w:pPr>
      <w:jc w:val="center"/>
    </w:pPr>
    <w:rPr>
      <w:szCs w:val="20"/>
    </w:rPr>
  </w:style>
  <w:style w:type="paragraph" w:customStyle="1" w:styleId="811">
    <w:name w:val="regel"/>
    <w:basedOn w:val="1"/>
    <w:qFormat/>
    <w:uiPriority w:val="0"/>
    <w:pPr>
      <w:widowControl/>
      <w:tabs>
        <w:tab w:val="left" w:pos="568"/>
        <w:tab w:val="left" w:pos="851"/>
        <w:tab w:val="left" w:pos="1080"/>
        <w:tab w:val="left" w:pos="3969"/>
      </w:tabs>
      <w:ind w:left="567" w:hanging="567"/>
      <w:jc w:val="left"/>
    </w:pPr>
    <w:rPr>
      <w:rFonts w:ascii="Swiss742-SWC" w:hAnsi="Swiss742-SWC"/>
      <w:kern w:val="0"/>
      <w:sz w:val="22"/>
      <w:szCs w:val="20"/>
      <w:lang w:val="en-GB" w:eastAsia="de-DE"/>
    </w:rPr>
  </w:style>
  <w:style w:type="paragraph" w:customStyle="1" w:styleId="812">
    <w:name w:val="xl52"/>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sz w:val="20"/>
      <w:szCs w:val="20"/>
    </w:rPr>
  </w:style>
  <w:style w:type="paragraph" w:customStyle="1" w:styleId="813">
    <w:name w:val="样式 标题 1 + (中文) 黑体 三号 居中 行距: 单倍行距"/>
    <w:basedOn w:val="9"/>
    <w:qFormat/>
    <w:uiPriority w:val="0"/>
    <w:pPr>
      <w:keepLines/>
      <w:widowControl/>
      <w:topLinePunct/>
      <w:autoSpaceDE w:val="0"/>
      <w:autoSpaceDN w:val="0"/>
      <w:adjustRightInd w:val="0"/>
      <w:snapToGrid w:val="0"/>
      <w:spacing w:line="240" w:lineRule="auto"/>
      <w:ind w:left="141" w:firstLine="538" w:firstLineChars="224"/>
      <w:jc w:val="left"/>
    </w:pPr>
    <w:rPr>
      <w:rFonts w:eastAsia="黑体"/>
      <w:kern w:val="44"/>
      <w:sz w:val="32"/>
    </w:rPr>
  </w:style>
  <w:style w:type="character" w:customStyle="1" w:styleId="814">
    <w:name w:val="表头------------- Char"/>
    <w:link w:val="815"/>
    <w:qFormat/>
    <w:locked/>
    <w:uiPriority w:val="0"/>
    <w:rPr>
      <w:rFonts w:ascii="黑体" w:hAnsi="黑体" w:eastAsia="黑体"/>
      <w:sz w:val="24"/>
    </w:rPr>
  </w:style>
  <w:style w:type="paragraph" w:customStyle="1" w:styleId="815">
    <w:name w:val="表头-------------"/>
    <w:basedOn w:val="1"/>
    <w:link w:val="814"/>
    <w:qFormat/>
    <w:uiPriority w:val="0"/>
    <w:pPr>
      <w:spacing w:line="460" w:lineRule="exact"/>
      <w:jc w:val="center"/>
    </w:pPr>
    <w:rPr>
      <w:rFonts w:ascii="黑体" w:hAnsi="黑体" w:eastAsia="黑体" w:cstheme="minorBidi"/>
      <w:szCs w:val="22"/>
    </w:rPr>
  </w:style>
  <w:style w:type="paragraph" w:customStyle="1" w:styleId="816">
    <w:name w:val="Technik-text1"/>
    <w:basedOn w:val="314"/>
    <w:qFormat/>
    <w:uiPriority w:val="0"/>
  </w:style>
  <w:style w:type="character" w:customStyle="1" w:styleId="817">
    <w:name w:val="样式 标题 4 + 段前: 0.5 行 段后: 0.5 行 Char"/>
    <w:link w:val="818"/>
    <w:qFormat/>
    <w:locked/>
    <w:uiPriority w:val="0"/>
    <w:rPr>
      <w:rFonts w:ascii="黑体" w:hAnsi="Courier New" w:eastAsia="黑体"/>
      <w:kern w:val="44"/>
      <w:sz w:val="24"/>
      <w:szCs w:val="28"/>
    </w:rPr>
  </w:style>
  <w:style w:type="paragraph" w:customStyle="1" w:styleId="818">
    <w:name w:val="样式 标题 4 + 段前: 0.5 行 段后: 0.5 行"/>
    <w:basedOn w:val="12"/>
    <w:link w:val="817"/>
    <w:qFormat/>
    <w:uiPriority w:val="0"/>
    <w:pPr>
      <w:keepLines w:val="0"/>
      <w:spacing w:beforeLines="50" w:afterLines="50" w:line="240" w:lineRule="auto"/>
    </w:pPr>
    <w:rPr>
      <w:rFonts w:ascii="黑体" w:hAnsi="Courier New" w:cstheme="minorBidi"/>
      <w:b w:val="0"/>
      <w:bCs w:val="0"/>
      <w:kern w:val="44"/>
      <w:sz w:val="24"/>
    </w:rPr>
  </w:style>
  <w:style w:type="paragraph" w:customStyle="1" w:styleId="819">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820">
    <w:name w:val="font15"/>
    <w:basedOn w:val="1"/>
    <w:qFormat/>
    <w:uiPriority w:val="0"/>
    <w:pPr>
      <w:widowControl/>
      <w:spacing w:before="100" w:beforeAutospacing="1" w:after="100" w:afterAutospacing="1"/>
      <w:jc w:val="left"/>
    </w:pPr>
    <w:rPr>
      <w:rFonts w:eastAsia="Arial Unicode MS"/>
      <w:b/>
      <w:bCs/>
      <w:kern w:val="0"/>
      <w:sz w:val="16"/>
      <w:szCs w:val="16"/>
    </w:rPr>
  </w:style>
  <w:style w:type="paragraph" w:customStyle="1" w:styleId="821">
    <w:name w:val="xl63"/>
    <w:basedOn w:val="1"/>
    <w:qFormat/>
    <w:uiPriority w:val="0"/>
    <w:pPr>
      <w:widowControl/>
      <w:spacing w:before="100" w:after="100"/>
      <w:jc w:val="center"/>
    </w:pPr>
    <w:rPr>
      <w:rFonts w:ascii="黑体" w:eastAsia="黑体"/>
      <w:bCs/>
      <w:kern w:val="0"/>
      <w:szCs w:val="20"/>
    </w:rPr>
  </w:style>
  <w:style w:type="paragraph" w:customStyle="1" w:styleId="822">
    <w:name w:val="样式 标题 2 + 段前: 0.5 行 段后: 0.5 行"/>
    <w:basedOn w:val="10"/>
    <w:qFormat/>
    <w:uiPriority w:val="0"/>
    <w:pPr>
      <w:tabs>
        <w:tab w:val="left" w:pos="1320"/>
      </w:tabs>
      <w:adjustRightInd w:val="0"/>
      <w:spacing w:beforeLines="50" w:afterLines="20" w:line="400" w:lineRule="exact"/>
      <w:ind w:left="1320" w:hanging="420"/>
      <w:jc w:val="left"/>
    </w:pPr>
    <w:rPr>
      <w:rFonts w:ascii="Times New Roman" w:hAnsi="Times New Roman" w:eastAsia="宋体"/>
      <w:sz w:val="24"/>
      <w:szCs w:val="20"/>
    </w:rPr>
  </w:style>
  <w:style w:type="paragraph" w:customStyle="1" w:styleId="823">
    <w:name w:val="HTML 预设格式1"/>
    <w:basedOn w:val="1"/>
    <w:qFormat/>
    <w:uiPriority w:val="0"/>
    <w:pPr>
      <w:adjustRightInd w:val="0"/>
      <w:snapToGrid w:val="0"/>
      <w:ind w:firstLine="200" w:firstLineChars="200"/>
    </w:pPr>
    <w:rPr>
      <w:rFonts w:ascii="Courier New" w:hAnsi="Courier New" w:eastAsia="Times New Roman"/>
      <w:sz w:val="20"/>
      <w:szCs w:val="20"/>
    </w:rPr>
  </w:style>
  <w:style w:type="paragraph" w:customStyle="1" w:styleId="824">
    <w:name w:val="正文文本缩进 231"/>
    <w:basedOn w:val="1"/>
    <w:qFormat/>
    <w:uiPriority w:val="0"/>
    <w:pPr>
      <w:adjustRightInd w:val="0"/>
      <w:spacing w:before="240" w:line="480" w:lineRule="exact"/>
      <w:ind w:firstLine="480" w:firstLineChars="200"/>
    </w:pPr>
    <w:rPr>
      <w:szCs w:val="20"/>
    </w:rPr>
  </w:style>
  <w:style w:type="paragraph" w:customStyle="1" w:styleId="825">
    <w:name w:val="WPS Plain"/>
    <w:qFormat/>
    <w:uiPriority w:val="0"/>
    <w:rPr>
      <w:rFonts w:ascii="Times New Roman" w:hAnsi="Times New Roman" w:eastAsia="宋体" w:cs="Times New Roman"/>
      <w:kern w:val="0"/>
      <w:sz w:val="20"/>
      <w:szCs w:val="20"/>
      <w:lang w:val="en-US" w:eastAsia="zh-CN" w:bidi="ar-SA"/>
    </w:rPr>
  </w:style>
  <w:style w:type="paragraph" w:customStyle="1" w:styleId="826">
    <w:name w:val="列出段落1"/>
    <w:basedOn w:val="1"/>
    <w:qFormat/>
    <w:uiPriority w:val="0"/>
    <w:pPr>
      <w:ind w:firstLine="420"/>
    </w:pPr>
  </w:style>
  <w:style w:type="paragraph" w:customStyle="1" w:styleId="827">
    <w:name w:val="7"/>
    <w:basedOn w:val="1"/>
    <w:next w:val="34"/>
    <w:link w:val="1264"/>
    <w:qFormat/>
    <w:uiPriority w:val="0"/>
    <w:pPr>
      <w:spacing w:line="400" w:lineRule="exact"/>
      <w:ind w:firstLine="516" w:firstLineChars="215"/>
    </w:pPr>
  </w:style>
  <w:style w:type="paragraph" w:customStyle="1" w:styleId="828">
    <w:name w:val="Char2 Char Char Char Char Char Char Char Char Char Char Char Char"/>
    <w:basedOn w:val="1"/>
    <w:qFormat/>
    <w:uiPriority w:val="0"/>
    <w:pPr>
      <w:spacing w:line="560" w:lineRule="exact"/>
      <w:ind w:firstLine="200" w:firstLineChars="200"/>
    </w:pPr>
    <w:rPr>
      <w:rFonts w:cs="宋体"/>
      <w:sz w:val="28"/>
      <w:szCs w:val="28"/>
    </w:rPr>
  </w:style>
  <w:style w:type="paragraph" w:customStyle="1" w:styleId="829">
    <w:name w:val="正文首行缩进21"/>
    <w:basedOn w:val="1"/>
    <w:qFormat/>
    <w:uiPriority w:val="0"/>
    <w:pPr>
      <w:adjustRightInd w:val="0"/>
      <w:spacing w:line="312" w:lineRule="atLeast"/>
      <w:ind w:firstLine="567" w:firstLineChars="200"/>
      <w:jc w:val="left"/>
    </w:pPr>
    <w:rPr>
      <w:kern w:val="0"/>
      <w:sz w:val="28"/>
      <w:szCs w:val="20"/>
    </w:rPr>
  </w:style>
  <w:style w:type="character" w:customStyle="1" w:styleId="830">
    <w:name w:val="标题1 Char"/>
    <w:link w:val="831"/>
    <w:qFormat/>
    <w:locked/>
    <w:uiPriority w:val="0"/>
    <w:rPr>
      <w:rFonts w:ascii="黑体" w:hAnsi="黑体" w:eastAsia="黑体"/>
      <w:sz w:val="32"/>
    </w:rPr>
  </w:style>
  <w:style w:type="paragraph" w:customStyle="1" w:styleId="831">
    <w:name w:val="标题1"/>
    <w:basedOn w:val="9"/>
    <w:link w:val="830"/>
    <w:qFormat/>
    <w:uiPriority w:val="0"/>
    <w:pPr>
      <w:spacing w:beforeLines="50" w:line="360" w:lineRule="auto"/>
      <w:ind w:left="141"/>
    </w:pPr>
    <w:rPr>
      <w:rFonts w:ascii="黑体" w:hAnsi="黑体" w:eastAsia="黑体" w:cstheme="minorBidi"/>
      <w:sz w:val="32"/>
      <w:szCs w:val="22"/>
    </w:rPr>
  </w:style>
  <w:style w:type="paragraph" w:customStyle="1" w:styleId="832">
    <w:name w:val="Char Char2 Char Char Char Char1"/>
    <w:basedOn w:val="1"/>
    <w:qFormat/>
    <w:uiPriority w:val="0"/>
  </w:style>
  <w:style w:type="paragraph" w:customStyle="1" w:styleId="833">
    <w:name w:val="test"/>
    <w:basedOn w:val="1"/>
    <w:qFormat/>
    <w:uiPriority w:val="0"/>
    <w:pPr>
      <w:widowControl/>
      <w:tabs>
        <w:tab w:val="left" w:pos="1134"/>
        <w:tab w:val="left" w:pos="1701"/>
        <w:tab w:val="decimal" w:pos="7939"/>
      </w:tabs>
      <w:jc w:val="left"/>
    </w:pPr>
    <w:rPr>
      <w:rFonts w:ascii="Swiss742-SWC" w:hAnsi="Swiss742-SWC"/>
      <w:kern w:val="0"/>
      <w:sz w:val="22"/>
      <w:szCs w:val="20"/>
      <w:lang w:val="ru-RU" w:eastAsia="de-DE"/>
    </w:rPr>
  </w:style>
  <w:style w:type="paragraph" w:customStyle="1" w:styleId="834">
    <w:name w:val="表号"/>
    <w:basedOn w:val="540"/>
    <w:next w:val="540"/>
    <w:qFormat/>
    <w:uiPriority w:val="0"/>
    <w:pPr>
      <w:tabs>
        <w:tab w:val="left" w:pos="920"/>
      </w:tabs>
      <w:spacing w:line="240" w:lineRule="atLeast"/>
      <w:ind w:left="920" w:hanging="360"/>
      <w:jc w:val="right"/>
    </w:pPr>
    <w:rPr>
      <w:rFonts w:ascii="黑体" w:eastAsia="黑体"/>
      <w:color w:val="auto"/>
    </w:rPr>
  </w:style>
  <w:style w:type="character" w:customStyle="1" w:styleId="835">
    <w:name w:val="样式 正文1 + 首行缩进:  2 字符 Char3"/>
    <w:link w:val="836"/>
    <w:qFormat/>
    <w:locked/>
    <w:uiPriority w:val="0"/>
    <w:rPr>
      <w:rFonts w:ascii="宋体" w:hAnsi="宋体" w:eastAsia="宋体"/>
      <w:sz w:val="24"/>
      <w:szCs w:val="24"/>
    </w:rPr>
  </w:style>
  <w:style w:type="paragraph" w:customStyle="1" w:styleId="836">
    <w:name w:val="样式 正文1 + 首行缩进:  2 字符"/>
    <w:basedOn w:val="1"/>
    <w:link w:val="835"/>
    <w:qFormat/>
    <w:uiPriority w:val="0"/>
    <w:rPr>
      <w:rFonts w:cstheme="minorBidi"/>
    </w:rPr>
  </w:style>
  <w:style w:type="paragraph" w:customStyle="1" w:styleId="837">
    <w:name w:val="PSPSPSPS"/>
    <w:basedOn w:val="1"/>
    <w:qFormat/>
    <w:uiPriority w:val="0"/>
    <w:pPr>
      <w:adjustRightInd w:val="0"/>
      <w:spacing w:line="600" w:lineRule="atLeast"/>
    </w:pPr>
    <w:rPr>
      <w:kern w:val="0"/>
      <w:sz w:val="28"/>
      <w:szCs w:val="20"/>
    </w:rPr>
  </w:style>
  <w:style w:type="paragraph" w:customStyle="1" w:styleId="838">
    <w:name w:val="注："/>
    <w:next w:val="12"/>
    <w:qFormat/>
    <w:uiPriority w:val="0"/>
    <w:pPr>
      <w:widowControl w:val="0"/>
      <w:autoSpaceDE w:val="0"/>
      <w:autoSpaceDN w:val="0"/>
      <w:ind w:left="840" w:hanging="420"/>
      <w:jc w:val="both"/>
    </w:pPr>
    <w:rPr>
      <w:rFonts w:ascii="宋体" w:hAnsi="Times New Roman" w:eastAsia="宋体" w:cs="Times New Roman"/>
      <w:kern w:val="0"/>
      <w:sz w:val="18"/>
      <w:szCs w:val="20"/>
      <w:lang w:val="en-US" w:eastAsia="zh-CN" w:bidi="ar-SA"/>
    </w:rPr>
  </w:style>
  <w:style w:type="paragraph" w:customStyle="1" w:styleId="839">
    <w:name w:val="样式 纯文本 Char Char Char普通文字 Char Char普通文字 Char Char Char普通文字 ..."/>
    <w:basedOn w:val="39"/>
    <w:qFormat/>
    <w:uiPriority w:val="0"/>
    <w:pPr>
      <w:ind w:firstLine="480"/>
    </w:pPr>
    <w:rPr>
      <w:rFonts w:ascii="Times New Roman" w:hAnsi="Times New Roman" w:cs="宋体"/>
    </w:rPr>
  </w:style>
  <w:style w:type="paragraph" w:customStyle="1" w:styleId="840">
    <w:name w:val="In Table"/>
    <w:basedOn w:val="1"/>
    <w:qFormat/>
    <w:uiPriority w:val="0"/>
    <w:pPr>
      <w:tabs>
        <w:tab w:val="left" w:pos="3960"/>
        <w:tab w:val="left" w:pos="5280"/>
      </w:tabs>
      <w:spacing w:beforeLines="40" w:line="240" w:lineRule="atLeast"/>
      <w:jc w:val="center"/>
    </w:pPr>
  </w:style>
  <w:style w:type="paragraph" w:customStyle="1" w:styleId="841">
    <w:name w:val="xl103"/>
    <w:basedOn w:val="1"/>
    <w:qFormat/>
    <w:uiPriority w:val="0"/>
    <w:pPr>
      <w:widowControl/>
      <w:pBdr>
        <w:top w:val="single" w:color="auto" w:sz="4" w:space="0"/>
        <w:left w:val="single" w:color="auto" w:sz="8" w:space="0"/>
      </w:pBdr>
      <w:spacing w:before="100" w:beforeAutospacing="1" w:after="100" w:afterAutospacing="1"/>
      <w:jc w:val="left"/>
    </w:pPr>
    <w:rPr>
      <w:rFonts w:ascii="Arial Unicode MS" w:hAnsi="Arial Unicode MS" w:eastAsia="Arial Unicode MS" w:cs="Arial Unicode MS"/>
      <w:kern w:val="0"/>
      <w:sz w:val="16"/>
      <w:szCs w:val="16"/>
    </w:rPr>
  </w:style>
  <w:style w:type="paragraph" w:customStyle="1" w:styleId="842">
    <w:name w:val="Char Char1 Char Char Char Char Char Char Char Char Char Char Char Char Char Char Char2"/>
    <w:basedOn w:val="1"/>
    <w:qFormat/>
    <w:uiPriority w:val="0"/>
    <w:pPr>
      <w:ind w:firstLine="200" w:firstLineChars="200"/>
    </w:pPr>
    <w:rPr>
      <w:rFonts w:cs="宋体"/>
    </w:rPr>
  </w:style>
  <w:style w:type="paragraph" w:customStyle="1" w:styleId="843">
    <w:name w:val="样式 四号 行距: 固定值 25 磅"/>
    <w:basedOn w:val="1"/>
    <w:qFormat/>
    <w:uiPriority w:val="0"/>
    <w:pPr>
      <w:spacing w:line="480" w:lineRule="atLeast"/>
      <w:ind w:firstLine="200" w:firstLineChars="200"/>
    </w:pPr>
  </w:style>
  <w:style w:type="paragraph" w:customStyle="1" w:styleId="844">
    <w:name w:val="表中样式"/>
    <w:basedOn w:val="1"/>
    <w:qFormat/>
    <w:uiPriority w:val="0"/>
    <w:pPr>
      <w:widowControl/>
      <w:spacing w:line="240" w:lineRule="exact"/>
      <w:ind w:left="-25" w:leftChars="-25" w:right="-31" w:rightChars="-31"/>
      <w:jc w:val="center"/>
    </w:pPr>
    <w:rPr>
      <w:rFonts w:cs="宋体"/>
      <w:bCs/>
      <w:kern w:val="0"/>
      <w:szCs w:val="32"/>
    </w:rPr>
  </w:style>
  <w:style w:type="paragraph" w:customStyle="1" w:styleId="845">
    <w:name w:val="项目号a)"/>
    <w:basedOn w:val="1"/>
    <w:qFormat/>
    <w:uiPriority w:val="0"/>
    <w:pPr>
      <w:tabs>
        <w:tab w:val="left" w:pos="720"/>
        <w:tab w:val="left" w:pos="1155"/>
      </w:tabs>
      <w:spacing w:line="288" w:lineRule="auto"/>
      <w:ind w:left="720" w:hanging="720"/>
    </w:pPr>
    <w:rPr>
      <w:kern w:val="0"/>
      <w:sz w:val="28"/>
      <w:szCs w:val="20"/>
    </w:rPr>
  </w:style>
  <w:style w:type="paragraph" w:customStyle="1" w:styleId="846">
    <w:name w:val="彩云湾表格"/>
    <w:basedOn w:val="569"/>
    <w:next w:val="569"/>
    <w:qFormat/>
    <w:uiPriority w:val="0"/>
    <w:pPr>
      <w:widowControl w:val="0"/>
      <w:snapToGrid/>
      <w:spacing w:line="240" w:lineRule="exact"/>
    </w:pPr>
    <w:rPr>
      <w:rFonts w:eastAsia="宋体"/>
      <w:color w:val="000000"/>
      <w:kern w:val="0"/>
      <w:position w:val="0"/>
    </w:rPr>
  </w:style>
  <w:style w:type="paragraph" w:customStyle="1" w:styleId="847">
    <w:name w:val="Char Char Char Char Char Char1"/>
    <w:basedOn w:val="1"/>
    <w:next w:val="8"/>
    <w:qFormat/>
    <w:uiPriority w:val="0"/>
    <w:rPr>
      <w:sz w:val="28"/>
      <w:szCs w:val="28"/>
    </w:rPr>
  </w:style>
  <w:style w:type="paragraph" w:customStyle="1" w:styleId="848">
    <w:name w:val="Char Char Char1 Char4"/>
    <w:basedOn w:val="1"/>
    <w:qFormat/>
    <w:uiPriority w:val="0"/>
  </w:style>
  <w:style w:type="paragraph" w:customStyle="1" w:styleId="849">
    <w:name w:val="xl27"/>
    <w:basedOn w:val="1"/>
    <w:qFormat/>
    <w:uiPriority w:val="0"/>
    <w:pPr>
      <w:widowControl/>
      <w:spacing w:before="100" w:beforeAutospacing="1" w:after="100" w:afterAutospacing="1"/>
      <w:jc w:val="center"/>
    </w:pPr>
    <w:rPr>
      <w:rFonts w:ascii="Arial Unicode MS" w:hAnsi="Arial Unicode MS" w:eastAsia="Arial Unicode MS"/>
      <w:bCs/>
      <w:kern w:val="0"/>
      <w:sz w:val="20"/>
      <w:szCs w:val="32"/>
    </w:rPr>
  </w:style>
  <w:style w:type="paragraph" w:customStyle="1" w:styleId="850">
    <w:name w:val="font1"/>
    <w:basedOn w:val="1"/>
    <w:qFormat/>
    <w:uiPriority w:val="0"/>
    <w:pPr>
      <w:widowControl/>
      <w:spacing w:before="100" w:beforeAutospacing="1" w:after="100" w:afterAutospacing="1"/>
      <w:jc w:val="left"/>
    </w:pPr>
    <w:rPr>
      <w:rFonts w:cs="Arial Unicode MS"/>
      <w:kern w:val="0"/>
    </w:rPr>
  </w:style>
  <w:style w:type="paragraph" w:customStyle="1" w:styleId="851">
    <w:name w:val="图标"/>
    <w:basedOn w:val="1"/>
    <w:qFormat/>
    <w:uiPriority w:val="0"/>
    <w:pPr>
      <w:spacing w:line="480" w:lineRule="exact"/>
      <w:jc w:val="center"/>
    </w:pPr>
    <w:rPr>
      <w:rFonts w:ascii="黑体" w:eastAsia="黑体"/>
      <w:color w:val="000000"/>
      <w:sz w:val="28"/>
      <w:szCs w:val="20"/>
    </w:rPr>
  </w:style>
  <w:style w:type="paragraph" w:customStyle="1" w:styleId="852">
    <w:name w:val="样式 标题 1 + 宋体"/>
    <w:basedOn w:val="9"/>
    <w:qFormat/>
    <w:uiPriority w:val="0"/>
    <w:pPr>
      <w:keepLines/>
      <w:spacing w:line="240" w:lineRule="auto"/>
    </w:pPr>
    <w:rPr>
      <w:rFonts w:cs="Times New Roman"/>
      <w:b/>
      <w:kern w:val="44"/>
      <w:sz w:val="44"/>
    </w:rPr>
  </w:style>
  <w:style w:type="paragraph" w:customStyle="1" w:styleId="853">
    <w:name w:val="24"/>
    <w:basedOn w:val="1"/>
    <w:qFormat/>
    <w:uiPriority w:val="0"/>
    <w:pPr>
      <w:widowControl/>
      <w:spacing w:before="100" w:beforeAutospacing="1" w:after="100" w:afterAutospacing="1"/>
      <w:jc w:val="left"/>
    </w:pPr>
    <w:rPr>
      <w:rFonts w:cs="宋体"/>
      <w:kern w:val="0"/>
    </w:rPr>
  </w:style>
  <w:style w:type="paragraph" w:customStyle="1" w:styleId="854">
    <w:name w:val="正文文本最新 Char Char Char1 Char Char Char Char Char"/>
    <w:qFormat/>
    <w:uiPriority w:val="0"/>
    <w:pPr>
      <w:spacing w:line="360" w:lineRule="auto"/>
      <w:ind w:firstLine="200" w:firstLineChars="200"/>
      <w:jc w:val="both"/>
    </w:pPr>
    <w:rPr>
      <w:rFonts w:ascii="Times New Roman" w:hAnsi="Times New Roman" w:eastAsia="宋体" w:cs="Times New Roman"/>
      <w:bCs/>
      <w:kern w:val="2"/>
      <w:sz w:val="28"/>
      <w:szCs w:val="24"/>
      <w:lang w:val="en-US" w:eastAsia="zh-CN" w:bidi="ar-SA"/>
    </w:rPr>
  </w:style>
  <w:style w:type="paragraph" w:customStyle="1" w:styleId="855">
    <w:name w:val="xl84"/>
    <w:basedOn w:val="1"/>
    <w:qFormat/>
    <w:uiPriority w:val="0"/>
    <w:pPr>
      <w:widowControl/>
      <w:pBdr>
        <w:bottom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856">
    <w:name w:val="列表接续 41"/>
    <w:basedOn w:val="1"/>
    <w:qFormat/>
    <w:uiPriority w:val="0"/>
    <w:pPr>
      <w:adjustRightInd w:val="0"/>
      <w:snapToGrid w:val="0"/>
      <w:spacing w:after="120"/>
      <w:ind w:left="1680" w:leftChars="800" w:firstLine="200" w:firstLineChars="200"/>
    </w:pPr>
    <w:rPr>
      <w:rFonts w:eastAsia="Times New Roman"/>
      <w:szCs w:val="20"/>
    </w:rPr>
  </w:style>
  <w:style w:type="paragraph" w:customStyle="1" w:styleId="857">
    <w:name w:val="日期21"/>
    <w:basedOn w:val="1"/>
    <w:next w:val="1"/>
    <w:qFormat/>
    <w:uiPriority w:val="0"/>
    <w:pPr>
      <w:autoSpaceDE w:val="0"/>
      <w:autoSpaceDN w:val="0"/>
      <w:adjustRightInd w:val="0"/>
      <w:spacing w:line="360" w:lineRule="atLeast"/>
      <w:jc w:val="left"/>
    </w:pPr>
    <w:rPr>
      <w:rFonts w:eastAsia="楷体_GB2312"/>
      <w:kern w:val="0"/>
      <w:szCs w:val="20"/>
    </w:rPr>
  </w:style>
  <w:style w:type="paragraph" w:customStyle="1" w:styleId="858">
    <w:name w:val="xl71"/>
    <w:basedOn w:val="1"/>
    <w:qFormat/>
    <w:uiPriority w:val="0"/>
    <w:pPr>
      <w:widowControl/>
      <w:pBdr>
        <w:left w:val="single" w:color="auto" w:sz="4" w:space="0"/>
        <w:bottom w:val="single" w:color="auto" w:sz="8" w:space="0"/>
      </w:pBdr>
      <w:spacing w:before="100" w:beforeAutospacing="1" w:after="100" w:afterAutospacing="1"/>
      <w:jc w:val="center"/>
    </w:pPr>
    <w:rPr>
      <w:rFonts w:eastAsia="Arial Unicode MS"/>
      <w:color w:val="000000"/>
      <w:kern w:val="0"/>
    </w:rPr>
  </w:style>
  <w:style w:type="paragraph" w:customStyle="1" w:styleId="859">
    <w:name w:val="CM7"/>
    <w:basedOn w:val="499"/>
    <w:next w:val="499"/>
    <w:qFormat/>
    <w:uiPriority w:val="0"/>
    <w:pPr>
      <w:spacing w:line="523" w:lineRule="atLeast"/>
    </w:pPr>
    <w:rPr>
      <w:sz w:val="24"/>
      <w:szCs w:val="24"/>
    </w:rPr>
  </w:style>
  <w:style w:type="paragraph" w:customStyle="1" w:styleId="860">
    <w:name w:val="正文缩"/>
    <w:basedOn w:val="1"/>
    <w:qFormat/>
    <w:uiPriority w:val="0"/>
    <w:pPr>
      <w:adjustRightInd w:val="0"/>
      <w:snapToGrid w:val="0"/>
      <w:spacing w:line="480" w:lineRule="atLeast"/>
      <w:ind w:firstLine="200" w:firstLineChars="200"/>
    </w:pPr>
    <w:rPr>
      <w:spacing w:val="6"/>
      <w:kern w:val="0"/>
      <w:sz w:val="28"/>
      <w:szCs w:val="20"/>
    </w:rPr>
  </w:style>
  <w:style w:type="paragraph" w:customStyle="1" w:styleId="861">
    <w:name w:val="说明书宋体正文"/>
    <w:basedOn w:val="1"/>
    <w:qFormat/>
    <w:uiPriority w:val="0"/>
    <w:pPr>
      <w:topLinePunct/>
      <w:spacing w:line="560" w:lineRule="exact"/>
      <w:ind w:firstLine="200" w:firstLineChars="200"/>
    </w:pPr>
    <w:rPr>
      <w:sz w:val="28"/>
      <w:szCs w:val="28"/>
    </w:rPr>
  </w:style>
  <w:style w:type="paragraph" w:customStyle="1" w:styleId="862">
    <w:name w:val="正文文"/>
    <w:basedOn w:val="1"/>
    <w:next w:val="1"/>
    <w:qFormat/>
    <w:uiPriority w:val="0"/>
    <w:pPr>
      <w:spacing w:beforeLines="25" w:line="440" w:lineRule="exact"/>
      <w:ind w:firstLine="200" w:firstLineChars="200"/>
    </w:pPr>
    <w:rPr>
      <w:rFonts w:cs="宋体"/>
      <w:szCs w:val="20"/>
    </w:rPr>
  </w:style>
  <w:style w:type="character" w:customStyle="1" w:styleId="863">
    <w:name w:val="1-正文 Char"/>
    <w:link w:val="757"/>
    <w:qFormat/>
    <w:locked/>
    <w:uiPriority w:val="0"/>
    <w:rPr>
      <w:rFonts w:ascii="宋体" w:hAnsi="宋体" w:eastAsia="宋体"/>
      <w:sz w:val="24"/>
      <w:szCs w:val="24"/>
    </w:rPr>
  </w:style>
  <w:style w:type="paragraph" w:customStyle="1" w:styleId="864">
    <w:name w:val="CM110"/>
    <w:basedOn w:val="499"/>
    <w:next w:val="499"/>
    <w:qFormat/>
    <w:uiPriority w:val="0"/>
    <w:pPr>
      <w:spacing w:after="52"/>
    </w:pPr>
    <w:rPr>
      <w:rFonts w:ascii="黑体" w:eastAsia="黑体"/>
      <w:szCs w:val="24"/>
    </w:rPr>
  </w:style>
  <w:style w:type="character" w:customStyle="1" w:styleId="865">
    <w:name w:val="样式 样式 正文1 + 首行缩进:  2 字符 + 首行缩进:  2 字符 Char"/>
    <w:link w:val="866"/>
    <w:qFormat/>
    <w:locked/>
    <w:uiPriority w:val="0"/>
    <w:rPr>
      <w:rFonts w:ascii="宋体" w:hAnsi="宋体" w:eastAsia="宋体"/>
      <w:sz w:val="24"/>
    </w:rPr>
  </w:style>
  <w:style w:type="paragraph" w:customStyle="1" w:styleId="866">
    <w:name w:val="样式 样式 正文1 + 首行缩进:  2 字符 + 首行缩进:  2 字符"/>
    <w:basedOn w:val="836"/>
    <w:link w:val="865"/>
    <w:qFormat/>
    <w:uiPriority w:val="0"/>
    <w:pPr>
      <w:ind w:firstLine="480"/>
    </w:pPr>
    <w:rPr>
      <w:szCs w:val="22"/>
    </w:rPr>
  </w:style>
  <w:style w:type="paragraph" w:customStyle="1" w:styleId="867">
    <w:name w:val="xl92"/>
    <w:basedOn w:val="1"/>
    <w:qFormat/>
    <w:uiPriority w:val="0"/>
    <w:pPr>
      <w:widowControl/>
      <w:pBdr>
        <w:top w:val="single" w:color="auto" w:sz="4" w:space="0"/>
        <w:left w:val="single" w:color="auto" w:sz="4" w:space="0"/>
        <w:bottom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868">
    <w:name w:val="标题样式2"/>
    <w:basedOn w:val="10"/>
    <w:qFormat/>
    <w:uiPriority w:val="0"/>
    <w:pPr>
      <w:spacing w:before="0" w:after="0" w:line="360" w:lineRule="auto"/>
    </w:pPr>
    <w:rPr>
      <w:rFonts w:ascii="黑体"/>
      <w:kern w:val="0"/>
      <w:sz w:val="28"/>
      <w:szCs w:val="28"/>
    </w:rPr>
  </w:style>
  <w:style w:type="paragraph" w:customStyle="1" w:styleId="869">
    <w:name w:val="xl6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character" w:customStyle="1" w:styleId="870">
    <w:name w:val="正文部分 Char"/>
    <w:link w:val="871"/>
    <w:qFormat/>
    <w:locked/>
    <w:uiPriority w:val="0"/>
    <w:rPr>
      <w:rFonts w:ascii="宋体" w:hAnsi="宋体" w:eastAsia="宋体"/>
      <w:bCs/>
      <w:sz w:val="28"/>
      <w:szCs w:val="32"/>
    </w:rPr>
  </w:style>
  <w:style w:type="paragraph" w:customStyle="1" w:styleId="871">
    <w:name w:val="正文部分"/>
    <w:basedOn w:val="1"/>
    <w:link w:val="870"/>
    <w:qFormat/>
    <w:uiPriority w:val="0"/>
    <w:pPr>
      <w:spacing w:line="500" w:lineRule="exact"/>
      <w:ind w:firstLine="200" w:firstLineChars="200"/>
      <w:jc w:val="left"/>
    </w:pPr>
    <w:rPr>
      <w:rFonts w:cstheme="minorBidi"/>
      <w:bCs/>
      <w:sz w:val="28"/>
      <w:szCs w:val="32"/>
    </w:rPr>
  </w:style>
  <w:style w:type="paragraph" w:customStyle="1" w:styleId="872">
    <w:name w:val="表格头"/>
    <w:basedOn w:val="1"/>
    <w:qFormat/>
    <w:uiPriority w:val="0"/>
    <w:pPr>
      <w:snapToGrid w:val="0"/>
      <w:ind w:firstLine="2774" w:firstLineChars="1316"/>
    </w:pPr>
    <w:rPr>
      <w:b/>
      <w:color w:val="FF0000"/>
    </w:rPr>
  </w:style>
  <w:style w:type="paragraph" w:customStyle="1" w:styleId="873">
    <w:name w:val="表格文字居中"/>
    <w:basedOn w:val="64"/>
    <w:qFormat/>
    <w:uiPriority w:val="0"/>
    <w:pPr>
      <w:spacing w:line="240" w:lineRule="auto"/>
      <w:ind w:right="-105" w:rightChars="-50" w:firstLine="0" w:firstLineChars="0"/>
      <w:jc w:val="center"/>
    </w:pPr>
    <w:rPr>
      <w:color w:val="000000"/>
      <w:sz w:val="21"/>
    </w:rPr>
  </w:style>
  <w:style w:type="paragraph" w:customStyle="1" w:styleId="874">
    <w:name w:val="c"/>
    <w:qFormat/>
    <w:uiPriority w:val="0"/>
    <w:pPr>
      <w:widowControl w:val="0"/>
      <w:autoSpaceDE w:val="0"/>
      <w:autoSpaceDN w:val="0"/>
      <w:adjustRightInd w:val="0"/>
      <w:jc w:val="both"/>
    </w:pPr>
    <w:rPr>
      <w:rFonts w:ascii="Arial" w:hAnsi="Arial" w:eastAsia="宋体" w:cs="Times New Roman"/>
      <w:kern w:val="0"/>
      <w:sz w:val="24"/>
      <w:szCs w:val="20"/>
      <w:lang w:val="en-US" w:eastAsia="zh-CN" w:bidi="ar-SA"/>
    </w:rPr>
  </w:style>
  <w:style w:type="paragraph" w:customStyle="1" w:styleId="875">
    <w:name w:val="附录三级条标题"/>
    <w:basedOn w:val="1"/>
    <w:next w:val="12"/>
    <w:qFormat/>
    <w:uiPriority w:val="0"/>
    <w:pPr>
      <w:widowControl/>
      <w:tabs>
        <w:tab w:val="left" w:pos="1068"/>
      </w:tabs>
      <w:wordWrap w:val="0"/>
      <w:overflowPunct w:val="0"/>
      <w:autoSpaceDE w:val="0"/>
      <w:autoSpaceDN w:val="0"/>
      <w:ind w:left="1068" w:hanging="360"/>
      <w:outlineLvl w:val="4"/>
    </w:pPr>
    <w:rPr>
      <w:rFonts w:ascii="黑体" w:eastAsia="黑体"/>
      <w:kern w:val="21"/>
      <w:szCs w:val="20"/>
    </w:rPr>
  </w:style>
  <w:style w:type="paragraph" w:customStyle="1" w:styleId="876">
    <w:name w:val="121111111111"/>
    <w:basedOn w:val="1"/>
    <w:qFormat/>
    <w:uiPriority w:val="0"/>
    <w:pPr>
      <w:spacing w:line="460" w:lineRule="exact"/>
      <w:jc w:val="center"/>
    </w:pPr>
    <w:rPr>
      <w:rFonts w:eastAsia="黑体"/>
      <w:color w:val="000000"/>
      <w:spacing w:val="16"/>
    </w:rPr>
  </w:style>
  <w:style w:type="paragraph" w:customStyle="1" w:styleId="877">
    <w:name w:val="列表编号 31"/>
    <w:basedOn w:val="1"/>
    <w:qFormat/>
    <w:uiPriority w:val="0"/>
    <w:pPr>
      <w:tabs>
        <w:tab w:val="left" w:pos="1200"/>
      </w:tabs>
      <w:adjustRightInd w:val="0"/>
      <w:snapToGrid w:val="0"/>
      <w:ind w:left="1200" w:hanging="360" w:firstLineChars="200"/>
    </w:pPr>
    <w:rPr>
      <w:rFonts w:eastAsia="Times New Roman"/>
      <w:szCs w:val="20"/>
    </w:rPr>
  </w:style>
  <w:style w:type="paragraph" w:customStyle="1" w:styleId="878">
    <w:name w:val="附录四级条标题"/>
    <w:basedOn w:val="875"/>
    <w:next w:val="12"/>
    <w:qFormat/>
    <w:uiPriority w:val="0"/>
    <w:pPr>
      <w:tabs>
        <w:tab w:val="left" w:pos="960"/>
        <w:tab w:val="clear" w:pos="1068"/>
      </w:tabs>
      <w:ind w:left="960"/>
      <w:outlineLvl w:val="5"/>
    </w:pPr>
  </w:style>
  <w:style w:type="paragraph" w:customStyle="1" w:styleId="879">
    <w:name w:val="正文文本缩进 24"/>
    <w:basedOn w:val="1"/>
    <w:qFormat/>
    <w:uiPriority w:val="0"/>
    <w:pPr>
      <w:adjustRightInd w:val="0"/>
      <w:spacing w:before="240" w:line="480" w:lineRule="exact"/>
      <w:ind w:firstLine="480" w:firstLineChars="200"/>
    </w:pPr>
    <w:rPr>
      <w:szCs w:val="20"/>
    </w:rPr>
  </w:style>
  <w:style w:type="paragraph" w:customStyle="1" w:styleId="880">
    <w:name w:val="xl56"/>
    <w:basedOn w:val="1"/>
    <w:qFormat/>
    <w:uiPriority w:val="0"/>
    <w:pPr>
      <w:widowControl/>
      <w:pBdr>
        <w:top w:val="single" w:color="auto" w:sz="8" w:space="0"/>
        <w:left w:val="single" w:color="auto" w:sz="8"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881">
    <w:name w:val="附录标识"/>
    <w:basedOn w:val="422"/>
    <w:qFormat/>
    <w:uiPriority w:val="0"/>
    <w:pPr>
      <w:tabs>
        <w:tab w:val="left" w:pos="840"/>
        <w:tab w:val="left" w:pos="6405"/>
        <w:tab w:val="clear" w:pos="903"/>
      </w:tabs>
      <w:spacing w:after="200"/>
      <w:ind w:left="840" w:hanging="420"/>
    </w:pPr>
    <w:rPr>
      <w:sz w:val="21"/>
    </w:rPr>
  </w:style>
  <w:style w:type="paragraph" w:customStyle="1" w:styleId="882">
    <w:name w:val="中文报告书样式"/>
    <w:basedOn w:val="1"/>
    <w:qFormat/>
    <w:uiPriority w:val="0"/>
    <w:pPr>
      <w:adjustRightInd w:val="0"/>
      <w:spacing w:line="480" w:lineRule="atLeast"/>
      <w:ind w:firstLine="482" w:firstLineChars="200"/>
    </w:pPr>
    <w:rPr>
      <w:kern w:val="24"/>
      <w:szCs w:val="20"/>
    </w:rPr>
  </w:style>
  <w:style w:type="character" w:customStyle="1" w:styleId="883">
    <w:name w:val="样式3 Char"/>
    <w:link w:val="884"/>
    <w:qFormat/>
    <w:locked/>
    <w:uiPriority w:val="0"/>
    <w:rPr>
      <w:rFonts w:ascii="Courier New" w:hAnsi="Courier New" w:cs="Courier New"/>
      <w:szCs w:val="21"/>
    </w:rPr>
  </w:style>
  <w:style w:type="paragraph" w:customStyle="1" w:styleId="884">
    <w:name w:val="样式3"/>
    <w:basedOn w:val="39"/>
    <w:link w:val="883"/>
    <w:qFormat/>
    <w:uiPriority w:val="0"/>
    <w:pPr>
      <w:widowControl/>
      <w:jc w:val="center"/>
    </w:pPr>
    <w:rPr>
      <w:rFonts w:ascii="Courier New" w:cs="Courier New" w:eastAsiaTheme="minorEastAsia"/>
      <w:szCs w:val="21"/>
    </w:rPr>
  </w:style>
  <w:style w:type="paragraph" w:customStyle="1" w:styleId="885">
    <w:name w:val="页脚2"/>
    <w:basedOn w:val="1"/>
    <w:qFormat/>
    <w:uiPriority w:val="0"/>
    <w:pPr>
      <w:tabs>
        <w:tab w:val="center" w:pos="4153"/>
        <w:tab w:val="right" w:pos="8306"/>
      </w:tabs>
      <w:snapToGrid w:val="0"/>
      <w:jc w:val="left"/>
    </w:pPr>
    <w:rPr>
      <w:sz w:val="18"/>
      <w:szCs w:val="20"/>
    </w:rPr>
  </w:style>
  <w:style w:type="paragraph" w:customStyle="1" w:styleId="886">
    <w:name w:val="xl49"/>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rPr>
  </w:style>
  <w:style w:type="paragraph" w:customStyle="1" w:styleId="887">
    <w:name w:val="xl107"/>
    <w:basedOn w:val="1"/>
    <w:qFormat/>
    <w:uiPriority w:val="0"/>
    <w:pPr>
      <w:widowControl/>
      <w:pBdr>
        <w:top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888">
    <w:name w:val="标3"/>
    <w:basedOn w:val="11"/>
    <w:next w:val="1"/>
    <w:qFormat/>
    <w:uiPriority w:val="0"/>
    <w:pPr>
      <w:autoSpaceDE w:val="0"/>
      <w:autoSpaceDN w:val="0"/>
      <w:adjustRightInd w:val="0"/>
      <w:snapToGrid w:val="0"/>
      <w:spacing w:beforeLines="50" w:after="0" w:line="288" w:lineRule="auto"/>
      <w:ind w:firstLine="601"/>
      <w:outlineLvl w:val="9"/>
    </w:pPr>
    <w:rPr>
      <w:rFonts w:eastAsia="黑体"/>
      <w:b w:val="0"/>
      <w:color w:val="000000"/>
      <w:kern w:val="0"/>
      <w:sz w:val="28"/>
      <w:szCs w:val="24"/>
    </w:rPr>
  </w:style>
  <w:style w:type="paragraph" w:customStyle="1" w:styleId="889">
    <w:name w:val="样式 标题 3标题 3XW3h33rd levelH3l3CTH31H32H33u3标题 3 Char ..."/>
    <w:basedOn w:val="11"/>
    <w:qFormat/>
    <w:uiPriority w:val="0"/>
    <w:pPr>
      <w:spacing w:before="120" w:after="120" w:line="360" w:lineRule="auto"/>
    </w:pPr>
    <w:rPr>
      <w:rFonts w:cs="宋体"/>
      <w:b w:val="0"/>
      <w:bCs w:val="0"/>
      <w:kern w:val="0"/>
      <w:sz w:val="28"/>
      <w:szCs w:val="20"/>
    </w:rPr>
  </w:style>
  <w:style w:type="paragraph" w:customStyle="1" w:styleId="890">
    <w:name w:val="CM12"/>
    <w:basedOn w:val="1"/>
    <w:next w:val="1"/>
    <w:qFormat/>
    <w:uiPriority w:val="0"/>
    <w:pPr>
      <w:autoSpaceDE w:val="0"/>
      <w:autoSpaceDN w:val="0"/>
      <w:adjustRightInd w:val="0"/>
      <w:spacing w:line="480" w:lineRule="atLeast"/>
      <w:jc w:val="left"/>
    </w:pPr>
    <w:rPr>
      <w:kern w:val="0"/>
    </w:rPr>
  </w:style>
  <w:style w:type="paragraph" w:customStyle="1" w:styleId="891">
    <w:name w:val="样式 表格内容 + (中文) 宋体 居中"/>
    <w:basedOn w:val="39"/>
    <w:qFormat/>
    <w:uiPriority w:val="0"/>
    <w:pPr>
      <w:overflowPunct w:val="0"/>
      <w:adjustRightInd w:val="0"/>
      <w:snapToGrid w:val="0"/>
      <w:spacing w:after="120" w:line="440" w:lineRule="exact"/>
      <w:jc w:val="center"/>
    </w:pPr>
    <w:rPr>
      <w:rFonts w:ascii="Arial" w:hAnsi="Arial"/>
      <w:kern w:val="0"/>
      <w:szCs w:val="21"/>
    </w:rPr>
  </w:style>
  <w:style w:type="paragraph" w:customStyle="1" w:styleId="892">
    <w:name w:val="样式 样式5211 + 段前: 0.5 行"/>
    <w:basedOn w:val="1"/>
    <w:qFormat/>
    <w:uiPriority w:val="0"/>
    <w:pPr>
      <w:keepNext/>
      <w:keepLines/>
      <w:tabs>
        <w:tab w:val="left" w:pos="864"/>
      </w:tabs>
      <w:snapToGrid w:val="0"/>
      <w:spacing w:beforeLines="50" w:line="400" w:lineRule="exact"/>
      <w:ind w:left="864" w:hanging="864"/>
      <w:outlineLvl w:val="3"/>
    </w:pPr>
    <w:rPr>
      <w:rFonts w:eastAsia="黑体" w:cs="宋体"/>
      <w:b/>
      <w:bCs/>
      <w:szCs w:val="20"/>
    </w:rPr>
  </w:style>
  <w:style w:type="paragraph" w:customStyle="1" w:styleId="893">
    <w:name w:val="TY"/>
    <w:basedOn w:val="1"/>
    <w:qFormat/>
    <w:uiPriority w:val="0"/>
    <w:pPr>
      <w:adjustRightInd w:val="0"/>
      <w:snapToGrid w:val="0"/>
      <w:spacing w:before="40" w:after="40"/>
    </w:pPr>
    <w:rPr>
      <w:szCs w:val="20"/>
    </w:rPr>
  </w:style>
  <w:style w:type="paragraph" w:customStyle="1" w:styleId="894">
    <w:name w:val="俺的正文样式"/>
    <w:basedOn w:val="1"/>
    <w:qFormat/>
    <w:uiPriority w:val="0"/>
    <w:pPr>
      <w:spacing w:line="500" w:lineRule="exact"/>
      <w:ind w:firstLine="560" w:firstLineChars="200"/>
    </w:pPr>
    <w:rPr>
      <w:rFonts w:cs="宋体"/>
      <w:sz w:val="28"/>
      <w:szCs w:val="28"/>
    </w:rPr>
  </w:style>
  <w:style w:type="paragraph" w:customStyle="1" w:styleId="895">
    <w:name w:val="项目号1)"/>
    <w:basedOn w:val="1"/>
    <w:qFormat/>
    <w:uiPriority w:val="0"/>
    <w:pPr>
      <w:tabs>
        <w:tab w:val="left" w:pos="360"/>
        <w:tab w:val="left" w:pos="720"/>
        <w:tab w:val="left" w:pos="1050"/>
      </w:tabs>
      <w:spacing w:line="288" w:lineRule="auto"/>
      <w:ind w:left="1050" w:hanging="450" w:firstLineChars="200"/>
    </w:pPr>
    <w:rPr>
      <w:kern w:val="0"/>
      <w:sz w:val="28"/>
      <w:szCs w:val="20"/>
    </w:rPr>
  </w:style>
  <w:style w:type="paragraph" w:customStyle="1" w:styleId="896">
    <w:name w:val="xl105"/>
    <w:basedOn w:val="1"/>
    <w:qFormat/>
    <w:uiPriority w:val="0"/>
    <w:pPr>
      <w:widowControl/>
      <w:pBdr>
        <w:top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897">
    <w:name w:val="默认段落字体 Para Char Char Char Char Char Char Char"/>
    <w:basedOn w:val="1"/>
    <w:qFormat/>
    <w:uiPriority w:val="0"/>
    <w:pPr>
      <w:spacing w:line="480" w:lineRule="exact"/>
      <w:ind w:firstLine="480" w:firstLineChars="200"/>
      <w:jc w:val="left"/>
    </w:pPr>
    <w:rPr>
      <w:szCs w:val="20"/>
    </w:rPr>
  </w:style>
  <w:style w:type="paragraph" w:customStyle="1" w:styleId="898">
    <w:name w:val="正文表标题"/>
    <w:next w:val="12"/>
    <w:qFormat/>
    <w:uiPriority w:val="0"/>
    <w:pPr>
      <w:jc w:val="center"/>
    </w:pPr>
    <w:rPr>
      <w:rFonts w:ascii="黑体" w:hAnsi="Times New Roman" w:eastAsia="黑体" w:cs="Times New Roman"/>
      <w:kern w:val="0"/>
      <w:sz w:val="21"/>
      <w:szCs w:val="20"/>
      <w:lang w:val="en-US" w:eastAsia="zh-CN" w:bidi="ar-SA"/>
    </w:rPr>
  </w:style>
  <w:style w:type="paragraph" w:customStyle="1" w:styleId="899">
    <w:name w:val="font0"/>
    <w:basedOn w:val="1"/>
    <w:qFormat/>
    <w:uiPriority w:val="0"/>
    <w:pPr>
      <w:widowControl/>
      <w:spacing w:before="100" w:beforeAutospacing="1" w:after="100" w:afterAutospacing="1"/>
      <w:jc w:val="left"/>
    </w:pPr>
    <w:rPr>
      <w:rFonts w:cs="Arial Unicode MS"/>
      <w:bCs/>
      <w:kern w:val="0"/>
    </w:rPr>
  </w:style>
  <w:style w:type="paragraph" w:customStyle="1" w:styleId="900">
    <w:name w:val="Body Text First Indent3"/>
    <w:basedOn w:val="33"/>
    <w:qFormat/>
    <w:uiPriority w:val="0"/>
    <w:pPr>
      <w:adjustRightInd w:val="0"/>
      <w:spacing w:after="0" w:line="312" w:lineRule="auto"/>
      <w:ind w:firstLine="567"/>
    </w:pPr>
    <w:rPr>
      <w:kern w:val="0"/>
      <w:sz w:val="28"/>
      <w:szCs w:val="20"/>
    </w:rPr>
  </w:style>
  <w:style w:type="paragraph" w:customStyle="1" w:styleId="901">
    <w:name w:val="11号线三级目录"/>
    <w:basedOn w:val="11"/>
    <w:qFormat/>
    <w:uiPriority w:val="0"/>
    <w:pPr>
      <w:spacing w:before="0" w:after="0" w:line="360" w:lineRule="auto"/>
      <w:ind w:firstLine="605" w:firstLineChars="200"/>
    </w:pPr>
    <w:rPr>
      <w:b w:val="0"/>
      <w:bCs w:val="0"/>
      <w:sz w:val="28"/>
      <w:szCs w:val="28"/>
    </w:rPr>
  </w:style>
  <w:style w:type="paragraph" w:customStyle="1" w:styleId="902">
    <w:name w:val="li"/>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903">
    <w:name w:val="Char2"/>
    <w:basedOn w:val="1"/>
    <w:qFormat/>
    <w:uiPriority w:val="0"/>
  </w:style>
  <w:style w:type="paragraph" w:customStyle="1" w:styleId="904">
    <w:name w:val="收信人地址1"/>
    <w:basedOn w:val="1"/>
    <w:qFormat/>
    <w:uiPriority w:val="0"/>
    <w:pPr>
      <w:adjustRightInd w:val="0"/>
      <w:snapToGrid w:val="0"/>
      <w:ind w:left="100" w:leftChars="1400" w:firstLine="200" w:firstLineChars="200"/>
    </w:pPr>
    <w:rPr>
      <w:rFonts w:ascii="Arial" w:hAnsi="Arial" w:eastAsia="Times New Roman"/>
      <w:szCs w:val="20"/>
    </w:rPr>
  </w:style>
  <w:style w:type="paragraph" w:customStyle="1" w:styleId="905">
    <w:name w:val="正文t"/>
    <w:basedOn w:val="1"/>
    <w:qFormat/>
    <w:uiPriority w:val="0"/>
    <w:pPr>
      <w:spacing w:line="460" w:lineRule="exact"/>
      <w:ind w:firstLine="480" w:firstLineChars="200"/>
    </w:pPr>
    <w:rPr>
      <w:szCs w:val="20"/>
    </w:rPr>
  </w:style>
  <w:style w:type="paragraph" w:customStyle="1" w:styleId="906">
    <w:name w:val="列出段落21"/>
    <w:basedOn w:val="1"/>
    <w:qFormat/>
    <w:uiPriority w:val="0"/>
    <w:pPr>
      <w:ind w:firstLine="420" w:firstLineChars="200"/>
    </w:pPr>
  </w:style>
  <w:style w:type="paragraph" w:customStyle="1" w:styleId="907">
    <w:name w:val="A1 Ende 12er"/>
    <w:basedOn w:val="1"/>
    <w:qFormat/>
    <w:uiPriority w:val="0"/>
    <w:pPr>
      <w:widowControl/>
      <w:tabs>
        <w:tab w:val="right" w:pos="851"/>
        <w:tab w:val="left" w:pos="993"/>
        <w:tab w:val="left" w:pos="4536"/>
        <w:tab w:val="decimal" w:pos="5954"/>
        <w:tab w:val="left" w:pos="7088"/>
        <w:tab w:val="decimal" w:pos="8505"/>
      </w:tabs>
      <w:spacing w:after="240"/>
      <w:ind w:left="992" w:hanging="992"/>
      <w:jc w:val="left"/>
    </w:pPr>
    <w:rPr>
      <w:rFonts w:ascii="Arial" w:hAnsi="Arial"/>
      <w:kern w:val="0"/>
      <w:sz w:val="22"/>
      <w:szCs w:val="20"/>
      <w:lang w:val="de-DE" w:eastAsia="de-DE"/>
    </w:rPr>
  </w:style>
  <w:style w:type="paragraph" w:customStyle="1" w:styleId="908">
    <w:name w:val="xl22"/>
    <w:basedOn w:val="1"/>
    <w:qFormat/>
    <w:uiPriority w:val="0"/>
    <w:pPr>
      <w:widowControl/>
      <w:spacing w:before="100" w:beforeAutospacing="1" w:after="100" w:afterAutospacing="1"/>
      <w:jc w:val="center"/>
    </w:pPr>
    <w:rPr>
      <w:rFonts w:ascii="Arial Unicode MS" w:hAnsi="Arial Unicode MS" w:eastAsia="Arial Unicode MS"/>
      <w:kern w:val="0"/>
    </w:rPr>
  </w:style>
  <w:style w:type="paragraph" w:customStyle="1" w:styleId="909">
    <w:name w:val="纯文本11"/>
    <w:basedOn w:val="1"/>
    <w:qFormat/>
    <w:uiPriority w:val="0"/>
    <w:pPr>
      <w:adjustRightInd w:val="0"/>
    </w:pPr>
    <w:rPr>
      <w:rFonts w:hAnsi="Courier New"/>
      <w:szCs w:val="20"/>
    </w:rPr>
  </w:style>
  <w:style w:type="paragraph" w:customStyle="1" w:styleId="910">
    <w:name w:val="hao01-T"/>
    <w:next w:val="1"/>
    <w:qFormat/>
    <w:uiPriority w:val="0"/>
    <w:pPr>
      <w:jc w:val="center"/>
    </w:pPr>
    <w:rPr>
      <w:rFonts w:ascii="Times New Roman" w:hAnsi="Times New Roman" w:eastAsia="宋体" w:cs="Times New Roman"/>
      <w:kern w:val="2"/>
      <w:sz w:val="24"/>
      <w:szCs w:val="24"/>
      <w:lang w:val="en-US" w:eastAsia="zh-CN" w:bidi="ar-SA"/>
    </w:rPr>
  </w:style>
  <w:style w:type="paragraph" w:customStyle="1" w:styleId="911">
    <w:name w:val="示例"/>
    <w:next w:val="12"/>
    <w:qFormat/>
    <w:uiPriority w:val="0"/>
    <w:pPr>
      <w:tabs>
        <w:tab w:val="left" w:pos="816"/>
      </w:tabs>
      <w:ind w:firstLine="419" w:firstLineChars="233"/>
      <w:jc w:val="both"/>
    </w:pPr>
    <w:rPr>
      <w:rFonts w:ascii="宋体" w:hAnsi="Times New Roman" w:eastAsia="宋体" w:cs="Times New Roman"/>
      <w:kern w:val="0"/>
      <w:sz w:val="18"/>
      <w:szCs w:val="20"/>
      <w:lang w:val="en-US" w:eastAsia="zh-CN" w:bidi="ar-SA"/>
    </w:rPr>
  </w:style>
  <w:style w:type="paragraph" w:customStyle="1" w:styleId="912">
    <w:name w:val="表格文字左"/>
    <w:basedOn w:val="1"/>
    <w:qFormat/>
    <w:uiPriority w:val="0"/>
    <w:pPr>
      <w:spacing w:line="240" w:lineRule="atLeast"/>
      <w:jc w:val="center"/>
    </w:pPr>
    <w:rPr>
      <w:color w:val="000000"/>
      <w:kern w:val="0"/>
    </w:rPr>
  </w:style>
  <w:style w:type="character" w:customStyle="1" w:styleId="913">
    <w:name w:val="表图 Char"/>
    <w:link w:val="914"/>
    <w:qFormat/>
    <w:locked/>
    <w:uiPriority w:val="0"/>
    <w:rPr>
      <w:szCs w:val="24"/>
    </w:rPr>
  </w:style>
  <w:style w:type="paragraph" w:customStyle="1" w:styleId="914">
    <w:name w:val="表图"/>
    <w:basedOn w:val="1"/>
    <w:link w:val="913"/>
    <w:qFormat/>
    <w:uiPriority w:val="0"/>
    <w:pPr>
      <w:widowControl/>
      <w:adjustRightInd w:val="0"/>
      <w:snapToGrid w:val="0"/>
      <w:spacing w:line="320" w:lineRule="atLeast"/>
      <w:jc w:val="center"/>
    </w:pPr>
    <w:rPr>
      <w:rFonts w:asciiTheme="minorHAnsi" w:hAnsiTheme="minorHAnsi" w:eastAsiaTheme="minorEastAsia" w:cstheme="minorBidi"/>
    </w:rPr>
  </w:style>
  <w:style w:type="character" w:customStyle="1" w:styleId="915">
    <w:name w:val="表格5号字 Char"/>
    <w:link w:val="916"/>
    <w:qFormat/>
    <w:locked/>
    <w:uiPriority w:val="0"/>
    <w:rPr>
      <w:szCs w:val="21"/>
    </w:rPr>
  </w:style>
  <w:style w:type="paragraph" w:customStyle="1" w:styleId="916">
    <w:name w:val="表格5号字"/>
    <w:link w:val="915"/>
    <w:qFormat/>
    <w:uiPriority w:val="0"/>
    <w:pPr>
      <w:widowControl w:val="0"/>
      <w:spacing w:line="280" w:lineRule="exact"/>
      <w:jc w:val="both"/>
    </w:pPr>
    <w:rPr>
      <w:rFonts w:asciiTheme="minorHAnsi" w:hAnsiTheme="minorHAnsi" w:eastAsiaTheme="minorEastAsia" w:cstheme="minorBidi"/>
      <w:kern w:val="2"/>
      <w:sz w:val="21"/>
      <w:szCs w:val="21"/>
      <w:lang w:val="en-US" w:eastAsia="zh-CN" w:bidi="ar-SA"/>
    </w:rPr>
  </w:style>
  <w:style w:type="paragraph" w:customStyle="1" w:styleId="917">
    <w:name w:val="Char Char Char Char Char Char Char1"/>
    <w:basedOn w:val="1"/>
    <w:qFormat/>
    <w:uiPriority w:val="0"/>
  </w:style>
  <w:style w:type="paragraph" w:customStyle="1" w:styleId="918">
    <w:name w:val="mytext11"/>
    <w:basedOn w:val="1"/>
    <w:qFormat/>
    <w:uiPriority w:val="0"/>
    <w:pPr>
      <w:widowControl/>
      <w:spacing w:before="100" w:beforeAutospacing="1" w:after="100" w:afterAutospacing="1"/>
      <w:jc w:val="left"/>
    </w:pPr>
    <w:rPr>
      <w:rFonts w:cs="宋体"/>
      <w:color w:val="000000"/>
      <w:kern w:val="0"/>
    </w:rPr>
  </w:style>
  <w:style w:type="paragraph" w:customStyle="1" w:styleId="919">
    <w:name w:val="正文文本缩进 22"/>
    <w:basedOn w:val="1"/>
    <w:qFormat/>
    <w:uiPriority w:val="0"/>
    <w:pPr>
      <w:adjustRightInd w:val="0"/>
      <w:ind w:firstLine="510"/>
    </w:pPr>
    <w:rPr>
      <w:sz w:val="28"/>
      <w:szCs w:val="20"/>
    </w:rPr>
  </w:style>
  <w:style w:type="character" w:customStyle="1" w:styleId="920">
    <w:name w:val="样式 正文样式1 + 首行缩进:  2 字符 Char"/>
    <w:link w:val="921"/>
    <w:qFormat/>
    <w:locked/>
    <w:uiPriority w:val="0"/>
    <w:rPr>
      <w:sz w:val="24"/>
    </w:rPr>
  </w:style>
  <w:style w:type="paragraph" w:customStyle="1" w:styleId="921">
    <w:name w:val="样式 正文样式1 + 首行缩进:  2 字符"/>
    <w:basedOn w:val="1"/>
    <w:link w:val="920"/>
    <w:qFormat/>
    <w:uiPriority w:val="0"/>
    <w:pPr>
      <w:widowControl/>
      <w:ind w:firstLine="200" w:firstLineChars="200"/>
    </w:pPr>
    <w:rPr>
      <w:rFonts w:asciiTheme="minorHAnsi" w:hAnsiTheme="minorHAnsi" w:eastAsiaTheme="minorEastAsia" w:cstheme="minorBidi"/>
      <w:szCs w:val="22"/>
    </w:rPr>
  </w:style>
  <w:style w:type="paragraph" w:customStyle="1" w:styleId="922">
    <w:name w:val="Char Char Char1 Char Char Char Char"/>
    <w:basedOn w:val="1"/>
    <w:qFormat/>
    <w:uiPriority w:val="0"/>
  </w:style>
  <w:style w:type="paragraph" w:customStyle="1" w:styleId="923">
    <w:name w:val="公式样式1"/>
    <w:basedOn w:val="1"/>
    <w:qFormat/>
    <w:uiPriority w:val="0"/>
    <w:pPr>
      <w:jc w:val="center"/>
    </w:pPr>
    <w:rPr>
      <w:color w:val="000000"/>
    </w:rPr>
  </w:style>
  <w:style w:type="paragraph" w:customStyle="1" w:styleId="924">
    <w:name w:val="图表目录2"/>
    <w:basedOn w:val="15"/>
    <w:next w:val="15"/>
    <w:qFormat/>
    <w:uiPriority w:val="0"/>
    <w:pPr>
      <w:tabs>
        <w:tab w:val="right" w:leader="dot" w:pos="8051"/>
      </w:tabs>
      <w:adjustRightInd w:val="0"/>
      <w:spacing w:line="360" w:lineRule="atLeast"/>
      <w:ind w:left="840" w:hanging="840"/>
      <w:jc w:val="left"/>
    </w:pPr>
    <w:rPr>
      <w:kern w:val="0"/>
    </w:rPr>
  </w:style>
  <w:style w:type="paragraph" w:customStyle="1" w:styleId="925">
    <w:name w:val="Char Char1 Char Char Char Char Char Char Char Char Char Char Char Char Char Char Char Char Char Char Char Char1 Char1"/>
    <w:basedOn w:val="1"/>
    <w:qFormat/>
    <w:uiPriority w:val="0"/>
    <w:pPr>
      <w:ind w:firstLine="200" w:firstLineChars="200"/>
    </w:pPr>
    <w:rPr>
      <w:rFonts w:cs="宋体"/>
    </w:rPr>
  </w:style>
  <w:style w:type="paragraph" w:customStyle="1" w:styleId="926">
    <w:name w:val="表格体"/>
    <w:basedOn w:val="1"/>
    <w:qFormat/>
    <w:uiPriority w:val="0"/>
    <w:pPr>
      <w:adjustRightInd w:val="0"/>
      <w:snapToGrid w:val="0"/>
      <w:jc w:val="center"/>
    </w:pPr>
    <w:rPr>
      <w:bCs/>
    </w:rPr>
  </w:style>
  <w:style w:type="paragraph" w:customStyle="1" w:styleId="927">
    <w:name w:val="图表头"/>
    <w:basedOn w:val="1"/>
    <w:qFormat/>
    <w:uiPriority w:val="0"/>
    <w:pPr>
      <w:adjustRightInd w:val="0"/>
      <w:jc w:val="center"/>
    </w:pPr>
    <w:rPr>
      <w:rFonts w:ascii="黑体" w:eastAsia="黑体"/>
      <w:spacing w:val="5"/>
      <w:kern w:val="0"/>
      <w:szCs w:val="20"/>
    </w:rPr>
  </w:style>
  <w:style w:type="paragraph" w:customStyle="1" w:styleId="928">
    <w:name w:val="表头111111"/>
    <w:basedOn w:val="1"/>
    <w:qFormat/>
    <w:uiPriority w:val="0"/>
    <w:pPr>
      <w:spacing w:line="460" w:lineRule="exact"/>
      <w:jc w:val="center"/>
    </w:pPr>
    <w:rPr>
      <w:rFonts w:eastAsia="黑体" w:cs="宋体"/>
      <w:kern w:val="0"/>
      <w:szCs w:val="20"/>
    </w:rPr>
  </w:style>
  <w:style w:type="paragraph" w:customStyle="1" w:styleId="929">
    <w:name w:val="列表接续 51"/>
    <w:basedOn w:val="1"/>
    <w:qFormat/>
    <w:uiPriority w:val="0"/>
    <w:pPr>
      <w:adjustRightInd w:val="0"/>
      <w:snapToGrid w:val="0"/>
      <w:spacing w:after="120"/>
      <w:ind w:left="2100" w:leftChars="1000" w:firstLine="200" w:firstLineChars="200"/>
    </w:pPr>
    <w:rPr>
      <w:rFonts w:eastAsia="Times New Roman"/>
      <w:szCs w:val="20"/>
    </w:rPr>
  </w:style>
  <w:style w:type="paragraph" w:customStyle="1" w:styleId="930">
    <w:name w:val="gyy正文文字"/>
    <w:basedOn w:val="1"/>
    <w:qFormat/>
    <w:uiPriority w:val="0"/>
    <w:pPr>
      <w:ind w:firstLine="471"/>
    </w:pPr>
    <w:rPr>
      <w:rFonts w:cs="宋体"/>
      <w:color w:val="000000"/>
      <w:spacing w:val="14"/>
    </w:rPr>
  </w:style>
  <w:style w:type="paragraph" w:customStyle="1" w:styleId="931">
    <w:name w:val="Überschrift 2.Haupt Überschrift 2"/>
    <w:basedOn w:val="1"/>
    <w:next w:val="1"/>
    <w:qFormat/>
    <w:uiPriority w:val="0"/>
    <w:pPr>
      <w:widowControl/>
      <w:spacing w:before="120" w:after="60"/>
      <w:ind w:left="1701"/>
      <w:outlineLvl w:val="1"/>
    </w:pPr>
    <w:rPr>
      <w:rFonts w:ascii="Arial" w:hAnsi="Arial"/>
      <w:kern w:val="0"/>
      <w:sz w:val="22"/>
      <w:szCs w:val="20"/>
      <w:lang w:val="de-DE" w:eastAsia="de-DE"/>
    </w:rPr>
  </w:style>
  <w:style w:type="paragraph" w:customStyle="1" w:styleId="932">
    <w:name w:val="Char23"/>
    <w:basedOn w:val="1"/>
    <w:qFormat/>
    <w:uiPriority w:val="0"/>
    <w:rPr>
      <w:rFonts w:cs="Courier New"/>
      <w:sz w:val="32"/>
      <w:szCs w:val="32"/>
    </w:rPr>
  </w:style>
  <w:style w:type="character" w:customStyle="1" w:styleId="933">
    <w:name w:val="y标题1 Char1"/>
    <w:link w:val="934"/>
    <w:qFormat/>
    <w:locked/>
    <w:uiPriority w:val="0"/>
    <w:rPr>
      <w:rFonts w:ascii="黑体" w:hAnsi="黑体" w:eastAsia="黑体"/>
      <w:b/>
      <w:color w:val="000000"/>
      <w:kern w:val="44"/>
      <w:sz w:val="32"/>
      <w:szCs w:val="28"/>
    </w:rPr>
  </w:style>
  <w:style w:type="paragraph" w:customStyle="1" w:styleId="934">
    <w:name w:val="y标题1"/>
    <w:basedOn w:val="49"/>
    <w:next w:val="49"/>
    <w:link w:val="933"/>
    <w:qFormat/>
    <w:uiPriority w:val="0"/>
    <w:pPr>
      <w:keepNext/>
      <w:keepLines/>
      <w:widowControl/>
      <w:tabs>
        <w:tab w:val="left" w:pos="1155"/>
        <w:tab w:val="right" w:leader="dot" w:pos="8260"/>
        <w:tab w:val="right" w:leader="dot" w:pos="9060"/>
      </w:tabs>
      <w:adjustRightInd w:val="0"/>
      <w:spacing w:beforeLines="30" w:afterLines="30" w:line="480" w:lineRule="exact"/>
      <w:ind w:firstLine="742" w:firstLineChars="168"/>
      <w:outlineLvl w:val="0"/>
    </w:pPr>
    <w:rPr>
      <w:rFonts w:ascii="黑体" w:hAnsi="黑体" w:eastAsia="黑体"/>
      <w:bCs w:val="0"/>
      <w:caps w:val="0"/>
      <w:color w:val="000000"/>
      <w:kern w:val="44"/>
      <w:sz w:val="32"/>
      <w:szCs w:val="28"/>
    </w:rPr>
  </w:style>
  <w:style w:type="paragraph" w:customStyle="1" w:styleId="935">
    <w:name w:val="标题3CY"/>
    <w:basedOn w:val="62"/>
    <w:qFormat/>
    <w:uiPriority w:val="0"/>
    <w:pPr>
      <w:spacing w:beforeLines="50" w:afterLines="50"/>
      <w:jc w:val="both"/>
      <w:outlineLvl w:val="2"/>
    </w:pPr>
    <w:rPr>
      <w:rFonts w:eastAsia="黑体" w:cs="Arial"/>
      <w:b w:val="0"/>
      <w:bCs w:val="0"/>
      <w:kern w:val="2"/>
      <w:sz w:val="28"/>
    </w:rPr>
  </w:style>
  <w:style w:type="paragraph" w:customStyle="1" w:styleId="936">
    <w:name w:val="Qzy样式2"/>
    <w:basedOn w:val="10"/>
    <w:qFormat/>
    <w:uiPriority w:val="0"/>
    <w:pPr>
      <w:keepNext w:val="0"/>
      <w:spacing w:before="0" w:after="0" w:line="520" w:lineRule="exact"/>
    </w:pPr>
    <w:rPr>
      <w:rFonts w:ascii="宋体" w:hAnsi="宋体" w:eastAsia="宋体"/>
      <w:color w:val="000000"/>
      <w:kern w:val="0"/>
      <w:sz w:val="30"/>
    </w:rPr>
  </w:style>
  <w:style w:type="paragraph" w:customStyle="1" w:styleId="937">
    <w:name w:val="font7"/>
    <w:basedOn w:val="1"/>
    <w:qFormat/>
    <w:uiPriority w:val="0"/>
    <w:pPr>
      <w:widowControl/>
      <w:spacing w:before="100" w:beforeAutospacing="1" w:after="100" w:afterAutospacing="1"/>
      <w:jc w:val="left"/>
    </w:pPr>
    <w:rPr>
      <w:rFonts w:eastAsia="Arial Unicode MS"/>
      <w:bCs/>
      <w:kern w:val="0"/>
      <w:sz w:val="36"/>
      <w:szCs w:val="36"/>
    </w:rPr>
  </w:style>
  <w:style w:type="paragraph" w:customStyle="1" w:styleId="938">
    <w:name w:val="Text2"/>
    <w:basedOn w:val="351"/>
    <w:qFormat/>
    <w:uiPriority w:val="0"/>
    <w:pPr>
      <w:tabs>
        <w:tab w:val="left" w:pos="1985"/>
        <w:tab w:val="left" w:pos="2127"/>
        <w:tab w:val="clear" w:pos="1701"/>
        <w:tab w:val="clear" w:pos="4536"/>
        <w:tab w:val="clear" w:pos="5103"/>
      </w:tabs>
    </w:pPr>
  </w:style>
  <w:style w:type="paragraph" w:customStyle="1" w:styleId="939">
    <w:name w:val="图文框"/>
    <w:basedOn w:val="1"/>
    <w:qFormat/>
    <w:uiPriority w:val="0"/>
    <w:pPr>
      <w:snapToGrid w:val="0"/>
      <w:jc w:val="center"/>
    </w:pPr>
    <w:rPr>
      <w:b/>
      <w:kern w:val="0"/>
    </w:rPr>
  </w:style>
  <w:style w:type="paragraph" w:customStyle="1" w:styleId="940">
    <w:name w:val="Char1 Char Char Char2"/>
    <w:basedOn w:val="1"/>
    <w:qFormat/>
    <w:uiPriority w:val="0"/>
    <w:pPr>
      <w:snapToGrid w:val="0"/>
      <w:ind w:firstLine="200" w:firstLineChars="200"/>
    </w:pPr>
    <w:rPr>
      <w:rFonts w:eastAsia="仿宋_GB2312"/>
    </w:rPr>
  </w:style>
  <w:style w:type="character" w:customStyle="1" w:styleId="941">
    <w:name w:val="样式 标题 3M Char"/>
    <w:link w:val="942"/>
    <w:qFormat/>
    <w:locked/>
    <w:uiPriority w:val="0"/>
    <w:rPr>
      <w:rFonts w:ascii="黑体" w:hAnsi="黑体" w:eastAsia="黑体"/>
      <w:b/>
      <w:kern w:val="24"/>
      <w:sz w:val="30"/>
    </w:rPr>
  </w:style>
  <w:style w:type="paragraph" w:customStyle="1" w:styleId="942">
    <w:name w:val="样式 标题 3M"/>
    <w:basedOn w:val="11"/>
    <w:link w:val="941"/>
    <w:qFormat/>
    <w:uiPriority w:val="0"/>
    <w:pPr>
      <w:tabs>
        <w:tab w:val="left" w:pos="420"/>
      </w:tabs>
      <w:spacing w:before="0" w:after="0" w:line="360" w:lineRule="auto"/>
      <w:ind w:left="420" w:hanging="420"/>
    </w:pPr>
    <w:rPr>
      <w:rFonts w:ascii="黑体" w:hAnsi="黑体" w:eastAsia="黑体" w:cstheme="minorBidi"/>
      <w:bCs w:val="0"/>
      <w:kern w:val="24"/>
      <w:sz w:val="30"/>
      <w:szCs w:val="22"/>
    </w:rPr>
  </w:style>
  <w:style w:type="paragraph" w:customStyle="1" w:styleId="943">
    <w:name w:val="reader-word-layer reader-word-s1-6"/>
    <w:basedOn w:val="1"/>
    <w:qFormat/>
    <w:uiPriority w:val="0"/>
    <w:pPr>
      <w:widowControl/>
      <w:spacing w:before="100" w:beforeAutospacing="1" w:after="100" w:afterAutospacing="1"/>
      <w:jc w:val="left"/>
    </w:pPr>
    <w:rPr>
      <w:rFonts w:cs="宋体"/>
      <w:kern w:val="0"/>
    </w:rPr>
  </w:style>
  <w:style w:type="paragraph" w:customStyle="1" w:styleId="944">
    <w:name w:val="正文文本缩进 32"/>
    <w:basedOn w:val="1"/>
    <w:qFormat/>
    <w:uiPriority w:val="0"/>
    <w:pPr>
      <w:adjustRightInd w:val="0"/>
      <w:spacing w:line="480" w:lineRule="exact"/>
      <w:ind w:firstLine="570" w:firstLineChars="200"/>
    </w:pPr>
    <w:rPr>
      <w:szCs w:val="20"/>
    </w:rPr>
  </w:style>
  <w:style w:type="paragraph" w:customStyle="1" w:styleId="945">
    <w:name w:val="xl41"/>
    <w:basedOn w:val="1"/>
    <w:qFormat/>
    <w:uiPriority w:val="0"/>
    <w:pPr>
      <w:widowControl/>
      <w:pBdr>
        <w:bottom w:val="single" w:color="auto" w:sz="4" w:space="0"/>
      </w:pBdr>
      <w:spacing w:before="100" w:beforeAutospacing="1" w:after="100" w:afterAutospacing="1"/>
      <w:jc w:val="center"/>
    </w:pPr>
    <w:rPr>
      <w:kern w:val="0"/>
    </w:rPr>
  </w:style>
  <w:style w:type="paragraph" w:customStyle="1" w:styleId="946">
    <w:name w:val="样式 表头 + 楷体_GB2312 三号"/>
    <w:basedOn w:val="643"/>
    <w:qFormat/>
    <w:uiPriority w:val="0"/>
    <w:pPr>
      <w:tabs>
        <w:tab w:val="clear" w:pos="4440"/>
      </w:tabs>
      <w:autoSpaceDE/>
      <w:autoSpaceDN/>
      <w:snapToGrid/>
    </w:pPr>
    <w:rPr>
      <w:rFonts w:ascii="楷体_GB2312" w:hAnsi="楷体_GB2312" w:eastAsia="楷体_GB2312" w:cs="宋体"/>
      <w:spacing w:val="4"/>
      <w:sz w:val="30"/>
      <w:szCs w:val="20"/>
    </w:rPr>
  </w:style>
  <w:style w:type="paragraph" w:customStyle="1" w:styleId="947">
    <w:name w:val="Char Char Char Char Char1 Char Char Char Char1"/>
    <w:basedOn w:val="1"/>
    <w:qFormat/>
    <w:uiPriority w:val="0"/>
  </w:style>
  <w:style w:type="paragraph" w:customStyle="1" w:styleId="948">
    <w:name w:val="xl57"/>
    <w:basedOn w:val="1"/>
    <w:qFormat/>
    <w:uiPriority w:val="0"/>
    <w:pPr>
      <w:widowControl/>
      <w:pBdr>
        <w:top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rPr>
  </w:style>
  <w:style w:type="paragraph" w:customStyle="1" w:styleId="949">
    <w:name w:val="标题 3 + Arial 小四 非加粗 段前: 0 磅 段后: 6 磅 行距: 固定值 22 磅"/>
    <w:basedOn w:val="11"/>
    <w:next w:val="1"/>
    <w:qFormat/>
    <w:uiPriority w:val="0"/>
    <w:pPr>
      <w:spacing w:before="0" w:after="0" w:line="440" w:lineRule="exact"/>
    </w:pPr>
    <w:rPr>
      <w:kern w:val="0"/>
      <w:sz w:val="24"/>
      <w:szCs w:val="20"/>
    </w:rPr>
  </w:style>
  <w:style w:type="paragraph" w:customStyle="1" w:styleId="950">
    <w:name w:val="列表编号 41"/>
    <w:basedOn w:val="1"/>
    <w:qFormat/>
    <w:uiPriority w:val="0"/>
    <w:pPr>
      <w:tabs>
        <w:tab w:val="left" w:pos="1620"/>
      </w:tabs>
      <w:adjustRightInd w:val="0"/>
      <w:snapToGrid w:val="0"/>
      <w:ind w:left="1620" w:hanging="360" w:firstLineChars="200"/>
    </w:pPr>
    <w:rPr>
      <w:rFonts w:eastAsia="Times New Roman"/>
      <w:szCs w:val="20"/>
    </w:rPr>
  </w:style>
  <w:style w:type="paragraph" w:customStyle="1" w:styleId="951">
    <w:name w:val="列表 31"/>
    <w:basedOn w:val="1"/>
    <w:qFormat/>
    <w:uiPriority w:val="0"/>
    <w:pPr>
      <w:adjustRightInd w:val="0"/>
      <w:snapToGrid w:val="0"/>
      <w:ind w:left="100" w:leftChars="400" w:hanging="200" w:hangingChars="200"/>
    </w:pPr>
    <w:rPr>
      <w:rFonts w:eastAsia="Times New Roman"/>
      <w:szCs w:val="20"/>
    </w:rPr>
  </w:style>
  <w:style w:type="paragraph" w:customStyle="1" w:styleId="952">
    <w:name w:val="font11"/>
    <w:basedOn w:val="1"/>
    <w:qFormat/>
    <w:uiPriority w:val="0"/>
    <w:pPr>
      <w:widowControl/>
      <w:spacing w:before="100" w:beforeAutospacing="1" w:after="100" w:afterAutospacing="1"/>
      <w:ind w:firstLine="200" w:firstLineChars="200"/>
      <w:jc w:val="left"/>
    </w:pPr>
    <w:rPr>
      <w:kern w:val="0"/>
      <w:szCs w:val="28"/>
    </w:rPr>
  </w:style>
  <w:style w:type="paragraph" w:customStyle="1" w:styleId="953">
    <w:name w:val="reader-word-layer reader-word-s1-3"/>
    <w:basedOn w:val="1"/>
    <w:qFormat/>
    <w:uiPriority w:val="0"/>
    <w:pPr>
      <w:widowControl/>
      <w:spacing w:before="100" w:beforeAutospacing="1" w:after="100" w:afterAutospacing="1"/>
      <w:jc w:val="left"/>
    </w:pPr>
    <w:rPr>
      <w:rFonts w:cs="宋体"/>
      <w:kern w:val="0"/>
    </w:rPr>
  </w:style>
  <w:style w:type="paragraph" w:customStyle="1" w:styleId="954">
    <w:name w:val="表中"/>
    <w:qFormat/>
    <w:uiPriority w:val="0"/>
    <w:pPr>
      <w:widowControl w:val="0"/>
      <w:snapToGrid w:val="0"/>
      <w:spacing w:line="280" w:lineRule="exact"/>
      <w:jc w:val="both"/>
    </w:pPr>
    <w:rPr>
      <w:rFonts w:ascii="宋体" w:hAnsi="Batang" w:eastAsia="宋体" w:cs="Times New Roman"/>
      <w:kern w:val="0"/>
      <w:sz w:val="18"/>
      <w:szCs w:val="20"/>
      <w:lang w:val="en-US" w:eastAsia="zh-CN" w:bidi="ar-SA"/>
    </w:rPr>
  </w:style>
  <w:style w:type="paragraph" w:customStyle="1" w:styleId="955">
    <w:name w:val="xl53"/>
    <w:basedOn w:val="1"/>
    <w:qFormat/>
    <w:uiPriority w:val="0"/>
    <w:pPr>
      <w:widowControl/>
      <w:pBdr>
        <w:top w:val="single" w:color="auto" w:sz="4" w:space="0"/>
        <w:left w:val="single" w:color="auto" w:sz="4" w:space="0"/>
      </w:pBdr>
      <w:spacing w:before="100" w:beforeAutospacing="1" w:after="100" w:afterAutospacing="1"/>
      <w:jc w:val="center"/>
    </w:pPr>
    <w:rPr>
      <w:rFonts w:eastAsia="Arial Unicode MS"/>
      <w:color w:val="000000"/>
      <w:kern w:val="0"/>
    </w:rPr>
  </w:style>
  <w:style w:type="paragraph" w:customStyle="1" w:styleId="956">
    <w:name w:val="列表编号 51"/>
    <w:basedOn w:val="1"/>
    <w:qFormat/>
    <w:uiPriority w:val="0"/>
    <w:pPr>
      <w:tabs>
        <w:tab w:val="left" w:pos="2040"/>
      </w:tabs>
      <w:adjustRightInd w:val="0"/>
      <w:snapToGrid w:val="0"/>
      <w:ind w:left="2040" w:hanging="360" w:firstLineChars="200"/>
    </w:pPr>
    <w:rPr>
      <w:rFonts w:eastAsia="Times New Roman"/>
      <w:szCs w:val="20"/>
    </w:rPr>
  </w:style>
  <w:style w:type="paragraph" w:customStyle="1" w:styleId="957">
    <w:name w:val="WW-Body Text Indent 3"/>
    <w:basedOn w:val="1"/>
    <w:qFormat/>
    <w:uiPriority w:val="0"/>
    <w:pPr>
      <w:suppressAutoHyphens/>
      <w:spacing w:after="120"/>
      <w:ind w:firstLine="420"/>
    </w:pPr>
    <w:rPr>
      <w:rFonts w:ascii="Arial" w:hAnsi="Arial"/>
      <w:kern w:val="3276"/>
      <w:szCs w:val="20"/>
    </w:rPr>
  </w:style>
  <w:style w:type="character" w:customStyle="1" w:styleId="958">
    <w:name w:val="报告书正文 Char"/>
    <w:link w:val="959"/>
    <w:qFormat/>
    <w:locked/>
    <w:uiPriority w:val="0"/>
    <w:rPr>
      <w:sz w:val="24"/>
      <w:szCs w:val="24"/>
    </w:rPr>
  </w:style>
  <w:style w:type="paragraph" w:customStyle="1" w:styleId="959">
    <w:name w:val="报告书正文"/>
    <w:basedOn w:val="1"/>
    <w:link w:val="958"/>
    <w:qFormat/>
    <w:uiPriority w:val="0"/>
    <w:pPr>
      <w:ind w:firstLine="480" w:firstLineChars="200"/>
    </w:pPr>
    <w:rPr>
      <w:rFonts w:asciiTheme="minorHAnsi" w:hAnsiTheme="minorHAnsi" w:eastAsiaTheme="minorEastAsia" w:cstheme="minorBidi"/>
    </w:rPr>
  </w:style>
  <w:style w:type="paragraph" w:customStyle="1" w:styleId="960">
    <w:name w:val="xl77"/>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kern w:val="0"/>
      <w:sz w:val="16"/>
      <w:szCs w:val="16"/>
    </w:rPr>
  </w:style>
  <w:style w:type="character" w:customStyle="1" w:styleId="961">
    <w:name w:val="正文首行缩进2个字 Char Char Char"/>
    <w:link w:val="962"/>
    <w:qFormat/>
    <w:locked/>
    <w:uiPriority w:val="0"/>
    <w:rPr>
      <w:rFonts w:ascii="楷体" w:hAnsi="楷体" w:eastAsia="楷体"/>
      <w:sz w:val="24"/>
      <w:szCs w:val="24"/>
    </w:rPr>
  </w:style>
  <w:style w:type="paragraph" w:customStyle="1" w:styleId="962">
    <w:name w:val="正文首行缩进2个字 Char"/>
    <w:basedOn w:val="1"/>
    <w:link w:val="961"/>
    <w:qFormat/>
    <w:uiPriority w:val="0"/>
    <w:pPr>
      <w:ind w:firstLine="480" w:firstLineChars="200"/>
    </w:pPr>
    <w:rPr>
      <w:rFonts w:ascii="楷体" w:hAnsi="楷体" w:eastAsia="楷体" w:cstheme="minorBidi"/>
    </w:rPr>
  </w:style>
  <w:style w:type="paragraph" w:customStyle="1" w:styleId="963">
    <w:name w:val="Qzy样式1"/>
    <w:basedOn w:val="9"/>
    <w:qFormat/>
    <w:uiPriority w:val="0"/>
    <w:pPr>
      <w:keepNext w:val="0"/>
      <w:keepLines/>
      <w:widowControl/>
      <w:spacing w:line="240" w:lineRule="atLeast"/>
      <w:ind w:left="141"/>
    </w:pPr>
    <w:rPr>
      <w:rFonts w:ascii="Times New Roman" w:cs="Times New Roman"/>
      <w:b/>
      <w:kern w:val="44"/>
      <w:sz w:val="36"/>
    </w:rPr>
  </w:style>
  <w:style w:type="character" w:customStyle="1" w:styleId="964">
    <w:name w:val="样式4 Char"/>
    <w:link w:val="965"/>
    <w:qFormat/>
    <w:locked/>
    <w:uiPriority w:val="0"/>
    <w:rPr>
      <w:rFonts w:ascii="Times New Roman" w:hAnsi="Times New Roman" w:eastAsia="宋体" w:cs="Times New Roman"/>
      <w:kern w:val="0"/>
      <w:sz w:val="20"/>
      <w:szCs w:val="20"/>
    </w:rPr>
  </w:style>
  <w:style w:type="paragraph" w:customStyle="1" w:styleId="965">
    <w:name w:val="样式4"/>
    <w:basedOn w:val="1"/>
    <w:link w:val="964"/>
    <w:qFormat/>
    <w:uiPriority w:val="0"/>
    <w:pPr>
      <w:widowControl/>
      <w:tabs>
        <w:tab w:val="left" w:pos="425"/>
      </w:tabs>
      <w:ind w:left="425" w:hanging="425"/>
      <w:jc w:val="left"/>
    </w:pPr>
    <w:rPr>
      <w:kern w:val="0"/>
      <w:sz w:val="20"/>
      <w:szCs w:val="20"/>
    </w:rPr>
  </w:style>
  <w:style w:type="character" w:customStyle="1" w:styleId="966">
    <w:name w:val="样式 题注题注 Char"/>
    <w:link w:val="967"/>
    <w:qFormat/>
    <w:locked/>
    <w:uiPriority w:val="0"/>
    <w:rPr>
      <w:rFonts w:ascii="黑体" w:hAnsi="黑体" w:eastAsia="黑体"/>
      <w:sz w:val="24"/>
    </w:rPr>
  </w:style>
  <w:style w:type="paragraph" w:customStyle="1" w:styleId="967">
    <w:name w:val="样式 题注题注"/>
    <w:basedOn w:val="24"/>
    <w:link w:val="966"/>
    <w:qFormat/>
    <w:uiPriority w:val="0"/>
    <w:pPr>
      <w:spacing w:before="120"/>
      <w:jc w:val="center"/>
    </w:pPr>
    <w:rPr>
      <w:rFonts w:ascii="黑体" w:hAnsi="黑体" w:cstheme="minorBidi"/>
      <w:sz w:val="24"/>
      <w:szCs w:val="22"/>
    </w:rPr>
  </w:style>
  <w:style w:type="paragraph" w:customStyle="1" w:styleId="968">
    <w:name w:val="CM4"/>
    <w:basedOn w:val="499"/>
    <w:next w:val="499"/>
    <w:qFormat/>
    <w:uiPriority w:val="0"/>
    <w:pPr>
      <w:spacing w:after="695"/>
    </w:pPr>
    <w:rPr>
      <w:sz w:val="24"/>
      <w:szCs w:val="24"/>
    </w:rPr>
  </w:style>
  <w:style w:type="paragraph" w:customStyle="1" w:styleId="969">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6"/>
      <w:szCs w:val="16"/>
    </w:rPr>
  </w:style>
  <w:style w:type="paragraph" w:customStyle="1" w:styleId="970">
    <w:name w:val="标题一"/>
    <w:basedOn w:val="9"/>
    <w:qFormat/>
    <w:uiPriority w:val="0"/>
    <w:pPr>
      <w:tabs>
        <w:tab w:val="left" w:pos="425"/>
      </w:tabs>
      <w:spacing w:line="360" w:lineRule="auto"/>
      <w:ind w:left="425" w:hanging="425"/>
    </w:pPr>
    <w:rPr>
      <w:rFonts w:ascii="Times New Roman" w:eastAsia="黑体"/>
      <w:b/>
      <w:bCs/>
      <w:sz w:val="36"/>
    </w:rPr>
  </w:style>
  <w:style w:type="paragraph" w:customStyle="1" w:styleId="971">
    <w:name w:val="xl94"/>
    <w:basedOn w:val="1"/>
    <w:qFormat/>
    <w:uiPriority w:val="0"/>
    <w:pPr>
      <w:widowControl/>
      <w:spacing w:before="100" w:beforeAutospacing="1" w:after="100" w:afterAutospacing="1"/>
      <w:jc w:val="center"/>
    </w:pPr>
    <w:rPr>
      <w:rFonts w:eastAsia="Arial Unicode MS"/>
      <w:kern w:val="0"/>
      <w:sz w:val="20"/>
      <w:szCs w:val="20"/>
    </w:rPr>
  </w:style>
  <w:style w:type="paragraph" w:customStyle="1" w:styleId="972">
    <w:name w:val="Qzy样式3"/>
    <w:basedOn w:val="11"/>
    <w:qFormat/>
    <w:uiPriority w:val="0"/>
    <w:pPr>
      <w:keepNext w:val="0"/>
      <w:keepLines w:val="0"/>
      <w:widowControl/>
      <w:tabs>
        <w:tab w:val="left" w:pos="709"/>
      </w:tabs>
      <w:spacing w:beforeLines="50" w:afterLines="10" w:line="240" w:lineRule="atLeast"/>
      <w:ind w:left="709" w:hanging="709" w:firstLineChars="200"/>
      <w:jc w:val="left"/>
    </w:pPr>
    <w:rPr>
      <w:bCs w:val="0"/>
      <w:color w:val="000000"/>
      <w:kern w:val="0"/>
      <w:sz w:val="30"/>
      <w:szCs w:val="28"/>
    </w:rPr>
  </w:style>
  <w:style w:type="paragraph" w:customStyle="1" w:styleId="973">
    <w:name w:val="Char Char11"/>
    <w:basedOn w:val="1"/>
    <w:qFormat/>
    <w:uiPriority w:val="0"/>
    <w:pPr>
      <w:widowControl/>
      <w:spacing w:before="100" w:beforeAutospacing="1" w:after="100" w:afterAutospacing="1"/>
      <w:ind w:firstLine="200" w:firstLineChars="200"/>
      <w:jc w:val="left"/>
    </w:pPr>
    <w:rPr>
      <w:rFonts w:ascii="Verdana" w:hAnsi="Verdana" w:eastAsia="仿宋_GB2312"/>
      <w:kern w:val="0"/>
      <w:sz w:val="20"/>
      <w:lang w:eastAsia="en-US"/>
    </w:rPr>
  </w:style>
  <w:style w:type="paragraph" w:customStyle="1" w:styleId="974">
    <w:name w:val="正文6"/>
    <w:qFormat/>
    <w:uiPriority w:val="0"/>
    <w:pPr>
      <w:widowControl w:val="0"/>
      <w:adjustRightInd w:val="0"/>
      <w:spacing w:line="360" w:lineRule="atLeast"/>
    </w:pPr>
    <w:rPr>
      <w:rFonts w:ascii="宋体" w:hAnsi="Times New Roman" w:eastAsia="宋体" w:cs="Times New Roman"/>
      <w:kern w:val="0"/>
      <w:sz w:val="24"/>
      <w:szCs w:val="20"/>
      <w:lang w:val="en-US" w:eastAsia="zh-CN" w:bidi="ar-SA"/>
    </w:rPr>
  </w:style>
  <w:style w:type="paragraph" w:customStyle="1" w:styleId="975">
    <w:name w:val="font12"/>
    <w:basedOn w:val="1"/>
    <w:qFormat/>
    <w:uiPriority w:val="0"/>
    <w:pPr>
      <w:widowControl/>
      <w:spacing w:before="100" w:beforeAutospacing="1" w:after="100" w:afterAutospacing="1"/>
      <w:ind w:firstLine="200" w:firstLineChars="200"/>
      <w:jc w:val="left"/>
    </w:pPr>
    <w:rPr>
      <w:i/>
      <w:iCs/>
      <w:kern w:val="0"/>
    </w:rPr>
  </w:style>
  <w:style w:type="paragraph" w:customStyle="1" w:styleId="976">
    <w:name w:val="标题4CY"/>
    <w:basedOn w:val="62"/>
    <w:qFormat/>
    <w:uiPriority w:val="0"/>
    <w:pPr>
      <w:spacing w:beforeLines="100"/>
      <w:jc w:val="both"/>
      <w:outlineLvl w:val="3"/>
    </w:pPr>
    <w:rPr>
      <w:rFonts w:eastAsia="黑体" w:cs="Arial"/>
      <w:b w:val="0"/>
      <w:kern w:val="2"/>
      <w:sz w:val="24"/>
    </w:rPr>
  </w:style>
  <w:style w:type="paragraph" w:customStyle="1" w:styleId="977">
    <w:name w:val="pic-info"/>
    <w:basedOn w:val="1"/>
    <w:qFormat/>
    <w:uiPriority w:val="0"/>
    <w:pPr>
      <w:widowControl/>
      <w:spacing w:before="100" w:beforeAutospacing="1" w:after="100" w:afterAutospacing="1"/>
      <w:jc w:val="left"/>
    </w:pPr>
    <w:rPr>
      <w:rFonts w:cs="宋体"/>
      <w:kern w:val="0"/>
    </w:rPr>
  </w:style>
  <w:style w:type="paragraph" w:customStyle="1" w:styleId="978">
    <w:name w:val="xl32"/>
    <w:basedOn w:val="1"/>
    <w:qFormat/>
    <w:uiPriority w:val="0"/>
    <w:pPr>
      <w:widowControl/>
      <w:pBdr>
        <w:top w:val="dotted" w:color="auto" w:sz="4" w:space="0"/>
        <w:bottom w:val="dotted" w:color="auto" w:sz="4" w:space="0"/>
        <w:right w:val="dotted" w:color="auto" w:sz="4" w:space="0"/>
      </w:pBdr>
      <w:spacing w:before="100" w:beforeAutospacing="1" w:after="100" w:afterAutospacing="1"/>
      <w:jc w:val="center"/>
    </w:pPr>
    <w:rPr>
      <w:rFonts w:ascii="Arial Unicode MS" w:hAnsi="Arial Unicode MS" w:eastAsia="Arial Unicode MS" w:cs="Arial Unicode MS"/>
      <w:color w:val="000000"/>
      <w:kern w:val="0"/>
    </w:rPr>
  </w:style>
  <w:style w:type="paragraph" w:customStyle="1" w:styleId="97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980">
    <w:name w:val="列表接续 31"/>
    <w:basedOn w:val="1"/>
    <w:qFormat/>
    <w:uiPriority w:val="0"/>
    <w:pPr>
      <w:adjustRightInd w:val="0"/>
      <w:snapToGrid w:val="0"/>
      <w:spacing w:after="120"/>
      <w:ind w:left="1260" w:leftChars="600" w:firstLine="200" w:firstLineChars="200"/>
    </w:pPr>
    <w:rPr>
      <w:rFonts w:eastAsia="Times New Roman"/>
      <w:szCs w:val="20"/>
    </w:rPr>
  </w:style>
  <w:style w:type="paragraph" w:customStyle="1" w:styleId="981">
    <w:name w:val="CM2"/>
    <w:basedOn w:val="499"/>
    <w:next w:val="499"/>
    <w:qFormat/>
    <w:uiPriority w:val="0"/>
    <w:rPr>
      <w:sz w:val="24"/>
      <w:szCs w:val="24"/>
    </w:rPr>
  </w:style>
  <w:style w:type="paragraph" w:customStyle="1" w:styleId="982">
    <w:name w:val="xl29"/>
    <w:basedOn w:val="1"/>
    <w:qFormat/>
    <w:uiPriority w:val="0"/>
    <w:pPr>
      <w:widowControl/>
      <w:pBdr>
        <w:left w:val="single" w:color="auto" w:sz="8" w:space="0"/>
        <w:right w:val="single" w:color="auto" w:sz="8" w:space="0"/>
      </w:pBdr>
      <w:spacing w:before="100" w:beforeAutospacing="1" w:after="100" w:afterAutospacing="1"/>
      <w:jc w:val="center"/>
    </w:pPr>
    <w:rPr>
      <w:rFonts w:ascii="Arial Unicode MS" w:hAnsi="Arial Unicode MS" w:eastAsia="Arial Unicode MS"/>
      <w:kern w:val="0"/>
    </w:rPr>
  </w:style>
  <w:style w:type="paragraph" w:customStyle="1" w:styleId="983">
    <w:name w:val="样式表格"/>
    <w:basedOn w:val="1"/>
    <w:qFormat/>
    <w:uiPriority w:val="0"/>
    <w:pPr>
      <w:widowControl/>
    </w:pPr>
    <w:rPr>
      <w:color w:val="000000"/>
      <w:kern w:val="0"/>
    </w:rPr>
  </w:style>
  <w:style w:type="paragraph" w:customStyle="1" w:styleId="984">
    <w:name w:val="xl40"/>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rPr>
  </w:style>
  <w:style w:type="paragraph" w:customStyle="1" w:styleId="985">
    <w:name w:val="样式 题注 + 五号 加粗 居中"/>
    <w:basedOn w:val="1"/>
    <w:qFormat/>
    <w:uiPriority w:val="0"/>
    <w:pPr>
      <w:spacing w:beforeLines="20"/>
      <w:jc w:val="center"/>
    </w:pPr>
    <w:rPr>
      <w:rFonts w:ascii="Arial" w:hAnsi="Arial" w:eastAsia="黑体"/>
      <w:b/>
      <w:bCs/>
    </w:rPr>
  </w:style>
  <w:style w:type="paragraph" w:customStyle="1" w:styleId="986">
    <w:name w:val="表标题1"/>
    <w:basedOn w:val="223"/>
    <w:qFormat/>
    <w:uiPriority w:val="0"/>
    <w:pPr>
      <w:jc w:val="center"/>
    </w:pPr>
  </w:style>
  <w:style w:type="paragraph" w:customStyle="1" w:styleId="987">
    <w:name w:val="xl50"/>
    <w:basedOn w:val="1"/>
    <w:qFormat/>
    <w:uiPriority w:val="0"/>
    <w:pPr>
      <w:widowControl/>
      <w:pBdr>
        <w:left w:val="single" w:color="auto" w:sz="8" w:space="0"/>
        <w:bottom w:val="single" w:color="auto" w:sz="8" w:space="0"/>
        <w:right w:val="single" w:color="auto" w:sz="4" w:space="0"/>
      </w:pBdr>
      <w:spacing w:before="100" w:beforeAutospacing="1" w:after="100" w:afterAutospacing="1"/>
      <w:jc w:val="center"/>
    </w:pPr>
    <w:rPr>
      <w:kern w:val="0"/>
    </w:rPr>
  </w:style>
  <w:style w:type="paragraph" w:customStyle="1" w:styleId="988">
    <w:name w:val="规划正文"/>
    <w:basedOn w:val="1"/>
    <w:qFormat/>
    <w:uiPriority w:val="0"/>
    <w:pPr>
      <w:ind w:firstLine="200" w:firstLineChars="200"/>
    </w:pPr>
    <w:rPr>
      <w:szCs w:val="20"/>
    </w:rPr>
  </w:style>
  <w:style w:type="paragraph" w:customStyle="1" w:styleId="989">
    <w:name w:val="xl73"/>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u w:val="single"/>
    </w:rPr>
  </w:style>
  <w:style w:type="paragraph" w:customStyle="1" w:styleId="990">
    <w:name w:val="样式 四号 首行缩进:  1.92 字符"/>
    <w:basedOn w:val="1"/>
    <w:qFormat/>
    <w:uiPriority w:val="0"/>
    <w:pPr>
      <w:widowControl/>
      <w:ind w:firstLine="560" w:firstLineChars="200"/>
    </w:pPr>
    <w:rPr>
      <w:sz w:val="28"/>
      <w:szCs w:val="28"/>
    </w:rPr>
  </w:style>
  <w:style w:type="paragraph" w:customStyle="1" w:styleId="991">
    <w:name w:val="Table1"/>
    <w:basedOn w:val="1"/>
    <w:qFormat/>
    <w:uiPriority w:val="0"/>
    <w:pPr>
      <w:tabs>
        <w:tab w:val="left" w:pos="560"/>
      </w:tabs>
      <w:snapToGrid w:val="0"/>
      <w:spacing w:line="460" w:lineRule="atLeast"/>
      <w:jc w:val="center"/>
    </w:pPr>
    <w:rPr>
      <w:kern w:val="10"/>
      <w:szCs w:val="20"/>
    </w:rPr>
  </w:style>
  <w:style w:type="paragraph" w:customStyle="1" w:styleId="992">
    <w:name w:val="小4黑居中行1"/>
    <w:qFormat/>
    <w:uiPriority w:val="0"/>
    <w:pPr>
      <w:spacing w:line="360" w:lineRule="auto"/>
      <w:jc w:val="center"/>
    </w:pPr>
    <w:rPr>
      <w:rFonts w:ascii="Times New Roman" w:hAnsi="Times New Roman" w:eastAsia="宋体" w:cs="Times New Roman"/>
      <w:kern w:val="2"/>
      <w:sz w:val="21"/>
      <w:szCs w:val="20"/>
      <w:lang w:val="en-US" w:eastAsia="zh-CN" w:bidi="ar-SA"/>
    </w:rPr>
  </w:style>
  <w:style w:type="paragraph" w:customStyle="1" w:styleId="993">
    <w:name w:val="F-3级标题"/>
    <w:basedOn w:val="11"/>
    <w:next w:val="1"/>
    <w:qFormat/>
    <w:uiPriority w:val="0"/>
    <w:pPr>
      <w:spacing w:before="60" w:after="60" w:line="240" w:lineRule="auto"/>
    </w:pPr>
    <w:rPr>
      <w:rFonts w:eastAsia="黑体"/>
      <w:b w:val="0"/>
      <w:sz w:val="30"/>
    </w:rPr>
  </w:style>
  <w:style w:type="character" w:customStyle="1" w:styleId="994">
    <w:name w:val="样式 样式 正文首行缩进 + 首行缩进:  2 字符 + 首行缩进:  2 字符 Char"/>
    <w:link w:val="995"/>
    <w:qFormat/>
    <w:locked/>
    <w:uiPriority w:val="0"/>
    <w:rPr>
      <w:rFonts w:ascii="宋体" w:hAnsi="宋体" w:eastAsia="黑体" w:cs="宋体"/>
      <w:b/>
      <w:bCs/>
      <w:color w:val="000000"/>
      <w:sz w:val="28"/>
      <w:szCs w:val="24"/>
    </w:rPr>
  </w:style>
  <w:style w:type="paragraph" w:customStyle="1" w:styleId="995">
    <w:name w:val="样式 样式 正文首行缩进 + 首行缩进:  2 字符 + 首行缩进:  2 字符"/>
    <w:basedOn w:val="382"/>
    <w:link w:val="994"/>
    <w:qFormat/>
    <w:uiPriority w:val="0"/>
    <w:pPr>
      <w:spacing w:after="0"/>
      <w:ind w:firstLine="200"/>
    </w:pPr>
    <w:rPr>
      <w:szCs w:val="24"/>
    </w:rPr>
  </w:style>
  <w:style w:type="paragraph" w:customStyle="1" w:styleId="996">
    <w:name w:val="宏福正文-2"/>
    <w:basedOn w:val="64"/>
    <w:qFormat/>
    <w:uiPriority w:val="0"/>
    <w:pPr>
      <w:adjustRightInd w:val="0"/>
      <w:spacing w:before="240" w:line="400" w:lineRule="atLeast"/>
      <w:ind w:firstLine="567" w:firstLineChars="0"/>
    </w:pPr>
    <w:rPr>
      <w:kern w:val="21"/>
      <w:sz w:val="21"/>
      <w:szCs w:val="20"/>
    </w:rPr>
  </w:style>
  <w:style w:type="paragraph" w:customStyle="1" w:styleId="997">
    <w:name w:val="表标题11.1"/>
    <w:basedOn w:val="1"/>
    <w:qFormat/>
    <w:uiPriority w:val="0"/>
    <w:pPr>
      <w:spacing w:beforeLines="100" w:line="0" w:lineRule="atLeast"/>
      <w:jc w:val="center"/>
    </w:pPr>
    <w:rPr>
      <w:b/>
    </w:rPr>
  </w:style>
  <w:style w:type="paragraph" w:customStyle="1" w:styleId="998">
    <w:name w:val="A 2 Ende ohne"/>
    <w:basedOn w:val="1"/>
    <w:qFormat/>
    <w:uiPriority w:val="0"/>
    <w:pPr>
      <w:widowControl/>
      <w:tabs>
        <w:tab w:val="left" w:pos="992"/>
        <w:tab w:val="right" w:pos="1418"/>
        <w:tab w:val="left" w:pos="1560"/>
        <w:tab w:val="left" w:pos="4536"/>
        <w:tab w:val="decimal" w:pos="5954"/>
        <w:tab w:val="left" w:pos="7088"/>
        <w:tab w:val="decimal" w:pos="8505"/>
      </w:tabs>
      <w:ind w:left="1559" w:hanging="567"/>
      <w:jc w:val="left"/>
    </w:pPr>
    <w:rPr>
      <w:rFonts w:ascii="Arial" w:hAnsi="Arial"/>
      <w:kern w:val="0"/>
      <w:sz w:val="22"/>
      <w:szCs w:val="20"/>
      <w:lang w:val="de-DE" w:eastAsia="de-DE"/>
    </w:rPr>
  </w:style>
  <w:style w:type="paragraph" w:customStyle="1" w:styleId="999">
    <w:name w:val="正文首行缩进两字"/>
    <w:basedOn w:val="1"/>
    <w:qFormat/>
    <w:uiPriority w:val="0"/>
    <w:pPr>
      <w:snapToGrid w:val="0"/>
      <w:spacing w:line="300" w:lineRule="auto"/>
      <w:ind w:firstLine="200" w:firstLineChars="200"/>
    </w:pPr>
    <w:rPr>
      <w:color w:val="000000"/>
      <w:kern w:val="0"/>
      <w:sz w:val="28"/>
      <w:szCs w:val="20"/>
    </w:rPr>
  </w:style>
  <w:style w:type="paragraph" w:customStyle="1" w:styleId="1000">
    <w:name w:val="ST20_32"/>
    <w:basedOn w:val="46"/>
    <w:qFormat/>
    <w:uiPriority w:val="0"/>
    <w:pPr>
      <w:keepLines/>
      <w:tabs>
        <w:tab w:val="center" w:pos="4320"/>
        <w:tab w:val="clear" w:pos="4153"/>
        <w:tab w:val="clear" w:pos="8306"/>
      </w:tabs>
      <w:autoSpaceDE w:val="0"/>
      <w:autoSpaceDN w:val="0"/>
      <w:adjustRightInd w:val="0"/>
      <w:snapToGrid/>
      <w:spacing w:line="360" w:lineRule="atLeast"/>
      <w:jc w:val="center"/>
    </w:pPr>
    <w:rPr>
      <w:rFonts w:hAnsi="Tms Rmn"/>
      <w:kern w:val="0"/>
      <w:sz w:val="28"/>
      <w:szCs w:val="20"/>
    </w:rPr>
  </w:style>
  <w:style w:type="paragraph" w:customStyle="1" w:styleId="1001">
    <w:name w:val="xl35"/>
    <w:basedOn w:val="1"/>
    <w:qFormat/>
    <w:uiPriority w:val="0"/>
    <w:pPr>
      <w:widowControl/>
      <w:pBdr>
        <w:left w:val="single" w:color="auto" w:sz="4" w:space="0"/>
        <w:bottom w:val="single" w:color="auto" w:sz="4" w:space="0"/>
      </w:pBdr>
      <w:spacing w:before="100" w:beforeAutospacing="1" w:after="100" w:afterAutospacing="1"/>
      <w:jc w:val="center"/>
    </w:pPr>
    <w:rPr>
      <w:rFonts w:ascii="Arial Unicode MS" w:hAnsi="Arial Unicode MS"/>
      <w:kern w:val="0"/>
      <w:sz w:val="16"/>
      <w:szCs w:val="16"/>
    </w:rPr>
  </w:style>
  <w:style w:type="paragraph" w:customStyle="1" w:styleId="1002">
    <w:name w:val="表格内容"/>
    <w:basedOn w:val="1"/>
    <w:qFormat/>
    <w:uiPriority w:val="0"/>
    <w:pPr>
      <w:jc w:val="center"/>
    </w:pPr>
    <w:rPr>
      <w:rFonts w:ascii="Arial" w:hAnsi="Arial"/>
      <w:szCs w:val="22"/>
    </w:rPr>
  </w:style>
  <w:style w:type="paragraph" w:customStyle="1" w:styleId="1003">
    <w:name w:val="正文文本4"/>
    <w:basedOn w:val="1"/>
    <w:qFormat/>
    <w:uiPriority w:val="0"/>
    <w:pPr>
      <w:spacing w:line="440" w:lineRule="exact"/>
      <w:jc w:val="center"/>
    </w:pPr>
  </w:style>
  <w:style w:type="paragraph" w:customStyle="1" w:styleId="1004">
    <w:name w:val="正文中对齐"/>
    <w:basedOn w:val="1"/>
    <w:qFormat/>
    <w:uiPriority w:val="0"/>
    <w:pPr>
      <w:snapToGrid w:val="0"/>
      <w:spacing w:before="60" w:after="60" w:line="60" w:lineRule="atLeast"/>
      <w:jc w:val="center"/>
    </w:pPr>
    <w:rPr>
      <w:szCs w:val="20"/>
    </w:rPr>
  </w:style>
  <w:style w:type="paragraph" w:customStyle="1" w:styleId="1005">
    <w:name w:val="xl106"/>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16"/>
      <w:szCs w:val="16"/>
    </w:rPr>
  </w:style>
  <w:style w:type="paragraph" w:customStyle="1" w:styleId="1006">
    <w:name w:val="正文文本缩进 31"/>
    <w:basedOn w:val="1"/>
    <w:qFormat/>
    <w:uiPriority w:val="0"/>
    <w:pPr>
      <w:adjustRightInd w:val="0"/>
      <w:spacing w:line="360" w:lineRule="atLeast"/>
      <w:ind w:firstLine="480"/>
    </w:pPr>
    <w:rPr>
      <w:kern w:val="0"/>
      <w:szCs w:val="20"/>
    </w:rPr>
  </w:style>
  <w:style w:type="character" w:customStyle="1" w:styleId="1007">
    <w:name w:val="Subtle Emphasis"/>
    <w:qFormat/>
    <w:uiPriority w:val="0"/>
    <w:rPr>
      <w:i/>
      <w:color w:val="5A5A5A"/>
    </w:rPr>
  </w:style>
  <w:style w:type="character" w:customStyle="1" w:styleId="1008">
    <w:name w:val="Intense Emphasis"/>
    <w:qFormat/>
    <w:uiPriority w:val="0"/>
    <w:rPr>
      <w:b/>
      <w:i/>
      <w:sz w:val="24"/>
      <w:szCs w:val="24"/>
      <w:u w:val="single"/>
    </w:rPr>
  </w:style>
  <w:style w:type="character" w:customStyle="1" w:styleId="1009">
    <w:name w:val="Subtle Reference"/>
    <w:qFormat/>
    <w:uiPriority w:val="0"/>
    <w:rPr>
      <w:sz w:val="24"/>
      <w:szCs w:val="24"/>
      <w:u w:val="single"/>
    </w:rPr>
  </w:style>
  <w:style w:type="character" w:customStyle="1" w:styleId="1010">
    <w:name w:val="Intense Reference"/>
    <w:qFormat/>
    <w:uiPriority w:val="0"/>
    <w:rPr>
      <w:b/>
      <w:sz w:val="24"/>
      <w:u w:val="single"/>
    </w:rPr>
  </w:style>
  <w:style w:type="character" w:customStyle="1" w:styleId="1011">
    <w:name w:val="Book Title"/>
    <w:qFormat/>
    <w:uiPriority w:val="0"/>
    <w:rPr>
      <w:rFonts w:hint="default" w:ascii="Cambria" w:hAnsi="Cambria" w:eastAsia="宋体"/>
      <w:b/>
      <w:i/>
      <w:sz w:val="24"/>
      <w:szCs w:val="24"/>
    </w:rPr>
  </w:style>
  <w:style w:type="character" w:customStyle="1" w:styleId="1012">
    <w:name w:val="H7 Char"/>
    <w:qFormat/>
    <w:uiPriority w:val="0"/>
    <w:rPr>
      <w:rFonts w:hint="eastAsia" w:ascii="宋体" w:hAnsi="宋体" w:eastAsia="宋体"/>
      <w:b/>
      <w:kern w:val="2"/>
      <w:sz w:val="24"/>
      <w:lang w:val="en-US" w:eastAsia="zh-CN" w:bidi="ar-SA"/>
    </w:rPr>
  </w:style>
  <w:style w:type="character" w:customStyle="1" w:styleId="1013">
    <w:name w:val="font61"/>
    <w:qFormat/>
    <w:uiPriority w:val="0"/>
    <w:rPr>
      <w:rFonts w:hint="default" w:ascii="Times New Roman" w:hAnsi="Times New Roman" w:cs="Times New Roman"/>
      <w:color w:val="000000"/>
      <w:sz w:val="21"/>
      <w:szCs w:val="21"/>
      <w:u w:val="none"/>
    </w:rPr>
  </w:style>
  <w:style w:type="character" w:customStyle="1" w:styleId="1014">
    <w:name w:val="style41"/>
    <w:qFormat/>
    <w:uiPriority w:val="0"/>
    <w:rPr>
      <w:rFonts w:hint="eastAsia" w:ascii="宋体" w:hAnsi="宋体" w:eastAsia="宋体"/>
      <w:b/>
      <w:bCs/>
      <w:color w:val="000000"/>
      <w:sz w:val="36"/>
      <w:szCs w:val="36"/>
    </w:rPr>
  </w:style>
  <w:style w:type="character" w:customStyle="1" w:styleId="1015">
    <w:name w:val="脚注 Char"/>
    <w:qFormat/>
    <w:uiPriority w:val="0"/>
    <w:rPr>
      <w:rFonts w:hint="default" w:ascii="Arial" w:hAnsi="Arial" w:eastAsia="黑体" w:cs="Arial"/>
      <w:kern w:val="2"/>
      <w:sz w:val="21"/>
      <w:szCs w:val="21"/>
      <w:lang w:val="en-US" w:eastAsia="zh-CN" w:bidi="ar-SA"/>
    </w:rPr>
  </w:style>
  <w:style w:type="character" w:customStyle="1" w:styleId="1016">
    <w:name w:val="mytext1"/>
    <w:qFormat/>
    <w:uiPriority w:val="0"/>
  </w:style>
  <w:style w:type="character" w:customStyle="1" w:styleId="1017">
    <w:name w:val="标题 3XW Char5"/>
    <w:qFormat/>
    <w:uiPriority w:val="0"/>
    <w:rPr>
      <w:rFonts w:hint="eastAsia" w:ascii="宋体" w:hAnsi="宋体" w:eastAsia="宋体"/>
      <w:b/>
      <w:bCs/>
      <w:kern w:val="2"/>
      <w:sz w:val="32"/>
      <w:szCs w:val="32"/>
      <w:lang w:val="en-US" w:eastAsia="zh-CN" w:bidi="ar-SA"/>
    </w:rPr>
  </w:style>
  <w:style w:type="character" w:customStyle="1" w:styleId="1018">
    <w:name w:val="页眉1 Char"/>
    <w:qFormat/>
    <w:uiPriority w:val="0"/>
    <w:rPr>
      <w:rFonts w:hint="eastAsia" w:ascii="宋体" w:hAnsi="宋体" w:eastAsia="宋体"/>
      <w:sz w:val="18"/>
      <w:szCs w:val="18"/>
      <w:lang w:bidi="ar-SA"/>
    </w:rPr>
  </w:style>
  <w:style w:type="character" w:customStyle="1" w:styleId="1019">
    <w:name w:val="green"/>
    <w:basedOn w:val="68"/>
    <w:qFormat/>
    <w:uiPriority w:val="0"/>
  </w:style>
  <w:style w:type="character" w:customStyle="1" w:styleId="1020">
    <w:name w:val="detail"/>
    <w:qFormat/>
    <w:uiPriority w:val="0"/>
  </w:style>
  <w:style w:type="character" w:customStyle="1" w:styleId="1021">
    <w:name w:val="content2"/>
    <w:qFormat/>
    <w:uiPriority w:val="0"/>
  </w:style>
  <w:style w:type="character" w:customStyle="1" w:styleId="1022">
    <w:name w:val="Char Char212"/>
    <w:qFormat/>
    <w:uiPriority w:val="0"/>
    <w:rPr>
      <w:rFonts w:hint="eastAsia" w:ascii="宋体" w:hAnsi="宋体" w:eastAsia="宋体"/>
      <w:kern w:val="2"/>
      <w:sz w:val="24"/>
      <w:szCs w:val="22"/>
      <w:lang w:val="en-US" w:eastAsia="zh-CN" w:bidi="ar-SA"/>
    </w:rPr>
  </w:style>
  <w:style w:type="character" w:customStyle="1" w:styleId="1023">
    <w:name w:val="表格居中 Char"/>
    <w:qFormat/>
    <w:uiPriority w:val="0"/>
    <w:rPr>
      <w:rFonts w:hint="eastAsia" w:ascii="宋体" w:hAnsi="宋体" w:eastAsia="宋体" w:cs="宋体"/>
      <w:snapToGrid w:val="0"/>
      <w:spacing w:val="-4"/>
      <w:w w:val="90"/>
      <w:sz w:val="24"/>
      <w:szCs w:val="24"/>
      <w:lang w:val="en-US" w:eastAsia="zh-CN" w:bidi="ar-SA"/>
    </w:rPr>
  </w:style>
  <w:style w:type="character" w:customStyle="1" w:styleId="1024">
    <w:name w:val="postbody1"/>
    <w:qFormat/>
    <w:uiPriority w:val="0"/>
    <w:rPr>
      <w:spacing w:val="270"/>
      <w:sz w:val="21"/>
      <w:szCs w:val="21"/>
    </w:rPr>
  </w:style>
  <w:style w:type="character" w:customStyle="1" w:styleId="1025">
    <w:name w:val="style6"/>
    <w:qFormat/>
    <w:uiPriority w:val="0"/>
  </w:style>
  <w:style w:type="character" w:customStyle="1" w:styleId="1026">
    <w:name w:val="标题 9 Char1"/>
    <w:qFormat/>
    <w:uiPriority w:val="0"/>
    <w:rPr>
      <w:rFonts w:hint="default" w:ascii="Cambria" w:hAnsi="Cambria" w:eastAsia="宋体" w:cs="Times New Roman"/>
      <w:kern w:val="2"/>
      <w:sz w:val="21"/>
      <w:szCs w:val="21"/>
    </w:rPr>
  </w:style>
  <w:style w:type="character" w:customStyle="1" w:styleId="1027">
    <w:name w:val="HTML 引文1"/>
    <w:qFormat/>
    <w:uiPriority w:val="0"/>
    <w:rPr>
      <w:i/>
    </w:rPr>
  </w:style>
  <w:style w:type="character" w:customStyle="1" w:styleId="1028">
    <w:name w:val="燕山正文 Char"/>
    <w:qFormat/>
    <w:uiPriority w:val="0"/>
    <w:rPr>
      <w:rFonts w:hint="default" w:ascii="Arial" w:hAnsi="Arial" w:eastAsia="宋体" w:cs="Arial"/>
      <w:snapToGrid w:val="0"/>
      <w:spacing w:val="10"/>
      <w:sz w:val="24"/>
      <w:szCs w:val="24"/>
      <w:lang w:val="en-US" w:eastAsia="zh-CN" w:bidi="ar-SA"/>
    </w:rPr>
  </w:style>
  <w:style w:type="character" w:customStyle="1" w:styleId="1029">
    <w:name w:val="正文文本 Char1"/>
    <w:qFormat/>
    <w:locked/>
    <w:uiPriority w:val="0"/>
    <w:rPr>
      <w:kern w:val="2"/>
      <w:sz w:val="21"/>
      <w:szCs w:val="24"/>
    </w:rPr>
  </w:style>
  <w:style w:type="character" w:customStyle="1" w:styleId="1030">
    <w:name w:val="style31"/>
    <w:qFormat/>
    <w:uiPriority w:val="0"/>
    <w:rPr>
      <w:color w:val="174D65"/>
      <w:sz w:val="18"/>
      <w:szCs w:val="18"/>
    </w:rPr>
  </w:style>
  <w:style w:type="character" w:customStyle="1" w:styleId="1031">
    <w:name w:val="引用 Char1"/>
    <w:qFormat/>
    <w:uiPriority w:val="0"/>
    <w:rPr>
      <w:i/>
      <w:iCs/>
      <w:color w:val="000000"/>
      <w:kern w:val="2"/>
      <w:sz w:val="21"/>
      <w:szCs w:val="22"/>
    </w:rPr>
  </w:style>
  <w:style w:type="character" w:customStyle="1" w:styleId="1032">
    <w:name w:val="f16b1"/>
    <w:qFormat/>
    <w:uiPriority w:val="0"/>
    <w:rPr>
      <w:b/>
      <w:bCs/>
      <w:color w:val="333333"/>
      <w:sz w:val="24"/>
      <w:szCs w:val="24"/>
    </w:rPr>
  </w:style>
  <w:style w:type="character" w:customStyle="1" w:styleId="1033">
    <w:name w:val="f_heading1"/>
    <w:qFormat/>
    <w:uiPriority w:val="0"/>
  </w:style>
  <w:style w:type="character" w:customStyle="1" w:styleId="1034">
    <w:name w:val="3zw1"/>
    <w:qFormat/>
    <w:uiPriority w:val="0"/>
    <w:rPr>
      <w:color w:val="000000"/>
      <w:spacing w:val="360"/>
      <w:sz w:val="21"/>
      <w:szCs w:val="21"/>
    </w:rPr>
  </w:style>
  <w:style w:type="character" w:customStyle="1" w:styleId="1035">
    <w:name w:val="正文001 Char Char"/>
    <w:qFormat/>
    <w:uiPriority w:val="0"/>
    <w:rPr>
      <w:rFonts w:hint="eastAsia" w:ascii="宋体" w:hAnsi="宋体" w:eastAsia="宋体"/>
      <w:kern w:val="2"/>
      <w:sz w:val="24"/>
      <w:lang w:val="en-US" w:eastAsia="zh-CN" w:bidi="ar-SA"/>
    </w:rPr>
  </w:style>
  <w:style w:type="character" w:customStyle="1" w:styleId="1036">
    <w:name w:val="duanluo2"/>
    <w:qFormat/>
    <w:uiPriority w:val="0"/>
    <w:rPr>
      <w:rFonts w:hint="default" w:ascii="_GB2312" w:hAnsi="_GB2312"/>
      <w:color w:val="000000"/>
      <w:spacing w:val="432"/>
      <w:sz w:val="21"/>
      <w:szCs w:val="21"/>
    </w:rPr>
  </w:style>
  <w:style w:type="character" w:customStyle="1" w:styleId="1037">
    <w:name w:val="标题2 Char"/>
    <w:qFormat/>
    <w:uiPriority w:val="0"/>
    <w:rPr>
      <w:rFonts w:hint="default" w:ascii="Times New Roman" w:hAnsi="Times New Roman" w:eastAsia="宋体" w:cs="Times New Roman"/>
      <w:sz w:val="30"/>
      <w:szCs w:val="30"/>
    </w:rPr>
  </w:style>
  <w:style w:type="character" w:customStyle="1" w:styleId="1038">
    <w:name w:val="普通文字 Char Char"/>
    <w:qFormat/>
    <w:uiPriority w:val="0"/>
    <w:rPr>
      <w:rFonts w:hint="eastAsia" w:ascii="宋体" w:hAnsi="Courier New" w:eastAsia="宋体" w:cs="Courier New"/>
      <w:szCs w:val="21"/>
    </w:rPr>
  </w:style>
  <w:style w:type="character" w:customStyle="1" w:styleId="1039">
    <w:name w:val="表题 Char"/>
    <w:qFormat/>
    <w:uiPriority w:val="0"/>
    <w:rPr>
      <w:rFonts w:hint="eastAsia" w:ascii="宋体" w:hAnsi="宋体" w:eastAsia="宋体"/>
      <w:b/>
      <w:spacing w:val="12"/>
      <w:w w:val="90"/>
      <w:kern w:val="2"/>
      <w:sz w:val="24"/>
      <w:szCs w:val="24"/>
      <w:lang w:val="en-US" w:eastAsia="zh-CN" w:bidi="ar-SA"/>
    </w:rPr>
  </w:style>
  <w:style w:type="character" w:customStyle="1" w:styleId="1040">
    <w:name w:val="页眉1 Char2"/>
    <w:qFormat/>
    <w:uiPriority w:val="0"/>
    <w:rPr>
      <w:rFonts w:hint="eastAsia" w:ascii="宋体" w:hAnsi="宋体" w:eastAsia="宋体"/>
      <w:sz w:val="18"/>
      <w:szCs w:val="18"/>
      <w:lang w:bidi="ar-SA"/>
    </w:rPr>
  </w:style>
  <w:style w:type="character" w:customStyle="1" w:styleId="1041">
    <w:name w:val="标题 Char2"/>
    <w:qFormat/>
    <w:uiPriority w:val="0"/>
    <w:rPr>
      <w:rFonts w:hint="default" w:ascii="Cambria" w:hAnsi="Cambria" w:cs="Times New Roman"/>
      <w:b/>
      <w:bCs/>
      <w:kern w:val="2"/>
      <w:sz w:val="32"/>
      <w:szCs w:val="32"/>
    </w:rPr>
  </w:style>
  <w:style w:type="character" w:customStyle="1" w:styleId="1042">
    <w:name w:val="style9 style60"/>
    <w:qFormat/>
    <w:uiPriority w:val="0"/>
  </w:style>
  <w:style w:type="character" w:customStyle="1" w:styleId="1043">
    <w:name w:val="hangju1"/>
    <w:qFormat/>
    <w:uiPriority w:val="0"/>
    <w:rPr>
      <w:spacing w:val="340"/>
    </w:rPr>
  </w:style>
  <w:style w:type="character" w:customStyle="1" w:styleId="1044">
    <w:name w:val="正文文本缩进 3 Char1"/>
    <w:qFormat/>
    <w:uiPriority w:val="0"/>
    <w:rPr>
      <w:kern w:val="2"/>
      <w:sz w:val="16"/>
      <w:szCs w:val="16"/>
    </w:rPr>
  </w:style>
  <w:style w:type="character" w:customStyle="1" w:styleId="1045">
    <w:name w:val="Body Text 2 Char3"/>
    <w:qFormat/>
    <w:uiPriority w:val="0"/>
    <w:rPr>
      <w:rFonts w:hint="eastAsia" w:ascii="宋体" w:hAnsi="宋体" w:eastAsia="宋体"/>
      <w:kern w:val="2"/>
      <w:sz w:val="24"/>
      <w:lang w:val="en-US" w:eastAsia="zh-CN" w:bidi="ar-SA"/>
    </w:rPr>
  </w:style>
  <w:style w:type="character" w:customStyle="1" w:styleId="1046">
    <w:name w:val="a1"/>
    <w:qFormat/>
    <w:uiPriority w:val="0"/>
    <w:rPr>
      <w:color w:val="000000"/>
      <w:spacing w:val="270"/>
      <w:sz w:val="21"/>
      <w:szCs w:val="21"/>
    </w:rPr>
  </w:style>
  <w:style w:type="character" w:customStyle="1" w:styleId="1047">
    <w:name w:val="正文文本缩进 Char3"/>
    <w:qFormat/>
    <w:uiPriority w:val="0"/>
    <w:rPr>
      <w:rFonts w:hint="eastAsia" w:ascii="宋体" w:hAnsi="宋体" w:eastAsia="宋体"/>
      <w:kern w:val="2"/>
      <w:sz w:val="21"/>
      <w:szCs w:val="24"/>
      <w:lang w:val="en-US" w:eastAsia="zh-CN" w:bidi="ar-SA"/>
    </w:rPr>
  </w:style>
  <w:style w:type="character" w:customStyle="1" w:styleId="1048">
    <w:name w:val="HTML 缩写1"/>
    <w:basedOn w:val="68"/>
    <w:qFormat/>
    <w:uiPriority w:val="0"/>
  </w:style>
  <w:style w:type="character" w:customStyle="1" w:styleId="1049">
    <w:name w:val="javascript"/>
    <w:basedOn w:val="68"/>
    <w:qFormat/>
    <w:uiPriority w:val="0"/>
  </w:style>
  <w:style w:type="character" w:customStyle="1" w:styleId="1050">
    <w:name w:val="t_tag"/>
    <w:qFormat/>
    <w:uiPriority w:val="0"/>
  </w:style>
  <w:style w:type="character" w:customStyle="1" w:styleId="1051">
    <w:name w:val="正文 + 首行缩进:  2 字符 Char"/>
    <w:qFormat/>
    <w:uiPriority w:val="0"/>
    <w:rPr>
      <w:rFonts w:hint="eastAsia" w:ascii="宋体" w:hAnsi="宋体" w:eastAsia="宋体"/>
      <w:spacing w:val="12"/>
      <w:kern w:val="2"/>
      <w:sz w:val="24"/>
      <w:lang w:val="en-US" w:eastAsia="zh-CN" w:bidi="ar-SA"/>
    </w:rPr>
  </w:style>
  <w:style w:type="character" w:customStyle="1" w:styleId="1052">
    <w:name w:val="一级标题 Char"/>
    <w:qFormat/>
    <w:uiPriority w:val="0"/>
    <w:rPr>
      <w:rFonts w:hint="eastAsia" w:ascii="宋体" w:hAnsi="宋体" w:eastAsia="宋体"/>
      <w:b/>
      <w:bCs/>
      <w:kern w:val="44"/>
      <w:sz w:val="32"/>
      <w:szCs w:val="32"/>
      <w:lang w:bidi="ar-SA"/>
    </w:rPr>
  </w:style>
  <w:style w:type="character" w:customStyle="1" w:styleId="1053">
    <w:name w:val="样式 正文1 + 首行缩进:  2 字符 Char"/>
    <w:qFormat/>
    <w:uiPriority w:val="0"/>
    <w:rPr>
      <w:rFonts w:hint="eastAsia" w:ascii="宋体" w:hAnsi="宋体" w:eastAsia="宋体" w:cs="宋体"/>
      <w:kern w:val="2"/>
      <w:sz w:val="24"/>
      <w:szCs w:val="24"/>
      <w:lang w:val="en-US" w:eastAsia="zh-CN" w:bidi="ar-SA"/>
    </w:rPr>
  </w:style>
  <w:style w:type="character" w:customStyle="1" w:styleId="1054">
    <w:name w:val="标题 11"/>
    <w:qFormat/>
    <w:uiPriority w:val="0"/>
    <w:rPr>
      <w:rFonts w:hint="eastAsia" w:ascii="宋体" w:hAnsi="宋体" w:eastAsia="宋体"/>
      <w:b/>
      <w:bCs/>
      <w:spacing w:val="12"/>
      <w:kern w:val="44"/>
      <w:sz w:val="44"/>
      <w:szCs w:val="44"/>
      <w:lang w:val="en-US" w:eastAsia="zh-CN" w:bidi="ar-SA"/>
    </w:rPr>
  </w:style>
  <w:style w:type="character" w:customStyle="1" w:styleId="1055">
    <w:name w:val="HTML 变量1"/>
    <w:qFormat/>
    <w:uiPriority w:val="0"/>
    <w:rPr>
      <w:i/>
    </w:rPr>
  </w:style>
  <w:style w:type="character" w:customStyle="1" w:styleId="1056">
    <w:name w:val="表正文 Char1 Char Char"/>
    <w:qFormat/>
    <w:uiPriority w:val="0"/>
    <w:rPr>
      <w:rFonts w:hint="eastAsia" w:ascii="宋体" w:hAnsi="宋体" w:eastAsia="宋体"/>
      <w:sz w:val="28"/>
      <w:lang w:val="en-US" w:eastAsia="zh-CN" w:bidi="ar-SA"/>
    </w:rPr>
  </w:style>
  <w:style w:type="character" w:customStyle="1" w:styleId="1057">
    <w:name w:val="正文文本最新 Char Char Char1 Char Char Char Char Char Char Char"/>
    <w:qFormat/>
    <w:uiPriority w:val="0"/>
    <w:rPr>
      <w:rFonts w:hint="eastAsia" w:ascii="宋体" w:hAnsi="宋体" w:eastAsia="宋体"/>
      <w:b/>
      <w:bCs/>
      <w:kern w:val="2"/>
      <w:sz w:val="28"/>
      <w:szCs w:val="24"/>
      <w:lang w:val="en-US" w:eastAsia="zh-CN" w:bidi="ar-SA"/>
    </w:rPr>
  </w:style>
  <w:style w:type="character" w:customStyle="1" w:styleId="1058">
    <w:name w:val="Char Char Char3"/>
    <w:qFormat/>
    <w:uiPriority w:val="0"/>
    <w:rPr>
      <w:rFonts w:hint="eastAsia" w:ascii="宋体" w:hAnsi="宋体" w:eastAsia="宋体"/>
      <w:kern w:val="2"/>
      <w:sz w:val="28"/>
      <w:szCs w:val="28"/>
      <w:lang w:val="en-US" w:eastAsia="zh-CN" w:bidi="ar-SA"/>
    </w:rPr>
  </w:style>
  <w:style w:type="character" w:customStyle="1" w:styleId="1059">
    <w:name w:val="HTML 代码1"/>
    <w:qFormat/>
    <w:uiPriority w:val="0"/>
    <w:rPr>
      <w:rFonts w:hint="default" w:ascii="Courier New" w:hAnsi="Courier New" w:cs="Courier New"/>
      <w:sz w:val="20"/>
    </w:rPr>
  </w:style>
  <w:style w:type="character" w:customStyle="1" w:styleId="1060">
    <w:name w:val="style21"/>
    <w:qFormat/>
    <w:uiPriority w:val="0"/>
    <w:rPr>
      <w:sz w:val="20"/>
      <w:szCs w:val="20"/>
    </w:rPr>
  </w:style>
  <w:style w:type="character" w:customStyle="1" w:styleId="1061">
    <w:name w:val="样式5 Char3"/>
    <w:qFormat/>
    <w:uiPriority w:val="0"/>
    <w:rPr>
      <w:rFonts w:hint="eastAsia" w:ascii="宋体" w:hAnsi="宋体" w:eastAsia="宋体"/>
      <w:b/>
      <w:kern w:val="22"/>
      <w:sz w:val="28"/>
      <w:szCs w:val="28"/>
      <w:lang w:bidi="ar-SA"/>
    </w:rPr>
  </w:style>
  <w:style w:type="character" w:customStyle="1" w:styleId="1062">
    <w:name w:val="y标题1 Char"/>
    <w:qFormat/>
    <w:uiPriority w:val="0"/>
    <w:rPr>
      <w:rFonts w:hint="default" w:ascii="Calibri" w:hAnsi="Calibri" w:eastAsia="黑体" w:cs="Calibri"/>
      <w:b/>
      <w:bCs/>
      <w:kern w:val="44"/>
      <w:sz w:val="32"/>
      <w:szCs w:val="28"/>
      <w:lang w:val="en-US" w:eastAsia="zh-CN"/>
    </w:rPr>
  </w:style>
  <w:style w:type="character" w:customStyle="1" w:styleId="1063">
    <w:name w:val="批注引用1"/>
    <w:qFormat/>
    <w:uiPriority w:val="0"/>
    <w:rPr>
      <w:sz w:val="21"/>
    </w:rPr>
  </w:style>
  <w:style w:type="character" w:customStyle="1" w:styleId="1064">
    <w:name w:val="g"/>
    <w:basedOn w:val="68"/>
    <w:qFormat/>
    <w:uiPriority w:val="0"/>
  </w:style>
  <w:style w:type="character" w:customStyle="1" w:styleId="1065">
    <w:name w:val="Char Char13"/>
    <w:qFormat/>
    <w:uiPriority w:val="0"/>
    <w:rPr>
      <w:sz w:val="18"/>
      <w:szCs w:val="18"/>
    </w:rPr>
  </w:style>
  <w:style w:type="character" w:customStyle="1" w:styleId="1066">
    <w:name w:val="1.1标题2 Char"/>
    <w:qFormat/>
    <w:uiPriority w:val="0"/>
    <w:rPr>
      <w:rFonts w:hint="default" w:ascii="Arial" w:hAnsi="Arial" w:eastAsia="黑体" w:cs="Arial"/>
      <w:bCs/>
      <w:kern w:val="2"/>
      <w:sz w:val="32"/>
      <w:szCs w:val="32"/>
      <w:lang w:val="en-US" w:eastAsia="zh-CN" w:bidi="ar-SA"/>
    </w:rPr>
  </w:style>
  <w:style w:type="character" w:customStyle="1" w:styleId="1067">
    <w:name w:val="11"/>
    <w:basedOn w:val="68"/>
    <w:qFormat/>
    <w:uiPriority w:val="0"/>
  </w:style>
  <w:style w:type="character" w:customStyle="1" w:styleId="1068">
    <w:name w:val="Char Char45"/>
    <w:qFormat/>
    <w:uiPriority w:val="0"/>
    <w:rPr>
      <w:rFonts w:hint="eastAsia" w:ascii="宋体" w:hAnsi="宋体" w:eastAsia="宋体"/>
      <w:kern w:val="2"/>
      <w:sz w:val="21"/>
      <w:szCs w:val="21"/>
      <w:lang w:val="en-US" w:eastAsia="zh-CN" w:bidi="ar-SA"/>
    </w:rPr>
  </w:style>
  <w:style w:type="character" w:customStyle="1" w:styleId="1069">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hint="eastAsia" w:ascii="宋体" w:hAnsi="宋体" w:eastAsia="宋体"/>
      <w:kern w:val="2"/>
      <w:sz w:val="21"/>
      <w:szCs w:val="24"/>
      <w:lang w:val="en-US" w:eastAsia="zh-CN" w:bidi="ar-SA"/>
    </w:rPr>
  </w:style>
  <w:style w:type="character" w:customStyle="1" w:styleId="1070">
    <w:name w:val="font81"/>
    <w:qFormat/>
    <w:uiPriority w:val="0"/>
    <w:rPr>
      <w:rFonts w:hint="default" w:ascii="Times New Roman" w:hAnsi="Times New Roman" w:cs="Times New Roman"/>
      <w:color w:val="000000"/>
      <w:sz w:val="21"/>
      <w:szCs w:val="21"/>
      <w:u w:val="none"/>
    </w:rPr>
  </w:style>
  <w:style w:type="character" w:customStyle="1" w:styleId="1071">
    <w:name w:val="HTML 打字机1"/>
    <w:qFormat/>
    <w:uiPriority w:val="0"/>
    <w:rPr>
      <w:rFonts w:hint="default" w:ascii="Courier New" w:hAnsi="Courier New" w:cs="Courier New"/>
      <w:sz w:val="20"/>
    </w:rPr>
  </w:style>
  <w:style w:type="character" w:customStyle="1" w:styleId="1072">
    <w:name w:val="段落1 Char"/>
    <w:qFormat/>
    <w:uiPriority w:val="0"/>
    <w:rPr>
      <w:rFonts w:hint="eastAsia" w:ascii="宋体" w:hAnsi="宋体" w:eastAsia="宋体"/>
      <w:color w:val="000000"/>
      <w:kern w:val="2"/>
      <w:sz w:val="24"/>
      <w:szCs w:val="24"/>
      <w:lang w:val="en-US" w:eastAsia="zh-CN" w:bidi="ar-SA"/>
    </w:rPr>
  </w:style>
  <w:style w:type="character" w:customStyle="1" w:styleId="1073">
    <w:name w:val="model11"/>
    <w:qFormat/>
    <w:uiPriority w:val="0"/>
    <w:rPr>
      <w:rFonts w:hint="eastAsia" w:ascii="宋体" w:hAnsi="宋体" w:eastAsia="宋体"/>
      <w:sz w:val="18"/>
      <w:szCs w:val="18"/>
      <w:u w:val="none"/>
    </w:rPr>
  </w:style>
  <w:style w:type="character" w:customStyle="1" w:styleId="1074">
    <w:name w:val="正文首行缩进 Char1"/>
    <w:qFormat/>
    <w:uiPriority w:val="0"/>
  </w:style>
  <w:style w:type="character" w:customStyle="1" w:styleId="1075">
    <w:name w:val="style12"/>
    <w:qFormat/>
    <w:uiPriority w:val="0"/>
  </w:style>
  <w:style w:type="character" w:customStyle="1" w:styleId="1076">
    <w:name w:val="标题 1 Char Char"/>
    <w:qFormat/>
    <w:uiPriority w:val="0"/>
    <w:rPr>
      <w:rFonts w:hint="eastAsia" w:ascii="宋体" w:hAnsi="宋体" w:eastAsia="宋体"/>
      <w:b/>
      <w:bCs/>
      <w:kern w:val="44"/>
      <w:sz w:val="24"/>
      <w:szCs w:val="24"/>
      <w:lang w:val="en-US" w:eastAsia="zh-CN" w:bidi="ar-SA"/>
    </w:rPr>
  </w:style>
  <w:style w:type="character" w:customStyle="1" w:styleId="1077">
    <w:name w:val="页码1"/>
    <w:basedOn w:val="68"/>
    <w:qFormat/>
    <w:uiPriority w:val="0"/>
  </w:style>
  <w:style w:type="character" w:customStyle="1" w:styleId="1078">
    <w:name w:val="Char Char121"/>
    <w:qFormat/>
    <w:uiPriority w:val="0"/>
    <w:rPr>
      <w:rFonts w:hint="eastAsia" w:ascii="宋体" w:hAnsi="宋体" w:eastAsia="宋体"/>
      <w:sz w:val="24"/>
      <w:szCs w:val="24"/>
      <w:lang w:bidi="ar-SA"/>
    </w:rPr>
  </w:style>
  <w:style w:type="character" w:customStyle="1" w:styleId="1079">
    <w:name w:val="Char Char37"/>
    <w:qFormat/>
    <w:uiPriority w:val="0"/>
    <w:rPr>
      <w:rFonts w:hint="default" w:ascii="Arial" w:hAnsi="Arial" w:eastAsia="黑体" w:cs="Arial"/>
      <w:b/>
      <w:bCs/>
      <w:sz w:val="24"/>
      <w:szCs w:val="32"/>
      <w:lang w:bidi="ar-SA"/>
    </w:rPr>
  </w:style>
  <w:style w:type="character" w:customStyle="1" w:styleId="1080">
    <w:name w:val="r1"/>
    <w:qFormat/>
    <w:uiPriority w:val="0"/>
    <w:rPr>
      <w:spacing w:val="300"/>
      <w:sz w:val="20"/>
      <w:szCs w:val="20"/>
    </w:rPr>
  </w:style>
  <w:style w:type="character" w:customStyle="1" w:styleId="1081">
    <w:name w:val="content021"/>
    <w:qFormat/>
    <w:uiPriority w:val="0"/>
    <w:rPr>
      <w:color w:val="444444"/>
      <w:spacing w:val="386"/>
      <w:sz w:val="25"/>
      <w:szCs w:val="25"/>
      <w:u w:val="none"/>
    </w:rPr>
  </w:style>
  <w:style w:type="character" w:customStyle="1" w:styleId="1082">
    <w:name w:val="a121"/>
    <w:qFormat/>
    <w:uiPriority w:val="0"/>
    <w:rPr>
      <w:rFonts w:hint="eastAsia" w:ascii="ˎ̥" w:hAnsi="ˎ̥" w:eastAsia="ˎ̥"/>
      <w:color w:val="004891"/>
      <w:sz w:val="18"/>
      <w:szCs w:val="18"/>
      <w:u w:val="none"/>
    </w:rPr>
  </w:style>
  <w:style w:type="character" w:customStyle="1" w:styleId="1083">
    <w:name w:val="正文文字 Char Char Char2"/>
    <w:qFormat/>
    <w:uiPriority w:val="0"/>
    <w:rPr>
      <w:rFonts w:hint="eastAsia" w:ascii="宋体" w:hAnsi="宋体" w:eastAsia="宋体"/>
      <w:kern w:val="2"/>
      <w:sz w:val="21"/>
      <w:szCs w:val="24"/>
      <w:lang w:val="en-US" w:eastAsia="zh-CN" w:bidi="ar-SA"/>
    </w:rPr>
  </w:style>
  <w:style w:type="character" w:customStyle="1" w:styleId="1084">
    <w:name w:val="headline-content2"/>
    <w:basedOn w:val="68"/>
    <w:qFormat/>
    <w:uiPriority w:val="0"/>
  </w:style>
  <w:style w:type="character" w:customStyle="1" w:styleId="1085">
    <w:name w:val="Char Char4"/>
    <w:qFormat/>
    <w:uiPriority w:val="0"/>
    <w:rPr>
      <w:rFonts w:hint="eastAsia" w:ascii="宋体" w:hAnsi="宋体" w:eastAsia="宋体"/>
      <w:kern w:val="2"/>
      <w:sz w:val="21"/>
      <w:szCs w:val="24"/>
      <w:lang w:val="en-US" w:eastAsia="zh-CN" w:bidi="ar-SA"/>
    </w:rPr>
  </w:style>
  <w:style w:type="character" w:customStyle="1" w:styleId="1086">
    <w:name w:val="普通文字 Char"/>
    <w:qFormat/>
    <w:uiPriority w:val="0"/>
    <w:rPr>
      <w:rFonts w:hint="eastAsia" w:ascii="宋体" w:hAnsi="宋体" w:eastAsia="宋体"/>
      <w:kern w:val="2"/>
      <w:sz w:val="28"/>
      <w:szCs w:val="28"/>
      <w:lang w:val="en-US" w:eastAsia="zh-CN" w:bidi="ar-SA"/>
    </w:rPr>
  </w:style>
  <w:style w:type="character" w:customStyle="1" w:styleId="1087">
    <w:name w:val="副标题 Char1"/>
    <w:qFormat/>
    <w:uiPriority w:val="0"/>
    <w:rPr>
      <w:rFonts w:hint="default" w:ascii="Cambria" w:hAnsi="Cambria" w:cs="Times New Roman"/>
      <w:b/>
      <w:bCs/>
      <w:kern w:val="28"/>
      <w:sz w:val="32"/>
      <w:szCs w:val="32"/>
    </w:rPr>
  </w:style>
  <w:style w:type="character" w:customStyle="1" w:styleId="1088">
    <w:name w:val="正文 Char"/>
    <w:qFormat/>
    <w:uiPriority w:val="0"/>
    <w:rPr>
      <w:rFonts w:hint="eastAsia" w:ascii="宋体" w:hAnsi="Arial Black" w:eastAsia="仿宋_GB2312"/>
      <w:kern w:val="18"/>
      <w:sz w:val="28"/>
      <w:lang w:val="en-US" w:eastAsia="zh-CN" w:bidi="ar-SA"/>
    </w:rPr>
  </w:style>
  <w:style w:type="character" w:customStyle="1" w:styleId="1089">
    <w:name w:val="表格 Char"/>
    <w:qFormat/>
    <w:uiPriority w:val="0"/>
    <w:rPr>
      <w:rFonts w:hint="eastAsia" w:ascii="宋体" w:hAnsi="宋体" w:eastAsia="宋体"/>
      <w:kern w:val="2"/>
      <w:sz w:val="21"/>
      <w:szCs w:val="21"/>
      <w:lang w:val="en-US" w:eastAsia="zh-CN" w:bidi="ar-SA"/>
    </w:rPr>
  </w:style>
  <w:style w:type="character" w:customStyle="1" w:styleId="1090">
    <w:name w:val="页脚 Char1"/>
    <w:qFormat/>
    <w:uiPriority w:val="0"/>
    <w:rPr>
      <w:kern w:val="2"/>
      <w:sz w:val="18"/>
      <w:szCs w:val="18"/>
    </w:rPr>
  </w:style>
  <w:style w:type="character" w:customStyle="1" w:styleId="1091">
    <w:name w:val="gb13-30"/>
    <w:qFormat/>
    <w:uiPriority w:val="0"/>
  </w:style>
  <w:style w:type="character" w:customStyle="1" w:styleId="1092">
    <w:name w:val="Char Char21"/>
    <w:qFormat/>
    <w:uiPriority w:val="0"/>
    <w:rPr>
      <w:rFonts w:hint="eastAsia" w:ascii="宋体" w:hAnsi="宋体" w:eastAsia="宋体"/>
      <w:kern w:val="2"/>
      <w:sz w:val="24"/>
      <w:szCs w:val="22"/>
      <w:lang w:val="en-US" w:eastAsia="zh-CN" w:bidi="ar-SA"/>
    </w:rPr>
  </w:style>
  <w:style w:type="character" w:customStyle="1" w:styleId="1093">
    <w:name w:val="批注文字 Char Char"/>
    <w:qFormat/>
    <w:uiPriority w:val="0"/>
    <w:rPr>
      <w:rFonts w:hint="eastAsia" w:ascii="方正仿宋简体" w:eastAsia="方正仿宋简体"/>
      <w:kern w:val="2"/>
      <w:sz w:val="32"/>
      <w:szCs w:val="24"/>
      <w:lang w:val="en-US" w:eastAsia="zh-CN" w:bidi="ar-SA"/>
    </w:rPr>
  </w:style>
  <w:style w:type="character" w:customStyle="1" w:styleId="1094">
    <w:name w:val="页眉 Char1"/>
    <w:qFormat/>
    <w:uiPriority w:val="0"/>
    <w:rPr>
      <w:kern w:val="2"/>
      <w:sz w:val="18"/>
      <w:szCs w:val="18"/>
    </w:rPr>
  </w:style>
  <w:style w:type="character" w:customStyle="1" w:styleId="1095">
    <w:name w:val="可研-正文 Char1"/>
    <w:qFormat/>
    <w:uiPriority w:val="0"/>
    <w:rPr>
      <w:rFonts w:hint="eastAsia" w:ascii="宋体" w:hAnsi="宋体" w:eastAsia="宋体"/>
      <w:kern w:val="2"/>
      <w:sz w:val="28"/>
      <w:szCs w:val="24"/>
      <w:lang w:val="en-US" w:eastAsia="zh-CN" w:bidi="ar-SA"/>
    </w:rPr>
  </w:style>
  <w:style w:type="character" w:customStyle="1" w:styleId="1096">
    <w:name w:val="H3 Char"/>
    <w:qFormat/>
    <w:uiPriority w:val="0"/>
    <w:rPr>
      <w:rFonts w:hint="eastAsia" w:ascii="宋体" w:hAnsi="宋体" w:eastAsia="宋体"/>
      <w:b/>
      <w:bCs/>
      <w:sz w:val="24"/>
      <w:szCs w:val="32"/>
      <w:lang w:bidi="ar-SA"/>
    </w:rPr>
  </w:style>
  <w:style w:type="character" w:customStyle="1" w:styleId="1097">
    <w:name w:val="正文1 Char"/>
    <w:qFormat/>
    <w:uiPriority w:val="0"/>
    <w:rPr>
      <w:rFonts w:hint="eastAsia" w:ascii="宋体" w:hAnsi="宋体" w:eastAsia="宋体" w:cs="Arial"/>
      <w:kern w:val="2"/>
      <w:sz w:val="28"/>
      <w:szCs w:val="28"/>
      <w:lang w:val="en-US" w:eastAsia="zh-CN" w:bidi="ar-SA"/>
    </w:rPr>
  </w:style>
  <w:style w:type="character" w:customStyle="1" w:styleId="1098">
    <w:name w:val="页眉 Char3"/>
    <w:qFormat/>
    <w:locked/>
    <w:uiPriority w:val="0"/>
    <w:rPr>
      <w:kern w:val="2"/>
      <w:sz w:val="18"/>
      <w:szCs w:val="18"/>
    </w:rPr>
  </w:style>
  <w:style w:type="character" w:customStyle="1" w:styleId="1099">
    <w:name w:val="info"/>
    <w:qFormat/>
    <w:uiPriority w:val="0"/>
  </w:style>
  <w:style w:type="character" w:customStyle="1" w:styleId="1100">
    <w:name w:val="批注主题 Char2"/>
    <w:qFormat/>
    <w:locked/>
    <w:uiPriority w:val="0"/>
    <w:rPr>
      <w:b/>
      <w:bCs/>
      <w:kern w:val="2"/>
      <w:sz w:val="21"/>
      <w:szCs w:val="24"/>
    </w:rPr>
  </w:style>
  <w:style w:type="character" w:customStyle="1" w:styleId="1101">
    <w:name w:val="正文文字缩进 Char Char"/>
    <w:qFormat/>
    <w:uiPriority w:val="0"/>
    <w:rPr>
      <w:rFonts w:hint="eastAsia" w:ascii="宋体" w:hAnsi="宋体" w:eastAsia="宋体"/>
      <w:kern w:val="2"/>
      <w:sz w:val="21"/>
      <w:szCs w:val="24"/>
      <w:lang w:val="en-US" w:eastAsia="zh-CN" w:bidi="ar-SA"/>
    </w:rPr>
  </w:style>
  <w:style w:type="character" w:customStyle="1" w:styleId="1102">
    <w:name w:val="网格型c Char1"/>
    <w:qFormat/>
    <w:uiPriority w:val="0"/>
    <w:rPr>
      <w:rFonts w:hint="eastAsia" w:ascii="宋体" w:hAnsi="宋体" w:eastAsia="宋体"/>
      <w:kern w:val="2"/>
      <w:sz w:val="21"/>
      <w:szCs w:val="21"/>
      <w:lang w:val="en-US" w:eastAsia="zh-CN" w:bidi="ar-SA"/>
    </w:rPr>
  </w:style>
  <w:style w:type="character" w:customStyle="1" w:styleId="1103">
    <w:name w:val="无悬挂正文5号 Char Char"/>
    <w:qFormat/>
    <w:uiPriority w:val="0"/>
    <w:rPr>
      <w:rFonts w:hint="eastAsia" w:ascii="宋体" w:hAnsi="宋体" w:eastAsia="宋体"/>
      <w:kern w:val="2"/>
      <w:sz w:val="21"/>
      <w:szCs w:val="24"/>
      <w:lang w:val="en-US" w:eastAsia="zh-CN" w:bidi="ar-SA"/>
    </w:rPr>
  </w:style>
  <w:style w:type="character" w:customStyle="1" w:styleId="1104">
    <w:name w:val="正文缩进 Char"/>
    <w:qFormat/>
    <w:uiPriority w:val="0"/>
    <w:rPr>
      <w:rFonts w:hint="eastAsia" w:ascii="宋体" w:hAnsi="宋体" w:eastAsia="宋体"/>
      <w:kern w:val="2"/>
      <w:sz w:val="24"/>
      <w:lang w:val="en-US" w:eastAsia="zh-CN" w:bidi="ar-SA"/>
    </w:rPr>
  </w:style>
  <w:style w:type="character" w:customStyle="1" w:styleId="1105">
    <w:name w:val="Char Char372"/>
    <w:qFormat/>
    <w:uiPriority w:val="0"/>
    <w:rPr>
      <w:rFonts w:hint="default" w:ascii="Arial" w:hAnsi="Arial" w:eastAsia="黑体" w:cs="Arial"/>
      <w:b/>
      <w:bCs/>
      <w:sz w:val="24"/>
      <w:szCs w:val="32"/>
      <w:lang w:bidi="ar-SA"/>
    </w:rPr>
  </w:style>
  <w:style w:type="character" w:customStyle="1" w:styleId="1106">
    <w:name w:val="行号1"/>
    <w:basedOn w:val="68"/>
    <w:qFormat/>
    <w:uiPriority w:val="0"/>
  </w:style>
  <w:style w:type="character" w:customStyle="1" w:styleId="1107">
    <w:name w:val="标题 4 Char1"/>
    <w:qFormat/>
    <w:uiPriority w:val="0"/>
    <w:rPr>
      <w:rFonts w:hint="default" w:ascii="Arial" w:hAnsi="Arial" w:eastAsia="宋体" w:cs="Arial"/>
      <w:sz w:val="24"/>
      <w:lang w:val="en-US" w:eastAsia="zh-CN" w:bidi="ar-SA"/>
    </w:rPr>
  </w:style>
  <w:style w:type="character" w:customStyle="1" w:styleId="1108">
    <w:name w:val="rd1"/>
    <w:qFormat/>
    <w:uiPriority w:val="0"/>
    <w:rPr>
      <w:rFonts w:hint="eastAsia" w:ascii="ˎ̥" w:hAnsi="ˎ̥" w:eastAsia="ˎ̥"/>
      <w:b/>
      <w:bCs/>
      <w:color w:val="900000"/>
      <w:sz w:val="19"/>
      <w:szCs w:val="19"/>
    </w:rPr>
  </w:style>
  <w:style w:type="character" w:customStyle="1" w:styleId="1109">
    <w:name w:val="明显引用 Char1"/>
    <w:qFormat/>
    <w:uiPriority w:val="0"/>
    <w:rPr>
      <w:b/>
      <w:bCs/>
      <w:i/>
      <w:iCs/>
      <w:color w:val="4F81BD"/>
      <w:kern w:val="2"/>
      <w:sz w:val="21"/>
      <w:szCs w:val="22"/>
    </w:rPr>
  </w:style>
  <w:style w:type="character" w:customStyle="1" w:styleId="1110">
    <w:name w:val="H1 Char1"/>
    <w:qFormat/>
    <w:uiPriority w:val="0"/>
    <w:rPr>
      <w:rFonts w:hint="default" w:ascii="Cambria" w:hAnsi="Cambria" w:eastAsia="宋体"/>
      <w:b/>
      <w:bCs/>
      <w:kern w:val="32"/>
      <w:sz w:val="32"/>
      <w:szCs w:val="32"/>
      <w:lang w:val="en-US" w:eastAsia="en-US" w:bidi="en-US"/>
    </w:rPr>
  </w:style>
  <w:style w:type="character" w:customStyle="1" w:styleId="1111">
    <w:name w:val="Technik-text Char"/>
    <w:qFormat/>
    <w:uiPriority w:val="0"/>
    <w:rPr>
      <w:rFonts w:hint="default" w:ascii="Arial" w:hAnsi="Arial" w:cs="Arial"/>
      <w:sz w:val="22"/>
      <w:lang w:val="en-GB" w:eastAsia="de-DE" w:bidi="ar-SA"/>
    </w:rPr>
  </w:style>
  <w:style w:type="character" w:customStyle="1" w:styleId="1112">
    <w:name w:val="zw1"/>
    <w:qFormat/>
    <w:uiPriority w:val="0"/>
    <w:rPr>
      <w:rFonts w:hint="eastAsia" w:ascii="宋体" w:hAnsi="宋体" w:eastAsia="宋体"/>
      <w:sz w:val="22"/>
      <w:szCs w:val="22"/>
    </w:rPr>
  </w:style>
  <w:style w:type="character" w:customStyle="1" w:styleId="1113">
    <w:name w:val="表格文字2004"/>
    <w:qFormat/>
    <w:uiPriority w:val="0"/>
    <w:rPr>
      <w:rFonts w:hint="eastAsia" w:ascii="宋体" w:hAnsi="宋体" w:eastAsia="宋体"/>
      <w:sz w:val="24"/>
    </w:rPr>
  </w:style>
  <w:style w:type="character" w:customStyle="1" w:styleId="1114">
    <w:name w:val="正文文本缩进 2 Char1"/>
    <w:qFormat/>
    <w:uiPriority w:val="0"/>
    <w:rPr>
      <w:kern w:val="2"/>
      <w:sz w:val="24"/>
      <w:szCs w:val="22"/>
    </w:rPr>
  </w:style>
  <w:style w:type="character" w:customStyle="1" w:styleId="1115">
    <w:name w:val="正文文 Char"/>
    <w:qFormat/>
    <w:uiPriority w:val="0"/>
    <w:rPr>
      <w:rFonts w:hint="eastAsia" w:ascii="宋体" w:hAnsi="宋体" w:eastAsia="宋体" w:cs="宋体"/>
      <w:kern w:val="2"/>
      <w:sz w:val="24"/>
      <w:lang w:val="en-US" w:eastAsia="zh-CN" w:bidi="ar-SA"/>
    </w:rPr>
  </w:style>
  <w:style w:type="character" w:customStyle="1" w:styleId="1116">
    <w:name w:val="正文1 Char3"/>
    <w:qFormat/>
    <w:uiPriority w:val="0"/>
    <w:rPr>
      <w:rFonts w:hint="eastAsia" w:ascii="宋体" w:hAnsi="宋体" w:eastAsia="宋体"/>
      <w:kern w:val="2"/>
      <w:sz w:val="24"/>
      <w:szCs w:val="24"/>
      <w:lang w:val="en-US" w:eastAsia="zh-CN" w:bidi="ar-SA"/>
    </w:rPr>
  </w:style>
  <w:style w:type="character" w:customStyle="1" w:styleId="1117">
    <w:name w:val="标题 Char1"/>
    <w:qFormat/>
    <w:uiPriority w:val="0"/>
    <w:rPr>
      <w:rFonts w:hint="default" w:ascii="Cambria" w:hAnsi="Cambria" w:cs="Times New Roman"/>
      <w:b/>
      <w:bCs/>
      <w:kern w:val="2"/>
      <w:sz w:val="32"/>
      <w:szCs w:val="32"/>
    </w:rPr>
  </w:style>
  <w:style w:type="character" w:customStyle="1" w:styleId="1118">
    <w:name w:val="p141"/>
    <w:qFormat/>
    <w:uiPriority w:val="0"/>
    <w:rPr>
      <w:color w:val="333333"/>
      <w:spacing w:val="330"/>
      <w:sz w:val="21"/>
      <w:szCs w:val="21"/>
    </w:rPr>
  </w:style>
  <w:style w:type="character" w:customStyle="1" w:styleId="1119">
    <w:name w:val="报告正文 Char2"/>
    <w:qFormat/>
    <w:uiPriority w:val="0"/>
    <w:rPr>
      <w:rFonts w:hint="eastAsia" w:ascii="宋体" w:hAnsi="宋体" w:eastAsia="宋体"/>
      <w:kern w:val="2"/>
      <w:sz w:val="24"/>
      <w:lang w:val="en-US" w:eastAsia="zh-CN" w:bidi="ar-SA"/>
    </w:rPr>
  </w:style>
  <w:style w:type="character" w:customStyle="1" w:styleId="1120">
    <w:name w:val="页脚 Char3"/>
    <w:qFormat/>
    <w:locked/>
    <w:uiPriority w:val="0"/>
    <w:rPr>
      <w:kern w:val="2"/>
      <w:sz w:val="18"/>
      <w:szCs w:val="18"/>
    </w:rPr>
  </w:style>
  <w:style w:type="character" w:customStyle="1" w:styleId="1121">
    <w:name w:val="style91"/>
    <w:qFormat/>
    <w:uiPriority w:val="0"/>
    <w:rPr>
      <w:b/>
      <w:bCs/>
      <w:color w:val="187CC8"/>
    </w:rPr>
  </w:style>
  <w:style w:type="character" w:customStyle="1" w:styleId="1122">
    <w:name w:val="h2 Char"/>
    <w:qFormat/>
    <w:uiPriority w:val="0"/>
    <w:rPr>
      <w:rFonts w:hint="default" w:ascii="Arial" w:hAnsi="Arial" w:eastAsia="黑体" w:cs="Arial"/>
      <w:b/>
      <w:kern w:val="2"/>
      <w:sz w:val="32"/>
      <w:lang w:val="en-US" w:eastAsia="zh-CN" w:bidi="ar-SA"/>
    </w:rPr>
  </w:style>
  <w:style w:type="character" w:customStyle="1" w:styleId="1123">
    <w:name w:val="css-text3"/>
    <w:qFormat/>
    <w:uiPriority w:val="0"/>
  </w:style>
  <w:style w:type="character" w:customStyle="1" w:styleId="1124">
    <w:name w:val="font71"/>
    <w:qFormat/>
    <w:uiPriority w:val="0"/>
    <w:rPr>
      <w:rFonts w:hint="eastAsia" w:ascii="宋体" w:hAnsi="宋体" w:eastAsia="宋体" w:cs="宋体"/>
      <w:color w:val="000000"/>
      <w:sz w:val="21"/>
      <w:szCs w:val="21"/>
      <w:u w:val="none"/>
    </w:rPr>
  </w:style>
  <w:style w:type="character" w:customStyle="1" w:styleId="1125">
    <w:name w:val="Char Char5"/>
    <w:qFormat/>
    <w:uiPriority w:val="0"/>
    <w:rPr>
      <w:rFonts w:hint="eastAsia" w:ascii="宋体" w:hAnsi="Courier New" w:eastAsia="宋体" w:cs="Times New Roman"/>
      <w:sz w:val="28"/>
      <w:szCs w:val="21"/>
    </w:rPr>
  </w:style>
  <w:style w:type="character" w:customStyle="1" w:styleId="1126">
    <w:name w:val="apple-style-span"/>
    <w:basedOn w:val="68"/>
    <w:qFormat/>
    <w:uiPriority w:val="0"/>
  </w:style>
  <w:style w:type="character" w:customStyle="1" w:styleId="1127">
    <w:name w:val="普通文字 Char2"/>
    <w:qFormat/>
    <w:uiPriority w:val="0"/>
    <w:rPr>
      <w:rFonts w:hint="eastAsia" w:ascii="宋体" w:hAnsi="Courier New" w:eastAsia="宋体"/>
      <w:kern w:val="2"/>
      <w:sz w:val="28"/>
      <w:lang w:val="en-US" w:eastAsia="zh-CN" w:bidi="ar-SA"/>
    </w:rPr>
  </w:style>
  <w:style w:type="character" w:customStyle="1" w:styleId="1128">
    <w:name w:val="样式 (符号) 宋体 13 磅"/>
    <w:qFormat/>
    <w:uiPriority w:val="0"/>
    <w:rPr>
      <w:rFonts w:hint="eastAsia" w:ascii="宋体" w:hAnsi="宋体" w:eastAsia="宋体"/>
      <w:sz w:val="27"/>
      <w:szCs w:val="27"/>
    </w:rPr>
  </w:style>
  <w:style w:type="character" w:customStyle="1" w:styleId="1129">
    <w:name w:val="表格 Char Char1"/>
    <w:qFormat/>
    <w:uiPriority w:val="0"/>
    <w:rPr>
      <w:rFonts w:hint="eastAsia" w:ascii="宋体" w:hAnsi="宋体" w:eastAsia="宋体"/>
      <w:kern w:val="2"/>
      <w:sz w:val="21"/>
      <w:szCs w:val="21"/>
      <w:lang w:val="en-US" w:eastAsia="zh-CN" w:bidi="ar-SA"/>
    </w:rPr>
  </w:style>
  <w:style w:type="character" w:customStyle="1" w:styleId="1130">
    <w:name w:val="font121"/>
    <w:qFormat/>
    <w:uiPriority w:val="0"/>
    <w:rPr>
      <w:color w:val="000000"/>
      <w:sz w:val="17"/>
      <w:szCs w:val="17"/>
      <w:u w:val="none"/>
    </w:rPr>
  </w:style>
  <w:style w:type="character" w:customStyle="1" w:styleId="1131">
    <w:name w:val="style16 style57"/>
    <w:qFormat/>
    <w:uiPriority w:val="0"/>
  </w:style>
  <w:style w:type="character" w:customStyle="1" w:styleId="1132">
    <w:name w:val="HTML 键盘1"/>
    <w:qFormat/>
    <w:uiPriority w:val="0"/>
    <w:rPr>
      <w:rFonts w:hint="default" w:ascii="Courier New" w:hAnsi="Courier New" w:cs="Courier New"/>
      <w:sz w:val="20"/>
    </w:rPr>
  </w:style>
  <w:style w:type="character" w:customStyle="1" w:styleId="1133">
    <w:name w:val="news1"/>
    <w:qFormat/>
    <w:uiPriority w:val="0"/>
    <w:rPr>
      <w:color w:val="000000"/>
      <w:sz w:val="21"/>
      <w:szCs w:val="21"/>
      <w:u w:val="none"/>
    </w:rPr>
  </w:style>
  <w:style w:type="character" w:customStyle="1" w:styleId="1134">
    <w:name w:val="样式 首行缩进:  2 字符 Char"/>
    <w:qFormat/>
    <w:uiPriority w:val="0"/>
    <w:rPr>
      <w:rFonts w:hint="eastAsia" w:ascii="宋体" w:hAnsi="宋体" w:eastAsia="宋体" w:cs="宋体"/>
      <w:kern w:val="2"/>
      <w:sz w:val="28"/>
      <w:szCs w:val="28"/>
      <w:lang w:val="en-US" w:eastAsia="zh-CN" w:bidi="ar-SA"/>
    </w:rPr>
  </w:style>
  <w:style w:type="character" w:customStyle="1" w:styleId="1135">
    <w:name w:val="lh131"/>
    <w:basedOn w:val="68"/>
    <w:qFormat/>
    <w:uiPriority w:val="0"/>
  </w:style>
  <w:style w:type="character" w:customStyle="1" w:styleId="1136">
    <w:name w:val="9dpi1"/>
    <w:qFormat/>
    <w:uiPriority w:val="0"/>
    <w:rPr>
      <w:spacing w:val="30"/>
      <w:sz w:val="18"/>
      <w:szCs w:val="18"/>
    </w:rPr>
  </w:style>
  <w:style w:type="character" w:customStyle="1" w:styleId="1137">
    <w:name w:val="已访问的超链接1"/>
    <w:qFormat/>
    <w:uiPriority w:val="0"/>
    <w:rPr>
      <w:color w:val="800080"/>
      <w:u w:val="single"/>
    </w:rPr>
  </w:style>
  <w:style w:type="character" w:customStyle="1" w:styleId="1138">
    <w:name w:val="标题 7 Char1"/>
    <w:qFormat/>
    <w:uiPriority w:val="0"/>
    <w:rPr>
      <w:rFonts w:hint="default" w:ascii="Times New Roman" w:hAnsi="Times New Roman" w:cs="Times New Roman"/>
      <w:b/>
      <w:bCs/>
      <w:kern w:val="2"/>
      <w:sz w:val="24"/>
      <w:szCs w:val="24"/>
    </w:rPr>
  </w:style>
  <w:style w:type="character" w:customStyle="1" w:styleId="1139">
    <w:name w:val="google-src-text1"/>
    <w:qFormat/>
    <w:uiPriority w:val="0"/>
    <w:rPr>
      <w:vanish/>
    </w:rPr>
  </w:style>
  <w:style w:type="character" w:customStyle="1" w:styleId="1140">
    <w:name w:val="text_14px1"/>
    <w:qFormat/>
    <w:uiPriority w:val="0"/>
    <w:rPr>
      <w:color w:val="000000"/>
      <w:sz w:val="18"/>
      <w:szCs w:val="18"/>
    </w:rPr>
  </w:style>
  <w:style w:type="character" w:customStyle="1" w:styleId="1141">
    <w:name w:val="标题 8 Char1"/>
    <w:qFormat/>
    <w:uiPriority w:val="0"/>
    <w:rPr>
      <w:rFonts w:hint="default" w:ascii="Cambria" w:hAnsi="Cambria" w:eastAsia="宋体" w:cs="Times New Roman"/>
      <w:kern w:val="2"/>
      <w:sz w:val="24"/>
      <w:szCs w:val="24"/>
    </w:rPr>
  </w:style>
  <w:style w:type="character" w:customStyle="1" w:styleId="1142">
    <w:name w:val="图1-1 Char"/>
    <w:qFormat/>
    <w:uiPriority w:val="0"/>
    <w:rPr>
      <w:rFonts w:hint="eastAsia" w:ascii="宋体" w:hAnsi="宋体" w:eastAsia="宋体"/>
      <w:b/>
      <w:spacing w:val="12"/>
      <w:w w:val="90"/>
      <w:kern w:val="2"/>
      <w:sz w:val="21"/>
      <w:szCs w:val="24"/>
      <w:lang w:val="en-US" w:eastAsia="zh-CN" w:bidi="ar-SA"/>
    </w:rPr>
  </w:style>
  <w:style w:type="character" w:customStyle="1" w:styleId="1143">
    <w:name w:val="脚注文本 Char2"/>
    <w:qFormat/>
    <w:locked/>
    <w:uiPriority w:val="0"/>
    <w:rPr>
      <w:sz w:val="18"/>
      <w:szCs w:val="18"/>
    </w:rPr>
  </w:style>
  <w:style w:type="character" w:customStyle="1" w:styleId="1144">
    <w:name w:val="MB3 Char1"/>
    <w:qFormat/>
    <w:uiPriority w:val="0"/>
    <w:rPr>
      <w:rFonts w:hint="eastAsia" w:ascii="宋体" w:hAnsi="宋体" w:eastAsia="宋体"/>
      <w:b/>
      <w:bCs/>
      <w:kern w:val="2"/>
      <w:sz w:val="32"/>
      <w:szCs w:val="32"/>
      <w:lang w:val="en-US" w:eastAsia="zh-CN" w:bidi="ar-SA"/>
    </w:rPr>
  </w:style>
  <w:style w:type="character" w:customStyle="1" w:styleId="1145">
    <w:name w:val="标题 2 Char Char"/>
    <w:qFormat/>
    <w:uiPriority w:val="0"/>
    <w:rPr>
      <w:rFonts w:hint="default" w:ascii="Arial" w:hAnsi="Arial" w:eastAsia="黑体" w:cs="Arial"/>
      <w:b/>
      <w:kern w:val="2"/>
      <w:sz w:val="32"/>
      <w:lang w:val="en-US" w:eastAsia="zh-CN" w:bidi="ar-SA"/>
    </w:rPr>
  </w:style>
  <w:style w:type="character" w:customStyle="1" w:styleId="1146">
    <w:name w:val="Char Char12"/>
    <w:qFormat/>
    <w:uiPriority w:val="0"/>
    <w:rPr>
      <w:rFonts w:hint="eastAsia" w:ascii="宋体" w:hAnsi="宋体" w:eastAsia="宋体"/>
      <w:sz w:val="24"/>
      <w:szCs w:val="24"/>
      <w:lang w:bidi="ar-SA"/>
    </w:rPr>
  </w:style>
  <w:style w:type="character" w:customStyle="1" w:styleId="1147">
    <w:name w:val="font21"/>
    <w:qFormat/>
    <w:uiPriority w:val="0"/>
    <w:rPr>
      <w:rFonts w:hint="eastAsia" w:ascii="宋体" w:hAnsi="宋体" w:eastAsia="宋体"/>
      <w:color w:val="000000"/>
      <w:sz w:val="21"/>
      <w:szCs w:val="21"/>
      <w:u w:val="none"/>
    </w:rPr>
  </w:style>
  <w:style w:type="character" w:customStyle="1" w:styleId="1148">
    <w:name w:val="无悬挂正文5号 Char"/>
    <w:qFormat/>
    <w:uiPriority w:val="0"/>
    <w:rPr>
      <w:rFonts w:hint="eastAsia" w:ascii="宋体" w:hAnsi="宋体" w:eastAsia="宋体"/>
      <w:kern w:val="2"/>
      <w:sz w:val="21"/>
      <w:szCs w:val="24"/>
      <w:lang w:val="en-US" w:eastAsia="zh-CN" w:bidi="ar-SA"/>
    </w:rPr>
  </w:style>
  <w:style w:type="character" w:customStyle="1" w:styleId="1149">
    <w:name w:val="Char Char122"/>
    <w:qFormat/>
    <w:uiPriority w:val="0"/>
    <w:rPr>
      <w:rFonts w:hint="eastAsia" w:ascii="宋体" w:hAnsi="宋体" w:eastAsia="宋体"/>
      <w:sz w:val="24"/>
      <w:szCs w:val="24"/>
      <w:lang w:bidi="ar-SA"/>
    </w:rPr>
  </w:style>
  <w:style w:type="character" w:customStyle="1" w:styleId="1150">
    <w:name w:val="p14"/>
    <w:qFormat/>
    <w:uiPriority w:val="0"/>
  </w:style>
  <w:style w:type="character" w:customStyle="1" w:styleId="1151">
    <w:name w:val="Char Char362"/>
    <w:qFormat/>
    <w:uiPriority w:val="0"/>
    <w:rPr>
      <w:rFonts w:hint="eastAsia" w:ascii="宋体" w:hAnsi="宋体" w:eastAsia="宋体"/>
      <w:szCs w:val="21"/>
      <w:lang w:bidi="ar-SA"/>
    </w:rPr>
  </w:style>
  <w:style w:type="character" w:customStyle="1" w:styleId="1152">
    <w:name w:val="标题 5XW Char"/>
    <w:qFormat/>
    <w:uiPriority w:val="0"/>
    <w:rPr>
      <w:rFonts w:hint="eastAsia" w:ascii="宋体" w:hAnsi="宋体" w:eastAsia="宋体"/>
      <w:b/>
      <w:bCs/>
      <w:kern w:val="2"/>
      <w:sz w:val="28"/>
      <w:szCs w:val="28"/>
      <w:lang w:val="en-US" w:eastAsia="zh-CN" w:bidi="ar-SA"/>
    </w:rPr>
  </w:style>
  <w:style w:type="character" w:customStyle="1" w:styleId="1153">
    <w:name w:val="Char Char9"/>
    <w:qFormat/>
    <w:uiPriority w:val="0"/>
    <w:rPr>
      <w:rFonts w:hint="default" w:ascii="Arial" w:hAnsi="Arial" w:eastAsia="黑体" w:cs="Times New Roman"/>
      <w:b/>
      <w:bCs/>
      <w:iCs/>
      <w:sz w:val="32"/>
      <w:szCs w:val="32"/>
    </w:rPr>
  </w:style>
  <w:style w:type="character" w:customStyle="1" w:styleId="1154">
    <w:name w:val="text11"/>
    <w:qFormat/>
    <w:uiPriority w:val="0"/>
    <w:rPr>
      <w:spacing w:val="343"/>
      <w:sz w:val="24"/>
    </w:rPr>
  </w:style>
  <w:style w:type="character" w:customStyle="1" w:styleId="1155">
    <w:name w:val="Char Char38"/>
    <w:qFormat/>
    <w:uiPriority w:val="0"/>
    <w:rPr>
      <w:rFonts w:hint="eastAsia" w:ascii="宋体" w:hAnsi="宋体" w:eastAsia="宋体"/>
      <w:b/>
      <w:bCs/>
      <w:kern w:val="44"/>
      <w:sz w:val="44"/>
      <w:szCs w:val="44"/>
      <w:lang w:val="en-US" w:eastAsia="zh-CN" w:bidi="ar-SA"/>
    </w:rPr>
  </w:style>
  <w:style w:type="character" w:customStyle="1" w:styleId="1156">
    <w:name w:val="content1"/>
    <w:qFormat/>
    <w:uiPriority w:val="0"/>
    <w:rPr>
      <w:color w:val="000000"/>
      <w:sz w:val="28"/>
      <w:szCs w:val="28"/>
      <w:u w:val="none"/>
    </w:rPr>
  </w:style>
  <w:style w:type="character" w:customStyle="1" w:styleId="1157">
    <w:name w:val="Char Char Char1"/>
    <w:qFormat/>
    <w:uiPriority w:val="0"/>
    <w:rPr>
      <w:rFonts w:hint="eastAsia" w:ascii="宋体" w:hAnsi="宋体" w:eastAsia="宋体"/>
      <w:kern w:val="2"/>
      <w:sz w:val="28"/>
      <w:szCs w:val="28"/>
      <w:lang w:val="en-US" w:eastAsia="zh-CN" w:bidi="ar-SA"/>
    </w:rPr>
  </w:style>
  <w:style w:type="character" w:customStyle="1" w:styleId="1158">
    <w:name w:val="表头 Char1"/>
    <w:qFormat/>
    <w:uiPriority w:val="0"/>
    <w:rPr>
      <w:rFonts w:hint="eastAsia" w:ascii="黑体" w:hAnsi="黑体" w:eastAsia="黑体"/>
      <w:b/>
      <w:kern w:val="2"/>
      <w:sz w:val="24"/>
      <w:szCs w:val="24"/>
      <w:lang w:val="en-US" w:eastAsia="zh-CN" w:bidi="ar-SA"/>
      <w14:shadow w14:blurRad="50800" w14:dist="38100" w14:dir="2700000" w14:sx="100000" w14:sy="100000" w14:kx="0" w14:ky="0" w14:algn="tl">
        <w14:srgbClr w14:val="000000">
          <w14:alpha w14:val="60000"/>
        </w14:srgbClr>
      </w14:shadow>
    </w:rPr>
  </w:style>
  <w:style w:type="character" w:customStyle="1" w:styleId="1159">
    <w:name w:val="批注框文本 Char1"/>
    <w:qFormat/>
    <w:uiPriority w:val="0"/>
    <w:rPr>
      <w:rFonts w:hint="default" w:ascii="Times New Roman" w:hAnsi="Times New Roman" w:eastAsia="宋体" w:cs="Times New Roman"/>
      <w:sz w:val="18"/>
      <w:szCs w:val="18"/>
    </w:rPr>
  </w:style>
  <w:style w:type="character" w:customStyle="1" w:styleId="1160">
    <w:name w:val="00000000000000000000000 Char Char"/>
    <w:qFormat/>
    <w:uiPriority w:val="0"/>
    <w:rPr>
      <w:rFonts w:hint="eastAsia" w:ascii="黑体" w:hAnsi="黑体" w:eastAsia="黑体"/>
      <w:b/>
      <w:kern w:val="44"/>
      <w:sz w:val="30"/>
      <w:lang w:val="en-US" w:eastAsia="zh-CN"/>
    </w:rPr>
  </w:style>
  <w:style w:type="character" w:customStyle="1" w:styleId="1161">
    <w:name w:val="正文（首行缩进两字） Char Char Char Char Char Char Char Char Char"/>
    <w:qFormat/>
    <w:uiPriority w:val="0"/>
    <w:rPr>
      <w:rFonts w:hint="eastAsia" w:ascii="仿宋_GB2312" w:hAnsi="宋体" w:eastAsia="仿宋_GB2312"/>
      <w:sz w:val="32"/>
      <w:lang w:val="en-US" w:eastAsia="zh-CN" w:bidi="ar-SA"/>
    </w:rPr>
  </w:style>
  <w:style w:type="character" w:customStyle="1" w:styleId="1162">
    <w:name w:val="manage_name"/>
    <w:basedOn w:val="68"/>
    <w:qFormat/>
    <w:uiPriority w:val="0"/>
  </w:style>
  <w:style w:type="character" w:customStyle="1" w:styleId="1163">
    <w:name w:val="正文缩进1 Char"/>
    <w:qFormat/>
    <w:uiPriority w:val="0"/>
    <w:rPr>
      <w:rFonts w:hint="eastAsia" w:ascii="宋体" w:hAnsi="宋体" w:eastAsia="宋体"/>
      <w:kern w:val="2"/>
      <w:sz w:val="21"/>
      <w:szCs w:val="24"/>
      <w:lang w:val="en-US" w:eastAsia="zh-CN" w:bidi="ar-SA"/>
    </w:rPr>
  </w:style>
  <w:style w:type="character" w:customStyle="1" w:styleId="1164">
    <w:name w:val="标题2 Char1"/>
    <w:qFormat/>
    <w:uiPriority w:val="0"/>
    <w:rPr>
      <w:rFonts w:hint="default" w:ascii="Times New Roman" w:hAnsi="Times New Roman" w:eastAsia="宋体" w:cs="Times New Roman"/>
      <w:sz w:val="30"/>
      <w:szCs w:val="30"/>
    </w:rPr>
  </w:style>
  <w:style w:type="character" w:customStyle="1" w:styleId="1165">
    <w:name w:val="Char Char Char2"/>
    <w:qFormat/>
    <w:uiPriority w:val="0"/>
    <w:rPr>
      <w:rFonts w:hint="eastAsia" w:ascii="宋体" w:hAnsi="宋体" w:eastAsia="宋体"/>
      <w:kern w:val="2"/>
      <w:sz w:val="28"/>
      <w:szCs w:val="28"/>
      <w:lang w:val="en-US" w:eastAsia="zh-CN" w:bidi="ar-SA"/>
    </w:rPr>
  </w:style>
  <w:style w:type="character" w:customStyle="1" w:styleId="1166">
    <w:name w:val="newstitle1"/>
    <w:qFormat/>
    <w:uiPriority w:val="0"/>
    <w:rPr>
      <w:rFonts w:hint="eastAsia" w:ascii="宋体" w:hAnsi="宋体" w:eastAsia="宋体"/>
      <w:color w:val="000000"/>
      <w:sz w:val="23"/>
      <w:szCs w:val="23"/>
    </w:rPr>
  </w:style>
  <w:style w:type="character" w:customStyle="1" w:styleId="1167">
    <w:name w:val="Number 4 Char1"/>
    <w:qFormat/>
    <w:uiPriority w:val="0"/>
    <w:rPr>
      <w:rFonts w:hint="eastAsia" w:ascii="宋体" w:hAnsi="宋体" w:eastAsia="宋体" w:cs="宋体"/>
      <w:b/>
      <w:bCs/>
      <w:sz w:val="24"/>
      <w:szCs w:val="24"/>
    </w:rPr>
  </w:style>
  <w:style w:type="character" w:customStyle="1" w:styleId="1168">
    <w:name w:val="Char Char36"/>
    <w:qFormat/>
    <w:uiPriority w:val="0"/>
    <w:rPr>
      <w:rFonts w:hint="eastAsia" w:ascii="宋体" w:hAnsi="宋体" w:eastAsia="宋体"/>
      <w:szCs w:val="21"/>
      <w:lang w:bidi="ar-SA"/>
    </w:rPr>
  </w:style>
  <w:style w:type="character" w:customStyle="1" w:styleId="1169">
    <w:name w:val="pt9"/>
    <w:qFormat/>
    <w:uiPriority w:val="0"/>
  </w:style>
  <w:style w:type="character" w:customStyle="1" w:styleId="1170">
    <w:name w:val="Char Char211"/>
    <w:qFormat/>
    <w:uiPriority w:val="0"/>
    <w:rPr>
      <w:rFonts w:hint="eastAsia" w:ascii="宋体" w:hAnsi="宋体" w:eastAsia="宋体"/>
      <w:kern w:val="2"/>
      <w:sz w:val="24"/>
      <w:szCs w:val="22"/>
      <w:lang w:val="en-US" w:eastAsia="zh-CN" w:bidi="ar-SA"/>
    </w:rPr>
  </w:style>
  <w:style w:type="character" w:customStyle="1" w:styleId="1171">
    <w:name w:val="Sottoparagrafo Char1"/>
    <w:qFormat/>
    <w:uiPriority w:val="0"/>
    <w:rPr>
      <w:rFonts w:hint="eastAsia" w:ascii="宋体" w:hAnsi="宋体" w:eastAsia="宋体"/>
      <w:b/>
      <w:bCs/>
      <w:kern w:val="2"/>
      <w:sz w:val="32"/>
      <w:szCs w:val="32"/>
      <w:lang w:val="en-US" w:eastAsia="zh-CN" w:bidi="ar-SA"/>
    </w:rPr>
  </w:style>
  <w:style w:type="character" w:customStyle="1" w:styleId="1172">
    <w:name w:val="正文文字缩进 2 Char Char"/>
    <w:qFormat/>
    <w:uiPriority w:val="0"/>
    <w:rPr>
      <w:rFonts w:hint="eastAsia" w:ascii="仿宋_GB2312" w:eastAsia="仿宋_GB2312"/>
      <w:kern w:val="2"/>
      <w:sz w:val="28"/>
      <w:lang w:val="en-US" w:eastAsia="zh-CN" w:bidi="ar-SA"/>
    </w:rPr>
  </w:style>
  <w:style w:type="character" w:customStyle="1" w:styleId="1173">
    <w:name w:val="文本 Char"/>
    <w:qFormat/>
    <w:uiPriority w:val="0"/>
    <w:rPr>
      <w:rFonts w:hint="eastAsia" w:ascii="宋体" w:hAnsi="宋体" w:eastAsia="宋体"/>
      <w:bCs/>
      <w:color w:val="000000"/>
      <w:kern w:val="2"/>
      <w:sz w:val="24"/>
      <w:szCs w:val="24"/>
      <w:lang w:val="en-US" w:eastAsia="zh-CN" w:bidi="ar-SA"/>
    </w:rPr>
  </w:style>
  <w:style w:type="character" w:customStyle="1" w:styleId="1174">
    <w:name w:val="一般文字 字元 Char Char"/>
    <w:qFormat/>
    <w:uiPriority w:val="0"/>
    <w:rPr>
      <w:rFonts w:hint="eastAsia" w:ascii="宋体" w:hAnsi="Courier New" w:eastAsia="宋体" w:cs="Courier New"/>
      <w:szCs w:val="21"/>
    </w:rPr>
  </w:style>
  <w:style w:type="character" w:customStyle="1" w:styleId="1175">
    <w:name w:val="style621"/>
    <w:qFormat/>
    <w:uiPriority w:val="0"/>
    <w:rPr>
      <w:color w:val="335150"/>
    </w:rPr>
  </w:style>
  <w:style w:type="character" w:customStyle="1" w:styleId="1176">
    <w:name w:val="Standard F"/>
    <w:qFormat/>
    <w:uiPriority w:val="0"/>
    <w:rPr>
      <w:rFonts w:hint="default" w:ascii="Times New Roman" w:hAnsi="Times New Roman" w:cs="Times New Roman"/>
      <w:b/>
      <w:spacing w:val="10"/>
      <w:sz w:val="24"/>
    </w:rPr>
  </w:style>
  <w:style w:type="character" w:customStyle="1" w:styleId="1177">
    <w:name w:val="Char Char8"/>
    <w:qFormat/>
    <w:uiPriority w:val="0"/>
    <w:rPr>
      <w:rFonts w:hint="eastAsia" w:ascii="宋体" w:hAnsi="宋体" w:eastAsia="宋体"/>
      <w:b/>
      <w:bCs/>
      <w:kern w:val="2"/>
      <w:sz w:val="32"/>
      <w:szCs w:val="32"/>
      <w:lang w:val="en-US" w:eastAsia="zh-CN" w:bidi="ar-SA"/>
    </w:rPr>
  </w:style>
  <w:style w:type="character" w:customStyle="1" w:styleId="1178">
    <w:name w:val="标题 3 Char2"/>
    <w:qFormat/>
    <w:uiPriority w:val="0"/>
    <w:rPr>
      <w:rFonts w:hint="eastAsia" w:ascii="宋体" w:hAnsi="宋体" w:eastAsia="宋体"/>
      <w:b/>
      <w:bCs/>
      <w:kern w:val="2"/>
      <w:sz w:val="32"/>
      <w:szCs w:val="32"/>
      <w:lang w:val="en-US" w:eastAsia="zh-CN" w:bidi="ar-SA"/>
    </w:rPr>
  </w:style>
  <w:style w:type="character" w:customStyle="1" w:styleId="1179">
    <w:name w:val="Char Char41"/>
    <w:qFormat/>
    <w:uiPriority w:val="0"/>
    <w:rPr>
      <w:rFonts w:hint="eastAsia" w:ascii="宋体" w:hAnsi="宋体" w:eastAsia="宋体"/>
      <w:kern w:val="2"/>
      <w:sz w:val="21"/>
      <w:szCs w:val="24"/>
      <w:lang w:val="en-US" w:eastAsia="zh-CN" w:bidi="ar-SA"/>
    </w:rPr>
  </w:style>
  <w:style w:type="character" w:customStyle="1" w:styleId="1180">
    <w:name w:val="font31"/>
    <w:qFormat/>
    <w:uiPriority w:val="0"/>
    <w:rPr>
      <w:rFonts w:hint="eastAsia" w:ascii="宋体" w:hAnsi="宋体" w:eastAsia="宋体"/>
      <w:color w:val="000000"/>
      <w:sz w:val="21"/>
      <w:szCs w:val="21"/>
      <w:u w:val="none"/>
    </w:rPr>
  </w:style>
  <w:style w:type="character" w:customStyle="1" w:styleId="1181">
    <w:name w:val="标题 1 Char1 Char"/>
    <w:qFormat/>
    <w:uiPriority w:val="0"/>
    <w:rPr>
      <w:rFonts w:hint="eastAsia" w:ascii="宋体" w:hAnsi="宋体" w:eastAsia="宋体"/>
      <w:b/>
      <w:kern w:val="44"/>
      <w:sz w:val="44"/>
      <w:szCs w:val="30"/>
    </w:rPr>
  </w:style>
  <w:style w:type="character" w:customStyle="1" w:styleId="1182">
    <w:name w:val="Char Char16"/>
    <w:qFormat/>
    <w:uiPriority w:val="0"/>
    <w:rPr>
      <w:kern w:val="2"/>
      <w:sz w:val="21"/>
      <w:szCs w:val="24"/>
    </w:rPr>
  </w:style>
  <w:style w:type="character" w:customStyle="1" w:styleId="1183">
    <w:name w:val="正文文字 Char4"/>
    <w:qFormat/>
    <w:uiPriority w:val="0"/>
    <w:rPr>
      <w:rFonts w:hint="eastAsia" w:ascii="宋体" w:hAnsi="宋体" w:eastAsia="宋体"/>
      <w:kern w:val="2"/>
      <w:sz w:val="21"/>
      <w:szCs w:val="24"/>
      <w:lang w:val="en-US" w:eastAsia="zh-CN" w:bidi="ar-SA"/>
    </w:rPr>
  </w:style>
  <w:style w:type="character" w:customStyle="1" w:styleId="1184">
    <w:name w:val="表格文字 Char1"/>
    <w:qFormat/>
    <w:uiPriority w:val="0"/>
    <w:rPr>
      <w:rFonts w:hint="eastAsia" w:ascii="宋体" w:hAnsi="宋体" w:eastAsia="宋体"/>
      <w:kern w:val="24"/>
      <w:sz w:val="24"/>
      <w:szCs w:val="24"/>
      <w:lang w:val="en-US" w:eastAsia="zh-CN" w:bidi="ar-SA"/>
    </w:rPr>
  </w:style>
  <w:style w:type="character" w:customStyle="1" w:styleId="1185">
    <w:name w:val="Char Char381"/>
    <w:qFormat/>
    <w:uiPriority w:val="0"/>
    <w:rPr>
      <w:rFonts w:hint="eastAsia" w:ascii="宋体" w:hAnsi="宋体" w:eastAsia="宋体"/>
      <w:b/>
      <w:bCs/>
      <w:kern w:val="44"/>
      <w:sz w:val="44"/>
      <w:szCs w:val="44"/>
      <w:lang w:val="en-US" w:eastAsia="zh-CN" w:bidi="ar-SA"/>
    </w:rPr>
  </w:style>
  <w:style w:type="character" w:customStyle="1" w:styleId="1186">
    <w:name w:val="四级标题 Char"/>
    <w:qFormat/>
    <w:uiPriority w:val="0"/>
    <w:rPr>
      <w:rFonts w:hint="eastAsia" w:ascii="宋体" w:hAnsi="宋体" w:eastAsia="宋体"/>
      <w:b/>
      <w:bCs/>
      <w:kern w:val="2"/>
      <w:sz w:val="24"/>
      <w:szCs w:val="24"/>
      <w:lang w:bidi="ar-SA"/>
    </w:rPr>
  </w:style>
  <w:style w:type="character" w:customStyle="1" w:styleId="1187">
    <w:name w:val="正文(首行缩进)宋旭峰 Char Char"/>
    <w:qFormat/>
    <w:uiPriority w:val="0"/>
    <w:rPr>
      <w:rFonts w:hint="eastAsia" w:ascii="宋体" w:hAnsi="宋体" w:eastAsia="宋体"/>
      <w:snapToGrid w:val="0"/>
      <w:spacing w:val="16"/>
      <w:sz w:val="24"/>
      <w:szCs w:val="24"/>
      <w:lang w:val="en-US" w:eastAsia="zh-CN" w:bidi="ar-SA"/>
    </w:rPr>
  </w:style>
  <w:style w:type="character" w:customStyle="1" w:styleId="1188">
    <w:name w:val="网格型 Char"/>
    <w:qFormat/>
    <w:locked/>
    <w:uiPriority w:val="0"/>
    <w:rPr>
      <w:rFonts w:hint="eastAsia" w:ascii="宋体" w:hAnsi="宋体" w:eastAsia="宋体"/>
      <w:kern w:val="2"/>
      <w:sz w:val="21"/>
      <w:szCs w:val="21"/>
      <w:lang w:val="en-US" w:eastAsia="zh-CN" w:bidi="ar-SA"/>
    </w:rPr>
  </w:style>
  <w:style w:type="paragraph" w:customStyle="1" w:styleId="1189">
    <w:name w:val="样式 【正文】 + 首行缩进:  2 字符"/>
    <w:basedOn w:val="1"/>
    <w:link w:val="1190"/>
    <w:qFormat/>
    <w:uiPriority w:val="0"/>
  </w:style>
  <w:style w:type="character" w:customStyle="1" w:styleId="1190">
    <w:name w:val="样式 【正文】 + 首行缩进:  2 字符 Char"/>
    <w:link w:val="1189"/>
    <w:qFormat/>
    <w:locked/>
    <w:uiPriority w:val="0"/>
    <w:rPr>
      <w:rFonts w:ascii="Times New Roman" w:hAnsi="Times New Roman" w:eastAsia="宋体" w:cs="Times New Roman"/>
      <w:szCs w:val="24"/>
    </w:rPr>
  </w:style>
  <w:style w:type="character" w:customStyle="1" w:styleId="1191">
    <w:name w:val="font51"/>
    <w:qFormat/>
    <w:uiPriority w:val="0"/>
    <w:rPr>
      <w:rFonts w:hint="eastAsia" w:ascii="宋体" w:hAnsi="宋体" w:eastAsia="宋体" w:cs="宋体"/>
      <w:color w:val="000000"/>
      <w:sz w:val="21"/>
      <w:szCs w:val="21"/>
      <w:u w:val="none"/>
    </w:rPr>
  </w:style>
  <w:style w:type="character" w:customStyle="1" w:styleId="1192">
    <w:name w:val="Char Char371"/>
    <w:qFormat/>
    <w:uiPriority w:val="0"/>
    <w:rPr>
      <w:rFonts w:hint="default" w:ascii="Arial" w:hAnsi="Arial" w:eastAsia="黑体" w:cs="Arial"/>
      <w:b/>
      <w:bCs/>
      <w:sz w:val="24"/>
      <w:szCs w:val="32"/>
      <w:lang w:bidi="ar-SA"/>
    </w:rPr>
  </w:style>
  <w:style w:type="character" w:customStyle="1" w:styleId="1193">
    <w:name w:val="unnamed11"/>
    <w:qFormat/>
    <w:uiPriority w:val="0"/>
    <w:rPr>
      <w:color w:val="666666"/>
      <w:sz w:val="18"/>
      <w:szCs w:val="18"/>
    </w:rPr>
  </w:style>
  <w:style w:type="character" w:customStyle="1" w:styleId="1194">
    <w:name w:val="zhenwen141"/>
    <w:qFormat/>
    <w:uiPriority w:val="0"/>
    <w:rPr>
      <w:spacing w:val="330"/>
      <w:sz w:val="21"/>
      <w:szCs w:val="21"/>
    </w:rPr>
  </w:style>
  <w:style w:type="character" w:customStyle="1" w:styleId="1195">
    <w:name w:val="标题 1 Char1"/>
    <w:qFormat/>
    <w:uiPriority w:val="0"/>
    <w:rPr>
      <w:b/>
      <w:bCs/>
      <w:kern w:val="44"/>
      <w:sz w:val="44"/>
      <w:szCs w:val="44"/>
    </w:rPr>
  </w:style>
  <w:style w:type="character" w:customStyle="1" w:styleId="1196">
    <w:name w:val="bt21"/>
    <w:qFormat/>
    <w:uiPriority w:val="0"/>
    <w:rPr>
      <w:rFonts w:hint="eastAsia" w:ascii="黑体" w:hAnsi="黑体" w:eastAsia="黑体"/>
      <w:sz w:val="24"/>
      <w:szCs w:val="24"/>
    </w:rPr>
  </w:style>
  <w:style w:type="character" w:customStyle="1" w:styleId="1197">
    <w:name w:val="En-tête 1.1 Char Char"/>
    <w:qFormat/>
    <w:uiPriority w:val="0"/>
    <w:rPr>
      <w:rFonts w:hint="eastAsia" w:ascii="宋体" w:hAnsi="宋体" w:eastAsia="宋体"/>
      <w:kern w:val="2"/>
      <w:sz w:val="18"/>
      <w:lang w:val="en-US" w:eastAsia="zh-CN"/>
    </w:rPr>
  </w:style>
  <w:style w:type="character" w:customStyle="1" w:styleId="1198">
    <w:name w:val="141"/>
    <w:qFormat/>
    <w:uiPriority w:val="0"/>
    <w:rPr>
      <w:color w:val="000000"/>
      <w:spacing w:val="330"/>
      <w:sz w:val="21"/>
      <w:szCs w:val="21"/>
    </w:rPr>
  </w:style>
  <w:style w:type="character" w:customStyle="1" w:styleId="1199">
    <w:name w:val="标题2"/>
    <w:qFormat/>
    <w:uiPriority w:val="0"/>
  </w:style>
  <w:style w:type="character" w:customStyle="1" w:styleId="1200">
    <w:name w:val="Char Char361"/>
    <w:qFormat/>
    <w:uiPriority w:val="0"/>
    <w:rPr>
      <w:rFonts w:hint="eastAsia" w:ascii="宋体" w:hAnsi="宋体" w:eastAsia="宋体"/>
      <w:szCs w:val="21"/>
      <w:lang w:bidi="ar-SA"/>
    </w:rPr>
  </w:style>
  <w:style w:type="character" w:customStyle="1" w:styleId="1201">
    <w:name w:val="991"/>
    <w:qFormat/>
    <w:uiPriority w:val="0"/>
    <w:rPr>
      <w:rFonts w:hint="default" w:ascii="Arial" w:hAnsi="Arial" w:cs="Arial"/>
      <w:color w:val="FF0000"/>
      <w:sz w:val="18"/>
      <w:szCs w:val="18"/>
      <w:u w:val="none"/>
    </w:rPr>
  </w:style>
  <w:style w:type="character" w:customStyle="1" w:styleId="1202">
    <w:name w:val="标题 6 Char1"/>
    <w:qFormat/>
    <w:uiPriority w:val="0"/>
    <w:rPr>
      <w:rFonts w:hint="default" w:ascii="Cambria" w:hAnsi="Cambria" w:eastAsia="宋体" w:cs="Times New Roman"/>
      <w:b/>
      <w:bCs/>
      <w:kern w:val="2"/>
      <w:sz w:val="24"/>
      <w:szCs w:val="24"/>
    </w:rPr>
  </w:style>
  <w:style w:type="character" w:customStyle="1" w:styleId="1203">
    <w:name w:val="f241"/>
    <w:qFormat/>
    <w:uiPriority w:val="0"/>
    <w:rPr>
      <w:sz w:val="29"/>
      <w:szCs w:val="29"/>
    </w:rPr>
  </w:style>
  <w:style w:type="character" w:customStyle="1" w:styleId="1204">
    <w:name w:val="规划正文样式 Char"/>
    <w:qFormat/>
    <w:uiPriority w:val="0"/>
    <w:rPr>
      <w:rFonts w:hint="eastAsia" w:ascii="宋体" w:hAnsi="宋体" w:eastAsia="宋体"/>
      <w:kern w:val="2"/>
      <w:sz w:val="24"/>
      <w:szCs w:val="24"/>
      <w:lang w:val="en-US" w:eastAsia="zh-CN" w:bidi="ar-SA"/>
    </w:rPr>
  </w:style>
  <w:style w:type="character" w:customStyle="1" w:styleId="1205">
    <w:name w:val="title41"/>
    <w:qFormat/>
    <w:uiPriority w:val="0"/>
    <w:rPr>
      <w:rFonts w:hint="eastAsia" w:ascii="宋体" w:hAnsi="宋体" w:eastAsia="宋体"/>
      <w:color w:val="FF6600"/>
      <w:sz w:val="36"/>
      <w:szCs w:val="36"/>
    </w:rPr>
  </w:style>
  <w:style w:type="character" w:customStyle="1" w:styleId="1206">
    <w:name w:val="gray s"/>
    <w:basedOn w:val="68"/>
    <w:qFormat/>
    <w:uiPriority w:val="0"/>
  </w:style>
  <w:style w:type="character" w:customStyle="1" w:styleId="1207">
    <w:name w:val="font241"/>
    <w:qFormat/>
    <w:uiPriority w:val="0"/>
    <w:rPr>
      <w:spacing w:val="360"/>
      <w:sz w:val="21"/>
      <w:szCs w:val="21"/>
    </w:rPr>
  </w:style>
  <w:style w:type="character" w:customStyle="1" w:styleId="1208">
    <w:name w:val="正文文本 2 Char1"/>
    <w:qFormat/>
    <w:uiPriority w:val="0"/>
    <w:rPr>
      <w:kern w:val="2"/>
      <w:sz w:val="24"/>
      <w:szCs w:val="22"/>
    </w:rPr>
  </w:style>
  <w:style w:type="character" w:customStyle="1" w:styleId="1209">
    <w:name w:val="HTML 定义1"/>
    <w:qFormat/>
    <w:uiPriority w:val="0"/>
    <w:rPr>
      <w:i/>
    </w:rPr>
  </w:style>
  <w:style w:type="character" w:customStyle="1" w:styleId="1210">
    <w:name w:val="H8 Char"/>
    <w:qFormat/>
    <w:uiPriority w:val="0"/>
    <w:rPr>
      <w:rFonts w:hint="default" w:ascii="Arial" w:hAnsi="Arial" w:eastAsia="黑体" w:cs="Arial"/>
      <w:kern w:val="2"/>
      <w:sz w:val="24"/>
      <w:szCs w:val="24"/>
      <w:lang w:val="en-US" w:eastAsia="zh-CN" w:bidi="ar-SA"/>
    </w:rPr>
  </w:style>
  <w:style w:type="character" w:customStyle="1" w:styleId="1211">
    <w:name w:val="正文5号 Char Char"/>
    <w:qFormat/>
    <w:uiPriority w:val="0"/>
    <w:rPr>
      <w:rFonts w:hint="eastAsia" w:ascii="宋体" w:hAnsi="宋体" w:eastAsia="宋体"/>
      <w:kern w:val="2"/>
      <w:sz w:val="21"/>
      <w:szCs w:val="24"/>
      <w:lang w:val="en-US" w:eastAsia="zh-CN" w:bidi="ar-SA"/>
    </w:rPr>
  </w:style>
  <w:style w:type="character" w:customStyle="1" w:styleId="1212">
    <w:name w:val="【表格注释】"/>
    <w:qFormat/>
    <w:uiPriority w:val="0"/>
    <w:rPr>
      <w:rFonts w:hint="default" w:ascii="Times New Roman" w:hAnsi="Times New Roman" w:eastAsia="宋体" w:cs="Times New Roman"/>
      <w:kern w:val="0"/>
      <w:sz w:val="21"/>
      <w:szCs w:val="22"/>
      <w:lang w:val="en-US" w:eastAsia="zh-CN" w:bidi="ar-SA"/>
    </w:rPr>
  </w:style>
  <w:style w:type="character" w:customStyle="1" w:styleId="1213">
    <w:name w:val="表中文字 Char"/>
    <w:qFormat/>
    <w:uiPriority w:val="0"/>
    <w:rPr>
      <w:rFonts w:hint="eastAsia" w:ascii="宋体" w:hAnsi="宋体" w:eastAsia="宋体"/>
      <w:sz w:val="24"/>
      <w:lang w:val="en-US" w:eastAsia="zh-CN" w:bidi="ar-SA"/>
    </w:rPr>
  </w:style>
  <w:style w:type="character" w:customStyle="1" w:styleId="1214">
    <w:name w:val="标题5 Char"/>
    <w:qFormat/>
    <w:uiPriority w:val="0"/>
    <w:rPr>
      <w:rFonts w:hint="default" w:ascii="Arial" w:hAnsi="Arial" w:eastAsia="黑体" w:cs="Arial"/>
      <w:b/>
      <w:kern w:val="2"/>
      <w:sz w:val="24"/>
      <w:lang w:val="en-US" w:eastAsia="zh-CN" w:bidi="ar-SA"/>
    </w:rPr>
  </w:style>
  <w:style w:type="character" w:customStyle="1" w:styleId="1215">
    <w:name w:val="正文（首行缩进两字） Char Char Char Char Char Char Char Char3"/>
    <w:qFormat/>
    <w:uiPriority w:val="0"/>
    <w:rPr>
      <w:rFonts w:hint="eastAsia" w:ascii="宋体" w:hAnsi="宋体" w:eastAsia="宋体"/>
      <w:kern w:val="2"/>
      <w:sz w:val="24"/>
      <w:lang w:val="en-US" w:eastAsia="zh-CN" w:bidi="ar-SA"/>
    </w:rPr>
  </w:style>
  <w:style w:type="character" w:customStyle="1" w:styleId="1216">
    <w:name w:val="HTML 样本1"/>
    <w:qFormat/>
    <w:uiPriority w:val="0"/>
    <w:rPr>
      <w:rFonts w:hint="default" w:ascii="Courier New" w:hAnsi="Courier New" w:cs="Courier New"/>
    </w:rPr>
  </w:style>
  <w:style w:type="character" w:customStyle="1" w:styleId="1217">
    <w:name w:val="concent"/>
    <w:basedOn w:val="68"/>
    <w:qFormat/>
    <w:uiPriority w:val="0"/>
  </w:style>
  <w:style w:type="character" w:customStyle="1" w:styleId="1218">
    <w:name w:val="Char Char382"/>
    <w:qFormat/>
    <w:uiPriority w:val="0"/>
    <w:rPr>
      <w:rFonts w:hint="eastAsia" w:ascii="宋体" w:hAnsi="宋体" w:eastAsia="宋体"/>
      <w:b/>
      <w:bCs/>
      <w:kern w:val="44"/>
      <w:sz w:val="44"/>
      <w:szCs w:val="44"/>
      <w:lang w:val="en-US" w:eastAsia="zh-CN" w:bidi="ar-SA"/>
    </w:rPr>
  </w:style>
  <w:style w:type="character" w:customStyle="1" w:styleId="1219">
    <w:name w:val="font01"/>
    <w:qFormat/>
    <w:uiPriority w:val="0"/>
    <w:rPr>
      <w:rFonts w:hint="default" w:ascii="Times New Roman" w:hAnsi="Times New Roman" w:cs="Times New Roman"/>
      <w:color w:val="000000"/>
      <w:sz w:val="21"/>
      <w:szCs w:val="21"/>
      <w:u w:val="none"/>
      <w:vertAlign w:val="superscript"/>
    </w:rPr>
  </w:style>
  <w:style w:type="character" w:customStyle="1" w:styleId="1220">
    <w:name w:val="fontstyle01"/>
    <w:qFormat/>
    <w:uiPriority w:val="0"/>
    <w:rPr>
      <w:rFonts w:hint="eastAsia" w:ascii="宋体" w:hAnsi="宋体" w:eastAsia="宋体" w:cs="宋体"/>
      <w:color w:val="000000"/>
      <w:sz w:val="24"/>
      <w:szCs w:val="24"/>
    </w:rPr>
  </w:style>
  <w:style w:type="paragraph" w:customStyle="1" w:styleId="1221">
    <w:name w:val="页眉3"/>
    <w:basedOn w:val="231"/>
    <w:qFormat/>
    <w:uiPriority w:val="0"/>
    <w:pPr>
      <w:pBdr>
        <w:bottom w:val="single" w:color="auto" w:sz="6" w:space="1"/>
      </w:pBdr>
      <w:tabs>
        <w:tab w:val="center" w:pos="4153"/>
        <w:tab w:val="right" w:pos="8306"/>
      </w:tabs>
      <w:spacing w:line="240" w:lineRule="atLeast"/>
      <w:jc w:val="center"/>
    </w:pPr>
    <w:rPr>
      <w:sz w:val="18"/>
    </w:rPr>
  </w:style>
  <w:style w:type="paragraph" w:customStyle="1" w:styleId="1222">
    <w:name w:val="图表目录1"/>
    <w:basedOn w:val="231"/>
    <w:next w:val="231"/>
    <w:qFormat/>
    <w:uiPriority w:val="0"/>
    <w:pPr>
      <w:tabs>
        <w:tab w:val="right" w:leader="dot" w:pos="8051"/>
      </w:tabs>
      <w:ind w:left="840" w:hanging="840"/>
    </w:pPr>
  </w:style>
  <w:style w:type="paragraph" w:customStyle="1" w:styleId="1223">
    <w:name w:val="CM14"/>
    <w:basedOn w:val="499"/>
    <w:next w:val="499"/>
    <w:qFormat/>
    <w:uiPriority w:val="0"/>
    <w:pPr>
      <w:spacing w:after="448"/>
    </w:pPr>
    <w:rPr>
      <w:sz w:val="24"/>
      <w:szCs w:val="24"/>
    </w:rPr>
  </w:style>
  <w:style w:type="paragraph" w:customStyle="1" w:styleId="1224">
    <w:name w:val="CM8"/>
    <w:basedOn w:val="499"/>
    <w:next w:val="499"/>
    <w:qFormat/>
    <w:uiPriority w:val="0"/>
    <w:pPr>
      <w:spacing w:line="520" w:lineRule="atLeast"/>
    </w:pPr>
    <w:rPr>
      <w:sz w:val="24"/>
      <w:szCs w:val="24"/>
    </w:rPr>
  </w:style>
  <w:style w:type="paragraph" w:customStyle="1" w:styleId="1225">
    <w:name w:val="CM13"/>
    <w:basedOn w:val="499"/>
    <w:next w:val="499"/>
    <w:qFormat/>
    <w:uiPriority w:val="0"/>
    <w:pPr>
      <w:spacing w:after="168"/>
    </w:pPr>
    <w:rPr>
      <w:sz w:val="24"/>
      <w:szCs w:val="24"/>
    </w:rPr>
  </w:style>
  <w:style w:type="paragraph" w:customStyle="1" w:styleId="1226">
    <w:name w:val="CM15"/>
    <w:basedOn w:val="499"/>
    <w:next w:val="499"/>
    <w:qFormat/>
    <w:uiPriority w:val="0"/>
    <w:pPr>
      <w:spacing w:after="145"/>
    </w:pPr>
    <w:rPr>
      <w:sz w:val="24"/>
      <w:szCs w:val="24"/>
    </w:rPr>
  </w:style>
  <w:style w:type="paragraph" w:customStyle="1" w:styleId="1227">
    <w:name w:val="标准称谓"/>
    <w:basedOn w:val="499"/>
    <w:next w:val="499"/>
    <w:qFormat/>
    <w:uiPriority w:val="0"/>
    <w:rPr>
      <w:sz w:val="24"/>
      <w:szCs w:val="24"/>
    </w:rPr>
  </w:style>
  <w:style w:type="paragraph" w:customStyle="1" w:styleId="1228">
    <w:name w:val="图表目录3"/>
    <w:basedOn w:val="368"/>
    <w:next w:val="368"/>
    <w:qFormat/>
    <w:uiPriority w:val="0"/>
    <w:pPr>
      <w:tabs>
        <w:tab w:val="right" w:leader="dot" w:pos="8051"/>
      </w:tabs>
      <w:ind w:left="840" w:hanging="840"/>
    </w:pPr>
  </w:style>
  <w:style w:type="paragraph" w:customStyle="1" w:styleId="1229">
    <w:name w:val="附录五级条标题"/>
    <w:basedOn w:val="878"/>
    <w:next w:val="12"/>
    <w:qFormat/>
    <w:uiPriority w:val="0"/>
    <w:pPr>
      <w:tabs>
        <w:tab w:val="left" w:pos="435"/>
        <w:tab w:val="clear" w:pos="960"/>
      </w:tabs>
      <w:ind w:left="435" w:hanging="165"/>
      <w:outlineLvl w:val="6"/>
    </w:pPr>
  </w:style>
  <w:style w:type="paragraph" w:customStyle="1" w:styleId="1230">
    <w:name w:val="【附件】"/>
    <w:basedOn w:val="468"/>
    <w:qFormat/>
    <w:uiPriority w:val="0"/>
    <w:rPr>
      <w:bCs/>
    </w:rPr>
  </w:style>
  <w:style w:type="paragraph" w:customStyle="1" w:styleId="1231">
    <w:name w:val="五级条标题"/>
    <w:basedOn w:val="2"/>
    <w:next w:val="1"/>
    <w:qFormat/>
    <w:uiPriority w:val="0"/>
    <w:pPr>
      <w:outlineLvl w:val="6"/>
    </w:pPr>
  </w:style>
  <w:style w:type="paragraph" w:customStyle="1" w:styleId="1232">
    <w:name w:val="附录一级条标题"/>
    <w:basedOn w:val="367"/>
    <w:next w:val="12"/>
    <w:qFormat/>
    <w:uiPriority w:val="0"/>
    <w:pPr>
      <w:tabs>
        <w:tab w:val="left" w:pos="828"/>
        <w:tab w:val="clear" w:pos="1260"/>
      </w:tabs>
      <w:autoSpaceDN w:val="0"/>
      <w:ind w:left="828" w:hanging="240"/>
      <w:outlineLvl w:val="2"/>
    </w:pPr>
  </w:style>
  <w:style w:type="paragraph" w:customStyle="1" w:styleId="1233">
    <w:name w:val="附录二级条标题"/>
    <w:basedOn w:val="1232"/>
    <w:next w:val="12"/>
    <w:qFormat/>
    <w:uiPriority w:val="0"/>
    <w:pPr>
      <w:tabs>
        <w:tab w:val="left" w:pos="360"/>
        <w:tab w:val="clear" w:pos="828"/>
      </w:tabs>
      <w:ind w:left="360" w:hanging="360"/>
      <w:outlineLvl w:val="3"/>
    </w:pPr>
  </w:style>
  <w:style w:type="paragraph" w:customStyle="1" w:styleId="1234">
    <w:name w:val="样式3wf"/>
    <w:basedOn w:val="612"/>
    <w:qFormat/>
    <w:uiPriority w:val="0"/>
    <w:pPr>
      <w:spacing w:before="120" w:line="240" w:lineRule="auto"/>
    </w:pPr>
  </w:style>
  <w:style w:type="paragraph" w:customStyle="1" w:styleId="1235">
    <w:name w:val="标题1111"/>
    <w:basedOn w:val="631"/>
    <w:next w:val="1"/>
    <w:qFormat/>
    <w:uiPriority w:val="0"/>
  </w:style>
  <w:style w:type="paragraph" w:customStyle="1" w:styleId="1236">
    <w:name w:val="Preise2"/>
    <w:basedOn w:val="504"/>
    <w:qFormat/>
    <w:uiPriority w:val="0"/>
    <w:pPr>
      <w:tabs>
        <w:tab w:val="decimal" w:pos="7173"/>
        <w:tab w:val="clear" w:pos="1361"/>
        <w:tab w:val="clear" w:pos="1560"/>
        <w:tab w:val="clear" w:pos="8732"/>
      </w:tabs>
    </w:pPr>
  </w:style>
  <w:style w:type="paragraph" w:customStyle="1" w:styleId="1237">
    <w:name w:val="样式 样式 样式 首行缩进:  2 字符 + 首行缩进:  2 字符 + 首行缩进:  2 字符"/>
    <w:basedOn w:val="319"/>
    <w:qFormat/>
    <w:uiPriority w:val="0"/>
    <w:pPr>
      <w:ind w:firstLine="567"/>
    </w:pPr>
    <w:rPr>
      <w:szCs w:val="20"/>
    </w:rPr>
  </w:style>
  <w:style w:type="paragraph" w:customStyle="1" w:styleId="1238">
    <w:name w:val="编号"/>
    <w:basedOn w:val="223"/>
    <w:qFormat/>
    <w:uiPriority w:val="0"/>
    <w:pPr>
      <w:tabs>
        <w:tab w:val="left" w:pos="420"/>
        <w:tab w:val="left" w:pos="900"/>
        <w:tab w:val="clear" w:pos="1848"/>
        <w:tab w:val="clear" w:pos="6061"/>
        <w:tab w:val="clear" w:pos="8665"/>
      </w:tabs>
      <w:spacing w:beforeLines="0"/>
      <w:ind w:left="420" w:hanging="420" w:firstLineChars="0"/>
    </w:pPr>
    <w:rPr>
      <w:rFonts w:ascii="Times New Roman" w:hAnsi="Times New Roman"/>
    </w:rPr>
  </w:style>
  <w:style w:type="paragraph" w:customStyle="1" w:styleId="1239">
    <w:name w:val="样式 表头样式 + 两端对齐 段前: 0.5 行 段后: 0.5 行 首行缩进:  1 字符"/>
    <w:basedOn w:val="471"/>
    <w:qFormat/>
    <w:uiPriority w:val="0"/>
    <w:pPr>
      <w:keepLines/>
      <w:spacing w:beforeLines="0"/>
      <w:ind w:firstLine="560" w:firstLineChars="200"/>
    </w:pPr>
    <w:rPr>
      <w:bCs w:val="0"/>
      <w:sz w:val="24"/>
      <w:szCs w:val="20"/>
    </w:rPr>
  </w:style>
  <w:style w:type="paragraph" w:customStyle="1" w:styleId="1240">
    <w:name w:val="表格内文字 小5"/>
    <w:basedOn w:val="1"/>
    <w:next w:val="1"/>
    <w:qFormat/>
    <w:locked/>
    <w:uiPriority w:val="0"/>
    <w:pPr>
      <w:widowControl/>
      <w:tabs>
        <w:tab w:val="left" w:pos="3345"/>
      </w:tabs>
      <w:adjustRightInd w:val="0"/>
      <w:snapToGrid w:val="0"/>
      <w:jc w:val="center"/>
    </w:pPr>
    <w:rPr>
      <w:rFonts w:ascii="方正书宋" w:eastAsia="方正书宋" w:cs="宋体"/>
      <w:color w:val="000000"/>
      <w:kern w:val="0"/>
      <w:sz w:val="18"/>
      <w:szCs w:val="18"/>
    </w:rPr>
  </w:style>
  <w:style w:type="paragraph" w:customStyle="1" w:styleId="1241">
    <w:name w:val="表格名称"/>
    <w:basedOn w:val="1"/>
    <w:qFormat/>
    <w:uiPriority w:val="0"/>
    <w:pPr>
      <w:spacing w:beforeLines="50"/>
      <w:jc w:val="center"/>
    </w:pPr>
    <w:rPr>
      <w:rFonts w:cs="宋体"/>
      <w:b/>
      <w:bCs/>
    </w:rPr>
  </w:style>
  <w:style w:type="table" w:customStyle="1" w:styleId="1242">
    <w:name w:val="Table Normal"/>
    <w:qFormat/>
    <w:uiPriority w:val="2"/>
    <w:pPr>
      <w:widowControl w:val="0"/>
    </w:pPr>
    <w:rPr>
      <w:kern w:val="0"/>
      <w:sz w:val="22"/>
      <w:lang w:eastAsia="en-US"/>
    </w:rPr>
    <w:tblPr>
      <w:tblCellMar>
        <w:top w:w="0" w:type="dxa"/>
        <w:left w:w="0" w:type="dxa"/>
        <w:bottom w:w="0" w:type="dxa"/>
        <w:right w:w="0" w:type="dxa"/>
      </w:tblCellMar>
    </w:tblPr>
  </w:style>
  <w:style w:type="paragraph" w:customStyle="1" w:styleId="1243">
    <w:name w:val="正常段落"/>
    <w:basedOn w:val="15"/>
    <w:qFormat/>
    <w:uiPriority w:val="0"/>
  </w:style>
  <w:style w:type="paragraph" w:customStyle="1" w:styleId="1244">
    <w:name w:val="正本文字"/>
    <w:basedOn w:val="1"/>
    <w:qFormat/>
    <w:uiPriority w:val="0"/>
    <w:pPr>
      <w:adjustRightInd w:val="0"/>
      <w:snapToGrid w:val="0"/>
      <w:ind w:firstLine="480" w:firstLineChars="200"/>
      <w:jc w:val="left"/>
    </w:pPr>
    <w:rPr>
      <w:rFonts w:ascii="Times New Roman" w:hAnsi="Times New Roman" w:cs="宋体"/>
      <w:kern w:val="18"/>
      <w:szCs w:val="20"/>
    </w:rPr>
  </w:style>
  <w:style w:type="paragraph" w:customStyle="1" w:styleId="1245">
    <w:name w:val="Plain Text"/>
    <w:basedOn w:val="1"/>
    <w:qFormat/>
    <w:uiPriority w:val="0"/>
    <w:pPr>
      <w:spacing w:line="240" w:lineRule="auto"/>
    </w:pPr>
    <w:rPr>
      <w:rFonts w:hAnsi="Courier New"/>
      <w:kern w:val="0"/>
      <w:sz w:val="20"/>
      <w:szCs w:val="20"/>
    </w:rPr>
  </w:style>
  <w:style w:type="character" w:customStyle="1" w:styleId="1246">
    <w:name w:val="样式 标题 2Chapter节h2sect 1.2H22nd level2Header 2UNDERRUBRI... Char"/>
    <w:link w:val="1247"/>
    <w:qFormat/>
    <w:locked/>
    <w:uiPriority w:val="0"/>
    <w:rPr>
      <w:rFonts w:ascii="宋体" w:hAnsi="宋体" w:eastAsia="宋体"/>
      <w:b/>
      <w:bCs/>
      <w:sz w:val="30"/>
      <w:szCs w:val="32"/>
    </w:rPr>
  </w:style>
  <w:style w:type="paragraph" w:customStyle="1" w:styleId="1247">
    <w:name w:val="样式 标题 2Chapter节h2sect 1.2H22nd level2Header 2UNDERRUBRI..."/>
    <w:basedOn w:val="10"/>
    <w:link w:val="1246"/>
    <w:qFormat/>
    <w:uiPriority w:val="0"/>
    <w:pPr>
      <w:tabs>
        <w:tab w:val="left" w:pos="576"/>
      </w:tabs>
      <w:spacing w:before="240" w:after="240" w:line="240" w:lineRule="auto"/>
      <w:ind w:left="576" w:hanging="576"/>
    </w:pPr>
    <w:rPr>
      <w:rFonts w:ascii="宋体" w:hAnsi="宋体" w:eastAsia="宋体" w:cstheme="minorBidi"/>
      <w:sz w:val="30"/>
    </w:rPr>
  </w:style>
  <w:style w:type="paragraph" w:customStyle="1" w:styleId="1248">
    <w:name w:val="6表内文字 居中"/>
    <w:basedOn w:val="1"/>
    <w:qFormat/>
    <w:uiPriority w:val="0"/>
    <w:pPr>
      <w:adjustRightInd w:val="0"/>
      <w:snapToGrid w:val="0"/>
      <w:spacing w:line="276" w:lineRule="auto"/>
      <w:jc w:val="center"/>
    </w:pPr>
    <w:rPr>
      <w:rFonts w:ascii="Times New Roman" w:hAnsi="Times New Roman"/>
      <w:kern w:val="0"/>
      <w:sz w:val="21"/>
      <w:szCs w:val="24"/>
    </w:rPr>
  </w:style>
  <w:style w:type="paragraph" w:customStyle="1" w:styleId="1249">
    <w:name w:val="Body text"/>
    <w:basedOn w:val="1"/>
    <w:next w:val="1"/>
    <w:qFormat/>
    <w:uiPriority w:val="0"/>
    <w:pPr>
      <w:widowControl/>
      <w:autoSpaceDE w:val="0"/>
      <w:autoSpaceDN w:val="0"/>
      <w:adjustRightInd w:val="0"/>
      <w:spacing w:before="60" w:after="60"/>
      <w:jc w:val="left"/>
    </w:pPr>
    <w:rPr>
      <w:rFonts w:hAnsi="Times New Roman"/>
      <w:kern w:val="0"/>
      <w:szCs w:val="24"/>
      <w:lang w:eastAsia="en-US"/>
    </w:rPr>
  </w:style>
  <w:style w:type="paragraph" w:customStyle="1" w:styleId="1250">
    <w:name w:val="5表标题"/>
    <w:basedOn w:val="1"/>
    <w:qFormat/>
    <w:uiPriority w:val="0"/>
    <w:pPr>
      <w:autoSpaceDE w:val="0"/>
      <w:autoSpaceDN w:val="0"/>
      <w:adjustRightInd w:val="0"/>
      <w:spacing w:beforeLines="50" w:line="240" w:lineRule="auto"/>
      <w:jc w:val="center"/>
    </w:pPr>
    <w:rPr>
      <w:rFonts w:ascii="Times New Roman"/>
      <w:b/>
      <w:kern w:val="0"/>
      <w:sz w:val="21"/>
    </w:rPr>
  </w:style>
  <w:style w:type="paragraph" w:customStyle="1" w:styleId="1251">
    <w:name w:val="z正文"/>
    <w:basedOn w:val="1"/>
    <w:qFormat/>
    <w:uiPriority w:val="0"/>
    <w:pPr>
      <w:ind w:firstLine="200" w:firstLineChars="200"/>
    </w:pPr>
    <w:rPr>
      <w:rFonts w:ascii="Times New Roman" w:hAnsi="Times New Roman" w:cs="宋体"/>
      <w:kern w:val="0"/>
      <w:szCs w:val="20"/>
    </w:rPr>
  </w:style>
  <w:style w:type="paragraph" w:customStyle="1" w:styleId="1252">
    <w:name w:val="z四级标题"/>
    <w:basedOn w:val="1"/>
    <w:qFormat/>
    <w:uiPriority w:val="0"/>
    <w:pPr>
      <w:keepNext/>
      <w:outlineLvl w:val="3"/>
    </w:pPr>
    <w:rPr>
      <w:rFonts w:ascii="Times New Roman" w:hAnsi="Times New Roman" w:cs="宋体"/>
      <w:b/>
      <w:bCs/>
      <w:szCs w:val="20"/>
    </w:rPr>
  </w:style>
  <w:style w:type="paragraph" w:customStyle="1" w:styleId="1253">
    <w:name w:val="zlf正文"/>
    <w:basedOn w:val="1"/>
    <w:qFormat/>
    <w:uiPriority w:val="0"/>
    <w:pPr>
      <w:ind w:firstLine="200" w:firstLineChars="200"/>
    </w:pPr>
    <w:rPr>
      <w:rFonts w:ascii="Times New Roman" w:cs="宋体"/>
      <w:szCs w:val="20"/>
    </w:rPr>
  </w:style>
  <w:style w:type="character" w:customStyle="1" w:styleId="1254">
    <w:name w:val="font41"/>
    <w:basedOn w:val="68"/>
    <w:qFormat/>
    <w:uiPriority w:val="0"/>
    <w:rPr>
      <w:rFonts w:hint="default" w:ascii="Times New Roman" w:hAnsi="Times New Roman" w:cs="Times New Roman"/>
      <w:b/>
      <w:color w:val="000000"/>
      <w:sz w:val="21"/>
      <w:szCs w:val="21"/>
      <w:u w:val="none"/>
    </w:rPr>
  </w:style>
  <w:style w:type="character" w:customStyle="1" w:styleId="1255">
    <w:name w:val="title"/>
    <w:qFormat/>
    <w:uiPriority w:val="0"/>
  </w:style>
  <w:style w:type="character" w:customStyle="1" w:styleId="1256">
    <w:name w:val="正文文本 Char3"/>
    <w:basedOn w:val="68"/>
    <w:qFormat/>
    <w:locked/>
    <w:uiPriority w:val="0"/>
    <w:rPr>
      <w:rFonts w:ascii="Times New Roman" w:hAnsi="Times New Roman" w:eastAsia="宋体" w:cs="Times New Roman"/>
      <w:szCs w:val="24"/>
    </w:rPr>
  </w:style>
  <w:style w:type="character" w:customStyle="1" w:styleId="1257">
    <w:name w:val="正文（首行缩进） Char"/>
    <w:link w:val="270"/>
    <w:qFormat/>
    <w:locked/>
    <w:uiPriority w:val="0"/>
    <w:rPr>
      <w:rFonts w:ascii="宋体" w:hAnsi="宋体" w:eastAsia="宋体" w:cs="Times New Roman"/>
      <w:color w:val="000000"/>
      <w:sz w:val="24"/>
      <w:szCs w:val="20"/>
    </w:rPr>
  </w:style>
  <w:style w:type="paragraph" w:customStyle="1" w:styleId="1258">
    <w:name w:val="TOC Heading"/>
    <w:basedOn w:val="9"/>
    <w:next w:val="1"/>
    <w:semiHidden/>
    <w:unhideWhenUsed/>
    <w:qFormat/>
    <w:uiPriority w:val="39"/>
    <w:pPr>
      <w:keepLines/>
      <w:widowControl/>
      <w:spacing w:before="480" w:line="276" w:lineRule="auto"/>
      <w:jc w:val="left"/>
      <w:outlineLvl w:val="9"/>
    </w:pPr>
    <w:rPr>
      <w:rFonts w:asciiTheme="majorHAnsi" w:hAnsiTheme="majorHAnsi" w:eastAsiaTheme="majorEastAsia" w:cstheme="majorBidi"/>
      <w:b/>
      <w:bCs/>
      <w:color w:val="376092" w:themeColor="accent1" w:themeShade="BF"/>
      <w:kern w:val="0"/>
      <w:sz w:val="28"/>
      <w:szCs w:val="28"/>
    </w:rPr>
  </w:style>
  <w:style w:type="paragraph" w:customStyle="1" w:styleId="1259">
    <w:name w:val="Table Paragraph"/>
    <w:basedOn w:val="1"/>
    <w:qFormat/>
    <w:uiPriority w:val="1"/>
    <w:pPr>
      <w:jc w:val="center"/>
    </w:pPr>
    <w:rPr>
      <w:rFonts w:ascii="宋体" w:hAnsi="宋体" w:eastAsia="宋体" w:cs="宋体"/>
      <w:lang w:val="et-EE" w:eastAsia="et-EE" w:bidi="et-EE"/>
    </w:rPr>
  </w:style>
  <w:style w:type="paragraph" w:customStyle="1" w:styleId="1260">
    <w:name w:val="表格标题"/>
    <w:basedOn w:val="1"/>
    <w:qFormat/>
    <w:uiPriority w:val="0"/>
    <w:pPr>
      <w:ind w:firstLine="0" w:firstLineChars="0"/>
      <w:jc w:val="center"/>
    </w:pPr>
    <w:rPr>
      <w:rFonts w:cs="Times New Roman"/>
      <w:b/>
      <w:szCs w:val="24"/>
    </w:rPr>
  </w:style>
  <w:style w:type="paragraph" w:customStyle="1" w:styleId="1261">
    <w:name w:val="表格首行字体"/>
    <w:basedOn w:val="1"/>
    <w:qFormat/>
    <w:uiPriority w:val="0"/>
    <w:pPr>
      <w:spacing w:line="240" w:lineRule="auto"/>
      <w:ind w:firstLine="0" w:firstLineChars="0"/>
      <w:jc w:val="center"/>
    </w:pPr>
    <w:rPr>
      <w:b/>
      <w:sz w:val="21"/>
      <w:szCs w:val="20"/>
    </w:rPr>
  </w:style>
  <w:style w:type="paragraph" w:customStyle="1" w:styleId="1262">
    <w:name w:val="无间隔1"/>
    <w:qFormat/>
    <w:uiPriority w:val="0"/>
    <w:rPr>
      <w:rFonts w:ascii="Times New Roman" w:hAnsi="Times New Roman" w:eastAsia="宋体" w:cs="Times New Roman"/>
      <w:sz w:val="22"/>
      <w:szCs w:val="22"/>
      <w:lang w:val="en-US" w:eastAsia="en-US" w:bidi="ar-SA"/>
    </w:rPr>
  </w:style>
  <w:style w:type="paragraph" w:customStyle="1" w:styleId="1263">
    <w:name w:val="表题1"/>
    <w:basedOn w:val="1"/>
    <w:qFormat/>
    <w:uiPriority w:val="0"/>
    <w:pPr>
      <w:spacing w:before="156" w:beforeLines="50"/>
      <w:jc w:val="center"/>
    </w:pPr>
    <w:rPr>
      <w:b/>
      <w:sz w:val="24"/>
      <w:szCs w:val="20"/>
    </w:rPr>
  </w:style>
  <w:style w:type="character" w:customStyle="1" w:styleId="1264">
    <w:name w:val="7 Char"/>
    <w:link w:val="827"/>
    <w:qFormat/>
    <w:uiPriority w:val="0"/>
  </w:style>
  <w:style w:type="paragraph" w:customStyle="1" w:styleId="1265">
    <w:name w:val=" Char Char Char Char Char Char Char"/>
    <w:basedOn w:val="1"/>
    <w:qFormat/>
    <w:uiPriority w:val="0"/>
  </w:style>
  <w:style w:type="paragraph" w:customStyle="1" w:styleId="1266">
    <w:name w:val="表格2222"/>
    <w:basedOn w:val="1"/>
    <w:qFormat/>
    <w:uiPriority w:val="0"/>
    <w:pPr>
      <w:numPr>
        <w:ilvl w:val="0"/>
        <w:numId w:val="1"/>
      </w:numPr>
      <w:snapToGrid w:val="0"/>
      <w:jc w:val="center"/>
    </w:pPr>
    <w:rPr>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26.wmf"/><Relationship Id="rId60" Type="http://schemas.openxmlformats.org/officeDocument/2006/relationships/oleObject" Target="embeddings/oleObject9.bin"/><Relationship Id="rId6" Type="http://schemas.openxmlformats.org/officeDocument/2006/relationships/header" Target="header2.xml"/><Relationship Id="rId59" Type="http://schemas.openxmlformats.org/officeDocument/2006/relationships/oleObject" Target="embeddings/oleObject8.bin"/><Relationship Id="rId58" Type="http://schemas.openxmlformats.org/officeDocument/2006/relationships/image" Target="media/image25.png"/><Relationship Id="rId57" Type="http://schemas.openxmlformats.org/officeDocument/2006/relationships/image" Target="file:///C:\DOCUME~1\ADMINI~1\LOCALS~1\Temp\20WU6M(%252525252525252525252525252525252525252525252525252525252525257DMLP%252525252525252525252525252525252525252525252525252525252525255DM(35IVVS@)R.jpg" TargetMode="External"/><Relationship Id="rId56" Type="http://schemas.openxmlformats.org/officeDocument/2006/relationships/image" Target="media/image24.jpeg"/><Relationship Id="rId55" Type="http://schemas.openxmlformats.org/officeDocument/2006/relationships/image" Target="file:///C:\DOCUME~1\ADMINI~1\LOCALS~1\Temp\YR%252525252525252525252525252525252525252525252525252525252525255DSOXJR%252525252525252525252525252525252525252525252525252525252525255DIJZ%252525252525252525252525252525252525252525252525252525252525257DV1496UHVCK.jpg" TargetMode="External"/><Relationship Id="rId54" Type="http://schemas.openxmlformats.org/officeDocument/2006/relationships/image" Target="media/image23.jpeg"/><Relationship Id="rId53" Type="http://schemas.openxmlformats.org/officeDocument/2006/relationships/image" Target="file:///C:\DOCUME~1\ADMINI~1\LOCALS~1\Temp\GTZ58WL2B$W%252525252525252525252525252525252525252525252525252525252525257BCXI62P$%252525252525252525252525252525252525252525252525252525252525257BT8E.jpg" TargetMode="External"/><Relationship Id="rId52" Type="http://schemas.openxmlformats.org/officeDocument/2006/relationships/image" Target="media/image22.jpeg"/><Relationship Id="rId51" Type="http://schemas.openxmlformats.org/officeDocument/2006/relationships/image" Target="file:///C:\DOCUME~1\ADMINI~1\LOCALS~1\Temp\05JQX33G%252525252525252525252525252525252525252525252525252525252525255DQ)47%252525252525252525252525252525252525252525252525252525252525257DO2W@RO9CD.jpg" TargetMode="External"/><Relationship Id="rId50" Type="http://schemas.openxmlformats.org/officeDocument/2006/relationships/image" Target="media/image21.jpeg"/><Relationship Id="rId5" Type="http://schemas.openxmlformats.org/officeDocument/2006/relationships/header" Target="header1.xml"/><Relationship Id="rId49" Type="http://schemas.openxmlformats.org/officeDocument/2006/relationships/image" Target="file:///C:\DOCUME~1\ADMINI~1\LOCALS~1\Temp\F%2525252525252525252525252525252525252525252525252525252525252560VA9BIIPTO5(Y7%252525252525252525252525252525252525252525252525252525252525257DI4N%252525252525252525252525252525252525252525252525252525252525255DTWW.jpg" TargetMode="External"/><Relationship Id="rId48" Type="http://schemas.openxmlformats.org/officeDocument/2006/relationships/image" Target="media/image20.jpeg"/><Relationship Id="rId47" Type="http://schemas.openxmlformats.org/officeDocument/2006/relationships/image" Target="file:///C:\DOCUME~1\ADMINI~1\LOCALS~1\Temp\X_C%252525252525252525252525252525252525252525252525252525252525255BM)~NHH16AUVE0AL6%2525252525252525252525252525252525252525252525252525252525252525HC.jpg" TargetMode="External"/><Relationship Id="rId46" Type="http://schemas.openxmlformats.org/officeDocument/2006/relationships/image" Target="media/image19.jpeg"/><Relationship Id="rId45" Type="http://schemas.openxmlformats.org/officeDocument/2006/relationships/image" Target="file:///C:\DOCUME~1\ADMINI~1\LOCALS~1\Temp\QW0%252525252525252525252525252525252525252525252525252525252525255B~SDO8S%252525252525252525252525252525252525252525252525252525252525255DKC~0SPV%2525252525252525252525252525252525252525252525252525252525252560VH1W.jpg" TargetMode="External"/><Relationship Id="rId44" Type="http://schemas.openxmlformats.org/officeDocument/2006/relationships/image" Target="media/image18.jpeg"/><Relationship Id="rId43" Type="http://schemas.openxmlformats.org/officeDocument/2006/relationships/image" Target="file:///C:\DOCUME~1\ADMINI~1\LOCALS~1\Temp\3%252525252525252525252525252525252525252525252525252525252525255D~%2525252525252525252525252525252525252525252525252525252525252560W)%252525252525252525252525252525252525252525252525252525252525255DG%2525252525252525252525252525252525252525252525252525252525252525IACU9WO%2525252525252525252525252525252525252525252525252525252525252560029%252525252525252525252525252525252525252525252525252525252525255B_4.jpg" TargetMode="External"/><Relationship Id="rId42" Type="http://schemas.openxmlformats.org/officeDocument/2006/relationships/image" Target="media/image17.jpeg"/><Relationship Id="rId41" Type="http://schemas.openxmlformats.org/officeDocument/2006/relationships/image" Target="file:///C:\DOCUME~1\ADMINI~1\LOCALS~1\Temp\))AIJ%252525252525252525252525252525252525252525252525252525252525255BMPWUV1V%252525252525252525252525252525252525252525252525252525252525257B(%252525252525252525252525252525252525252525252525252525252525257BNEZ~Z(9.jpg" TargetMode="External"/><Relationship Id="rId40" Type="http://schemas.openxmlformats.org/officeDocument/2006/relationships/image" Target="media/image16.jpeg"/><Relationship Id="rId4" Type="http://schemas.openxmlformats.org/officeDocument/2006/relationships/endnotes" Target="endnotes.xml"/><Relationship Id="rId39" Type="http://schemas.openxmlformats.org/officeDocument/2006/relationships/image" Target="file:///C:\DOCUME~1\ADMINI~1\LOCALS~1\Temp\0MXL%252525252525252525252525252525252525252525252525252525252525257B%252525252525252525252525252525252525252525252525252525252525255B(Y(N7A_)F%2525252525252525252525252525252525252525252525252525252525252560~FVPN0D.jpg" TargetMode="External"/><Relationship Id="rId38" Type="http://schemas.openxmlformats.org/officeDocument/2006/relationships/image" Target="media/image15.jpeg"/><Relationship Id="rId37" Type="http://schemas.openxmlformats.org/officeDocument/2006/relationships/image" Target="file:///C:\DOCUME~1\ADMINI~1\LOCALS~1\Temp\%252525252525252525252525252525252525252525252525252525252525257B$20T~MR@%2525252525252525252525252525252525252525252525252525252525252560S)671%2525252525252525252525252525252525252525252525252525252525252560DF_J$ZP.jpg" TargetMode="External"/><Relationship Id="rId36" Type="http://schemas.openxmlformats.org/officeDocument/2006/relationships/image" Target="media/image14.jpeg"/><Relationship Id="rId35" Type="http://schemas.openxmlformats.org/officeDocument/2006/relationships/image" Target="file:///C:\DOCUME~1\ADMINI~1\LOCALS~1\Temp\V82%252525252525252525252525252525252525252525252525252525252525257DA9IK%252525252525252525252525252525252525252525252525252525252525255D988E382CZ4HTXO.jpg" TargetMode="External"/><Relationship Id="rId34" Type="http://schemas.openxmlformats.org/officeDocument/2006/relationships/image" Target="media/image13.jpe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wmf"/><Relationship Id="rId28" Type="http://schemas.openxmlformats.org/officeDocument/2006/relationships/oleObject" Target="embeddings/oleObject7.bin"/><Relationship Id="rId27" Type="http://schemas.openxmlformats.org/officeDocument/2006/relationships/image" Target="media/image7.emf"/><Relationship Id="rId26" Type="http://schemas.openxmlformats.org/officeDocument/2006/relationships/oleObject" Target="embeddings/oleObject6.bin"/><Relationship Id="rId25" Type="http://schemas.openxmlformats.org/officeDocument/2006/relationships/image" Target="media/image6.emf"/><Relationship Id="rId24" Type="http://schemas.openxmlformats.org/officeDocument/2006/relationships/oleObject" Target="embeddings/oleObject5.bin"/><Relationship Id="rId23" Type="http://schemas.openxmlformats.org/officeDocument/2006/relationships/image" Target="media/image5.emf"/><Relationship Id="rId22" Type="http://schemas.openxmlformats.org/officeDocument/2006/relationships/oleObject" Target="embeddings/oleObject4.bin"/><Relationship Id="rId21" Type="http://schemas.openxmlformats.org/officeDocument/2006/relationships/image" Target="media/image4.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2.bin"/><Relationship Id="rId17" Type="http://schemas.openxmlformats.org/officeDocument/2006/relationships/image" Target="media/image2.png"/><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166</Pages>
  <Words>7242</Words>
  <Characters>8187</Characters>
  <Lines>986</Lines>
  <Paragraphs>277</Paragraphs>
  <TotalTime>28</TotalTime>
  <ScaleCrop>false</ScaleCrop>
  <LinksUpToDate>false</LinksUpToDate>
  <CharactersWithSpaces>8329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2019-05-06T00:56:00Z</dcterms:created>
  <dc:creator>费娜娜</dc:creator>
  <cp:lastModifiedBy>刘变香</cp:lastModifiedBy>
  <cp:lastPrinted>2019-08-27T05:36:00Z</cp:lastPrinted>
  <dcterms:modified xsi:type="dcterms:W3CDTF">2025-12-31T02:09:57Z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62DE9FA73852458D8F2248B95AD48047</vt:lpwstr>
  </property>
</Properties>
</file>