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9FD48">
      <w:pPr>
        <w:pStyle w:val="28"/>
        <w:tabs>
          <w:tab w:val="right" w:leader="dot" w:pos="8721"/>
        </w:tabs>
        <w:ind w:firstLine="4322" w:firstLineChars="2050"/>
        <w:rPr>
          <w:rFonts w:ascii="Times New Roman" w:hAnsi="Times New Roman"/>
          <w:color w:val="000000" w:themeColor="text1"/>
          <w:sz w:val="21"/>
          <w:szCs w:val="21"/>
          <w14:textFill>
            <w14:solidFill>
              <w14:schemeClr w14:val="tx1"/>
            </w14:solidFill>
          </w14:textFill>
        </w:rPr>
      </w:pPr>
      <w:bookmarkStart w:id="0" w:name="_Toc290295700"/>
      <w:bookmarkStart w:id="1" w:name="_Toc280621001"/>
      <w:r>
        <w:rPr>
          <w:rFonts w:ascii="Times New Roman" w:hAnsi="Times New Roman"/>
          <w:color w:val="000000" w:themeColor="text1"/>
          <w:sz w:val="21"/>
          <w:szCs w:val="21"/>
          <w14:textFill>
            <w14:solidFill>
              <w14:schemeClr w14:val="tx1"/>
            </w14:solidFill>
          </w14:textFill>
        </w:rPr>
        <w:t>目录</w:t>
      </w:r>
    </w:p>
    <w:p w14:paraId="798A96F6">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TOC \o "1-2" \h \z \u </w:instrText>
      </w:r>
      <w:r>
        <w:rPr>
          <w:rFonts w:ascii="Times New Roman" w:hAnsi="Times New Roman"/>
          <w:color w:val="000000" w:themeColor="text1"/>
          <w:sz w:val="21"/>
          <w:szCs w:val="21"/>
          <w14:textFill>
            <w14:solidFill>
              <w14:schemeClr w14:val="tx1"/>
            </w14:solidFill>
          </w14:textFill>
        </w:rPr>
        <w:fldChar w:fldCharType="separate"/>
      </w:r>
      <w:r>
        <w:fldChar w:fldCharType="begin"/>
      </w:r>
      <w:r>
        <w:instrText xml:space="preserve"> HYPERLINK \l "_Toc2773726" </w:instrText>
      </w:r>
      <w:r>
        <w:fldChar w:fldCharType="separate"/>
      </w:r>
      <w:r>
        <w:rPr>
          <w:rStyle w:val="47"/>
          <w:rFonts w:hint="eastAsia" w:ascii="Times New Roman" w:hAnsi="Times New Roman"/>
          <w:color w:val="000000" w:themeColor="text1"/>
          <w14:textFill>
            <w14:solidFill>
              <w14:schemeClr w14:val="tx1"/>
            </w14:solidFill>
          </w14:textFill>
        </w:rPr>
        <w:t>概述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51BAB4C">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"_Toc2773727" </w:instrText>
      </w:r>
      <w:r>
        <w:fldChar w:fldCharType="separate"/>
      </w:r>
      <w:r>
        <w:rPr>
          <w:rStyle w:val="47"/>
          <w:color w:val="000000" w:themeColor="text1"/>
          <w14:textFill>
            <w14:solidFill>
              <w14:schemeClr w14:val="tx1"/>
            </w14:solidFill>
          </w14:textFill>
        </w:rPr>
        <w:t>1</w:t>
      </w:r>
      <w:r>
        <w:rPr>
          <w:rStyle w:val="47"/>
          <w:rFonts w:hint="eastAsia"/>
          <w:color w:val="000000" w:themeColor="text1"/>
          <w14:textFill>
            <w14:solidFill>
              <w14:schemeClr w14:val="tx1"/>
            </w14:solidFill>
          </w14:textFill>
        </w:rPr>
        <w:t>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FBC94D2">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"_Toc2773728" </w:instrText>
      </w:r>
      <w:r>
        <w:fldChar w:fldCharType="separate"/>
      </w:r>
      <w:r>
        <w:rPr>
          <w:rStyle w:val="47"/>
          <w:rFonts w:ascii="Times New Roman" w:hAnsi="Times New Roman"/>
          <w:color w:val="000000" w:themeColor="text1"/>
          <w14:textFill>
            <w14:solidFill>
              <w14:schemeClr w14:val="tx1"/>
            </w14:solidFill>
          </w14:textFill>
        </w:rPr>
        <w:t>1.1</w:t>
      </w:r>
      <w:r>
        <w:rPr>
          <w:rStyle w:val="47"/>
          <w:rFonts w:hint="eastAsia" w:ascii="Times New Roman" w:hAnsi="Times New Roman"/>
          <w:color w:val="000000" w:themeColor="text1"/>
          <w14:textFill>
            <w14:solidFill>
              <w14:schemeClr w14:val="tx1"/>
            </w14:solidFill>
          </w14:textFill>
        </w:rPr>
        <w:t>编制依据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D79C09D">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"_Toc2773729" </w:instrText>
      </w:r>
      <w:r>
        <w:fldChar w:fldCharType="separate"/>
      </w:r>
      <w:r>
        <w:rPr>
          <w:rStyle w:val="47"/>
          <w:rFonts w:ascii="Times New Roman" w:hAnsi="Times New Roman"/>
          <w:color w:val="000000" w:themeColor="text1"/>
          <w14:textFill>
            <w14:solidFill>
              <w14:schemeClr w14:val="tx1"/>
            </w14:solidFill>
          </w14:textFill>
        </w:rPr>
        <w:t>1.2</w:t>
      </w:r>
      <w:r>
        <w:rPr>
          <w:rStyle w:val="47"/>
          <w:rFonts w:hint="eastAsia" w:ascii="Times New Roman" w:hAnsi="Times New Roman"/>
          <w:color w:val="000000" w:themeColor="text1"/>
          <w14:textFill>
            <w14:solidFill>
              <w14:schemeClr w14:val="tx1"/>
            </w14:solidFill>
          </w14:textFill>
        </w:rPr>
        <w:t>评价目的和原则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CA8B53C">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"_Toc2773730" </w:instrText>
      </w:r>
      <w:r>
        <w:fldChar w:fldCharType="separate"/>
      </w:r>
      <w:r>
        <w:rPr>
          <w:rStyle w:val="47"/>
          <w:rFonts w:ascii="Times New Roman" w:hAnsi="Times New Roman"/>
          <w:color w:val="000000" w:themeColor="text1"/>
          <w14:textFill>
            <w14:solidFill>
              <w14:schemeClr w14:val="tx1"/>
            </w14:solidFill>
          </w14:textFill>
        </w:rPr>
        <w:t>1.3</w:t>
      </w:r>
      <w:r>
        <w:rPr>
          <w:rStyle w:val="47"/>
          <w:rFonts w:hint="eastAsia" w:ascii="Times New Roman" w:hAnsi="Times New Roman"/>
          <w:color w:val="000000" w:themeColor="text1"/>
          <w14:textFill>
            <w14:solidFill>
              <w14:schemeClr w14:val="tx1"/>
            </w14:solidFill>
          </w14:textFill>
        </w:rPr>
        <w:t>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8546CCB">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"_Toc2773731" </w:instrText>
      </w:r>
      <w:r>
        <w:fldChar w:fldCharType="separate"/>
      </w:r>
      <w:r>
        <w:rPr>
          <w:rStyle w:val="47"/>
          <w:rFonts w:ascii="Times New Roman" w:hAnsi="Times New Roman"/>
          <w:color w:val="000000" w:themeColor="text1"/>
          <w14:textFill>
            <w14:solidFill>
              <w14:schemeClr w14:val="tx1"/>
            </w14:solidFill>
          </w14:textFill>
        </w:rPr>
        <w:t>1.4</w:t>
      </w:r>
      <w:r>
        <w:rPr>
          <w:rStyle w:val="47"/>
          <w:rFonts w:hint="eastAsia" w:ascii="Times New Roman" w:hAnsi="Times New Roman"/>
          <w:color w:val="000000" w:themeColor="text1"/>
          <w14:textFill>
            <w14:solidFill>
              <w14:schemeClr w14:val="tx1"/>
            </w14:solidFill>
          </w14:textFill>
        </w:rPr>
        <w:t>环境影响因子识别和评价因子的筛选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FECA573">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"_Toc2773732" </w:instrText>
      </w:r>
      <w:r>
        <w:fldChar w:fldCharType="separate"/>
      </w:r>
      <w:r>
        <w:rPr>
          <w:rStyle w:val="47"/>
          <w:rFonts w:ascii="Times New Roman" w:hAnsi="Times New Roman"/>
          <w:color w:val="000000" w:themeColor="text1"/>
          <w14:textFill>
            <w14:solidFill>
              <w14:schemeClr w14:val="tx1"/>
            </w14:solidFill>
          </w14:textFill>
        </w:rPr>
        <w:t>1.5</w:t>
      </w:r>
      <w:r>
        <w:rPr>
          <w:rStyle w:val="47"/>
          <w:rFonts w:hint="eastAsia" w:ascii="Times New Roman" w:hAnsi="Times New Roman"/>
          <w:color w:val="000000" w:themeColor="text1"/>
          <w14:textFill>
            <w14:solidFill>
              <w14:schemeClr w14:val="tx1"/>
            </w14:solidFill>
          </w14:textFill>
        </w:rPr>
        <w:t>评价等级、评价重点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F5DBF4E">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"_Toc2773733" </w:instrText>
      </w:r>
      <w:r>
        <w:fldChar w:fldCharType="separate"/>
      </w:r>
      <w:r>
        <w:rPr>
          <w:rStyle w:val="47"/>
          <w:rFonts w:ascii="Times New Roman" w:hAnsi="Times New Roman"/>
          <w:color w:val="000000" w:themeColor="text1"/>
          <w14:textFill>
            <w14:solidFill>
              <w14:schemeClr w14:val="tx1"/>
            </w14:solidFill>
          </w14:textFill>
        </w:rPr>
        <w:t>1.6</w:t>
      </w:r>
      <w:r>
        <w:rPr>
          <w:rStyle w:val="47"/>
          <w:rFonts w:hint="eastAsia" w:ascii="Times New Roman" w:hAnsi="Times New Roman"/>
          <w:color w:val="000000" w:themeColor="text1"/>
          <w14:textFill>
            <w14:solidFill>
              <w14:schemeClr w14:val="tx1"/>
            </w14:solidFill>
          </w14:textFill>
        </w:rPr>
        <w:t>评价范围和评价时段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6D29B7F">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"_Toc2773734" </w:instrText>
      </w:r>
      <w:r>
        <w:fldChar w:fldCharType="separate"/>
      </w:r>
      <w:r>
        <w:rPr>
          <w:rStyle w:val="47"/>
          <w:rFonts w:ascii="Times New Roman" w:hAnsi="Times New Roman"/>
          <w:color w:val="000000" w:themeColor="text1"/>
          <w14:textFill>
            <w14:solidFill>
              <w14:schemeClr w14:val="tx1"/>
            </w14:solidFill>
          </w14:textFill>
        </w:rPr>
        <w:t>1.7</w:t>
      </w:r>
      <w:r>
        <w:rPr>
          <w:rStyle w:val="47"/>
          <w:rFonts w:hint="eastAsia" w:ascii="Times New Roman" w:hAnsi="Times New Roman"/>
          <w:color w:val="000000" w:themeColor="text1"/>
          <w14:textFill>
            <w14:solidFill>
              <w14:schemeClr w14:val="tx1"/>
            </w14:solidFill>
          </w14:textFill>
        </w:rPr>
        <w:t>环境保护目标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6D2BB51">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"_Toc2773735" </w:instrText>
      </w:r>
      <w:r>
        <w:fldChar w:fldCharType="separate"/>
      </w:r>
      <w:r>
        <w:rPr>
          <w:rStyle w:val="47"/>
          <w:rFonts w:ascii="Times New Roman" w:hAnsi="Times New Roman"/>
          <w:color w:val="000000" w:themeColor="text1"/>
          <w14:textFill>
            <w14:solidFill>
              <w14:schemeClr w14:val="tx1"/>
            </w14:solidFill>
          </w14:textFill>
        </w:rPr>
        <w:t>1.8</w:t>
      </w:r>
      <w:r>
        <w:rPr>
          <w:rStyle w:val="47"/>
          <w:rFonts w:hint="eastAsia" w:ascii="Times New Roman" w:hAnsi="Times New Roman"/>
          <w:color w:val="000000" w:themeColor="text1"/>
          <w14:textFill>
            <w14:solidFill>
              <w14:schemeClr w14:val="tx1"/>
            </w14:solidFill>
          </w14:textFill>
        </w:rPr>
        <w:t>评价工作程序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A874B09">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"_Toc2773736" </w:instrText>
      </w:r>
      <w:r>
        <w:fldChar w:fldCharType="separate"/>
      </w:r>
      <w:r>
        <w:rPr>
          <w:rStyle w:val="47"/>
          <w:color w:val="000000" w:themeColor="text1"/>
          <w14:textFill>
            <w14:solidFill>
              <w14:schemeClr w14:val="tx1"/>
            </w14:solidFill>
          </w14:textFill>
        </w:rPr>
        <w:t>2</w:t>
      </w:r>
      <w:r>
        <w:rPr>
          <w:rStyle w:val="47"/>
          <w:rFonts w:hint="eastAsia"/>
          <w:color w:val="000000" w:themeColor="text1"/>
          <w14:textFill>
            <w14:solidFill>
              <w14:schemeClr w14:val="tx1"/>
            </w14:solidFill>
          </w14:textFill>
        </w:rPr>
        <w:t>拟建项目概况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545C657">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"_Toc2773737" </w:instrText>
      </w:r>
      <w:r>
        <w:fldChar w:fldCharType="separate"/>
      </w:r>
      <w:r>
        <w:rPr>
          <w:rStyle w:val="47"/>
          <w:rFonts w:ascii="Times New Roman" w:hAnsi="Times New Roman"/>
          <w:color w:val="000000" w:themeColor="text1"/>
          <w14:textFill>
            <w14:solidFill>
              <w14:schemeClr w14:val="tx1"/>
            </w14:solidFill>
          </w14:textFill>
        </w:rPr>
        <w:t>2.1</w:t>
      </w:r>
      <w:r>
        <w:rPr>
          <w:rStyle w:val="47"/>
          <w:rFonts w:hint="eastAsia" w:ascii="Times New Roman" w:hAnsi="Times New Roman"/>
          <w:color w:val="000000" w:themeColor="text1"/>
          <w14:textFill>
            <w14:solidFill>
              <w14:schemeClr w14:val="tx1"/>
            </w14:solidFill>
          </w14:textFill>
        </w:rPr>
        <w:t>拟建项目基本情况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75C86C7">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"_Toc2773738" </w:instrText>
      </w:r>
      <w:r>
        <w:fldChar w:fldCharType="separate"/>
      </w:r>
      <w:r>
        <w:rPr>
          <w:rStyle w:val="47"/>
          <w:rFonts w:ascii="Times New Roman" w:hAnsi="Times New Roman"/>
          <w:color w:val="000000" w:themeColor="text1"/>
          <w14:textFill>
            <w14:solidFill>
              <w14:schemeClr w14:val="tx1"/>
            </w14:solidFill>
          </w14:textFill>
        </w:rPr>
        <w:t>2.2</w:t>
      </w:r>
      <w:r>
        <w:rPr>
          <w:rStyle w:val="47"/>
          <w:rFonts w:hint="eastAsia" w:ascii="Times New Roman" w:hAnsi="Times New Roman"/>
          <w:color w:val="000000" w:themeColor="text1"/>
          <w14:textFill>
            <w14:solidFill>
              <w14:schemeClr w14:val="tx1"/>
            </w14:solidFill>
          </w14:textFill>
        </w:rPr>
        <w:t>项目建设规模和建设内容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39875B6">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"_Toc2773739" </w:instrText>
      </w:r>
      <w:r>
        <w:fldChar w:fldCharType="separate"/>
      </w:r>
      <w:r>
        <w:rPr>
          <w:rStyle w:val="47"/>
          <w:rFonts w:ascii="Times New Roman" w:hAnsi="Times New Roman"/>
          <w:color w:val="000000" w:themeColor="text1"/>
          <w14:textFill>
            <w14:solidFill>
              <w14:schemeClr w14:val="tx1"/>
            </w14:solidFill>
          </w14:textFill>
        </w:rPr>
        <w:t>2.3</w:t>
      </w:r>
      <w:r>
        <w:rPr>
          <w:rStyle w:val="47"/>
          <w:rFonts w:hint="eastAsia" w:ascii="Times New Roman" w:hAnsi="Times New Roman"/>
          <w:color w:val="000000" w:themeColor="text1"/>
          <w14:textFill>
            <w14:solidFill>
              <w14:schemeClr w14:val="tx1"/>
            </w14:solidFill>
          </w14:textFill>
        </w:rPr>
        <w:t>拟建项目产品方案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C1FE610">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"_Toc2773740" </w:instrText>
      </w:r>
      <w:r>
        <w:fldChar w:fldCharType="separate"/>
      </w:r>
      <w:r>
        <w:rPr>
          <w:rStyle w:val="47"/>
          <w:rFonts w:ascii="Times New Roman" w:hAnsi="Times New Roman"/>
          <w:color w:val="000000" w:themeColor="text1"/>
          <w14:textFill>
            <w14:solidFill>
              <w14:schemeClr w14:val="tx1"/>
            </w14:solidFill>
          </w14:textFill>
        </w:rPr>
        <w:t>2.4</w:t>
      </w:r>
      <w:r>
        <w:rPr>
          <w:rStyle w:val="47"/>
          <w:rFonts w:hint="eastAsia" w:ascii="Times New Roman" w:hAnsi="Times New Roman"/>
          <w:color w:val="000000" w:themeColor="text1"/>
          <w14:textFill>
            <w14:solidFill>
              <w14:schemeClr w14:val="tx1"/>
            </w14:solidFill>
          </w14:textFill>
        </w:rPr>
        <w:t>项目主要生产设备及装置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5B76BE8">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"_Toc2773741" </w:instrText>
      </w:r>
      <w:r>
        <w:fldChar w:fldCharType="separate"/>
      </w:r>
      <w:r>
        <w:rPr>
          <w:rStyle w:val="47"/>
          <w:rFonts w:ascii="Times New Roman" w:hAnsi="Times New Roman"/>
          <w:color w:val="000000" w:themeColor="text1"/>
          <w14:textFill>
            <w14:solidFill>
              <w14:schemeClr w14:val="tx1"/>
            </w14:solidFill>
          </w14:textFill>
        </w:rPr>
        <w:t>2.5</w:t>
      </w:r>
      <w:r>
        <w:rPr>
          <w:rStyle w:val="47"/>
          <w:rFonts w:hint="eastAsia" w:ascii="Times New Roman" w:hAnsi="Times New Roman"/>
          <w:color w:val="000000" w:themeColor="text1"/>
          <w14:textFill>
            <w14:solidFill>
              <w14:schemeClr w14:val="tx1"/>
            </w14:solidFill>
          </w14:textFill>
        </w:rPr>
        <w:t>项目原辅料及能源消耗情况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78A0EA5">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"_Toc2773742" </w:instrText>
      </w:r>
      <w:r>
        <w:fldChar w:fldCharType="separate"/>
      </w:r>
      <w:r>
        <w:rPr>
          <w:rStyle w:val="47"/>
          <w:rFonts w:ascii="Times New Roman" w:hAnsi="Times New Roman"/>
          <w:color w:val="000000" w:themeColor="text1"/>
          <w14:textFill>
            <w14:solidFill>
              <w14:schemeClr w14:val="tx1"/>
            </w14:solidFill>
          </w14:textFill>
        </w:rPr>
        <w:t xml:space="preserve">2.6 </w:t>
      </w:r>
      <w:r>
        <w:rPr>
          <w:rStyle w:val="47"/>
          <w:rFonts w:hint="eastAsia" w:ascii="Times New Roman" w:hAnsi="Times New Roman"/>
          <w:color w:val="000000" w:themeColor="text1"/>
          <w14:textFill>
            <w14:solidFill>
              <w14:schemeClr w14:val="tx1"/>
            </w14:solidFill>
          </w14:textFill>
        </w:rPr>
        <w:t>项目总平面布置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E87F09E">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"_Toc2773743" </w:instrText>
      </w:r>
      <w:r>
        <w:fldChar w:fldCharType="separate"/>
      </w:r>
      <w:r>
        <w:rPr>
          <w:rStyle w:val="47"/>
          <w:rFonts w:ascii="Times New Roman" w:hAnsi="Times New Roman"/>
          <w:color w:val="000000" w:themeColor="text1"/>
          <w14:textFill>
            <w14:solidFill>
              <w14:schemeClr w14:val="tx1"/>
            </w14:solidFill>
          </w14:textFill>
        </w:rPr>
        <w:t xml:space="preserve">2.7 </w:t>
      </w:r>
      <w:r>
        <w:rPr>
          <w:rStyle w:val="47"/>
          <w:rFonts w:hint="eastAsia" w:ascii="Times New Roman" w:hAnsi="Times New Roman"/>
          <w:color w:val="000000" w:themeColor="text1"/>
          <w14:textFill>
            <w14:solidFill>
              <w14:schemeClr w14:val="tx1"/>
            </w14:solidFill>
          </w14:textFill>
        </w:rPr>
        <w:t>公用辅助设施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24F0A0A">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"_Toc2773744" </w:instrText>
      </w:r>
      <w:r>
        <w:fldChar w:fldCharType="separate"/>
      </w:r>
      <w:r>
        <w:rPr>
          <w:rStyle w:val="47"/>
          <w:rFonts w:ascii="Times New Roman" w:hAnsi="Times New Roman"/>
          <w:color w:val="000000" w:themeColor="text1"/>
          <w14:textFill>
            <w14:solidFill>
              <w14:schemeClr w14:val="tx1"/>
            </w14:solidFill>
          </w14:textFill>
        </w:rPr>
        <w:t>2.8</w:t>
      </w:r>
      <w:r>
        <w:rPr>
          <w:rStyle w:val="47"/>
          <w:rFonts w:hint="eastAsia" w:ascii="Times New Roman" w:hAnsi="Times New Roman"/>
          <w:color w:val="000000" w:themeColor="text1"/>
          <w14:textFill>
            <w14:solidFill>
              <w14:schemeClr w14:val="tx1"/>
            </w14:solidFill>
          </w14:textFill>
        </w:rPr>
        <w:t>工作制度及劳动定员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B573D94">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"_Toc2773745" </w:instrText>
      </w:r>
      <w:r>
        <w:fldChar w:fldCharType="separate"/>
      </w:r>
      <w:r>
        <w:rPr>
          <w:rStyle w:val="47"/>
          <w:rFonts w:ascii="Times New Roman" w:hAnsi="Times New Roman"/>
          <w:color w:val="000000" w:themeColor="text1"/>
          <w14:textFill>
            <w14:solidFill>
              <w14:schemeClr w14:val="tx1"/>
            </w14:solidFill>
          </w14:textFill>
        </w:rPr>
        <w:t>2.9</w:t>
      </w:r>
      <w:r>
        <w:rPr>
          <w:rStyle w:val="47"/>
          <w:rFonts w:hint="eastAsia" w:ascii="Times New Roman" w:hAnsi="Times New Roman"/>
          <w:color w:val="000000" w:themeColor="text1"/>
          <w14:textFill>
            <w14:solidFill>
              <w14:schemeClr w14:val="tx1"/>
            </w14:solidFill>
          </w14:textFill>
        </w:rPr>
        <w:t>项目实施进度计划安排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DFB46B6">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"_Toc2773746" </w:instrText>
      </w:r>
      <w:r>
        <w:fldChar w:fldCharType="separate"/>
      </w:r>
      <w:r>
        <w:rPr>
          <w:rStyle w:val="47"/>
          <w:color w:val="000000" w:themeColor="text1"/>
          <w14:textFill>
            <w14:solidFill>
              <w14:schemeClr w14:val="tx1"/>
            </w14:solidFill>
          </w14:textFill>
        </w:rPr>
        <w:t>3</w:t>
      </w:r>
      <w:r>
        <w:rPr>
          <w:rStyle w:val="47"/>
          <w:rFonts w:hint="eastAsia"/>
          <w:color w:val="000000" w:themeColor="text1"/>
          <w14:textFill>
            <w14:solidFill>
              <w14:schemeClr w14:val="tx1"/>
            </w14:solidFill>
          </w14:textFill>
        </w:rPr>
        <w:t>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7EB084C">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"_Toc2773747" </w:instrText>
      </w:r>
      <w:r>
        <w:fldChar w:fldCharType="separate"/>
      </w:r>
      <w:r>
        <w:rPr>
          <w:rStyle w:val="47"/>
          <w:rFonts w:ascii="Times New Roman" w:hAnsi="Times New Roman"/>
          <w:color w:val="000000" w:themeColor="text1"/>
          <w14:textFill>
            <w14:solidFill>
              <w14:schemeClr w14:val="tx1"/>
            </w14:solidFill>
          </w14:textFill>
        </w:rPr>
        <w:t xml:space="preserve">3.1 </w:t>
      </w:r>
      <w:r>
        <w:rPr>
          <w:rStyle w:val="47"/>
          <w:rFonts w:hint="eastAsia" w:ascii="Times New Roman" w:hAnsi="Times New Roman"/>
          <w:color w:val="000000" w:themeColor="text1"/>
          <w14:textFill>
            <w14:solidFill>
              <w14:schemeClr w14:val="tx1"/>
            </w14:solidFill>
          </w14:textFill>
        </w:rPr>
        <w:t>生产工艺分析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0984185">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"_Toc2773748" </w:instrText>
      </w:r>
      <w:r>
        <w:fldChar w:fldCharType="separate"/>
      </w:r>
      <w:r>
        <w:rPr>
          <w:rStyle w:val="47"/>
          <w:rFonts w:ascii="Times New Roman" w:hAnsi="Times New Roman"/>
          <w:color w:val="000000" w:themeColor="text1"/>
          <w14:textFill>
            <w14:solidFill>
              <w14:schemeClr w14:val="tx1"/>
            </w14:solidFill>
          </w14:textFill>
        </w:rPr>
        <w:t>3.2</w:t>
      </w:r>
      <w:r>
        <w:rPr>
          <w:rStyle w:val="47"/>
          <w:rFonts w:hint="eastAsia" w:ascii="Times New Roman" w:hAnsi="Times New Roman"/>
          <w:color w:val="000000" w:themeColor="text1"/>
          <w14:textFill>
            <w14:solidFill>
              <w14:schemeClr w14:val="tx1"/>
            </w14:solidFill>
          </w14:textFill>
        </w:rPr>
        <w:t>物料衡算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53F13F6">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"_Toc2773749" </w:instrText>
      </w:r>
      <w:r>
        <w:fldChar w:fldCharType="separate"/>
      </w:r>
      <w:r>
        <w:rPr>
          <w:rStyle w:val="47"/>
          <w:rFonts w:ascii="Times New Roman" w:hAnsi="Times New Roman"/>
          <w:color w:val="000000" w:themeColor="text1"/>
          <w14:textFill>
            <w14:solidFill>
              <w14:schemeClr w14:val="tx1"/>
            </w14:solidFill>
          </w14:textFill>
        </w:rPr>
        <w:t>3.3</w:t>
      </w:r>
      <w:r>
        <w:rPr>
          <w:rStyle w:val="47"/>
          <w:rFonts w:hint="eastAsia" w:ascii="Times New Roman" w:hAnsi="Times New Roman"/>
          <w:color w:val="000000" w:themeColor="text1"/>
          <w14:textFill>
            <w14:solidFill>
              <w14:schemeClr w14:val="tx1"/>
            </w14:solidFill>
          </w14:textFill>
        </w:rPr>
        <w:t>给排水及水量平衡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16BD912">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"_Toc2773750" </w:instrText>
      </w:r>
      <w:r>
        <w:fldChar w:fldCharType="separate"/>
      </w:r>
      <w:r>
        <w:rPr>
          <w:rStyle w:val="47"/>
          <w:rFonts w:ascii="Times New Roman" w:hAnsi="Times New Roman"/>
          <w:color w:val="000000" w:themeColor="text1"/>
          <w14:textFill>
            <w14:solidFill>
              <w14:schemeClr w14:val="tx1"/>
            </w14:solidFill>
          </w14:textFill>
        </w:rPr>
        <w:t>3.4</w:t>
      </w:r>
      <w:r>
        <w:rPr>
          <w:rStyle w:val="47"/>
          <w:rFonts w:hint="eastAsia" w:ascii="Times New Roman" w:hAnsi="Times New Roman"/>
          <w:color w:val="000000" w:themeColor="text1"/>
          <w14:textFill>
            <w14:solidFill>
              <w14:schemeClr w14:val="tx1"/>
            </w14:solidFill>
          </w14:textFill>
        </w:rPr>
        <w:t>施工期污染源产生及排放情况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C6E28E7">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"_Toc2773751" </w:instrText>
      </w:r>
      <w:r>
        <w:fldChar w:fldCharType="separate"/>
      </w:r>
      <w:r>
        <w:rPr>
          <w:rStyle w:val="47"/>
          <w:rFonts w:ascii="Times New Roman" w:hAnsi="Times New Roman"/>
          <w:color w:val="000000" w:themeColor="text1"/>
          <w14:textFill>
            <w14:solidFill>
              <w14:schemeClr w14:val="tx1"/>
            </w14:solidFill>
          </w14:textFill>
        </w:rPr>
        <w:t xml:space="preserve">3.5 </w:t>
      </w:r>
      <w:r>
        <w:rPr>
          <w:rStyle w:val="47"/>
          <w:rFonts w:hint="eastAsia" w:ascii="Times New Roman" w:hAnsi="Times New Roman"/>
          <w:color w:val="000000" w:themeColor="text1"/>
          <w14:textFill>
            <w14:solidFill>
              <w14:schemeClr w14:val="tx1"/>
            </w14:solidFill>
          </w14:textFill>
        </w:rPr>
        <w:t>运营期污染源核算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07A9CBC">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"_Toc2773752" </w:instrText>
      </w:r>
      <w:r>
        <w:fldChar w:fldCharType="separate"/>
      </w:r>
      <w:r>
        <w:rPr>
          <w:rStyle w:val="47"/>
          <w:rFonts w:ascii="Times New Roman" w:hAnsi="Times New Roman"/>
          <w:color w:val="000000" w:themeColor="text1"/>
          <w14:textFill>
            <w14:solidFill>
              <w14:schemeClr w14:val="tx1"/>
            </w14:solidFill>
          </w14:textFill>
        </w:rPr>
        <w:t>3.6</w:t>
      </w:r>
      <w:r>
        <w:rPr>
          <w:rStyle w:val="47"/>
          <w:rFonts w:hint="eastAsia" w:ascii="Times New Roman" w:hAnsi="Times New Roman"/>
          <w:color w:val="000000" w:themeColor="text1"/>
          <w14:textFill>
            <w14:solidFill>
              <w14:schemeClr w14:val="tx1"/>
            </w14:solidFill>
          </w14:textFill>
        </w:rPr>
        <w:t>本项目</w:t>
      </w:r>
      <w:r>
        <w:rPr>
          <w:rStyle w:val="47"/>
          <w:rFonts w:ascii="Times New Roman" w:hAnsi="Times New Roman"/>
          <w:color w:val="000000" w:themeColor="text1"/>
          <w14:textFill>
            <w14:solidFill>
              <w14:schemeClr w14:val="tx1"/>
            </w14:solidFill>
          </w14:textFill>
        </w:rPr>
        <w:t>“</w:t>
      </w:r>
      <w:r>
        <w:rPr>
          <w:rStyle w:val="47"/>
          <w:rFonts w:hint="eastAsia" w:ascii="Times New Roman" w:hAnsi="Times New Roman"/>
          <w:color w:val="000000" w:themeColor="text1"/>
          <w14:textFill>
            <w14:solidFill>
              <w14:schemeClr w14:val="tx1"/>
            </w14:solidFill>
          </w14:textFill>
        </w:rPr>
        <w:t>三废</w:t>
      </w:r>
      <w:r>
        <w:rPr>
          <w:rStyle w:val="47"/>
          <w:rFonts w:ascii="Times New Roman" w:hAnsi="Times New Roman"/>
          <w:color w:val="000000" w:themeColor="text1"/>
          <w14:textFill>
            <w14:solidFill>
              <w14:schemeClr w14:val="tx1"/>
            </w14:solidFill>
          </w14:textFill>
        </w:rPr>
        <w:t>”</w:t>
      </w:r>
      <w:r>
        <w:rPr>
          <w:rStyle w:val="47"/>
          <w:rFonts w:hint="eastAsia" w:ascii="Times New Roman" w:hAnsi="Times New Roman"/>
          <w:color w:val="000000" w:themeColor="text1"/>
          <w14:textFill>
            <w14:solidFill>
              <w14:schemeClr w14:val="tx1"/>
            </w14:solidFill>
          </w14:textFill>
        </w:rPr>
        <w:t>排污核算汇总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6F9E12E">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"_Toc2773753" </w:instrText>
      </w:r>
      <w:r>
        <w:fldChar w:fldCharType="separate"/>
      </w:r>
      <w:r>
        <w:rPr>
          <w:rStyle w:val="47"/>
          <w:rFonts w:ascii="Times New Roman" w:hAnsi="Times New Roman"/>
          <w:color w:val="000000" w:themeColor="text1"/>
          <w14:textFill>
            <w14:solidFill>
              <w14:schemeClr w14:val="tx1"/>
            </w14:solidFill>
          </w14:textFill>
        </w:rPr>
        <w:t xml:space="preserve">3.7 </w:t>
      </w:r>
      <w:r>
        <w:rPr>
          <w:rStyle w:val="47"/>
          <w:rFonts w:hint="eastAsia" w:ascii="Times New Roman" w:hAnsi="Times New Roman"/>
          <w:color w:val="000000" w:themeColor="text1"/>
          <w14:textFill>
            <w14:solidFill>
              <w14:schemeClr w14:val="tx1"/>
            </w14:solidFill>
          </w14:textFill>
        </w:rPr>
        <w:t>非正常排放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C023AA4">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"_Toc2773754" </w:instrText>
      </w:r>
      <w:r>
        <w:fldChar w:fldCharType="separate"/>
      </w:r>
      <w:r>
        <w:rPr>
          <w:rStyle w:val="47"/>
          <w:color w:val="000000" w:themeColor="text1"/>
          <w14:textFill>
            <w14:solidFill>
              <w14:schemeClr w14:val="tx1"/>
            </w14:solidFill>
          </w14:textFill>
        </w:rPr>
        <w:t>4</w:t>
      </w:r>
      <w:r>
        <w:rPr>
          <w:rStyle w:val="47"/>
          <w:rFonts w:hint="eastAsia"/>
          <w:color w:val="000000" w:themeColor="text1"/>
          <w14:textFill>
            <w14:solidFill>
              <w14:schemeClr w14:val="tx1"/>
            </w14:solidFill>
          </w14:textFill>
        </w:rPr>
        <w:t>建设项目所在区域环境概况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B49F2B6">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"_Toc2773755" </w:instrText>
      </w:r>
      <w:r>
        <w:fldChar w:fldCharType="separate"/>
      </w:r>
      <w:r>
        <w:rPr>
          <w:rStyle w:val="47"/>
          <w:rFonts w:ascii="Times New Roman" w:hAnsi="Times New Roman"/>
          <w:color w:val="000000" w:themeColor="text1"/>
          <w14:textFill>
            <w14:solidFill>
              <w14:schemeClr w14:val="tx1"/>
            </w14:solidFill>
          </w14:textFill>
        </w:rPr>
        <w:t>4.1</w:t>
      </w:r>
      <w:r>
        <w:rPr>
          <w:rStyle w:val="47"/>
          <w:rFonts w:hint="eastAsia" w:ascii="Times New Roman" w:hAnsi="Times New Roman"/>
          <w:color w:val="000000" w:themeColor="text1"/>
          <w14:textFill>
            <w14:solidFill>
              <w14:schemeClr w14:val="tx1"/>
            </w14:solidFill>
          </w14:textFill>
        </w:rPr>
        <w:t>自然环境概况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3FBD8E4">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"_Toc2773756" </w:instrText>
      </w:r>
      <w:r>
        <w:fldChar w:fldCharType="separate"/>
      </w:r>
      <w:r>
        <w:rPr>
          <w:rStyle w:val="47"/>
          <w:rFonts w:ascii="Times New Roman" w:hAnsi="Times New Roman"/>
          <w:color w:val="000000" w:themeColor="text1"/>
          <w14:textFill>
            <w14:solidFill>
              <w14:schemeClr w14:val="tx1"/>
            </w14:solidFill>
          </w14:textFill>
        </w:rPr>
        <w:t>4.2</w:t>
      </w:r>
      <w:r>
        <w:rPr>
          <w:rStyle w:val="47"/>
          <w:rFonts w:hint="eastAsia" w:ascii="Times New Roman" w:hAnsi="Times New Roman"/>
          <w:color w:val="000000" w:themeColor="text1"/>
          <w14:textFill>
            <w14:solidFill>
              <w14:schemeClr w14:val="tx1"/>
            </w14:solidFill>
          </w14:textFill>
        </w:rPr>
        <w:t>环境质量现状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56AEB50">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"_Toc2773757" </w:instrText>
      </w:r>
      <w:r>
        <w:fldChar w:fldCharType="separate"/>
      </w:r>
      <w:r>
        <w:rPr>
          <w:rStyle w:val="47"/>
          <w:color w:val="000000" w:themeColor="text1"/>
          <w14:textFill>
            <w14:solidFill>
              <w14:schemeClr w14:val="tx1"/>
            </w14:solidFill>
          </w14:textFill>
        </w:rPr>
        <w:t>5</w:t>
      </w:r>
      <w:r>
        <w:rPr>
          <w:rStyle w:val="47"/>
          <w:rFonts w:hint="eastAsia"/>
          <w:color w:val="000000" w:themeColor="text1"/>
          <w14:textFill>
            <w14:solidFill>
              <w14:schemeClr w14:val="tx1"/>
            </w14:solidFill>
          </w14:textFill>
        </w:rPr>
        <w:t>施工期环境影响分析与评价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3C1308B">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"_Toc2773758" </w:instrText>
      </w:r>
      <w:r>
        <w:fldChar w:fldCharType="separate"/>
      </w:r>
      <w:r>
        <w:rPr>
          <w:rStyle w:val="47"/>
          <w:rFonts w:ascii="Times New Roman" w:hAnsi="Times New Roman"/>
          <w:color w:val="000000" w:themeColor="text1"/>
          <w14:textFill>
            <w14:solidFill>
              <w14:schemeClr w14:val="tx1"/>
            </w14:solidFill>
          </w14:textFill>
        </w:rPr>
        <w:t>5.1</w:t>
      </w:r>
      <w:r>
        <w:rPr>
          <w:rStyle w:val="47"/>
          <w:rFonts w:hint="eastAsia" w:ascii="Times New Roman" w:hAnsi="Times New Roman"/>
          <w:color w:val="000000" w:themeColor="text1"/>
          <w14:textFill>
            <w14:solidFill>
              <w14:schemeClr w14:val="tx1"/>
            </w14:solidFill>
          </w14:textFill>
        </w:rPr>
        <w:t>施工期环境空气影响分析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21A5D24">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"_Toc2773759" </w:instrText>
      </w:r>
      <w:r>
        <w:fldChar w:fldCharType="separate"/>
      </w:r>
      <w:r>
        <w:rPr>
          <w:rStyle w:val="47"/>
          <w:rFonts w:ascii="Times New Roman" w:hAnsi="Times New Roman"/>
          <w:color w:val="000000" w:themeColor="text1"/>
          <w14:textFill>
            <w14:solidFill>
              <w14:schemeClr w14:val="tx1"/>
            </w14:solidFill>
          </w14:textFill>
        </w:rPr>
        <w:t>5.2</w:t>
      </w:r>
      <w:r>
        <w:rPr>
          <w:rStyle w:val="47"/>
          <w:rFonts w:hint="eastAsia" w:ascii="Times New Roman" w:hAnsi="Times New Roman"/>
          <w:color w:val="000000" w:themeColor="text1"/>
          <w14:textFill>
            <w14:solidFill>
              <w14:schemeClr w14:val="tx1"/>
            </w14:solidFill>
          </w14:textFill>
        </w:rPr>
        <w:t>施工期水环境影响分析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449ABA6">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"_Toc2773760" </w:instrText>
      </w:r>
      <w:r>
        <w:fldChar w:fldCharType="separate"/>
      </w:r>
      <w:r>
        <w:rPr>
          <w:rStyle w:val="47"/>
          <w:rFonts w:ascii="Times New Roman" w:hAnsi="Times New Roman"/>
          <w:color w:val="000000" w:themeColor="text1"/>
          <w14:textFill>
            <w14:solidFill>
              <w14:schemeClr w14:val="tx1"/>
            </w14:solidFill>
          </w14:textFill>
        </w:rPr>
        <w:t>5.3</w:t>
      </w:r>
      <w:r>
        <w:rPr>
          <w:rStyle w:val="47"/>
          <w:rFonts w:hint="eastAsia" w:ascii="Times New Roman" w:hAnsi="Times New Roman"/>
          <w:color w:val="000000" w:themeColor="text1"/>
          <w14:textFill>
            <w14:solidFill>
              <w14:schemeClr w14:val="tx1"/>
            </w14:solidFill>
          </w14:textFill>
        </w:rPr>
        <w:t>施工期声环境影响分析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266C580">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"_Toc2773761" </w:instrText>
      </w:r>
      <w:r>
        <w:fldChar w:fldCharType="separate"/>
      </w:r>
      <w:r>
        <w:rPr>
          <w:rStyle w:val="47"/>
          <w:rFonts w:ascii="Times New Roman" w:hAnsi="Times New Roman"/>
          <w:color w:val="000000" w:themeColor="text1"/>
          <w14:textFill>
            <w14:solidFill>
              <w14:schemeClr w14:val="tx1"/>
            </w14:solidFill>
          </w14:textFill>
        </w:rPr>
        <w:t>5.4</w:t>
      </w:r>
      <w:r>
        <w:rPr>
          <w:rStyle w:val="47"/>
          <w:rFonts w:hint="eastAsia" w:ascii="Times New Roman" w:hAnsi="Times New Roman"/>
          <w:color w:val="000000" w:themeColor="text1"/>
          <w14:textFill>
            <w14:solidFill>
              <w14:schemeClr w14:val="tx1"/>
            </w14:solidFill>
          </w14:textFill>
        </w:rPr>
        <w:t>固体废弃物影响分析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6BA4574">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"_Toc2773762" </w:instrText>
      </w:r>
      <w:r>
        <w:fldChar w:fldCharType="separate"/>
      </w:r>
      <w:r>
        <w:rPr>
          <w:rStyle w:val="47"/>
          <w:rFonts w:ascii="Times New Roman" w:hAnsi="Times New Roman"/>
          <w:color w:val="000000" w:themeColor="text1"/>
          <w:lang w:val="zh-CN"/>
          <w14:textFill>
            <w14:solidFill>
              <w14:schemeClr w14:val="tx1"/>
            </w14:solidFill>
          </w14:textFill>
        </w:rPr>
        <w:t>5.5</w:t>
      </w:r>
      <w:r>
        <w:rPr>
          <w:rStyle w:val="47"/>
          <w:rFonts w:hint="eastAsia" w:ascii="Times New Roman" w:hAnsi="Times New Roman"/>
          <w:color w:val="000000" w:themeColor="text1"/>
          <w:lang w:val="zh-CN"/>
          <w14:textFill>
            <w14:solidFill>
              <w14:schemeClr w14:val="tx1"/>
            </w14:solidFill>
          </w14:textFill>
        </w:rPr>
        <w:t>施工期影响评价结论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907DC5D">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"_Toc2773763" </w:instrText>
      </w:r>
      <w:r>
        <w:fldChar w:fldCharType="separate"/>
      </w:r>
      <w:r>
        <w:rPr>
          <w:rStyle w:val="47"/>
          <w:color w:val="000000" w:themeColor="text1"/>
          <w14:textFill>
            <w14:solidFill>
              <w14:schemeClr w14:val="tx1"/>
            </w14:solidFill>
          </w14:textFill>
        </w:rPr>
        <w:t>6</w:t>
      </w:r>
      <w:r>
        <w:rPr>
          <w:rStyle w:val="47"/>
          <w:rFonts w:hint="eastAsia"/>
          <w:color w:val="000000" w:themeColor="text1"/>
          <w14:textFill>
            <w14:solidFill>
              <w14:schemeClr w14:val="tx1"/>
            </w14:solidFill>
          </w14:textFill>
        </w:rPr>
        <w:t>运营期环境影响预测评价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6E43DDD">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"_Toc2773764" </w:instrText>
      </w:r>
      <w:r>
        <w:fldChar w:fldCharType="separate"/>
      </w:r>
      <w:r>
        <w:rPr>
          <w:rStyle w:val="47"/>
          <w:rFonts w:ascii="Times New Roman" w:hAnsi="Times New Roman"/>
          <w:color w:val="000000" w:themeColor="text1"/>
          <w14:textFill>
            <w14:solidFill>
              <w14:schemeClr w14:val="tx1"/>
            </w14:solidFill>
          </w14:textFill>
        </w:rPr>
        <w:t>6.1</w:t>
      </w:r>
      <w:r>
        <w:rPr>
          <w:rStyle w:val="47"/>
          <w:rFonts w:hint="eastAsia" w:ascii="Times New Roman" w:hAnsi="Times New Roman"/>
          <w:color w:val="000000" w:themeColor="text1"/>
          <w14:textFill>
            <w14:solidFill>
              <w14:schemeClr w14:val="tx1"/>
            </w14:solidFill>
          </w14:textFill>
        </w:rPr>
        <w:t>大气环境影响预测评价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B4BEA18">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"_Toc2773765" </w:instrText>
      </w:r>
      <w:r>
        <w:fldChar w:fldCharType="separate"/>
      </w:r>
      <w:r>
        <w:rPr>
          <w:rStyle w:val="47"/>
          <w:rFonts w:ascii="Times New Roman" w:hAnsi="Times New Roman"/>
          <w:color w:val="000000" w:themeColor="text1"/>
          <w14:textFill>
            <w14:solidFill>
              <w14:schemeClr w14:val="tx1"/>
            </w14:solidFill>
          </w14:textFill>
        </w:rPr>
        <w:t>6.2</w:t>
      </w:r>
      <w:r>
        <w:rPr>
          <w:rStyle w:val="47"/>
          <w:rFonts w:hint="eastAsia" w:ascii="Times New Roman" w:hAnsi="Times New Roman"/>
          <w:color w:val="000000" w:themeColor="text1"/>
          <w14:textFill>
            <w14:solidFill>
              <w14:schemeClr w14:val="tx1"/>
            </w14:solidFill>
          </w14:textFill>
        </w:rPr>
        <w:t>地表水环境影响预测及评价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1B63ABA">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"_Toc2773766" </w:instrText>
      </w:r>
      <w:r>
        <w:fldChar w:fldCharType="separate"/>
      </w:r>
      <w:r>
        <w:rPr>
          <w:rStyle w:val="47"/>
          <w:rFonts w:ascii="Times New Roman" w:hAnsi="Times New Roman"/>
          <w:color w:val="000000" w:themeColor="text1"/>
          <w14:textFill>
            <w14:solidFill>
              <w14:schemeClr w14:val="tx1"/>
            </w14:solidFill>
          </w14:textFill>
        </w:rPr>
        <w:t>6.3</w:t>
      </w:r>
      <w:r>
        <w:rPr>
          <w:rStyle w:val="47"/>
          <w:rFonts w:hint="eastAsia" w:ascii="Times New Roman" w:hAnsi="Times New Roman"/>
          <w:color w:val="000000" w:themeColor="text1"/>
          <w14:textFill>
            <w14:solidFill>
              <w14:schemeClr w14:val="tx1"/>
            </w14:solidFill>
          </w14:textFill>
        </w:rPr>
        <w:t>地下水环境影响分析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195AFF1">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"_Toc2773767" </w:instrText>
      </w:r>
      <w:r>
        <w:fldChar w:fldCharType="separate"/>
      </w:r>
      <w:r>
        <w:rPr>
          <w:rStyle w:val="47"/>
          <w:rFonts w:ascii="Times New Roman" w:hAnsi="Times New Roman"/>
          <w:color w:val="000000" w:themeColor="text1"/>
          <w14:textFill>
            <w14:solidFill>
              <w14:schemeClr w14:val="tx1"/>
            </w14:solidFill>
          </w14:textFill>
        </w:rPr>
        <w:t>6.4</w:t>
      </w:r>
      <w:r>
        <w:rPr>
          <w:rStyle w:val="47"/>
          <w:rFonts w:hint="eastAsia" w:ascii="Times New Roman" w:hAnsi="Times New Roman"/>
          <w:color w:val="000000" w:themeColor="text1"/>
          <w14:textFill>
            <w14:solidFill>
              <w14:schemeClr w14:val="tx1"/>
            </w14:solidFill>
          </w14:textFill>
        </w:rPr>
        <w:t>固废环境影响预测及评价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C9F4D86">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"_Toc2773768" </w:instrText>
      </w:r>
      <w:r>
        <w:fldChar w:fldCharType="separate"/>
      </w:r>
      <w:r>
        <w:rPr>
          <w:rStyle w:val="47"/>
          <w:rFonts w:ascii="Times New Roman" w:hAnsi="Times New Roman"/>
          <w:color w:val="000000" w:themeColor="text1"/>
          <w14:textFill>
            <w14:solidFill>
              <w14:schemeClr w14:val="tx1"/>
            </w14:solidFill>
          </w14:textFill>
        </w:rPr>
        <w:t>6.5</w:t>
      </w:r>
      <w:r>
        <w:rPr>
          <w:rStyle w:val="47"/>
          <w:rFonts w:hint="eastAsia" w:ascii="Times New Roman" w:hAnsi="Times New Roman"/>
          <w:color w:val="000000" w:themeColor="text1"/>
          <w14:textFill>
            <w14:solidFill>
              <w14:schemeClr w14:val="tx1"/>
            </w14:solidFill>
          </w14:textFill>
        </w:rPr>
        <w:t>声环境影响预测与分析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DF445A8">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"_Toc2773769" </w:instrText>
      </w:r>
      <w:r>
        <w:fldChar w:fldCharType="separate"/>
      </w:r>
      <w:r>
        <w:rPr>
          <w:rStyle w:val="47"/>
          <w:rFonts w:ascii="Times New Roman" w:hAnsi="Times New Roman"/>
          <w:color w:val="000000" w:themeColor="text1"/>
          <w14:textFill>
            <w14:solidFill>
              <w14:schemeClr w14:val="tx1"/>
            </w14:solidFill>
          </w14:textFill>
        </w:rPr>
        <w:t>6.6</w:t>
      </w:r>
      <w:r>
        <w:rPr>
          <w:rStyle w:val="47"/>
          <w:rFonts w:hint="eastAsia" w:ascii="Times New Roman" w:hAnsi="Times New Roman"/>
          <w:color w:val="000000" w:themeColor="text1"/>
          <w14:textFill>
            <w14:solidFill>
              <w14:schemeClr w14:val="tx1"/>
            </w14:solidFill>
          </w14:textFill>
        </w:rPr>
        <w:t>生态环境影响分析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B230326">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"_Toc2773770" </w:instrText>
      </w:r>
      <w:r>
        <w:fldChar w:fldCharType="separate"/>
      </w:r>
      <w:r>
        <w:rPr>
          <w:rStyle w:val="47"/>
          <w:rFonts w:ascii="Times New Roman" w:hAnsi="Times New Roman"/>
          <w:color w:val="000000" w:themeColor="text1"/>
          <w14:textFill>
            <w14:solidFill>
              <w14:schemeClr w14:val="tx1"/>
            </w14:solidFill>
          </w14:textFill>
        </w:rPr>
        <w:t>6.7</w:t>
      </w:r>
      <w:r>
        <w:rPr>
          <w:rStyle w:val="47"/>
          <w:rFonts w:hint="eastAsia" w:ascii="Times New Roman" w:hAnsi="Times New Roman"/>
          <w:color w:val="000000" w:themeColor="text1"/>
          <w14:textFill>
            <w14:solidFill>
              <w14:schemeClr w14:val="tx1"/>
            </w14:solidFill>
          </w14:textFill>
        </w:rPr>
        <w:t>项目与周围环境相容性分析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C9F9F7B">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"_Toc2773771" </w:instrText>
      </w:r>
      <w:r>
        <w:fldChar w:fldCharType="separate"/>
      </w:r>
      <w:r>
        <w:rPr>
          <w:rStyle w:val="47"/>
          <w:color w:val="000000" w:themeColor="text1"/>
          <w14:textFill>
            <w14:solidFill>
              <w14:schemeClr w14:val="tx1"/>
            </w14:solidFill>
          </w14:textFill>
        </w:rPr>
        <w:t>7</w:t>
      </w:r>
      <w:r>
        <w:rPr>
          <w:rStyle w:val="47"/>
          <w:rFonts w:hint="eastAsia"/>
          <w:color w:val="000000" w:themeColor="text1"/>
          <w14:textFill>
            <w14:solidFill>
              <w14:schemeClr w14:val="tx1"/>
            </w14:solidFill>
          </w14:textFill>
        </w:rPr>
        <w:t>环境风险分析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99E2F48">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"_Toc2773772" </w:instrText>
      </w:r>
      <w:r>
        <w:fldChar w:fldCharType="separate"/>
      </w:r>
      <w:r>
        <w:rPr>
          <w:rStyle w:val="47"/>
          <w:rFonts w:ascii="Times New Roman" w:hAnsi="Times New Roman"/>
          <w:color w:val="000000" w:themeColor="text1"/>
          <w14:textFill>
            <w14:solidFill>
              <w14:schemeClr w14:val="tx1"/>
            </w14:solidFill>
          </w14:textFill>
        </w:rPr>
        <w:t>7.1</w:t>
      </w:r>
      <w:r>
        <w:rPr>
          <w:rStyle w:val="47"/>
          <w:rFonts w:hint="eastAsia" w:ascii="Times New Roman" w:hAnsi="Times New Roman"/>
          <w:color w:val="000000" w:themeColor="text1"/>
          <w14:textFill>
            <w14:solidFill>
              <w14:schemeClr w14:val="tx1"/>
            </w14:solidFill>
          </w14:textFill>
        </w:rPr>
        <w:t>环境风险评价的目的和重点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AEDE865">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"_Toc2773773" </w:instrText>
      </w:r>
      <w:r>
        <w:fldChar w:fldCharType="separate"/>
      </w:r>
      <w:r>
        <w:rPr>
          <w:rStyle w:val="47"/>
          <w:rFonts w:ascii="Times New Roman" w:hAnsi="Times New Roman"/>
          <w:color w:val="000000" w:themeColor="text1"/>
          <w14:textFill>
            <w14:solidFill>
              <w14:schemeClr w14:val="tx1"/>
            </w14:solidFill>
          </w14:textFill>
        </w:rPr>
        <w:t>7.2</w:t>
      </w:r>
      <w:r>
        <w:rPr>
          <w:rStyle w:val="47"/>
          <w:rFonts w:hint="eastAsia" w:ascii="Times New Roman" w:hAnsi="Times New Roman"/>
          <w:color w:val="000000" w:themeColor="text1"/>
          <w14:textFill>
            <w14:solidFill>
              <w14:schemeClr w14:val="tx1"/>
            </w14:solidFill>
          </w14:textFill>
        </w:rPr>
        <w:t>风险识别</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EDC410B">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"_Toc2773774" </w:instrText>
      </w:r>
      <w:r>
        <w:fldChar w:fldCharType="separate"/>
      </w:r>
      <w:r>
        <w:rPr>
          <w:rStyle w:val="47"/>
          <w:rFonts w:ascii="Times New Roman" w:hAnsi="Times New Roman"/>
          <w:color w:val="000000" w:themeColor="text1"/>
          <w14:textFill>
            <w14:solidFill>
              <w14:schemeClr w14:val="tx1"/>
            </w14:solidFill>
          </w14:textFill>
        </w:rPr>
        <w:t>7.3</w:t>
      </w:r>
      <w:r>
        <w:rPr>
          <w:rStyle w:val="47"/>
          <w:rFonts w:hint="eastAsia" w:ascii="Times New Roman" w:hAnsi="Times New Roman"/>
          <w:color w:val="000000" w:themeColor="text1"/>
          <w14:textFill>
            <w14:solidFill>
              <w14:schemeClr w14:val="tx1"/>
            </w14:solidFill>
          </w14:textFill>
        </w:rPr>
        <w:t>环境风险评价等级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FBCF17A">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"_Toc2773775" </w:instrText>
      </w:r>
      <w:r>
        <w:fldChar w:fldCharType="separate"/>
      </w:r>
      <w:r>
        <w:rPr>
          <w:rStyle w:val="47"/>
          <w:rFonts w:ascii="Times New Roman" w:hAnsi="Times New Roman"/>
          <w:color w:val="000000" w:themeColor="text1"/>
          <w14:textFill>
            <w14:solidFill>
              <w14:schemeClr w14:val="tx1"/>
            </w14:solidFill>
          </w14:textFill>
        </w:rPr>
        <w:t>7.4</w:t>
      </w:r>
      <w:r>
        <w:rPr>
          <w:rStyle w:val="47"/>
          <w:rFonts w:hint="eastAsia" w:ascii="Times New Roman" w:hAnsi="Times New Roman"/>
          <w:color w:val="000000" w:themeColor="text1"/>
          <w14:textFill>
            <w14:solidFill>
              <w14:schemeClr w14:val="tx1"/>
            </w14:solidFill>
          </w14:textFill>
        </w:rPr>
        <w:t>环境风险识别</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4A7261A">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"_Toc2773776" </w:instrText>
      </w:r>
      <w:r>
        <w:fldChar w:fldCharType="separate"/>
      </w:r>
      <w:r>
        <w:rPr>
          <w:rStyle w:val="47"/>
          <w:rFonts w:ascii="Times New Roman" w:hAnsi="Times New Roman"/>
          <w:color w:val="000000" w:themeColor="text1"/>
          <w14:textFill>
            <w14:solidFill>
              <w14:schemeClr w14:val="tx1"/>
            </w14:solidFill>
          </w14:textFill>
        </w:rPr>
        <w:t>7.5</w:t>
      </w:r>
      <w:r>
        <w:rPr>
          <w:rStyle w:val="47"/>
          <w:rFonts w:hint="eastAsia" w:ascii="Times New Roman" w:hAnsi="Times New Roman"/>
          <w:color w:val="000000" w:themeColor="text1"/>
          <w14:textFill>
            <w14:solidFill>
              <w14:schemeClr w14:val="tx1"/>
            </w14:solidFill>
          </w14:textFill>
        </w:rPr>
        <w:t>源项分析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064014D">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"_Toc2773777" </w:instrText>
      </w:r>
      <w:r>
        <w:fldChar w:fldCharType="separate"/>
      </w:r>
      <w:r>
        <w:rPr>
          <w:rStyle w:val="47"/>
          <w:rFonts w:ascii="Times New Roman" w:hAnsi="Times New Roman"/>
          <w:color w:val="000000" w:themeColor="text1"/>
          <w14:textFill>
            <w14:solidFill>
              <w14:schemeClr w14:val="tx1"/>
            </w14:solidFill>
          </w14:textFill>
        </w:rPr>
        <w:t>7.6</w:t>
      </w:r>
      <w:r>
        <w:rPr>
          <w:rStyle w:val="47"/>
          <w:rFonts w:hint="eastAsia" w:ascii="Times New Roman" w:hAnsi="Times New Roman"/>
          <w:color w:val="000000" w:themeColor="text1"/>
          <w14:textFill>
            <w14:solidFill>
              <w14:schemeClr w14:val="tx1"/>
            </w14:solidFill>
          </w14:textFill>
        </w:rPr>
        <w:t>风险事故防范措施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C406497">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"_Toc2773778" </w:instrText>
      </w:r>
      <w:r>
        <w:fldChar w:fldCharType="separate"/>
      </w:r>
      <w:r>
        <w:rPr>
          <w:rStyle w:val="47"/>
          <w:rFonts w:ascii="Times New Roman" w:hAnsi="Times New Roman"/>
          <w:color w:val="000000" w:themeColor="text1"/>
          <w14:textFill>
            <w14:solidFill>
              <w14:schemeClr w14:val="tx1"/>
            </w14:solidFill>
          </w14:textFill>
        </w:rPr>
        <w:t>7.7</w:t>
      </w:r>
      <w:r>
        <w:rPr>
          <w:rStyle w:val="47"/>
          <w:rFonts w:hint="eastAsia" w:ascii="Times New Roman" w:hAnsi="Times New Roman"/>
          <w:color w:val="000000" w:themeColor="text1"/>
          <w14:textFill>
            <w14:solidFill>
              <w14:schemeClr w14:val="tx1"/>
            </w14:solidFill>
          </w14:textFill>
        </w:rPr>
        <w:t>风险评价结论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08FC792">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"_Toc2773779" </w:instrText>
      </w:r>
      <w:r>
        <w:fldChar w:fldCharType="separate"/>
      </w:r>
      <w:r>
        <w:rPr>
          <w:rStyle w:val="47"/>
          <w:rFonts w:ascii="Times New Roman" w:hAnsi="Times New Roman"/>
          <w:color w:val="000000" w:themeColor="text1"/>
          <w14:textFill>
            <w14:solidFill>
              <w14:schemeClr w14:val="tx1"/>
            </w14:solidFill>
          </w14:textFill>
        </w:rPr>
        <w:t>8</w:t>
      </w:r>
      <w:r>
        <w:rPr>
          <w:rStyle w:val="47"/>
          <w:rFonts w:hint="eastAsia" w:ascii="Times New Roman" w:hAnsi="Times New Roman"/>
          <w:color w:val="000000" w:themeColor="text1"/>
          <w14:textFill>
            <w14:solidFill>
              <w14:schemeClr w14:val="tx1"/>
            </w14:solidFill>
          </w14:textFill>
        </w:rPr>
        <w:t>产业政策及相关规划符合性分析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4DB359D">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"_Toc2773780" </w:instrText>
      </w:r>
      <w:r>
        <w:fldChar w:fldCharType="separate"/>
      </w:r>
      <w:r>
        <w:rPr>
          <w:rStyle w:val="47"/>
          <w:rFonts w:ascii="Times New Roman" w:hAnsi="Times New Roman"/>
          <w:color w:val="000000" w:themeColor="text1"/>
          <w14:textFill>
            <w14:solidFill>
              <w14:schemeClr w14:val="tx1"/>
            </w14:solidFill>
          </w14:textFill>
        </w:rPr>
        <w:t>8.1</w:t>
      </w:r>
      <w:r>
        <w:rPr>
          <w:rStyle w:val="47"/>
          <w:rFonts w:hint="eastAsia" w:ascii="Times New Roman" w:hAnsi="Times New Roman"/>
          <w:color w:val="000000" w:themeColor="text1"/>
          <w14:textFill>
            <w14:solidFill>
              <w14:schemeClr w14:val="tx1"/>
            </w14:solidFill>
          </w14:textFill>
        </w:rPr>
        <w:t>产业政策符合性分析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A85753D">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"_Toc2773781" </w:instrText>
      </w:r>
      <w:r>
        <w:fldChar w:fldCharType="separate"/>
      </w:r>
      <w:r>
        <w:rPr>
          <w:rStyle w:val="47"/>
          <w:rFonts w:ascii="Times New Roman" w:hAnsi="Times New Roman"/>
          <w:color w:val="000000" w:themeColor="text1"/>
          <w14:textFill>
            <w14:solidFill>
              <w14:schemeClr w14:val="tx1"/>
            </w14:solidFill>
          </w14:textFill>
        </w:rPr>
        <w:t>8.2</w:t>
      </w:r>
      <w:r>
        <w:rPr>
          <w:rStyle w:val="47"/>
          <w:rFonts w:hint="eastAsia" w:ascii="Times New Roman" w:hAnsi="Times New Roman"/>
          <w:color w:val="000000" w:themeColor="text1"/>
          <w14:textFill>
            <w14:solidFill>
              <w14:schemeClr w14:val="tx1"/>
            </w14:solidFill>
          </w14:textFill>
        </w:rPr>
        <w:t>与相关规划符合性分析、选址符合性分析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B9CE772">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"_Toc2773782" </w:instrText>
      </w:r>
      <w:r>
        <w:fldChar w:fldCharType="separate"/>
      </w:r>
      <w:r>
        <w:rPr>
          <w:rStyle w:val="47"/>
          <w:rFonts w:ascii="Times New Roman" w:hAnsi="Times New Roman"/>
          <w:color w:val="000000" w:themeColor="text1"/>
          <w14:textFill>
            <w14:solidFill>
              <w14:schemeClr w14:val="tx1"/>
            </w14:solidFill>
          </w14:textFill>
        </w:rPr>
        <w:t>8.3</w:t>
      </w:r>
      <w:r>
        <w:rPr>
          <w:rStyle w:val="47"/>
          <w:rFonts w:hint="eastAsia" w:ascii="Times New Roman" w:hAnsi="Times New Roman"/>
          <w:color w:val="000000" w:themeColor="text1"/>
          <w14:textFill>
            <w14:solidFill>
              <w14:schemeClr w14:val="tx1"/>
            </w14:solidFill>
          </w14:textFill>
        </w:rPr>
        <w:t>平面布置合理性分析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A86A3EB">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"_Toc2773783" </w:instrText>
      </w:r>
      <w:r>
        <w:fldChar w:fldCharType="separate"/>
      </w:r>
      <w:r>
        <w:rPr>
          <w:rStyle w:val="47"/>
          <w:rFonts w:ascii="Times New Roman" w:hAnsi="Times New Roman"/>
          <w:color w:val="000000" w:themeColor="text1"/>
          <w:kern w:val="0"/>
          <w14:textFill>
            <w14:solidFill>
              <w14:schemeClr w14:val="tx1"/>
            </w14:solidFill>
          </w14:textFill>
        </w:rPr>
        <w:t>8.4</w:t>
      </w:r>
      <w:r>
        <w:rPr>
          <w:rStyle w:val="47"/>
          <w:rFonts w:hint="eastAsia" w:ascii="Times New Roman" w:hAnsi="Times New Roman"/>
          <w:color w:val="000000" w:themeColor="text1"/>
          <w:kern w:val="0"/>
          <w14:textFill>
            <w14:solidFill>
              <w14:schemeClr w14:val="tx1"/>
            </w14:solidFill>
          </w14:textFill>
        </w:rPr>
        <w:t>与塑料行业相关规定的分析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531B193">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"_Toc2773784" </w:instrText>
      </w:r>
      <w:r>
        <w:fldChar w:fldCharType="separate"/>
      </w:r>
      <w:r>
        <w:rPr>
          <w:rStyle w:val="47"/>
          <w:rFonts w:ascii="Times New Roman" w:hAnsi="Times New Roman"/>
          <w:color w:val="000000" w:themeColor="text1"/>
          <w14:textFill>
            <w14:solidFill>
              <w14:schemeClr w14:val="tx1"/>
            </w14:solidFill>
          </w14:textFill>
        </w:rPr>
        <w:t>8.5</w:t>
      </w:r>
      <w:r>
        <w:rPr>
          <w:rStyle w:val="47"/>
          <w:rFonts w:hint="eastAsia" w:ascii="Times New Roman" w:hAnsi="Times New Roman"/>
          <w:color w:val="000000" w:themeColor="text1"/>
          <w:kern w:val="0"/>
          <w14:textFill>
            <w14:solidFill>
              <w14:schemeClr w14:val="tx1"/>
            </w14:solidFill>
          </w14:textFill>
        </w:rPr>
        <w:t>环境可行性分析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45B0ADC">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"_Toc2773785" </w:instrText>
      </w:r>
      <w:r>
        <w:fldChar w:fldCharType="separate"/>
      </w:r>
      <w:r>
        <w:rPr>
          <w:rStyle w:val="47"/>
          <w:rFonts w:ascii="Times New Roman" w:hAnsi="Times New Roman"/>
          <w:color w:val="000000" w:themeColor="text1"/>
          <w14:textFill>
            <w14:solidFill>
              <w14:schemeClr w14:val="tx1"/>
            </w14:solidFill>
          </w14:textFill>
        </w:rPr>
        <w:t>8.5</w:t>
      </w:r>
      <w:r>
        <w:rPr>
          <w:rStyle w:val="47"/>
          <w:rFonts w:hint="eastAsia" w:ascii="Times New Roman" w:hAnsi="Times New Roman"/>
          <w:color w:val="000000" w:themeColor="text1"/>
          <w14:textFill>
            <w14:solidFill>
              <w14:schemeClr w14:val="tx1"/>
            </w14:solidFill>
          </w14:textFill>
        </w:rPr>
        <w:t>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2832E7C">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"_Toc2773786" </w:instrText>
      </w:r>
      <w:r>
        <w:fldChar w:fldCharType="separate"/>
      </w:r>
      <w:r>
        <w:rPr>
          <w:rStyle w:val="47"/>
          <w:color w:val="000000" w:themeColor="text1"/>
          <w14:textFill>
            <w14:solidFill>
              <w14:schemeClr w14:val="tx1"/>
            </w14:solidFill>
          </w14:textFill>
        </w:rPr>
        <w:t>9</w:t>
      </w:r>
      <w:r>
        <w:rPr>
          <w:rStyle w:val="47"/>
          <w:rFonts w:hint="eastAsia"/>
          <w:color w:val="000000" w:themeColor="text1"/>
          <w14:textFill>
            <w14:solidFill>
              <w14:schemeClr w14:val="tx1"/>
            </w14:solidFill>
          </w14:textFill>
        </w:rPr>
        <w:t>总量控制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A911716">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"_Toc2773787" </w:instrText>
      </w:r>
      <w:r>
        <w:fldChar w:fldCharType="separate"/>
      </w:r>
      <w:r>
        <w:rPr>
          <w:rStyle w:val="47"/>
          <w:rFonts w:ascii="Times New Roman" w:hAnsi="Times New Roman"/>
          <w:color w:val="000000" w:themeColor="text1"/>
          <w14:textFill>
            <w14:solidFill>
              <w14:schemeClr w14:val="tx1"/>
            </w14:solidFill>
          </w14:textFill>
        </w:rPr>
        <w:t>9.1</w:t>
      </w:r>
      <w:r>
        <w:rPr>
          <w:rStyle w:val="47"/>
          <w:rFonts w:hint="eastAsia" w:ascii="Times New Roman" w:hAnsi="Times New Roman"/>
          <w:color w:val="000000" w:themeColor="text1"/>
          <w14:textFill>
            <w14:solidFill>
              <w14:schemeClr w14:val="tx1"/>
            </w14:solidFill>
          </w14:textFill>
        </w:rPr>
        <w:t>总量控制的目的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36ACF0B">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"_Toc2773788" </w:instrText>
      </w:r>
      <w:r>
        <w:fldChar w:fldCharType="separate"/>
      </w:r>
      <w:r>
        <w:rPr>
          <w:rStyle w:val="47"/>
          <w:rFonts w:ascii="Times New Roman" w:hAnsi="Times New Roman"/>
          <w:color w:val="000000" w:themeColor="text1"/>
          <w14:textFill>
            <w14:solidFill>
              <w14:schemeClr w14:val="tx1"/>
            </w14:solidFill>
          </w14:textFill>
        </w:rPr>
        <w:t>9.2</w:t>
      </w:r>
      <w:r>
        <w:rPr>
          <w:rStyle w:val="47"/>
          <w:rFonts w:hint="eastAsia" w:ascii="Times New Roman" w:hAnsi="Times New Roman"/>
          <w:color w:val="000000" w:themeColor="text1"/>
          <w14:textFill>
            <w14:solidFill>
              <w14:schemeClr w14:val="tx1"/>
            </w14:solidFill>
          </w14:textFill>
        </w:rPr>
        <w:t>总量控制原则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4C207BA">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"_Toc2773789" </w:instrText>
      </w:r>
      <w:r>
        <w:fldChar w:fldCharType="separate"/>
      </w:r>
      <w:r>
        <w:rPr>
          <w:rStyle w:val="47"/>
          <w:rFonts w:ascii="Times New Roman" w:hAnsi="Times New Roman"/>
          <w:color w:val="000000" w:themeColor="text1"/>
          <w14:textFill>
            <w14:solidFill>
              <w14:schemeClr w14:val="tx1"/>
            </w14:solidFill>
          </w14:textFill>
        </w:rPr>
        <w:t>9.3</w:t>
      </w:r>
      <w:r>
        <w:rPr>
          <w:rStyle w:val="47"/>
          <w:rFonts w:hint="eastAsia" w:ascii="Times New Roman" w:hAnsi="Times New Roman"/>
          <w:color w:val="000000" w:themeColor="text1"/>
          <w14:textFill>
            <w14:solidFill>
              <w14:schemeClr w14:val="tx1"/>
            </w14:solidFill>
          </w14:textFill>
        </w:rPr>
        <w:t>总量控制分析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48D50C0">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"_Toc2773790" </w:instrText>
      </w:r>
      <w:r>
        <w:fldChar w:fldCharType="separate"/>
      </w:r>
      <w:r>
        <w:rPr>
          <w:rStyle w:val="47"/>
          <w:rFonts w:ascii="Times New Roman" w:hAnsi="Times New Roman"/>
          <w:color w:val="000000" w:themeColor="text1"/>
          <w14:textFill>
            <w14:solidFill>
              <w14:schemeClr w14:val="tx1"/>
            </w14:solidFill>
          </w14:textFill>
        </w:rPr>
        <w:t>9.4</w:t>
      </w:r>
      <w:r>
        <w:rPr>
          <w:rStyle w:val="47"/>
          <w:rFonts w:hint="eastAsia" w:ascii="Times New Roman" w:hAnsi="Times New Roman"/>
          <w:color w:val="000000" w:themeColor="text1"/>
          <w14:textFill>
            <w14:solidFill>
              <w14:schemeClr w14:val="tx1"/>
            </w14:solidFill>
          </w14:textFill>
        </w:rPr>
        <w:t>污染物总量控制建议指标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912D4F2">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"_Toc2773791" </w:instrText>
      </w:r>
      <w:r>
        <w:fldChar w:fldCharType="separate"/>
      </w:r>
      <w:r>
        <w:rPr>
          <w:rStyle w:val="47"/>
          <w:color w:val="000000" w:themeColor="text1"/>
          <w14:textFill>
            <w14:solidFill>
              <w14:schemeClr w14:val="tx1"/>
            </w14:solidFill>
          </w14:textFill>
        </w:rPr>
        <w:t>10</w:t>
      </w:r>
      <w:r>
        <w:rPr>
          <w:rStyle w:val="47"/>
          <w:rFonts w:hint="eastAsia"/>
          <w:color w:val="000000" w:themeColor="text1"/>
          <w14:textFill>
            <w14:solidFill>
              <w14:schemeClr w14:val="tx1"/>
            </w14:solidFill>
          </w14:textFill>
        </w:rPr>
        <w:t>环境保护对策措施</w:t>
      </w:r>
      <w:r>
        <w:rPr>
          <w:rStyle w:val="47"/>
          <w:rFonts w:hint="eastAsia"/>
          <w:color w:val="000000" w:themeColor="text1"/>
          <w:lang w:eastAsia="zh-CN"/>
          <w14:textFill>
            <w14:solidFill>
              <w14:schemeClr w14:val="tx1"/>
            </w14:solidFill>
          </w14:textFill>
        </w:rPr>
        <w:t>及</w:t>
      </w:r>
      <w:r>
        <w:rPr>
          <w:rStyle w:val="47"/>
          <w:rFonts w:hint="eastAsia"/>
          <w:color w:val="000000" w:themeColor="text1"/>
          <w14:textFill>
            <w14:solidFill>
              <w14:schemeClr w14:val="tx1"/>
            </w14:solidFill>
          </w14:textFill>
        </w:rPr>
        <w:t>环境经济效益分析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5F419D9">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"_Toc2773792" </w:instrText>
      </w:r>
      <w:r>
        <w:fldChar w:fldCharType="separate"/>
      </w:r>
      <w:r>
        <w:rPr>
          <w:rStyle w:val="47"/>
          <w:rFonts w:ascii="Times New Roman" w:hAnsi="Times New Roman"/>
          <w:color w:val="000000" w:themeColor="text1"/>
          <w14:textFill>
            <w14:solidFill>
              <w14:schemeClr w14:val="tx1"/>
            </w14:solidFill>
          </w14:textFill>
        </w:rPr>
        <w:t>10.1</w:t>
      </w:r>
      <w:r>
        <w:rPr>
          <w:rStyle w:val="47"/>
          <w:rFonts w:hint="eastAsia" w:ascii="Times New Roman" w:hAnsi="Times New Roman"/>
          <w:color w:val="000000" w:themeColor="text1"/>
          <w14:textFill>
            <w14:solidFill>
              <w14:schemeClr w14:val="tx1"/>
            </w14:solidFill>
          </w14:textFill>
        </w:rPr>
        <w:t>施工期污染防治措施及要求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72C5502">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"_Toc2773793" </w:instrText>
      </w:r>
      <w:r>
        <w:fldChar w:fldCharType="separate"/>
      </w:r>
      <w:r>
        <w:rPr>
          <w:rStyle w:val="47"/>
          <w:rFonts w:ascii="Times New Roman" w:hAnsi="Times New Roman"/>
          <w:color w:val="000000" w:themeColor="text1"/>
          <w14:textFill>
            <w14:solidFill>
              <w14:schemeClr w14:val="tx1"/>
            </w14:solidFill>
          </w14:textFill>
        </w:rPr>
        <w:t>10.2</w:t>
      </w:r>
      <w:r>
        <w:rPr>
          <w:rStyle w:val="47"/>
          <w:rFonts w:hint="eastAsia" w:ascii="Times New Roman" w:hAnsi="Times New Roman"/>
          <w:color w:val="000000" w:themeColor="text1"/>
          <w14:textFill>
            <w14:solidFill>
              <w14:schemeClr w14:val="tx1"/>
            </w14:solidFill>
          </w14:textFill>
        </w:rPr>
        <w:t>项目运营期的污染防治要求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2306F57">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"_Toc2773794" </w:instrText>
      </w:r>
      <w:r>
        <w:fldChar w:fldCharType="separate"/>
      </w:r>
      <w:r>
        <w:rPr>
          <w:rStyle w:val="47"/>
          <w:rFonts w:ascii="Times New Roman" w:hAnsi="Times New Roman"/>
          <w:color w:val="000000" w:themeColor="text1"/>
          <w14:textFill>
            <w14:solidFill>
              <w14:schemeClr w14:val="tx1"/>
            </w14:solidFill>
          </w14:textFill>
        </w:rPr>
        <w:t>10.3</w:t>
      </w:r>
      <w:r>
        <w:rPr>
          <w:rStyle w:val="47"/>
          <w:rFonts w:hint="eastAsia" w:ascii="Times New Roman" w:hAnsi="Times New Roman"/>
          <w:color w:val="000000" w:themeColor="text1"/>
          <w14:textFill>
            <w14:solidFill>
              <w14:schemeClr w14:val="tx1"/>
            </w14:solidFill>
          </w14:textFill>
        </w:rPr>
        <w:t>环境经济损益分析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6FD58FA">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"_Toc2773795" </w:instrText>
      </w:r>
      <w:r>
        <w:fldChar w:fldCharType="separate"/>
      </w:r>
      <w:r>
        <w:rPr>
          <w:rStyle w:val="47"/>
          <w:color w:val="000000" w:themeColor="text1"/>
          <w14:textFill>
            <w14:solidFill>
              <w14:schemeClr w14:val="tx1"/>
            </w14:solidFill>
          </w14:textFill>
        </w:rPr>
        <w:t>11</w:t>
      </w:r>
      <w:r>
        <w:rPr>
          <w:rStyle w:val="47"/>
          <w:rFonts w:hint="eastAsia"/>
          <w:color w:val="000000" w:themeColor="text1"/>
          <w14:textFill>
            <w14:solidFill>
              <w14:schemeClr w14:val="tx1"/>
            </w14:solidFill>
          </w14:textFill>
        </w:rPr>
        <w:t>环境管理、环境监理及环境监测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3610FF1">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"_Toc2773796" </w:instrText>
      </w:r>
      <w:r>
        <w:fldChar w:fldCharType="separate"/>
      </w:r>
      <w:r>
        <w:rPr>
          <w:rStyle w:val="47"/>
          <w:rFonts w:ascii="Times New Roman" w:hAnsi="Times New Roman"/>
          <w:color w:val="000000" w:themeColor="text1"/>
          <w14:textFill>
            <w14:solidFill>
              <w14:schemeClr w14:val="tx1"/>
            </w14:solidFill>
          </w14:textFill>
        </w:rPr>
        <w:t xml:space="preserve">11.1 </w:t>
      </w:r>
      <w:r>
        <w:rPr>
          <w:rStyle w:val="47"/>
          <w:rFonts w:hint="eastAsia" w:ascii="Times New Roman" w:hAnsi="Times New Roman"/>
          <w:color w:val="000000" w:themeColor="text1"/>
          <w14:textFill>
            <w14:solidFill>
              <w14:schemeClr w14:val="tx1"/>
            </w14:solidFill>
          </w14:textFill>
        </w:rPr>
        <w:t>环境管理的目的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2A53EAF">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"_Toc2773797" </w:instrText>
      </w:r>
      <w:r>
        <w:fldChar w:fldCharType="separate"/>
      </w:r>
      <w:r>
        <w:rPr>
          <w:rStyle w:val="47"/>
          <w:rFonts w:ascii="Times New Roman" w:hAnsi="Times New Roman"/>
          <w:color w:val="000000" w:themeColor="text1"/>
          <w14:textFill>
            <w14:solidFill>
              <w14:schemeClr w14:val="tx1"/>
            </w14:solidFill>
          </w14:textFill>
        </w:rPr>
        <w:t>11.2</w:t>
      </w:r>
      <w:r>
        <w:rPr>
          <w:rStyle w:val="47"/>
          <w:rFonts w:hint="eastAsia" w:ascii="Times New Roman" w:hAnsi="Times New Roman"/>
          <w:color w:val="000000" w:themeColor="text1"/>
          <w14:textFill>
            <w14:solidFill>
              <w14:schemeClr w14:val="tx1"/>
            </w14:solidFill>
          </w14:textFill>
        </w:rPr>
        <w:t>工程管理的内容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26C9E58">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"_Toc2773798" </w:instrText>
      </w:r>
      <w:r>
        <w:fldChar w:fldCharType="separate"/>
      </w:r>
      <w:r>
        <w:rPr>
          <w:rStyle w:val="47"/>
          <w:rFonts w:ascii="Times New Roman" w:hAnsi="Times New Roman"/>
          <w:color w:val="000000" w:themeColor="text1"/>
          <w14:textFill>
            <w14:solidFill>
              <w14:schemeClr w14:val="tx1"/>
            </w14:solidFill>
          </w14:textFill>
        </w:rPr>
        <w:t>11.3</w:t>
      </w:r>
      <w:r>
        <w:rPr>
          <w:rStyle w:val="47"/>
          <w:rFonts w:hint="eastAsia" w:ascii="Times New Roman" w:hAnsi="Times New Roman"/>
          <w:color w:val="000000" w:themeColor="text1"/>
          <w14:textFill>
            <w14:solidFill>
              <w14:schemeClr w14:val="tx1"/>
            </w14:solidFill>
          </w14:textFill>
        </w:rPr>
        <w:t>工程环境控制目标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82C3133">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"_Toc2773799" </w:instrText>
      </w:r>
      <w:r>
        <w:fldChar w:fldCharType="separate"/>
      </w:r>
      <w:r>
        <w:rPr>
          <w:rStyle w:val="47"/>
          <w:rFonts w:ascii="Times New Roman" w:hAnsi="Times New Roman"/>
          <w:color w:val="000000" w:themeColor="text1"/>
          <w14:textFill>
            <w14:solidFill>
              <w14:schemeClr w14:val="tx1"/>
            </w14:solidFill>
          </w14:textFill>
        </w:rPr>
        <w:t>11.4</w:t>
      </w:r>
      <w:r>
        <w:rPr>
          <w:rStyle w:val="47"/>
          <w:rFonts w:hint="eastAsia" w:ascii="Times New Roman" w:hAnsi="Times New Roman"/>
          <w:color w:val="000000" w:themeColor="text1"/>
          <w14:textFill>
            <w14:solidFill>
              <w14:schemeClr w14:val="tx1"/>
            </w14:solidFill>
          </w14:textFill>
        </w:rPr>
        <w:t>环境保护管理机构的设置及职责</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_Toc2773799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0DD032F">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"_Toc2773800" </w:instrText>
      </w:r>
      <w:r>
        <w:fldChar w:fldCharType="separate"/>
      </w:r>
      <w:r>
        <w:rPr>
          <w:rStyle w:val="47"/>
          <w:rFonts w:ascii="Times New Roman" w:hAnsi="Times New Roman"/>
          <w:color w:val="000000" w:themeColor="text1"/>
          <w14:textFill>
            <w14:solidFill>
              <w14:schemeClr w14:val="tx1"/>
            </w14:solidFill>
          </w14:textFill>
        </w:rPr>
        <w:t>11.5</w:t>
      </w:r>
      <w:r>
        <w:rPr>
          <w:rStyle w:val="47"/>
          <w:rFonts w:hint="eastAsia" w:ascii="Times New Roman" w:hAnsi="Times New Roman"/>
          <w:color w:val="000000" w:themeColor="text1"/>
          <w14:textFill>
            <w14:solidFill>
              <w14:schemeClr w14:val="tx1"/>
            </w14:solidFill>
          </w14:textFill>
        </w:rPr>
        <w:t>环境监理计划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AD9C30F">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"_Toc2773801" </w:instrText>
      </w:r>
      <w:r>
        <w:fldChar w:fldCharType="separate"/>
      </w:r>
      <w:r>
        <w:rPr>
          <w:rStyle w:val="47"/>
          <w:rFonts w:ascii="Times New Roman" w:hAnsi="Times New Roman"/>
          <w:color w:val="000000" w:themeColor="text1"/>
          <w14:textFill>
            <w14:solidFill>
              <w14:schemeClr w14:val="tx1"/>
            </w14:solidFill>
          </w14:textFill>
        </w:rPr>
        <w:t>11.6</w:t>
      </w:r>
      <w:r>
        <w:rPr>
          <w:rStyle w:val="47"/>
          <w:rFonts w:hint="eastAsia" w:ascii="Times New Roman" w:hAnsi="Times New Roman"/>
          <w:color w:val="000000" w:themeColor="text1"/>
          <w14:textFill>
            <w14:solidFill>
              <w14:schemeClr w14:val="tx1"/>
            </w14:solidFill>
          </w14:textFill>
        </w:rPr>
        <w:t>环境监测计划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58D5C08">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"_Toc2773802" </w:instrText>
      </w:r>
      <w:r>
        <w:fldChar w:fldCharType="separate"/>
      </w:r>
      <w:r>
        <w:rPr>
          <w:rStyle w:val="47"/>
          <w:rFonts w:ascii="Times New Roman" w:hAnsi="Times New Roman"/>
          <w:color w:val="000000" w:themeColor="text1"/>
          <w14:textFill>
            <w14:solidFill>
              <w14:schemeClr w14:val="tx1"/>
            </w14:solidFill>
          </w14:textFill>
        </w:rPr>
        <w:t>11.7</w:t>
      </w:r>
      <w:r>
        <w:rPr>
          <w:rStyle w:val="47"/>
          <w:rFonts w:hint="eastAsia" w:ascii="Times New Roman" w:hAnsi="Times New Roman"/>
          <w:color w:val="000000" w:themeColor="text1"/>
          <w14:textFill>
            <w14:solidFill>
              <w14:schemeClr w14:val="tx1"/>
            </w14:solidFill>
          </w14:textFill>
        </w:rPr>
        <w:t>环保竣工验收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7376804">
      <w:pPr>
        <w:pStyle w:val="28"/>
        <w:tabs>
          <w:tab w:val="right" w:leader="dot" w:pos="8297"/>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"_Toc2773803" </w:instrText>
      </w:r>
      <w:r>
        <w:fldChar w:fldCharType="separate"/>
      </w:r>
      <w:r>
        <w:rPr>
          <w:rStyle w:val="47"/>
          <w:color w:val="000000" w:themeColor="text1"/>
          <w14:textFill>
            <w14:solidFill>
              <w14:schemeClr w14:val="tx1"/>
            </w14:solidFill>
          </w14:textFill>
        </w:rPr>
        <w:t>12</w:t>
      </w:r>
      <w:r>
        <w:rPr>
          <w:rStyle w:val="47"/>
          <w:rFonts w:hint="eastAsia"/>
          <w:color w:val="000000" w:themeColor="text1"/>
          <w14:textFill>
            <w14:solidFill>
              <w14:schemeClr w14:val="tx1"/>
            </w14:solidFill>
          </w14:textFill>
        </w:rPr>
        <w:t>环境影响总结论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990862C">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"_Toc2773804" </w:instrText>
      </w:r>
      <w:r>
        <w:fldChar w:fldCharType="separate"/>
      </w:r>
      <w:r>
        <w:rPr>
          <w:rStyle w:val="47"/>
          <w:rFonts w:ascii="Times New Roman" w:hAnsi="Times New Roman"/>
          <w:color w:val="000000" w:themeColor="text1"/>
          <w14:textFill>
            <w14:solidFill>
              <w14:schemeClr w14:val="tx1"/>
            </w14:solidFill>
          </w14:textFill>
        </w:rPr>
        <w:t>12.1</w:t>
      </w:r>
      <w:r>
        <w:rPr>
          <w:rStyle w:val="47"/>
          <w:rFonts w:hint="eastAsia" w:ascii="Times New Roman" w:hAnsi="Times New Roman"/>
          <w:color w:val="000000" w:themeColor="text1"/>
          <w14:textFill>
            <w14:solidFill>
              <w14:schemeClr w14:val="tx1"/>
            </w14:solidFill>
          </w14:textFill>
        </w:rPr>
        <w:t>产业政策符合性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CC1210F">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"_Toc2773805" </w:instrText>
      </w:r>
      <w:r>
        <w:fldChar w:fldCharType="separate"/>
      </w:r>
      <w:r>
        <w:rPr>
          <w:rStyle w:val="47"/>
          <w:rFonts w:ascii="Times New Roman" w:hAnsi="Times New Roman"/>
          <w:color w:val="000000" w:themeColor="text1"/>
          <w14:textFill>
            <w14:solidFill>
              <w14:schemeClr w14:val="tx1"/>
            </w14:solidFill>
          </w14:textFill>
        </w:rPr>
        <w:t>12.2</w:t>
      </w:r>
      <w:r>
        <w:rPr>
          <w:rStyle w:val="47"/>
          <w:rFonts w:hint="eastAsia" w:ascii="Times New Roman" w:hAnsi="Times New Roman"/>
          <w:color w:val="000000" w:themeColor="text1"/>
          <w14:textFill>
            <w14:solidFill>
              <w14:schemeClr w14:val="tx1"/>
            </w14:solidFill>
          </w14:textFill>
        </w:rPr>
        <w:t>规划、选址符合性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0A52975">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"_Toc2773806" </w:instrText>
      </w:r>
      <w:r>
        <w:fldChar w:fldCharType="separate"/>
      </w:r>
      <w:r>
        <w:rPr>
          <w:rStyle w:val="47"/>
          <w:rFonts w:ascii="Times New Roman" w:hAnsi="Times New Roman"/>
          <w:color w:val="000000" w:themeColor="text1"/>
          <w14:textFill>
            <w14:solidFill>
              <w14:schemeClr w14:val="tx1"/>
            </w14:solidFill>
          </w14:textFill>
        </w:rPr>
        <w:t>12.3</w:t>
      </w:r>
      <w:r>
        <w:rPr>
          <w:rStyle w:val="47"/>
          <w:rFonts w:hint="eastAsia" w:ascii="Times New Roman" w:hAnsi="Times New Roman"/>
          <w:color w:val="000000" w:themeColor="text1"/>
          <w14:textFill>
            <w14:solidFill>
              <w14:schemeClr w14:val="tx1"/>
            </w14:solidFill>
          </w14:textFill>
        </w:rPr>
        <w:t>环境质量现状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0C31F6B">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"_Toc2773807" </w:instrText>
      </w:r>
      <w:r>
        <w:fldChar w:fldCharType="separate"/>
      </w:r>
      <w:r>
        <w:rPr>
          <w:rStyle w:val="47"/>
          <w:color w:val="000000" w:themeColor="text1"/>
          <w14:textFill>
            <w14:solidFill>
              <w14:schemeClr w14:val="tx1"/>
            </w14:solidFill>
          </w14:textFill>
        </w:rPr>
        <w:t>12.4</w:t>
      </w:r>
      <w:r>
        <w:rPr>
          <w:rStyle w:val="47"/>
          <w:rFonts w:hint="eastAsia"/>
          <w:color w:val="000000" w:themeColor="text1"/>
          <w14:textFill>
            <w14:solidFill>
              <w14:schemeClr w14:val="tx1"/>
            </w14:solidFill>
          </w14:textFill>
        </w:rPr>
        <w:t>环境影响预测结论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7F89701">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"_Toc2773808" </w:instrText>
      </w:r>
      <w:r>
        <w:fldChar w:fldCharType="separate"/>
      </w:r>
      <w:r>
        <w:rPr>
          <w:rStyle w:val="47"/>
          <w:rFonts w:ascii="Times New Roman" w:hAnsi="Times New Roman"/>
          <w:color w:val="000000" w:themeColor="text1"/>
          <w14:textFill>
            <w14:solidFill>
              <w14:schemeClr w14:val="tx1"/>
            </w14:solidFill>
          </w14:textFill>
        </w:rPr>
        <w:t>12.5</w:t>
      </w:r>
      <w:r>
        <w:rPr>
          <w:rStyle w:val="47"/>
          <w:rFonts w:hint="eastAsia" w:ascii="Times New Roman" w:hAnsi="Times New Roman"/>
          <w:color w:val="000000" w:themeColor="text1"/>
          <w14:textFill>
            <w14:solidFill>
              <w14:schemeClr w14:val="tx1"/>
            </w14:solidFill>
          </w14:textFill>
        </w:rPr>
        <w:t>风险分析结论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9E52716">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"_Toc2773809" </w:instrText>
      </w:r>
      <w:r>
        <w:fldChar w:fldCharType="separate"/>
      </w:r>
      <w:r>
        <w:rPr>
          <w:rStyle w:val="47"/>
          <w:rFonts w:ascii="Times New Roman" w:hAnsi="Times New Roman"/>
          <w:color w:val="000000" w:themeColor="text1"/>
          <w14:textFill>
            <w14:solidFill>
              <w14:schemeClr w14:val="tx1"/>
            </w14:solidFill>
          </w14:textFill>
        </w:rPr>
        <w:t>12.6</w:t>
      </w:r>
      <w:r>
        <w:rPr>
          <w:rStyle w:val="47"/>
          <w:rFonts w:hint="eastAsia" w:ascii="Times New Roman" w:hAnsi="Times New Roman"/>
          <w:color w:val="000000" w:themeColor="text1"/>
          <w14:textFill>
            <w14:solidFill>
              <w14:schemeClr w14:val="tx1"/>
            </w14:solidFill>
          </w14:textFill>
        </w:rPr>
        <w:t>公众参与分析结论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5968BB7">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"_Toc2773810" </w:instrText>
      </w:r>
      <w:r>
        <w:fldChar w:fldCharType="separate"/>
      </w:r>
      <w:r>
        <w:rPr>
          <w:rStyle w:val="47"/>
          <w:rFonts w:ascii="Times New Roman" w:hAnsi="Times New Roman"/>
          <w:color w:val="000000" w:themeColor="text1"/>
          <w14:textFill>
            <w14:solidFill>
              <w14:schemeClr w14:val="tx1"/>
            </w14:solidFill>
          </w14:textFill>
        </w:rPr>
        <w:t>12.7</w:t>
      </w:r>
      <w:r>
        <w:rPr>
          <w:rStyle w:val="47"/>
          <w:rFonts w:hint="eastAsia" w:ascii="Times New Roman" w:hAnsi="Times New Roman"/>
          <w:color w:val="000000" w:themeColor="text1"/>
          <w14:textFill>
            <w14:solidFill>
              <w14:schemeClr w14:val="tx1"/>
            </w14:solidFill>
          </w14:textFill>
        </w:rPr>
        <w:t>总量控制结论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82F2F3E">
      <w:pPr>
        <w:pStyle w:val="34"/>
        <w:tabs>
          <w:tab w:val="right" w:leader="dot" w:pos="8297"/>
        </w:tabs>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"_Toc2773811" </w:instrText>
      </w:r>
      <w:r>
        <w:fldChar w:fldCharType="separate"/>
      </w:r>
      <w:r>
        <w:rPr>
          <w:rStyle w:val="47"/>
          <w:rFonts w:ascii="Times New Roman" w:hAnsi="Times New Roman"/>
          <w:color w:val="000000" w:themeColor="text1"/>
          <w14:textFill>
            <w14:solidFill>
              <w14:schemeClr w14:val="tx1"/>
            </w14:solidFill>
          </w14:textFill>
        </w:rPr>
        <w:t>12.8</w:t>
      </w:r>
      <w:r>
        <w:rPr>
          <w:rStyle w:val="47"/>
          <w:rFonts w:hint="eastAsia" w:ascii="Times New Roman" w:hAnsi="Times New Roman"/>
          <w:color w:val="000000" w:themeColor="text1"/>
          <w14:textFill>
            <w14:solidFill>
              <w14:schemeClr w14:val="tx1"/>
            </w14:solidFill>
          </w14:textFill>
        </w:rPr>
        <w:t>评价总结论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490DABB">
      <w:pPr>
        <w:rPr>
          <w:color w:val="000000" w:themeColor="text1"/>
          <w14:textFill>
            <w14:solidFill>
              <w14:schemeClr w14:val="tx1"/>
            </w14:solidFill>
          </w14:textFill>
        </w:rPr>
      </w:pPr>
      <w:r>
        <w:rPr>
          <w:color w:val="000000" w:themeColor="text1"/>
          <w:szCs w:val="21"/>
          <w14:textFill>
            <w14:solidFill>
              <w14:schemeClr w14:val="tx1"/>
            </w14:solidFill>
          </w14:textFill>
        </w:rPr>
        <w:fldChar w:fldCharType="end"/>
      </w:r>
    </w:p>
    <w:p w14:paraId="4985BCAD">
      <w:pPr>
        <w:rPr>
          <w:color w:val="000000" w:themeColor="text1"/>
          <w14:textFill>
            <w14:solidFill>
              <w14:schemeClr w14:val="tx1"/>
            </w14:solidFill>
          </w14:textFill>
        </w:rPr>
      </w:pPr>
    </w:p>
    <w:p w14:paraId="5608E172">
      <w:pPr>
        <w:rPr>
          <w:color w:val="000000" w:themeColor="text1"/>
          <w14:textFill>
            <w14:solidFill>
              <w14:schemeClr w14:val="tx1"/>
            </w14:solidFill>
          </w14:textFill>
        </w:rPr>
      </w:pPr>
    </w:p>
    <w:p w14:paraId="7CA8E310">
      <w:pPr>
        <w:rPr>
          <w:color w:val="000000" w:themeColor="text1"/>
          <w14:textFill>
            <w14:solidFill>
              <w14:schemeClr w14:val="tx1"/>
            </w14:solidFill>
          </w14:textFill>
        </w:rPr>
      </w:pPr>
    </w:p>
    <w:p w14:paraId="0B5C83DC">
      <w:pPr>
        <w:rPr>
          <w:color w:val="000000" w:themeColor="text1"/>
          <w14:textFill>
            <w14:solidFill>
              <w14:schemeClr w14:val="tx1"/>
            </w14:solidFill>
          </w14:textFill>
        </w:rPr>
      </w:pPr>
      <w:r>
        <w:rPr>
          <w:color w:val="000000" w:themeColor="text1"/>
          <w14:textFill>
            <w14:solidFill>
              <w14:schemeClr w14:val="tx1"/>
            </w14:solidFill>
          </w14:textFill>
        </w:rPr>
        <w:br w:type="page"/>
      </w:r>
      <w:r>
        <w:rPr>
          <w:color w:val="000000" w:themeColor="text1"/>
          <w14:textFill>
            <w14:solidFill>
              <w14:schemeClr w14:val="tx1"/>
            </w14:solidFill>
          </w14:textFill>
        </w:rPr>
        <w:t xml:space="preserve"> </w:t>
      </w:r>
    </w:p>
    <w:p w14:paraId="7CF59273">
      <w:pPr>
        <w:rPr>
          <w:color w:val="000000" w:themeColor="text1"/>
          <w14:textFill>
            <w14:solidFill>
              <w14:schemeClr w14:val="tx1"/>
            </w14:solidFill>
          </w14:textFill>
        </w:rPr>
      </w:pPr>
    </w:p>
    <w:p w14:paraId="2A170E6E">
      <w:pPr>
        <w:rPr>
          <w:color w:val="000000" w:themeColor="text1"/>
          <w14:textFill>
            <w14:solidFill>
              <w14:schemeClr w14:val="tx1"/>
            </w14:solidFill>
          </w14:textFill>
        </w:rPr>
      </w:pPr>
    </w:p>
    <w:p w14:paraId="14F6F0E7">
      <w:pPr>
        <w:spacing w:line="360" w:lineRule="auto"/>
        <w:rPr>
          <w:b/>
          <w:bCs/>
          <w:caps/>
          <w:color w:val="000000" w:themeColor="text1"/>
          <w:sz w:val="24"/>
          <w14:textFill>
            <w14:solidFill>
              <w14:schemeClr w14:val="tx1"/>
            </w14:solidFill>
          </w14:textFill>
        </w:rPr>
      </w:pPr>
      <w:r>
        <w:rPr>
          <w:b/>
          <w:bCs/>
          <w:caps/>
          <w:color w:val="000000" w:themeColor="text1"/>
          <w:sz w:val="24"/>
          <w14:textFill>
            <w14:solidFill>
              <w14:schemeClr w14:val="tx1"/>
            </w14:solidFill>
          </w14:textFill>
        </w:rPr>
        <w:t>附图</w:t>
      </w:r>
    </w:p>
    <w:p w14:paraId="70312D10">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附图1  项目地理位置图</w:t>
      </w:r>
    </w:p>
    <w:p w14:paraId="121CB66F">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附图2  项目区周边关系、评价范围及监测布点图</w:t>
      </w:r>
    </w:p>
    <w:p w14:paraId="0B676880">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附图3  项目区平面布置图</w:t>
      </w:r>
    </w:p>
    <w:p w14:paraId="0BF691A2">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附图4  项目区水系图</w:t>
      </w:r>
    </w:p>
    <w:p w14:paraId="53856EEA">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附图5  项目昼间噪声等值线</w:t>
      </w:r>
    </w:p>
    <w:p w14:paraId="7EC1C7BF">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附图6  区域水文地质图</w:t>
      </w:r>
    </w:p>
    <w:p w14:paraId="3B78E1C6">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附件7  项目区防渗分区布置图</w:t>
      </w:r>
    </w:p>
    <w:p w14:paraId="1CCFCEF3">
      <w:pPr>
        <w:spacing w:line="360" w:lineRule="auto"/>
        <w:rPr>
          <w:color w:val="000000" w:themeColor="text1"/>
          <w:sz w:val="24"/>
          <w14:textFill>
            <w14:solidFill>
              <w14:schemeClr w14:val="tx1"/>
            </w14:solidFill>
          </w14:textFill>
        </w:rPr>
      </w:pPr>
    </w:p>
    <w:p w14:paraId="061165D2">
      <w:pPr>
        <w:spacing w:line="360" w:lineRule="auto"/>
        <w:rPr>
          <w:color w:val="000000" w:themeColor="text1"/>
          <w:sz w:val="24"/>
          <w14:textFill>
            <w14:solidFill>
              <w14:schemeClr w14:val="tx1"/>
            </w14:solidFill>
          </w14:textFill>
        </w:rPr>
      </w:pPr>
    </w:p>
    <w:p w14:paraId="59AB9996">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附件</w:t>
      </w:r>
    </w:p>
    <w:p w14:paraId="2F9FCE02">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附件1  委托书</w:t>
      </w:r>
    </w:p>
    <w:p w14:paraId="62FF83FF">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附件2  投资备案证；</w:t>
      </w:r>
    </w:p>
    <w:p w14:paraId="1C9B8A3B">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附件3  营业执照；</w:t>
      </w:r>
    </w:p>
    <w:p w14:paraId="5044946E">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附件4  租赁协议</w:t>
      </w:r>
    </w:p>
    <w:p w14:paraId="12986F31">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 xml:space="preserve">  芒市创亿塑料标准确认-盖章原件</w:t>
      </w:r>
    </w:p>
    <w:p w14:paraId="4BE47049">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 xml:space="preserve">  芒市创亿塑料标准确认-复函</w:t>
      </w:r>
    </w:p>
    <w:p w14:paraId="3BB7EE63">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 xml:space="preserve">  现状监测报告</w:t>
      </w:r>
    </w:p>
    <w:p w14:paraId="4B6669FB">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 xml:space="preserve">  技术咨询合同</w:t>
      </w:r>
    </w:p>
    <w:p w14:paraId="481441CF">
      <w:pPr>
        <w:spacing w:line="360" w:lineRule="auto"/>
        <w:rPr>
          <w:color w:val="000000" w:themeColor="text1"/>
          <w:sz w:val="24"/>
          <w14:textFill>
            <w14:solidFill>
              <w14:schemeClr w14:val="tx1"/>
            </w14:solidFill>
          </w14:textFill>
        </w:rPr>
      </w:pPr>
    </w:p>
    <w:p w14:paraId="4A536212">
      <w:pPr>
        <w:spacing w:line="360" w:lineRule="auto"/>
        <w:rPr>
          <w:color w:val="000000" w:themeColor="text1"/>
          <w:sz w:val="24"/>
          <w14:textFill>
            <w14:solidFill>
              <w14:schemeClr w14:val="tx1"/>
            </w14:solidFill>
          </w14:textFill>
        </w:rPr>
      </w:pPr>
    </w:p>
    <w:p w14:paraId="39201126">
      <w:pPr>
        <w:spacing w:line="360" w:lineRule="auto"/>
        <w:ind w:firstLine="480"/>
        <w:rPr>
          <w:color w:val="000000" w:themeColor="text1"/>
          <w:sz w:val="24"/>
          <w14:textFill>
            <w14:solidFill>
              <w14:schemeClr w14:val="tx1"/>
            </w14:solidFill>
          </w14:textFill>
        </w:rPr>
      </w:pPr>
    </w:p>
    <w:p w14:paraId="7A2BDEF7">
      <w:pPr>
        <w:pStyle w:val="38"/>
        <w:jc w:val="center"/>
        <w:rPr>
          <w:rFonts w:ascii="Times New Roman" w:hAnsi="Times New Roman"/>
          <w:color w:val="000000" w:themeColor="text1"/>
          <w14:textFill>
            <w14:solidFill>
              <w14:schemeClr w14:val="tx1"/>
            </w14:solidFill>
          </w14:textFill>
        </w:rPr>
        <w:sectPr>
          <w:headerReference r:id="rId5" w:type="first"/>
          <w:headerReference r:id="rId3" w:type="default"/>
          <w:footerReference r:id="rId6" w:type="default"/>
          <w:headerReference r:id="rId4" w:type="even"/>
          <w:type w:val="continuous"/>
          <w:pgSz w:w="11907" w:h="16839"/>
          <w:pgMar w:top="1440" w:right="1800" w:bottom="1440" w:left="1800" w:header="851" w:footer="992" w:gutter="0"/>
          <w:pgNumType w:fmt="upperRoman" w:start="1"/>
          <w:cols w:space="720" w:num="1"/>
          <w:docGrid w:type="lines" w:linePitch="326" w:charSpace="0"/>
        </w:sectPr>
      </w:pPr>
    </w:p>
    <w:p w14:paraId="5937C2A5">
      <w:pPr>
        <w:pStyle w:val="38"/>
        <w:jc w:val="center"/>
        <w:rPr>
          <w:rFonts w:ascii="Times New Roman" w:hAnsi="Times New Roman"/>
          <w:color w:val="000000" w:themeColor="text1"/>
          <w14:textFill>
            <w14:solidFill>
              <w14:schemeClr w14:val="tx1"/>
            </w14:solidFill>
          </w14:textFill>
        </w:rPr>
      </w:pPr>
      <w:bookmarkStart w:id="2" w:name="_Toc2773726"/>
      <w:r>
        <w:rPr>
          <w:rFonts w:ascii="Times New Roman" w:hAnsi="Times New Roman"/>
          <w:color w:val="000000" w:themeColor="text1"/>
          <w14:textFill>
            <w14:solidFill>
              <w14:schemeClr w14:val="tx1"/>
            </w14:solidFill>
          </w14:textFill>
        </w:rPr>
        <w:t>概述</w:t>
      </w:r>
      <w:bookmarkEnd w:id="2"/>
    </w:p>
    <w:p w14:paraId="5ED72547">
      <w:pPr>
        <w:spacing w:line="360" w:lineRule="auto"/>
        <w:ind w:firstLine="482" w:firstLineChars="200"/>
        <w:rPr>
          <w:b/>
          <w:color w:val="000000" w:themeColor="text1"/>
          <w:sz w:val="24"/>
          <w14:textFill>
            <w14:solidFill>
              <w14:schemeClr w14:val="tx1"/>
            </w14:solidFill>
          </w14:textFill>
        </w:rPr>
      </w:pPr>
      <w:bookmarkStart w:id="3" w:name="_Toc195668340"/>
      <w:r>
        <w:rPr>
          <w:b/>
          <w:color w:val="000000" w:themeColor="text1"/>
          <w:sz w:val="24"/>
          <w14:textFill>
            <w14:solidFill>
              <w14:schemeClr w14:val="tx1"/>
            </w14:solidFill>
          </w14:textFill>
        </w:rPr>
        <w:t>1、项目概述</w:t>
      </w:r>
    </w:p>
    <w:p w14:paraId="4C1E0D9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塑料因具有较好的透明性和耐磨性，且化学性质稳定、耐冲击能力强、质量轻、绝缘性好、强度高、不会腐蚀，在生产、生活中得到了广泛的应用，同时也留下无穷的后患——白色污染。</w:t>
      </w:r>
    </w:p>
    <w:p w14:paraId="20A724B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废旧塑料仍具有良好的综合材料性能，可满足吹膜、拉丝、拉管、注塑、挤出型材等技术要求，大量应用于塑料制品的生产。将废旧塑料加工成颗粒，不仅可以有效地减少“白色污染”，而且能够变废为宝，节能能源，保护环境。</w:t>
      </w:r>
    </w:p>
    <w:p w14:paraId="784A08D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德宏创亿塑料加工有限责任公司</w:t>
      </w:r>
      <w:r>
        <w:rPr>
          <w:color w:val="000000" w:themeColor="text1"/>
          <w:sz w:val="24"/>
          <w14:textFill>
            <w14:solidFill>
              <w14:schemeClr w14:val="tx1"/>
            </w14:solidFill>
          </w14:textFill>
        </w:rPr>
        <w:t>”（以下简称“建设方”）于2019年2月取得“芒市发展和改革局”关于</w:t>
      </w:r>
      <w:r>
        <w:rPr>
          <w:bCs/>
          <w:color w:val="000000" w:themeColor="text1"/>
          <w:sz w:val="24"/>
          <w14:textFill>
            <w14:solidFill>
              <w14:schemeClr w14:val="tx1"/>
            </w14:solidFill>
          </w14:textFill>
        </w:rPr>
        <w:t>芒市创亿塑料加工项目投资项目备案证（芒发改备案【2019】17号）。</w:t>
      </w:r>
    </w:p>
    <w:p w14:paraId="51A9C49B">
      <w:pPr>
        <w:pStyle w:val="289"/>
        <w:spacing w:line="360" w:lineRule="auto"/>
        <w:ind w:left="51" w:right="51" w:firstLine="480" w:firstLineChars="200"/>
        <w:jc w:val="left"/>
        <w:rPr>
          <w:bCs/>
          <w:color w:val="000000" w:themeColor="text1"/>
          <w:sz w:val="24"/>
          <w14:textFill>
            <w14:solidFill>
              <w14:schemeClr w14:val="tx1"/>
            </w14:solidFill>
          </w14:textFill>
        </w:rPr>
      </w:pP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德宏创亿塑料加工有限责任公司</w:t>
      </w:r>
      <w:r>
        <w:rPr>
          <w:color w:val="000000" w:themeColor="text1"/>
          <w:sz w:val="24"/>
          <w14:textFill>
            <w14:solidFill>
              <w14:schemeClr w14:val="tx1"/>
            </w14:solidFill>
          </w14:textFill>
        </w:rPr>
        <w:t>”（以下简称“建设方”）总投资100万，</w:t>
      </w:r>
      <w:r>
        <w:rPr>
          <w:rFonts w:eastAsiaTheme="minorEastAsia"/>
          <w:color w:val="000000" w:themeColor="text1"/>
          <w:sz w:val="24"/>
          <w14:textFill>
            <w14:solidFill>
              <w14:schemeClr w14:val="tx1"/>
            </w14:solidFill>
          </w14:textFill>
        </w:rPr>
        <w:t>选址于</w:t>
      </w:r>
      <w:r>
        <w:rPr>
          <w:bCs/>
          <w:color w:val="000000" w:themeColor="text1"/>
          <w:sz w:val="24"/>
          <w14:textFill>
            <w14:solidFill>
              <w14:schemeClr w14:val="tx1"/>
            </w14:solidFill>
          </w14:textFill>
        </w:rPr>
        <w:t>德宏傣族景颇族自治州芒市遮放镇弄坎村芒捧村</w:t>
      </w:r>
      <w:r>
        <w:rPr>
          <w:rFonts w:eastAsiaTheme="minorEastAsia"/>
          <w:color w:val="000000" w:themeColor="text1"/>
          <w:sz w:val="24"/>
          <w14:textFill>
            <w14:solidFill>
              <w14:schemeClr w14:val="tx1"/>
            </w14:solidFill>
          </w14:textFill>
        </w:rPr>
        <w:t>，租用</w:t>
      </w:r>
      <w:r>
        <w:rPr>
          <w:bCs/>
          <w:color w:val="000000" w:themeColor="text1"/>
          <w:sz w:val="24"/>
          <w14:textFill>
            <w14:solidFill>
              <w14:schemeClr w14:val="tx1"/>
            </w14:solidFill>
          </w14:textFill>
        </w:rPr>
        <w:t>村民李进的土地和已建厂房，总用地面积2500m</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，建设“</w:t>
      </w:r>
      <w:r>
        <w:rPr>
          <w:bCs/>
          <w:color w:val="FF0000"/>
          <w:sz w:val="24"/>
        </w:rPr>
        <w:t>芒市创亿塑料加工项目</w:t>
      </w:r>
      <w:r>
        <w:rPr>
          <w:bCs/>
          <w:color w:val="000000" w:themeColor="text1"/>
          <w:sz w:val="24"/>
          <w14:textFill>
            <w14:solidFill>
              <w14:schemeClr w14:val="tx1"/>
            </w14:solidFill>
          </w14:textFill>
        </w:rPr>
        <w:t>”（以下简称“本项目”），本项目直接对租用房屋进行改造、装修、安装设备即可，建成后，新建一条塑料颗粒生产线及相应配套设施，年生产塑料颗粒5000t，采用工艺为直接再生利用，将回收的废旧塑料经过分类、清洗、破碎、直接加工成型造粒。</w:t>
      </w:r>
    </w:p>
    <w:p w14:paraId="00081CEC">
      <w:pPr>
        <w:tabs>
          <w:tab w:val="left" w:pos="1936"/>
        </w:tabs>
        <w:spacing w:line="360" w:lineRule="auto"/>
        <w:ind w:firstLine="560" w:firstLineChars="200"/>
        <w:jc w:val="left"/>
        <w:rPr>
          <w:color w:val="000000" w:themeColor="text1"/>
          <w:sz w:val="24"/>
          <w14:textFill>
            <w14:solidFill>
              <w14:schemeClr w14:val="tx1"/>
            </w14:solidFill>
          </w14:textFill>
        </w:rPr>
      </w:pPr>
      <w:r>
        <w:rPr>
          <w:bCs/>
          <w:color w:val="000000" w:themeColor="text1"/>
          <w:spacing w:val="20"/>
          <w:kern w:val="0"/>
          <w:sz w:val="24"/>
          <w:szCs w:val="28"/>
          <w14:textFill>
            <w14:solidFill>
              <w14:schemeClr w14:val="tx1"/>
            </w14:solidFill>
          </w14:textFill>
        </w:rPr>
        <w:t>截止2019年2月</w:t>
      </w:r>
      <w:r>
        <w:rPr>
          <w:rFonts w:hint="eastAsia"/>
          <w:bCs/>
          <w:color w:val="000000" w:themeColor="text1"/>
          <w:spacing w:val="20"/>
          <w:kern w:val="0"/>
          <w:sz w:val="24"/>
          <w:szCs w:val="28"/>
          <w14:textFill>
            <w14:solidFill>
              <w14:schemeClr w14:val="tx1"/>
            </w14:solidFill>
          </w14:textFill>
        </w:rPr>
        <w:t>现场踏勘</w:t>
      </w:r>
      <w:r>
        <w:rPr>
          <w:bCs/>
          <w:color w:val="000000" w:themeColor="text1"/>
          <w:spacing w:val="20"/>
          <w:kern w:val="0"/>
          <w:sz w:val="24"/>
          <w:szCs w:val="28"/>
          <w14:textFill>
            <w14:solidFill>
              <w14:schemeClr w14:val="tx1"/>
            </w14:solidFill>
          </w14:textFill>
        </w:rPr>
        <w:t>，项目区</w:t>
      </w:r>
      <w:r>
        <w:rPr>
          <w:color w:val="000000" w:themeColor="text1"/>
          <w:sz w:val="24"/>
          <w14:textFill>
            <w14:solidFill>
              <w14:schemeClr w14:val="tx1"/>
            </w14:solidFill>
          </w14:textFill>
        </w:rPr>
        <w:t>尚未开工建设。</w:t>
      </w:r>
    </w:p>
    <w:p w14:paraId="4D6E09CD">
      <w:pPr>
        <w:tabs>
          <w:tab w:val="left" w:pos="1936"/>
        </w:tabs>
        <w:spacing w:line="360" w:lineRule="auto"/>
        <w:ind w:firstLine="480" w:firstLineChars="200"/>
        <w:jc w:val="left"/>
        <w:rPr>
          <w:color w:val="FF0000"/>
          <w:sz w:val="24"/>
        </w:rPr>
      </w:pPr>
      <w:r>
        <w:rPr>
          <w:rFonts w:hint="eastAsia"/>
          <w:color w:val="FF0000"/>
          <w:sz w:val="24"/>
        </w:rPr>
        <w:t>本项目</w:t>
      </w:r>
      <w:r>
        <w:rPr>
          <w:rFonts w:eastAsiaTheme="minorEastAsia"/>
          <w:color w:val="FF0000"/>
          <w:sz w:val="24"/>
        </w:rPr>
        <w:t>租用</w:t>
      </w:r>
      <w:r>
        <w:rPr>
          <w:bCs/>
          <w:color w:val="FF0000"/>
          <w:sz w:val="24"/>
        </w:rPr>
        <w:t>村民李进的土地和已建厂房</w:t>
      </w:r>
      <w:r>
        <w:rPr>
          <w:rFonts w:hint="eastAsia"/>
          <w:bCs/>
          <w:color w:val="FF0000"/>
          <w:sz w:val="24"/>
        </w:rPr>
        <w:t>，</w:t>
      </w:r>
      <w:r>
        <w:rPr>
          <w:bCs/>
          <w:color w:val="FF0000"/>
          <w:sz w:val="24"/>
        </w:rPr>
        <w:t>为</w:t>
      </w:r>
      <w:r>
        <w:rPr>
          <w:rFonts w:hint="eastAsia"/>
          <w:bCs/>
          <w:color w:val="FF0000"/>
          <w:sz w:val="24"/>
        </w:rPr>
        <w:t>原农场橡胶厂用地，</w:t>
      </w:r>
      <w:r>
        <w:rPr>
          <w:bCs/>
          <w:color w:val="FF0000"/>
          <w:sz w:val="24"/>
        </w:rPr>
        <w:t>根据</w:t>
      </w:r>
      <w:r>
        <w:rPr>
          <w:rFonts w:hint="eastAsia"/>
          <w:bCs/>
          <w:color w:val="FF0000"/>
          <w:sz w:val="24"/>
        </w:rPr>
        <w:t>现场勘察及核实，</w:t>
      </w:r>
      <w:r>
        <w:rPr>
          <w:bCs/>
          <w:color w:val="FF0000"/>
          <w:sz w:val="24"/>
        </w:rPr>
        <w:t>该</w:t>
      </w:r>
      <w:r>
        <w:rPr>
          <w:rFonts w:hint="eastAsia"/>
          <w:bCs/>
          <w:color w:val="FF0000"/>
          <w:sz w:val="24"/>
        </w:rPr>
        <w:t>厂已停运多年，并厂区设备等均已搬迁，</w:t>
      </w:r>
      <w:r>
        <w:rPr>
          <w:bCs/>
          <w:color w:val="FF0000"/>
          <w:sz w:val="24"/>
        </w:rPr>
        <w:t>目前</w:t>
      </w:r>
      <w:r>
        <w:rPr>
          <w:rFonts w:hint="eastAsia"/>
          <w:bCs/>
          <w:color w:val="FF0000"/>
          <w:sz w:val="24"/>
        </w:rPr>
        <w:t>剩余一个硫酸储罐，</w:t>
      </w:r>
      <w:r>
        <w:rPr>
          <w:bCs/>
          <w:color w:val="FF0000"/>
          <w:sz w:val="24"/>
        </w:rPr>
        <w:t>该</w:t>
      </w:r>
      <w:r>
        <w:rPr>
          <w:rFonts w:hint="eastAsia"/>
          <w:bCs/>
          <w:color w:val="FF0000"/>
          <w:sz w:val="24"/>
        </w:rPr>
        <w:t>储罐已闲置多年，</w:t>
      </w:r>
      <w:r>
        <w:rPr>
          <w:bCs/>
          <w:color w:val="FF0000"/>
          <w:sz w:val="24"/>
        </w:rPr>
        <w:t>无</w:t>
      </w:r>
      <w:r>
        <w:rPr>
          <w:rFonts w:hint="eastAsia"/>
          <w:bCs/>
          <w:color w:val="FF0000"/>
          <w:sz w:val="24"/>
        </w:rPr>
        <w:t>硫酸，</w:t>
      </w:r>
      <w:r>
        <w:rPr>
          <w:bCs/>
          <w:color w:val="FF0000"/>
          <w:sz w:val="24"/>
        </w:rPr>
        <w:t>待</w:t>
      </w:r>
      <w:r>
        <w:rPr>
          <w:rFonts w:hint="eastAsia"/>
          <w:bCs/>
          <w:color w:val="FF0000"/>
          <w:sz w:val="24"/>
        </w:rPr>
        <w:t>本项目动工前，</w:t>
      </w:r>
      <w:r>
        <w:rPr>
          <w:bCs/>
          <w:color w:val="FF0000"/>
          <w:sz w:val="24"/>
        </w:rPr>
        <w:t>由</w:t>
      </w:r>
      <w:r>
        <w:rPr>
          <w:rFonts w:hint="eastAsia"/>
          <w:bCs/>
          <w:color w:val="FF0000"/>
          <w:sz w:val="24"/>
        </w:rPr>
        <w:t>橡胶厂处置。</w:t>
      </w:r>
    </w:p>
    <w:p w14:paraId="1DC6F67F">
      <w:pPr>
        <w:spacing w:line="360" w:lineRule="auto"/>
        <w:ind w:firstLine="480"/>
        <w:rPr>
          <w:b/>
          <w:color w:val="000000" w:themeColor="text1"/>
          <w:sz w:val="24"/>
          <w14:textFill>
            <w14:solidFill>
              <w14:schemeClr w14:val="tx1"/>
            </w14:solidFill>
          </w14:textFill>
        </w:rPr>
      </w:pPr>
      <w:bookmarkStart w:id="4" w:name="_Toc303692863"/>
      <w:bookmarkStart w:id="5" w:name="_Toc303692581"/>
      <w:r>
        <w:rPr>
          <w:b/>
          <w:color w:val="000000" w:themeColor="text1"/>
          <w:sz w:val="24"/>
          <w14:textFill>
            <w14:solidFill>
              <w14:schemeClr w14:val="tx1"/>
            </w14:solidFill>
          </w14:textFill>
        </w:rPr>
        <w:t>2、环境影响评价过程</w:t>
      </w:r>
    </w:p>
    <w:p w14:paraId="008C84EA">
      <w:pPr>
        <w:pStyle w:val="296"/>
        <w:ind w:firstLine="480"/>
        <w:rPr>
          <w:color w:val="000000" w:themeColor="text1"/>
          <w14:textFill>
            <w14:solidFill>
              <w14:schemeClr w14:val="tx1"/>
            </w14:solidFill>
          </w14:textFill>
        </w:rPr>
      </w:pPr>
      <w:r>
        <w:rPr>
          <w:color w:val="000000" w:themeColor="text1"/>
          <w14:textFill>
            <w14:solidFill>
              <w14:schemeClr w14:val="tx1"/>
            </w14:solidFill>
          </w14:textFill>
        </w:rPr>
        <w:t>根据《中华人民共和国环境影响评价法》、《建设项目环境保护管理条例》（国务院令</w:t>
      </w:r>
      <w:r>
        <w:rPr>
          <w:rFonts w:hint="eastAsia"/>
          <w:color w:val="000000" w:themeColor="text1"/>
          <w:lang w:val="en-US" w:eastAsia="zh-CN"/>
          <w14:textFill>
            <w14:solidFill>
              <w14:schemeClr w14:val="tx1"/>
            </w14:solidFill>
          </w14:textFill>
        </w:rPr>
        <w:t>第</w:t>
      </w:r>
      <w:r>
        <w:rPr>
          <w:color w:val="000000" w:themeColor="text1"/>
          <w14:textFill>
            <w14:solidFill>
              <w14:schemeClr w14:val="tx1"/>
            </w14:solidFill>
          </w14:textFill>
        </w:rPr>
        <w:t>253号</w:t>
      </w:r>
      <w:r>
        <w:rPr>
          <w:rFonts w:hint="eastAsia"/>
          <w:color w:val="000000" w:themeColor="text1"/>
          <w14:textFill>
            <w14:solidFill>
              <w14:schemeClr w14:val="tx1"/>
            </w14:solidFill>
          </w14:textFill>
        </w:rPr>
        <w:t>，</w:t>
      </w:r>
      <w:r>
        <w:rPr>
          <w:rFonts w:hint="eastAsia"/>
          <w:color w:val="000000" w:themeColor="text1"/>
          <w:shd w:val="clear" w:color="auto" w:fill="FFFFFF"/>
          <w14:textFill>
            <w14:solidFill>
              <w14:schemeClr w14:val="tx1"/>
            </w14:solidFill>
          </w14:textFill>
        </w:rPr>
        <w:t>国务院令第682号修订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需开展环境影响评价工作，根据《建设项目环境影响评价分类管理名录》（2018年4月28日修订稿）第三十条“废旧资源（含生物质）加工、再生利用”中第86条“废塑料（除分拣清洗工艺的）的加工、再生利用”需编制环境影响报告书。</w:t>
      </w:r>
    </w:p>
    <w:p w14:paraId="1A47E89F">
      <w:pPr>
        <w:pStyle w:val="296"/>
        <w:ind w:firstLine="480"/>
        <w:rPr>
          <w:color w:val="000000" w:themeColor="text1"/>
          <w14:textFill>
            <w14:solidFill>
              <w14:schemeClr w14:val="tx1"/>
            </w14:solidFill>
          </w14:textFill>
        </w:rPr>
      </w:pPr>
      <w:r>
        <w:rPr>
          <w:color w:val="000000" w:themeColor="text1"/>
          <w14:textFill>
            <w14:solidFill>
              <w14:schemeClr w14:val="tx1"/>
            </w14:solidFill>
          </w14:textFill>
        </w:rPr>
        <w:t>为此，</w:t>
      </w:r>
      <w:r>
        <w:rPr>
          <w:bCs/>
          <w:color w:val="000000" w:themeColor="text1"/>
          <w14:textFill>
            <w14:solidFill>
              <w14:schemeClr w14:val="tx1"/>
            </w14:solidFill>
          </w14:textFill>
        </w:rPr>
        <w:t>德宏创亿塑料加工有限责任公司</w:t>
      </w:r>
      <w:r>
        <w:rPr>
          <w:color w:val="000000" w:themeColor="text1"/>
          <w14:textFill>
            <w14:solidFill>
              <w14:schemeClr w14:val="tx1"/>
            </w14:solidFill>
          </w14:textFill>
        </w:rPr>
        <w:t>（以下简称“建设单位”）委托“宁夏智诚安环技术咨询有限公司”（以下简称“我单位” ）对该项目进行环境影响评价工作。</w:t>
      </w:r>
    </w:p>
    <w:p w14:paraId="1DA2D626">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我单位于2018年12月接受委托后，成立了工作小组，收集并研究了国家及云南省对塑料行业有关政策及相关法律法规文件，对项目建设地点进行了多次实地勘察、收集和核实有关资料。</w:t>
      </w:r>
    </w:p>
    <w:p w14:paraId="241C6798">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建设方于2018年12月8日~12月18日在周边居民进行第一次公众公示，于2018年12月19日至26日进行了环境质量现状监测与污染源调查，于2019年2月4日~2月13日在周边村民中间进行环境影响评价第二次公示及问卷调查。</w:t>
      </w:r>
    </w:p>
    <w:p w14:paraId="115B9075">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依据相关的法律法规及技术导则，2019年2月编制完成了《</w:t>
      </w:r>
      <w:r>
        <w:rPr>
          <w:color w:val="000000" w:themeColor="text1"/>
          <w:kern w:val="0"/>
          <w:sz w:val="24"/>
          <w14:textFill>
            <w14:solidFill>
              <w14:schemeClr w14:val="tx1"/>
            </w14:solidFill>
          </w14:textFill>
        </w:rPr>
        <w:t>芒市创亿塑料加工建设项目环境影响报告书</w:t>
      </w:r>
      <w:r>
        <w:rPr>
          <w:color w:val="000000" w:themeColor="text1"/>
          <w:sz w:val="24"/>
          <w14:textFill>
            <w14:solidFill>
              <w14:schemeClr w14:val="tx1"/>
            </w14:solidFill>
          </w14:textFill>
        </w:rPr>
        <w:t>（送审稿）》供建设单位上报审批。</w:t>
      </w:r>
    </w:p>
    <w:p w14:paraId="4B9A8288">
      <w:pPr>
        <w:spacing w:line="360" w:lineRule="auto"/>
        <w:ind w:firstLine="48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3、分析判定相关情况</w:t>
      </w:r>
    </w:p>
    <w:p w14:paraId="692BADE8">
      <w:pPr>
        <w:spacing w:line="360" w:lineRule="auto"/>
        <w:ind w:firstLine="48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（1）产业政策符合性判定</w:t>
      </w:r>
    </w:p>
    <w:p w14:paraId="523BF3AE">
      <w:pPr>
        <w:pStyle w:val="114"/>
        <w:rPr>
          <w:color w:val="000000" w:themeColor="text1"/>
          <w14:textFill>
            <w14:solidFill>
              <w14:schemeClr w14:val="tx1"/>
            </w14:solidFill>
          </w14:textFill>
        </w:rPr>
      </w:pPr>
      <w:r>
        <w:rPr>
          <w:color w:val="000000" w:themeColor="text1"/>
          <w14:textFill>
            <w14:solidFill>
              <w14:schemeClr w14:val="tx1"/>
            </w14:solidFill>
          </w14:textFill>
        </w:rPr>
        <w:t>根据国家发展改革委《国家产业结构调整指导目录（2011年本）》（2013年修正），本项目属于国家鼓励类第三十八类“环境保护与资源节约综合利用”中的第28条“再生资源回收利用产业化”。项目符合国家产业政策。</w:t>
      </w:r>
    </w:p>
    <w:p w14:paraId="4689ADA0">
      <w:pPr>
        <w:spacing w:line="360" w:lineRule="auto"/>
        <w:ind w:firstLine="48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（2）与塑料行业相关规定符合性判定</w:t>
      </w:r>
    </w:p>
    <w:p w14:paraId="2AEB6F86">
      <w:pPr>
        <w:pStyle w:val="29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本项目原料</w:t>
      </w:r>
      <w:r>
        <w:rPr>
          <w:color w:val="000000" w:themeColor="text1"/>
          <w14:textFill>
            <w14:solidFill>
              <w14:schemeClr w14:val="tx1"/>
            </w14:solidFill>
          </w14:textFill>
        </w:rPr>
        <w:t>为废塑料瓶等，主要成分为PET、PP等，不含废汽车配件、废机油桶、危险废物等</w:t>
      </w:r>
      <w:r>
        <w:rPr>
          <w:rFonts w:hint="eastAsia"/>
          <w:color w:val="000000" w:themeColor="text1"/>
          <w14:textFill>
            <w14:solidFill>
              <w14:schemeClr w14:val="tx1"/>
            </w14:solidFill>
          </w14:textFill>
        </w:rPr>
        <w:t>，处理能力为5000吨/年，本项目选址不在</w:t>
      </w:r>
      <w:r>
        <w:rPr>
          <w:color w:val="000000" w:themeColor="text1"/>
          <w14:textFill>
            <w14:solidFill>
              <w14:schemeClr w14:val="tx1"/>
            </w14:solidFill>
          </w14:textFill>
        </w:rPr>
        <w:t>国家法律、法规、规章和规划确定或县级及以上人民政府规定的自然保护区、风景名胜区、饮用水源保护区、基本农田保护区和其他需要特别保护的区域内</w:t>
      </w:r>
      <w:r>
        <w:rPr>
          <w:rFonts w:hint="eastAsia"/>
          <w:color w:val="000000" w:themeColor="text1"/>
          <w14:textFill>
            <w14:solidFill>
              <w14:schemeClr w14:val="tx1"/>
            </w14:solidFill>
          </w14:textFill>
        </w:rPr>
        <w:t>，符合</w:t>
      </w:r>
      <w:r>
        <w:rPr>
          <w:bCs/>
          <w:color w:val="000000" w:themeColor="text1"/>
          <w14:textFill>
            <w14:solidFill>
              <w14:schemeClr w14:val="tx1"/>
            </w14:solidFill>
          </w14:textFill>
        </w:rPr>
        <w:t>《废塑料综合利用行业规范条件》</w:t>
      </w:r>
      <w:r>
        <w:rPr>
          <w:rFonts w:hint="eastAsia"/>
          <w:bCs/>
          <w:color w:val="000000" w:themeColor="text1"/>
          <w14:textFill>
            <w14:solidFill>
              <w14:schemeClr w14:val="tx1"/>
            </w14:solidFill>
          </w14:textFill>
        </w:rPr>
        <w:t>（详见8.4节）。</w:t>
      </w:r>
    </w:p>
    <w:p w14:paraId="462B613A">
      <w:pPr>
        <w:pStyle w:val="29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bCs/>
          <w:color w:val="000000" w:themeColor="text1"/>
          <w14:textFill>
            <w14:solidFill>
              <w14:schemeClr w14:val="tx1"/>
            </w14:solidFill>
          </w14:textFill>
        </w:rPr>
        <w:t>所在地为芒市遮放镇弄坎村芒捧村民小组，</w:t>
      </w:r>
      <w:r>
        <w:rPr>
          <w:rFonts w:hint="eastAsia"/>
          <w:color w:val="000000" w:themeColor="text1"/>
          <w14:textFill>
            <w14:solidFill>
              <w14:schemeClr w14:val="tx1"/>
            </w14:solidFill>
          </w14:textFill>
        </w:rPr>
        <w:t>项目距离最近的居民点四分场四队，位于项目区侧风向（北侧）130m，</w:t>
      </w:r>
      <w:r>
        <w:rPr>
          <w:bCs/>
          <w:color w:val="000000" w:themeColor="text1"/>
          <w14:textFill>
            <w14:solidFill>
              <w14:schemeClr w14:val="tx1"/>
            </w14:solidFill>
          </w14:textFill>
        </w:rPr>
        <w:t>项目仅对废塑料破碎、清洗，不进行再生产，同时本项目不从事废编织袋造粒、脚料淘洗、废塑料退镀(涂)、盐卤分拣等加工活动</w:t>
      </w:r>
      <w:r>
        <w:rPr>
          <w:rFonts w:hint="eastAsia"/>
          <w:bCs/>
          <w:color w:val="000000" w:themeColor="text1"/>
          <w14:textFill>
            <w14:solidFill>
              <w14:schemeClr w14:val="tx1"/>
            </w14:solidFill>
          </w14:textFill>
        </w:rPr>
        <w:t>，符合</w:t>
      </w:r>
      <w:r>
        <w:rPr>
          <w:bCs/>
          <w:color w:val="000000" w:themeColor="text1"/>
          <w14:textFill>
            <w14:solidFill>
              <w14:schemeClr w14:val="tx1"/>
            </w14:solidFill>
          </w14:textFill>
        </w:rPr>
        <w:t>《废塑料加工利用污染防治管理规定》</w:t>
      </w:r>
      <w:r>
        <w:rPr>
          <w:rFonts w:hint="eastAsia"/>
          <w:bCs/>
          <w:color w:val="000000" w:themeColor="text1"/>
          <w14:textFill>
            <w14:solidFill>
              <w14:schemeClr w14:val="tx1"/>
            </w14:solidFill>
          </w14:textFill>
        </w:rPr>
        <w:t>（详见8.4节）。</w:t>
      </w:r>
    </w:p>
    <w:p w14:paraId="67FFDDDC">
      <w:pPr>
        <w:spacing w:line="360" w:lineRule="auto"/>
        <w:ind w:firstLine="480"/>
        <w:rPr>
          <w:b/>
          <w:color w:val="FF0000"/>
          <w:sz w:val="24"/>
        </w:rPr>
      </w:pPr>
      <w:r>
        <w:rPr>
          <w:rFonts w:hint="eastAsia"/>
          <w:b/>
          <w:color w:val="FF0000"/>
          <w:sz w:val="24"/>
        </w:rPr>
        <w:t>（3）选址合理性判定</w:t>
      </w:r>
    </w:p>
    <w:p w14:paraId="1D3D28FE">
      <w:pPr>
        <w:spacing w:line="360" w:lineRule="auto"/>
        <w:ind w:firstLine="482" w:firstLineChars="200"/>
        <w:jc w:val="left"/>
        <w:rPr>
          <w:b/>
          <w:color w:val="FF0000"/>
          <w:sz w:val="24"/>
        </w:rPr>
      </w:pPr>
      <w:r>
        <w:rPr>
          <w:rFonts w:hint="eastAsia"/>
          <w:b/>
          <w:color w:val="FF0000"/>
          <w:sz w:val="24"/>
        </w:rPr>
        <w:t>①生态红线</w:t>
      </w:r>
    </w:p>
    <w:p w14:paraId="5BE6FBD9">
      <w:pPr>
        <w:adjustRightInd w:val="0"/>
        <w:snapToGrid w:val="0"/>
        <w:spacing w:line="360" w:lineRule="auto"/>
        <w:ind w:firstLine="480" w:firstLineChars="200"/>
        <w:rPr>
          <w:bCs/>
          <w:color w:val="FF0000"/>
          <w:sz w:val="24"/>
        </w:rPr>
      </w:pPr>
      <w:r>
        <w:rPr>
          <w:color w:val="FF0000"/>
          <w:sz w:val="24"/>
        </w:rPr>
        <w:t>本项目位于芒市遮放镇弄坎村芒捧村民小组，根据</w:t>
      </w:r>
      <w:r>
        <w:rPr>
          <w:bCs/>
          <w:color w:val="FF0000"/>
          <w:sz w:val="24"/>
        </w:rPr>
        <w:t>土地证明，本项目选址不属于农业用地和林业用地，为</w:t>
      </w:r>
      <w:r>
        <w:rPr>
          <w:rFonts w:eastAsiaTheme="minorEastAsia"/>
          <w:color w:val="FF0000"/>
          <w:sz w:val="24"/>
        </w:rPr>
        <w:t>租用</w:t>
      </w:r>
      <w:r>
        <w:rPr>
          <w:bCs/>
          <w:color w:val="FF0000"/>
          <w:sz w:val="24"/>
        </w:rPr>
        <w:t>村民李进的土地和已建厂房，本项目不新增用地</w:t>
      </w:r>
      <w:r>
        <w:rPr>
          <w:rFonts w:hint="eastAsia"/>
          <w:bCs/>
          <w:color w:val="FF0000"/>
          <w:sz w:val="24"/>
        </w:rPr>
        <w:t>；</w:t>
      </w:r>
    </w:p>
    <w:p w14:paraId="6AECFB1D">
      <w:pPr>
        <w:adjustRightInd w:val="0"/>
        <w:snapToGrid w:val="0"/>
        <w:spacing w:line="360" w:lineRule="auto"/>
        <w:ind w:firstLine="480" w:firstLineChars="200"/>
        <w:rPr>
          <w:bCs/>
          <w:color w:val="FF0000"/>
          <w:sz w:val="24"/>
        </w:rPr>
      </w:pPr>
      <w:r>
        <w:rPr>
          <w:rFonts w:hint="eastAsia"/>
          <w:bCs/>
          <w:color w:val="FF0000"/>
          <w:sz w:val="24"/>
        </w:rPr>
        <w:t>同时根据芒市四维科技有限公司出具的证明，</w:t>
      </w:r>
      <w:r>
        <w:rPr>
          <w:bCs/>
          <w:color w:val="FF0000"/>
          <w:sz w:val="24"/>
        </w:rPr>
        <w:t>本项目</w:t>
      </w:r>
      <w:r>
        <w:rPr>
          <w:rFonts w:hint="eastAsia"/>
          <w:bCs/>
          <w:color w:val="FF0000"/>
          <w:sz w:val="24"/>
        </w:rPr>
        <w:t>用地范围</w:t>
      </w:r>
      <w:r>
        <w:rPr>
          <w:bCs/>
          <w:color w:val="FF0000"/>
          <w:sz w:val="24"/>
        </w:rPr>
        <w:t>不涉及生态红线</w:t>
      </w:r>
      <w:r>
        <w:rPr>
          <w:rFonts w:hint="eastAsia"/>
          <w:bCs/>
          <w:color w:val="FF0000"/>
          <w:sz w:val="24"/>
        </w:rPr>
        <w:t>（见附件</w:t>
      </w:r>
      <w:r>
        <w:rPr>
          <w:bCs/>
          <w:color w:val="FF0000"/>
          <w:sz w:val="24"/>
        </w:rPr>
        <w:t>）。</w:t>
      </w:r>
    </w:p>
    <w:p w14:paraId="793131F8">
      <w:pPr>
        <w:spacing w:line="360" w:lineRule="auto"/>
        <w:ind w:firstLine="482" w:firstLineChars="200"/>
        <w:jc w:val="left"/>
        <w:rPr>
          <w:b/>
          <w:color w:val="FF0000"/>
          <w:sz w:val="24"/>
        </w:rPr>
      </w:pPr>
      <w:r>
        <w:rPr>
          <w:rFonts w:hint="eastAsia"/>
          <w:b/>
          <w:color w:val="FF0000"/>
          <w:sz w:val="24"/>
        </w:rPr>
        <w:t>②环境相容性分析</w:t>
      </w:r>
    </w:p>
    <w:p w14:paraId="086C2447">
      <w:pPr>
        <w:spacing w:line="360" w:lineRule="auto"/>
        <w:ind w:firstLine="480" w:firstLineChars="200"/>
        <w:jc w:val="left"/>
        <w:rPr>
          <w:color w:val="FF0000"/>
          <w:sz w:val="24"/>
        </w:rPr>
      </w:pPr>
      <w:r>
        <w:rPr>
          <w:color w:val="FF0000"/>
          <w:sz w:val="24"/>
        </w:rPr>
        <w:t>本项目选址于</w:t>
      </w:r>
      <w:r>
        <w:rPr>
          <w:bCs/>
          <w:color w:val="FF0000"/>
          <w:sz w:val="24"/>
        </w:rPr>
        <w:t>德宏傣族景颇族自治州芒市遮放镇弄坎村芒捧村</w:t>
      </w:r>
      <w:r>
        <w:rPr>
          <w:color w:val="FF0000"/>
          <w:sz w:val="24"/>
        </w:rPr>
        <w:t>，租用</w:t>
      </w:r>
      <w:r>
        <w:rPr>
          <w:bCs/>
          <w:color w:val="FF0000"/>
          <w:sz w:val="24"/>
        </w:rPr>
        <w:t>村民李进的土地和已建厂房</w:t>
      </w:r>
      <w:r>
        <w:rPr>
          <w:color w:val="FF0000"/>
          <w:sz w:val="24"/>
        </w:rPr>
        <w:t>。与项目拟建厂址最近的敏感目标为北侧130m的四分场四队，根据预测关心点预测颗粒物及非甲烷总烃污染物预测值能达GB3095－2012《环境空气质量标准》二级标准，项目设备均为小型精密设备，噪声源不大，最大为破碎噪声，根据预测，项目建设对周围环境声环境的影响可接受。</w:t>
      </w:r>
    </w:p>
    <w:p w14:paraId="3B3ABF7E">
      <w:pPr>
        <w:spacing w:line="360" w:lineRule="auto"/>
        <w:ind w:firstLine="482" w:firstLineChars="200"/>
        <w:jc w:val="left"/>
        <w:rPr>
          <w:b/>
          <w:color w:val="FF0000"/>
          <w:sz w:val="24"/>
        </w:rPr>
      </w:pPr>
      <w:r>
        <w:rPr>
          <w:rFonts w:hint="eastAsia"/>
          <w:b/>
          <w:color w:val="FF0000"/>
          <w:sz w:val="24"/>
        </w:rPr>
        <w:t>③塑料行业选择要求</w:t>
      </w:r>
    </w:p>
    <w:p w14:paraId="32E9857B">
      <w:pPr>
        <w:adjustRightInd w:val="0"/>
        <w:snapToGrid w:val="0"/>
        <w:spacing w:line="360" w:lineRule="auto"/>
        <w:ind w:firstLine="480" w:firstLineChars="200"/>
        <w:jc w:val="left"/>
        <w:rPr>
          <w:color w:val="FF0000"/>
          <w:sz w:val="24"/>
        </w:rPr>
      </w:pPr>
      <w:r>
        <w:rPr>
          <w:color w:val="FF0000"/>
          <w:sz w:val="24"/>
        </w:rPr>
        <w:t>项目拟建地貌单一，地质构造稳定，无影响地质的大断裂和不良地质现象，适宜建筑，满足项目建设需要。项目不占用基本农田，评价范围内无国家、省、市级自然保护区、风景名胜区、饮用水源保护区、重要人文设施、旅游景观等敏感目标，符合《废塑料综合利用行业规范条件》选址要求。</w:t>
      </w:r>
    </w:p>
    <w:p w14:paraId="0439A94E">
      <w:pPr>
        <w:adjustRightInd w:val="0"/>
        <w:snapToGrid w:val="0"/>
        <w:spacing w:line="360" w:lineRule="auto"/>
        <w:ind w:firstLine="482" w:firstLineChars="200"/>
        <w:jc w:val="left"/>
        <w:rPr>
          <w:b/>
          <w:color w:val="FF0000"/>
          <w:sz w:val="24"/>
        </w:rPr>
      </w:pPr>
      <w:r>
        <w:rPr>
          <w:rFonts w:hint="eastAsia"/>
          <w:b/>
          <w:color w:val="FF0000"/>
          <w:sz w:val="24"/>
        </w:rPr>
        <w:t>④与《瑞丽江——大盈江风景名胜区总体规划</w:t>
      </w:r>
      <w:r>
        <w:rPr>
          <w:b/>
          <w:color w:val="FF0000"/>
          <w:sz w:val="24"/>
        </w:rPr>
        <w:t>》</w:t>
      </w:r>
      <w:r>
        <w:rPr>
          <w:rFonts w:hint="eastAsia"/>
          <w:b/>
          <w:color w:val="FF0000"/>
          <w:sz w:val="24"/>
        </w:rPr>
        <w:t>相符性分析</w:t>
      </w:r>
    </w:p>
    <w:p w14:paraId="400327C4">
      <w:pPr>
        <w:adjustRightInd w:val="0"/>
        <w:snapToGrid w:val="0"/>
        <w:spacing w:line="360" w:lineRule="auto"/>
        <w:ind w:firstLine="482" w:firstLineChars="200"/>
        <w:jc w:val="left"/>
        <w:rPr>
          <w:b/>
          <w:color w:val="FF0000"/>
          <w:sz w:val="24"/>
        </w:rPr>
      </w:pPr>
      <w:r>
        <w:rPr>
          <w:rFonts w:hint="eastAsia"/>
          <w:b/>
          <w:color w:val="FF0000"/>
          <w:sz w:val="24"/>
        </w:rPr>
        <w:t>A、景区范围</w:t>
      </w:r>
    </w:p>
    <w:p w14:paraId="6D11D336">
      <w:pPr>
        <w:adjustRightInd w:val="0"/>
        <w:snapToGrid w:val="0"/>
        <w:spacing w:line="360" w:lineRule="auto"/>
        <w:ind w:firstLine="480" w:firstLineChars="200"/>
        <w:jc w:val="left"/>
        <w:rPr>
          <w:color w:val="FF0000"/>
          <w:sz w:val="24"/>
        </w:rPr>
      </w:pPr>
      <w:r>
        <w:rPr>
          <w:rFonts w:hint="eastAsia"/>
          <w:color w:val="FF0000"/>
          <w:sz w:val="24"/>
        </w:rPr>
        <w:t>瑞丽江一大盈江风景名胜区其景区、景点遍布全州，分布较广，主要以潞西、瑞丽江流域、大盈江流域集中成片,陇川、梁河少量外围景点，范围约672.31平方公里。</w:t>
      </w:r>
    </w:p>
    <w:p w14:paraId="76E44E21">
      <w:pPr>
        <w:adjustRightInd w:val="0"/>
        <w:snapToGrid w:val="0"/>
        <w:spacing w:line="360" w:lineRule="auto"/>
        <w:ind w:firstLine="480" w:firstLineChars="200"/>
        <w:jc w:val="left"/>
        <w:rPr>
          <w:color w:val="FF0000"/>
          <w:sz w:val="24"/>
        </w:rPr>
      </w:pPr>
      <w:r>
        <w:rPr>
          <w:color w:val="FF0000"/>
          <w:sz w:val="24"/>
        </w:rPr>
        <w:t>B</w:t>
      </w:r>
      <w:r>
        <w:rPr>
          <w:rFonts w:hint="eastAsia"/>
          <w:color w:val="FF0000"/>
          <w:sz w:val="24"/>
        </w:rPr>
        <w:t>、</w:t>
      </w:r>
      <w:r>
        <w:rPr>
          <w:color w:val="FF0000"/>
          <w:sz w:val="24"/>
        </w:rPr>
        <w:t>景区</w:t>
      </w:r>
      <w:r>
        <w:rPr>
          <w:rFonts w:hint="eastAsia"/>
          <w:color w:val="FF0000"/>
          <w:sz w:val="24"/>
        </w:rPr>
        <w:t>规划</w:t>
      </w:r>
    </w:p>
    <w:p w14:paraId="1460A8A4">
      <w:pPr>
        <w:adjustRightInd w:val="0"/>
        <w:snapToGrid w:val="0"/>
        <w:spacing w:line="360" w:lineRule="auto"/>
        <w:ind w:firstLine="480" w:firstLineChars="200"/>
        <w:jc w:val="left"/>
        <w:rPr>
          <w:color w:val="FF0000"/>
          <w:sz w:val="24"/>
        </w:rPr>
      </w:pPr>
      <w:r>
        <w:rPr>
          <w:rFonts w:hint="eastAsia"/>
          <w:color w:val="FF0000"/>
          <w:sz w:val="24"/>
        </w:rPr>
        <w:t>规划和发展内容是:严格保护景区内现有森林植被,提高瑞江沿岸绿化率;开辟建设莫里瀑布、回环竹海、曼满生态园、热带果林等游览景点及游览道路,形成水陆游览环线;开辟建设洞上允傣放村寨、佛塔、榕树景观游览点;加快来门山森林公园配套建设,设备回环、洞上允、莫里瀑布、曼满生态园四个旅游服务点;严格控制莫里瀑布开发建设规模,发挥其城镇旅游服务功能。景区内莫里瀑布、洞上允、户永山等区域涉及瑞丽江自然保护区核心区域部分,其保护管理及项目建设审批等要严格按照自然保护区相关管理规定执行。</w:t>
      </w:r>
    </w:p>
    <w:p w14:paraId="396C7D45">
      <w:pPr>
        <w:adjustRightInd w:val="0"/>
        <w:snapToGrid w:val="0"/>
        <w:spacing w:line="360" w:lineRule="auto"/>
        <w:ind w:firstLine="480" w:firstLineChars="200"/>
        <w:jc w:val="left"/>
        <w:rPr>
          <w:color w:val="FF0000"/>
          <w:sz w:val="24"/>
        </w:rPr>
      </w:pPr>
      <w:r>
        <w:rPr>
          <w:rFonts w:hint="eastAsia"/>
          <w:color w:val="FF0000"/>
          <w:sz w:val="24"/>
        </w:rPr>
        <w:t>C、</w:t>
      </w:r>
      <w:r>
        <w:rPr>
          <w:color w:val="FF0000"/>
          <w:sz w:val="24"/>
        </w:rPr>
        <w:t>本项目</w:t>
      </w:r>
      <w:r>
        <w:rPr>
          <w:rFonts w:hint="eastAsia"/>
          <w:color w:val="FF0000"/>
          <w:sz w:val="24"/>
        </w:rPr>
        <w:t>与其规划相符性分析</w:t>
      </w:r>
    </w:p>
    <w:p w14:paraId="19E5392B">
      <w:pPr>
        <w:adjustRightInd w:val="0"/>
        <w:snapToGrid w:val="0"/>
        <w:spacing w:line="360" w:lineRule="auto"/>
        <w:ind w:firstLine="480" w:firstLineChars="200"/>
        <w:jc w:val="left"/>
        <w:rPr>
          <w:color w:val="FF0000"/>
          <w:sz w:val="24"/>
        </w:rPr>
      </w:pPr>
      <w:r>
        <w:rPr>
          <w:rFonts w:hint="eastAsia"/>
          <w:color w:val="FF0000"/>
          <w:sz w:val="24"/>
        </w:rPr>
        <w:t>综上，</w:t>
      </w:r>
      <w:r>
        <w:rPr>
          <w:color w:val="FF0000"/>
          <w:sz w:val="24"/>
        </w:rPr>
        <w:t>本项目选址于</w:t>
      </w:r>
      <w:r>
        <w:rPr>
          <w:bCs/>
          <w:color w:val="FF0000"/>
          <w:sz w:val="24"/>
        </w:rPr>
        <w:t>德宏傣族景颇族自治州芒市遮放镇弄坎村芒捧村</w:t>
      </w:r>
      <w:r>
        <w:rPr>
          <w:color w:val="FF0000"/>
          <w:sz w:val="24"/>
        </w:rPr>
        <w:t>，租用</w:t>
      </w:r>
      <w:r>
        <w:rPr>
          <w:bCs/>
          <w:color w:val="FF0000"/>
          <w:sz w:val="24"/>
        </w:rPr>
        <w:t>村民李进的土地和已建厂房</w:t>
      </w:r>
      <w:r>
        <w:rPr>
          <w:rFonts w:hint="eastAsia"/>
          <w:color w:val="FF0000"/>
          <w:sz w:val="24"/>
        </w:rPr>
        <w:t>，不涉及生态红线，</w:t>
      </w:r>
      <w:r>
        <w:rPr>
          <w:color w:val="FF0000"/>
          <w:sz w:val="24"/>
        </w:rPr>
        <w:t>同时</w:t>
      </w:r>
      <w:r>
        <w:rPr>
          <w:rFonts w:hint="eastAsia"/>
          <w:color w:val="FF0000"/>
          <w:sz w:val="24"/>
        </w:rPr>
        <w:t>建设方与瑞丽江管理部门核实，</w:t>
      </w:r>
      <w:r>
        <w:rPr>
          <w:color w:val="FF0000"/>
          <w:sz w:val="24"/>
        </w:rPr>
        <w:t>本项目</w:t>
      </w:r>
      <w:r>
        <w:rPr>
          <w:rFonts w:hint="eastAsia"/>
          <w:color w:val="FF0000"/>
          <w:sz w:val="24"/>
        </w:rPr>
        <w:t>不涉及瑞丽江保护范围。</w:t>
      </w:r>
    </w:p>
    <w:p w14:paraId="05B1A8D1">
      <w:pPr>
        <w:adjustRightInd w:val="0"/>
        <w:snapToGrid w:val="0"/>
        <w:spacing w:line="360" w:lineRule="auto"/>
        <w:ind w:firstLine="482" w:firstLineChars="200"/>
        <w:jc w:val="left"/>
        <w:rPr>
          <w:b/>
          <w:color w:val="FF0000"/>
          <w:sz w:val="24"/>
        </w:rPr>
      </w:pPr>
      <w:r>
        <w:rPr>
          <w:rFonts w:hint="eastAsia"/>
          <w:b/>
          <w:color w:val="FF0000"/>
          <w:sz w:val="24"/>
        </w:rPr>
        <w:t>④小结</w:t>
      </w:r>
    </w:p>
    <w:p w14:paraId="7D3CE7F3">
      <w:pPr>
        <w:adjustRightInd w:val="0"/>
        <w:snapToGrid w:val="0"/>
        <w:spacing w:line="360" w:lineRule="auto"/>
        <w:ind w:firstLine="480" w:firstLineChars="200"/>
        <w:jc w:val="left"/>
        <w:rPr>
          <w:color w:val="FF0000"/>
          <w:sz w:val="24"/>
        </w:rPr>
      </w:pPr>
      <w:r>
        <w:rPr>
          <w:color w:val="FF0000"/>
          <w:sz w:val="24"/>
        </w:rPr>
        <w:t>本项目以电为主要能源，主要污染物为废水、废气、固废，采取相应的措施后对环境影响对环境的影响程度和范围可为周围环境所接受，</w:t>
      </w:r>
      <w:r>
        <w:rPr>
          <w:rFonts w:hint="eastAsia"/>
          <w:color w:val="FF0000"/>
          <w:sz w:val="24"/>
        </w:rPr>
        <w:t>同时不涉及生态红线，</w:t>
      </w:r>
      <w:r>
        <w:rPr>
          <w:color w:val="FF0000"/>
          <w:sz w:val="24"/>
        </w:rPr>
        <w:t>不涉及</w:t>
      </w:r>
      <w:r>
        <w:rPr>
          <w:rFonts w:hint="eastAsia"/>
          <w:color w:val="FF0000"/>
          <w:sz w:val="24"/>
        </w:rPr>
        <w:t>瑞丽江保护范围，</w:t>
      </w:r>
      <w:r>
        <w:rPr>
          <w:color w:val="FF0000"/>
          <w:sz w:val="24"/>
        </w:rPr>
        <w:t>从环境保护角度分析，本项目选址是可行的。</w:t>
      </w:r>
    </w:p>
    <w:p w14:paraId="5FAF50B7">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、环评关注的环境问题</w:t>
      </w:r>
    </w:p>
    <w:p w14:paraId="6681FEB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本项目是利用废旧塑料加工生产再生塑料颗粒项目的建设，属于C</w:t>
      </w:r>
      <w:r>
        <w:rPr>
          <w:rFonts w:hint="eastAsia"/>
          <w:color w:val="000000" w:themeColor="text1"/>
          <w:sz w:val="24"/>
          <w14:textFill>
            <w14:solidFill>
              <w14:schemeClr w14:val="tx1"/>
            </w14:solidFill>
          </w14:textFill>
        </w:rPr>
        <w:t>42废弃资源综合利用业</w:t>
      </w:r>
      <w:r>
        <w:rPr>
          <w:color w:val="000000" w:themeColor="text1"/>
          <w:sz w:val="24"/>
          <w14:textFill>
            <w14:solidFill>
              <w14:schemeClr w14:val="tx1"/>
            </w14:solidFill>
          </w14:textFill>
        </w:rPr>
        <w:t>。根据《产业结构调整指导目录（2011年本）》（修正），本项目属于鼓励类中“三十八、环境保护与资源节约综合利用”之“28.再生资源回收利用产业化”项目。</w:t>
      </w:r>
    </w:p>
    <w:p w14:paraId="07F8183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拟建项目环境影响评价工作，结合厂址地区环境特点、工程特点，重点分析塑料清洗生产工序、塑料造粒生产工序产生的污染物对环境的影响：</w:t>
      </w:r>
    </w:p>
    <w:p w14:paraId="1E2C835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（1）本项目塑料清洗生产工序过程中，在清洗、破碎、工序中会产生一定的废水排放，废水经污水处理设施处理后回用可行性是本次环境影响评价的重点；</w:t>
      </w:r>
    </w:p>
    <w:p w14:paraId="1BBCE3A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（2）项目塑料造粒生产工序过程中，热熔挤出工序产生的工艺废气，对周围大气环境的影响是本项目的重点；</w:t>
      </w:r>
    </w:p>
    <w:p w14:paraId="7668A94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（3）项目生产中会产生一般工业固体废物和危险废物，各类废物能否妥善处置是本次评价重点。</w:t>
      </w:r>
    </w:p>
    <w:p w14:paraId="245BE46E">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、结论</w:t>
      </w:r>
    </w:p>
    <w:p w14:paraId="2D2E386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的建设符合国家和云南省的产业政策，选址符合当地的总体规划，厂址所在区域无国家、省、县划定的自然保护区、风景名胜区、饮用水保护区等环境敏感目标，项目生产过程中排放的污染物采取设计和本报告提出的防治措施后，能够实现达标排放，不会改变现有环境的使用功能，符合评价原则。</w:t>
      </w:r>
    </w:p>
    <w:p w14:paraId="66D356D5">
      <w:pPr>
        <w:pStyle w:val="116"/>
        <w:ind w:firstLine="480"/>
        <w:rPr>
          <w:color w:val="000000" w:themeColor="text1"/>
          <w:spacing w:val="-6"/>
          <w14:textFill>
            <w14:solidFill>
              <w14:schemeClr w14:val="tx1"/>
            </w14:solidFill>
          </w14:textFill>
        </w:rPr>
      </w:pPr>
      <w:r>
        <w:rPr>
          <w:color w:val="000000" w:themeColor="text1"/>
          <w14:textFill>
            <w14:solidFill>
              <w14:schemeClr w14:val="tx1"/>
            </w14:solidFill>
          </w14:textFill>
        </w:rPr>
        <w:t>本项目必须执行国家规定“三同时”的原则。</w:t>
      </w:r>
      <w:r>
        <w:rPr>
          <w:color w:val="000000" w:themeColor="text1"/>
          <w:spacing w:val="-6"/>
          <w14:textFill>
            <w14:solidFill>
              <w14:schemeClr w14:val="tx1"/>
            </w14:solidFill>
          </w14:textFill>
        </w:rPr>
        <w:t>本项目的实施可以做到社会效益、经济效益和环境效益三者的和谐统一、协调发展。从环境保护角度评价，本项目的建设可行。</w:t>
      </w:r>
    </w:p>
    <w:p w14:paraId="04AA53DC">
      <w:pPr>
        <w:spacing w:line="360" w:lineRule="auto"/>
        <w:ind w:firstLine="480"/>
        <w:rPr>
          <w:color w:val="000000" w:themeColor="text1"/>
          <w:sz w:val="24"/>
          <w14:textFill>
            <w14:solidFill>
              <w14:schemeClr w14:val="tx1"/>
            </w14:solidFill>
          </w14:textFill>
        </w:rPr>
        <w:sectPr>
          <w:pgSz w:w="11907" w:h="16839"/>
          <w:pgMar w:top="1304" w:right="1797" w:bottom="1304" w:left="1797" w:header="851" w:footer="992" w:gutter="0"/>
          <w:pgNumType w:start="1"/>
          <w:cols w:space="720" w:num="1"/>
          <w:docGrid w:type="lines" w:linePitch="326" w:charSpace="0"/>
        </w:sectPr>
      </w:pPr>
    </w:p>
    <w:bookmarkEnd w:id="3"/>
    <w:bookmarkEnd w:id="4"/>
    <w:bookmarkEnd w:id="5"/>
    <w:p w14:paraId="58B3E9C0">
      <w:pPr>
        <w:pStyle w:val="3"/>
        <w:rPr>
          <w:color w:val="000000" w:themeColor="text1"/>
          <w14:textFill>
            <w14:solidFill>
              <w14:schemeClr w14:val="tx1"/>
            </w14:solidFill>
          </w14:textFill>
        </w:rPr>
      </w:pPr>
      <w:bookmarkStart w:id="6" w:name="_Toc2773727"/>
      <w:r>
        <w:rPr>
          <w:color w:val="000000" w:themeColor="text1"/>
          <w14:textFill>
            <w14:solidFill>
              <w14:schemeClr w14:val="tx1"/>
            </w14:solidFill>
          </w14:textFill>
        </w:rPr>
        <w:t>1总则</w:t>
      </w:r>
      <w:bookmarkEnd w:id="0"/>
      <w:bookmarkEnd w:id="1"/>
      <w:bookmarkEnd w:id="6"/>
    </w:p>
    <w:p w14:paraId="66534BD6">
      <w:pPr>
        <w:pStyle w:val="4"/>
        <w:rPr>
          <w:rFonts w:ascii="Times New Roman" w:hAnsi="Times New Roman"/>
          <w:color w:val="000000" w:themeColor="text1"/>
          <w14:textFill>
            <w14:solidFill>
              <w14:schemeClr w14:val="tx1"/>
            </w14:solidFill>
          </w14:textFill>
        </w:rPr>
      </w:pPr>
      <w:bookmarkStart w:id="7" w:name="_Toc226861703"/>
      <w:bookmarkStart w:id="8" w:name="_Toc226540374"/>
      <w:bookmarkStart w:id="9" w:name="_Toc280621003"/>
      <w:bookmarkStart w:id="10" w:name="_Toc230393111"/>
      <w:bookmarkStart w:id="11" w:name="_Toc290295702"/>
      <w:bookmarkStart w:id="12" w:name="_Toc226540102"/>
      <w:bookmarkStart w:id="13" w:name="_Toc2773728"/>
      <w:r>
        <w:rPr>
          <w:rFonts w:ascii="Times New Roman" w:hAnsi="Times New Roman"/>
          <w:color w:val="000000" w:themeColor="text1"/>
          <w14:textFill>
            <w14:solidFill>
              <w14:schemeClr w14:val="tx1"/>
            </w14:solidFill>
          </w14:textFill>
        </w:rPr>
        <w:t>1.1编制依据</w:t>
      </w:r>
      <w:bookmarkEnd w:id="7"/>
      <w:bookmarkEnd w:id="8"/>
      <w:bookmarkEnd w:id="9"/>
      <w:bookmarkEnd w:id="10"/>
      <w:bookmarkEnd w:id="11"/>
      <w:bookmarkEnd w:id="12"/>
      <w:bookmarkEnd w:id="13"/>
    </w:p>
    <w:p w14:paraId="69C4F7D1">
      <w:pPr>
        <w:pStyle w:val="105"/>
        <w:rPr>
          <w:rFonts w:cs="Times New Roman"/>
          <w:color w:val="000000" w:themeColor="text1"/>
          <w14:textFill>
            <w14:solidFill>
              <w14:schemeClr w14:val="tx1"/>
            </w14:solidFill>
          </w14:textFill>
        </w:rPr>
      </w:pPr>
      <w:bookmarkStart w:id="14" w:name="_Toc230393112"/>
      <w:bookmarkStart w:id="15" w:name="_Toc226861704"/>
      <w:bookmarkStart w:id="16" w:name="_Toc290295703"/>
      <w:bookmarkStart w:id="17" w:name="_Toc226540103"/>
      <w:bookmarkStart w:id="18" w:name="_Toc280621004"/>
      <w:bookmarkStart w:id="19" w:name="_Toc226540375"/>
      <w:bookmarkStart w:id="20" w:name="_Toc362393080"/>
      <w:bookmarkStart w:id="21" w:name="_Toc280621011"/>
      <w:bookmarkStart w:id="22" w:name="_Toc290295709"/>
      <w:r>
        <w:rPr>
          <w:rFonts w:cs="Times New Roman"/>
          <w:color w:val="000000" w:themeColor="text1"/>
          <w14:textFill>
            <w14:solidFill>
              <w14:schemeClr w14:val="tx1"/>
            </w14:solidFill>
          </w14:textFill>
        </w:rPr>
        <w:t>1.1.1相关法律、法规</w:t>
      </w:r>
      <w:bookmarkEnd w:id="14"/>
      <w:bookmarkEnd w:id="15"/>
      <w:bookmarkEnd w:id="16"/>
      <w:bookmarkEnd w:id="17"/>
      <w:bookmarkEnd w:id="18"/>
      <w:bookmarkEnd w:id="19"/>
      <w:r>
        <w:rPr>
          <w:rFonts w:cs="Times New Roman"/>
          <w:color w:val="000000" w:themeColor="text1"/>
          <w14:textFill>
            <w14:solidFill>
              <w14:schemeClr w14:val="tx1"/>
            </w14:solidFill>
          </w14:textFill>
        </w:rPr>
        <w:t>和有关文件</w:t>
      </w:r>
    </w:p>
    <w:p w14:paraId="38A979E9">
      <w:pPr>
        <w:pStyle w:val="57"/>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（1）《中华人民共和国环境保护法》，2015年1月1日；</w:t>
      </w:r>
    </w:p>
    <w:p w14:paraId="5E2B1D15">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（2）《中华人民共和国环境影响评价法》（2018修正版）；</w:t>
      </w:r>
    </w:p>
    <w:p w14:paraId="57160C9F">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（3）《中华人民共和国水污染防治法》，2018年1月1日；</w:t>
      </w:r>
    </w:p>
    <w:p w14:paraId="3637F016">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（4）《中华人民共和国大气污染防治法》，2015 年8月29日修订通过；</w:t>
      </w:r>
    </w:p>
    <w:p w14:paraId="10B4EFCC">
      <w:pPr>
        <w:pStyle w:val="57"/>
        <w:ind w:firstLine="480" w:firstLineChars="200"/>
        <w:jc w:val="left"/>
        <w:rPr>
          <w:color w:val="000000" w:themeColor="text1"/>
          <w:szCs w:val="24"/>
          <w14:textFill>
            <w14:solidFill>
              <w14:schemeClr w14:val="tx1"/>
            </w14:solidFill>
          </w14:textFill>
        </w:rPr>
      </w:pPr>
      <w:bookmarkStart w:id="23" w:name="_Toc362393077"/>
      <w:bookmarkStart w:id="24" w:name="_Toc360004778"/>
      <w:bookmarkStart w:id="25" w:name="_Toc226540377"/>
      <w:bookmarkStart w:id="26" w:name="_Toc226540105"/>
      <w:bookmarkStart w:id="27" w:name="_Toc280621006"/>
      <w:bookmarkStart w:id="28" w:name="_Toc230393114"/>
      <w:bookmarkStart w:id="29" w:name="_Toc290295705"/>
      <w:bookmarkStart w:id="30" w:name="_Toc226861706"/>
      <w:r>
        <w:rPr>
          <w:color w:val="000000" w:themeColor="text1"/>
          <w:szCs w:val="24"/>
          <w14:textFill>
            <w14:solidFill>
              <w14:schemeClr w14:val="tx1"/>
            </w14:solidFill>
          </w14:textFill>
        </w:rPr>
        <w:t>（5）《中华人民共和国固体废物污染环境防治法》，2016年11月7日修正版；</w:t>
      </w:r>
    </w:p>
    <w:p w14:paraId="3DFD1E4A">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（6）《中华人民共和国放射性污染防治法》，2003 年6 月28 日；</w:t>
      </w:r>
    </w:p>
    <w:p w14:paraId="77E25066">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（7）《中华人民共和国环境噪声污染防治法》，1997 年3 月1 日；</w:t>
      </w:r>
    </w:p>
    <w:p w14:paraId="5D08F42E">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（8）全国人民代表大会常务委员会关于修改《中华人民共和国清洁生产促进法》的决定，2012年7月1日起施行；</w:t>
      </w:r>
    </w:p>
    <w:p w14:paraId="2E4C43B6">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建设项目环境保护管理条例</w:t>
      </w:r>
      <w:r>
        <w:rPr>
          <w:color w:val="000000" w:themeColor="text1"/>
          <w14:textFill>
            <w14:solidFill>
              <w14:schemeClr w14:val="tx1"/>
            </w14:solidFill>
          </w14:textFill>
        </w:rPr>
        <w:t>》（国务院令</w:t>
      </w:r>
      <w:r>
        <w:rPr>
          <w:rFonts w:hint="eastAsia"/>
          <w:color w:val="000000" w:themeColor="text1"/>
          <w:lang w:val="en-US" w:eastAsia="zh-CN"/>
          <w14:textFill>
            <w14:solidFill>
              <w14:schemeClr w14:val="tx1"/>
            </w14:solidFill>
          </w14:textFill>
        </w:rPr>
        <w:t>第</w:t>
      </w:r>
      <w:r>
        <w:rPr>
          <w:color w:val="000000" w:themeColor="text1"/>
          <w14:textFill>
            <w14:solidFill>
              <w14:schemeClr w14:val="tx1"/>
            </w14:solidFill>
          </w14:textFill>
        </w:rPr>
        <w:t>253号）、</w:t>
      </w:r>
      <w:r>
        <w:rPr>
          <w:color w:val="000000" w:themeColor="text1"/>
          <w:shd w:val="clear" w:color="auto" w:fill="FFFFFF"/>
          <w14:textFill>
            <w14:solidFill>
              <w14:schemeClr w14:val="tx1"/>
            </w14:solidFill>
          </w14:textFill>
        </w:rPr>
        <w:t>《国务院关于修改〈建设项目环境保护管理条例〉的决定》</w:t>
      </w:r>
      <w:r>
        <w:rPr>
          <w:color w:val="000000" w:themeColor="text1"/>
          <w:szCs w:val="24"/>
          <w14:textFill>
            <w14:solidFill>
              <w14:schemeClr w14:val="tx1"/>
            </w14:solidFill>
          </w14:textFill>
        </w:rPr>
        <w:t>2017年10月1日起施行；</w:t>
      </w:r>
    </w:p>
    <w:p w14:paraId="17DD41AF">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（11）《建设项目环境保护分类管理目录》</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（2017年6月29日环境保护部令第44号公布 根据2018年4月28日公布的《关于修改&lt;建设项目环境影响评价分类管理名录&gt;部分内容的决定》修正）；</w:t>
      </w:r>
    </w:p>
    <w:p w14:paraId="75D4C6FA">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（12）《清洁生产审核办法》，2016年7月1日起正式实施；</w:t>
      </w:r>
    </w:p>
    <w:p w14:paraId="68F667F9">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（13）《国家危险废物名录》，2016 年8 月1日；</w:t>
      </w:r>
    </w:p>
    <w:p w14:paraId="5FE852AF">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（14）《危险化学品名录（2015版）》，国家安全生产监督管理局公告，2015年2 月27 日；</w:t>
      </w:r>
    </w:p>
    <w:p w14:paraId="22FB3504">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（15）《危险废物污染防治技术政策》，环发[2001]199 号；</w:t>
      </w:r>
    </w:p>
    <w:p w14:paraId="25FF65C0">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（16）《危险废物转移联单管理办法》，国家环境保护总局令第5 号，1999年10月1日；</w:t>
      </w:r>
    </w:p>
    <w:p w14:paraId="2A3DE5CC">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（17）《危险化学品安全管理条例》，</w:t>
      </w:r>
      <w:r>
        <w:rPr>
          <w:color w:val="000000" w:themeColor="text1"/>
          <w14:textFill>
            <w14:solidFill>
              <w14:schemeClr w14:val="tx1"/>
            </w14:solidFill>
          </w14:textFill>
        </w:rPr>
        <w:t>中华人民共和国国务院令，第591号</w:t>
      </w:r>
      <w:r>
        <w:rPr>
          <w:color w:val="000000" w:themeColor="text1"/>
          <w:szCs w:val="24"/>
          <w14:textFill>
            <w14:solidFill>
              <w14:schemeClr w14:val="tx1"/>
            </w14:solidFill>
          </w14:textFill>
        </w:rPr>
        <w:t>；</w:t>
      </w:r>
    </w:p>
    <w:p w14:paraId="5EC9F4BA">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（18）《废弃危险化学品污染环境防治办法》，2005年10月；</w:t>
      </w:r>
    </w:p>
    <w:p w14:paraId="0B7CFC84">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（19）《危险废物经营许可证管理办法》，2004年5月；</w:t>
      </w:r>
    </w:p>
    <w:p w14:paraId="4AAB47EA">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（20）《国家突发公共事件总体应急预案》，2006 年1 月；</w:t>
      </w:r>
    </w:p>
    <w:p w14:paraId="3BE995E4">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（21）《</w:t>
      </w:r>
      <w:r>
        <w:rPr>
          <w:bCs/>
          <w:color w:val="000000" w:themeColor="text1"/>
          <w:szCs w:val="24"/>
          <w14:textFill>
            <w14:solidFill>
              <w14:schemeClr w14:val="tx1"/>
            </w14:solidFill>
          </w14:textFill>
        </w:rPr>
        <w:t>关于进一步加强环境影响评价管理防范环境风险的通知</w:t>
      </w:r>
      <w:r>
        <w:rPr>
          <w:color w:val="000000" w:themeColor="text1"/>
          <w:szCs w:val="24"/>
          <w14:textFill>
            <w14:solidFill>
              <w14:schemeClr w14:val="tx1"/>
            </w14:solidFill>
          </w14:textFill>
        </w:rPr>
        <w:t>》环发[2012]77号；</w:t>
      </w:r>
    </w:p>
    <w:p w14:paraId="0B0D1619">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（22）《环境影响评价公众参与办法》</w:t>
      </w:r>
      <w:r>
        <w:rPr>
          <w:bCs/>
          <w:color w:val="000000" w:themeColor="text1"/>
          <w:szCs w:val="24"/>
          <w14:textFill>
            <w14:solidFill>
              <w14:schemeClr w14:val="tx1"/>
            </w14:solidFill>
          </w14:textFill>
        </w:rPr>
        <w:t>环境保护部令</w:t>
      </w:r>
      <w:r>
        <w:rPr>
          <w:color w:val="000000" w:themeColor="text1"/>
          <w:szCs w:val="24"/>
          <w14:textFill>
            <w14:solidFill>
              <w14:schemeClr w14:val="tx1"/>
            </w14:solidFill>
          </w14:textFill>
        </w:rPr>
        <w:t xml:space="preserve"> 第4号，2019年2月1日起施行；</w:t>
      </w:r>
    </w:p>
    <w:p w14:paraId="75F2E10B">
      <w:pPr>
        <w:pStyle w:val="57"/>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（23）《国务院关于环境保护若干问题的决定》国发（1996）31 号，1996年8 月3 日；</w:t>
      </w:r>
    </w:p>
    <w:p w14:paraId="10529B96">
      <w:pPr>
        <w:pStyle w:val="57"/>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（24）《产业结构调整指导目录(2011 年本)》2013 年修正版，2013 年2 月16 日。</w:t>
      </w:r>
    </w:p>
    <w:p w14:paraId="24023DFF">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1.1.2地方环境保护法律、法规和有关文件</w:t>
      </w:r>
      <w:bookmarkEnd w:id="23"/>
      <w:bookmarkEnd w:id="24"/>
    </w:p>
    <w:p w14:paraId="25589D5B">
      <w:pPr>
        <w:pStyle w:val="57"/>
        <w:ind w:firstLine="480" w:firstLineChars="200"/>
        <w:rPr>
          <w:color w:val="000000" w:themeColor="text1"/>
          <w14:textFill>
            <w14:solidFill>
              <w14:schemeClr w14:val="tx1"/>
            </w14:solidFill>
          </w14:textFill>
        </w:rPr>
      </w:pPr>
      <w:bookmarkStart w:id="31" w:name="_Toc360004779"/>
      <w:bookmarkStart w:id="32" w:name="_Toc362393078"/>
      <w:r>
        <w:rPr>
          <w:color w:val="000000" w:themeColor="text1"/>
          <w14:textFill>
            <w14:solidFill>
              <w14:schemeClr w14:val="tx1"/>
            </w14:solidFill>
          </w14:textFill>
        </w:rPr>
        <w:t>（1）《云南省环境保护条例》，2004 年6 月29 日修订；</w:t>
      </w:r>
    </w:p>
    <w:p w14:paraId="60698B0C">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（2）《云南省建设项目环境保护管理规定》，云南省人民政府令第105 号，2002 年1 月1 日；</w:t>
      </w:r>
    </w:p>
    <w:p w14:paraId="0EEDDFB9">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（3）《云南省环境保护局关于加强建设项目主要污染物排放指标管理有关问题的通知》，云环发[2007]287 号，2007 年8 月7 日；</w:t>
      </w:r>
    </w:p>
    <w:p w14:paraId="423F1512">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（4）《云南省地表水水环境功能区划（2010~2020 年）》，2014 年4 月17 日；</w:t>
      </w:r>
    </w:p>
    <w:p w14:paraId="1EF62BAB">
      <w:pPr>
        <w:pStyle w:val="57"/>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（5）《云南省人民政府关于印发云南省大气污染防治行动实施方案的通知》，云政发〔2014〕9 号，2014 年4 月17 日；</w:t>
      </w:r>
    </w:p>
    <w:p w14:paraId="38FF7DA4">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1.1.3技术规范</w:t>
      </w:r>
      <w:bookmarkEnd w:id="31"/>
      <w:bookmarkEnd w:id="32"/>
    </w:p>
    <w:p w14:paraId="2BF2ACB3">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（1）《环境影响评价技术导则  总纲》（HJ 2.1-2016）；</w:t>
      </w:r>
    </w:p>
    <w:p w14:paraId="5E6B241A">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（2）《环境影响评价技术导则  大气环境》（HJ2.2-2018）；</w:t>
      </w:r>
    </w:p>
    <w:p w14:paraId="5BC0C69F">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（3）《环境影响评价技术导则  地面水环境》（HJ/T2.3-2018）；</w:t>
      </w:r>
    </w:p>
    <w:p w14:paraId="2475BAC9">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（4）《环境影响评价技术导则  地下水环境》（HJ610-2016）；</w:t>
      </w:r>
    </w:p>
    <w:p w14:paraId="33C646F8">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（5）《环境影响评价技术导则  声环境》（HJ2.4－2009）；</w:t>
      </w:r>
    </w:p>
    <w:p w14:paraId="2C78A426">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（6）《环境影响评价技术导则  生态影响》（HJ19-2011）；</w:t>
      </w:r>
    </w:p>
    <w:p w14:paraId="03BB32E5">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（7）《建设项目环境风险评价技术导则》</w:t>
      </w:r>
      <w:bookmarkStart w:id="33" w:name="_Toc360004780"/>
      <w:bookmarkStart w:id="34" w:name="_Toc362393079"/>
      <w:r>
        <w:rPr>
          <w:color w:val="000000" w:themeColor="text1"/>
          <w14:textFill>
            <w14:solidFill>
              <w14:schemeClr w14:val="tx1"/>
            </w14:solidFill>
          </w14:textFill>
        </w:rPr>
        <w:t>（HJ/T169-2018）。</w:t>
      </w:r>
    </w:p>
    <w:p w14:paraId="5B88A9A3">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1.1.4项目相关材料</w:t>
      </w:r>
      <w:bookmarkEnd w:id="33"/>
      <w:bookmarkEnd w:id="34"/>
    </w:p>
    <w:p w14:paraId="65012371">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（1）委托书;</w:t>
      </w:r>
    </w:p>
    <w:p w14:paraId="5B3721D8">
      <w:pPr>
        <w:pStyle w:val="57"/>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（2）芒市发展和改革局关于“芒市创亿塑料加工”的投资项目备案证（芒发改企业备案[2019]17号）；</w:t>
      </w:r>
    </w:p>
    <w:bookmarkEnd w:id="20"/>
    <w:bookmarkEnd w:id="25"/>
    <w:bookmarkEnd w:id="26"/>
    <w:bookmarkEnd w:id="27"/>
    <w:bookmarkEnd w:id="28"/>
    <w:bookmarkEnd w:id="29"/>
    <w:bookmarkEnd w:id="30"/>
    <w:p w14:paraId="7EE4D7B8">
      <w:pPr>
        <w:pStyle w:val="57"/>
        <w:ind w:firstLine="480" w:firstLineChars="200"/>
        <w:jc w:val="left"/>
        <w:rPr>
          <w:color w:val="000000" w:themeColor="text1"/>
          <w14:textFill>
            <w14:solidFill>
              <w14:schemeClr w14:val="tx1"/>
            </w14:solidFill>
          </w14:textFill>
        </w:rPr>
      </w:pPr>
      <w:bookmarkStart w:id="35" w:name="_Toc360004783"/>
      <w:bookmarkStart w:id="36" w:name="_Toc362393082"/>
      <w:r>
        <w:rPr>
          <w:color w:val="000000" w:themeColor="text1"/>
          <w14:textFill>
            <w14:solidFill>
              <w14:schemeClr w14:val="tx1"/>
            </w14:solidFill>
          </w14:textFill>
        </w:rPr>
        <w:t>（3）其它有关的工程设计资料及图纸。</w:t>
      </w:r>
    </w:p>
    <w:p w14:paraId="42E23B40">
      <w:pPr>
        <w:pStyle w:val="4"/>
        <w:rPr>
          <w:rFonts w:ascii="Times New Roman" w:hAnsi="Times New Roman"/>
          <w:color w:val="000000" w:themeColor="text1"/>
          <w14:textFill>
            <w14:solidFill>
              <w14:schemeClr w14:val="tx1"/>
            </w14:solidFill>
          </w14:textFill>
        </w:rPr>
      </w:pPr>
      <w:bookmarkStart w:id="37" w:name="_Toc2773729"/>
      <w:r>
        <w:rPr>
          <w:rFonts w:ascii="Times New Roman" w:hAnsi="Times New Roman"/>
          <w:color w:val="000000" w:themeColor="text1"/>
          <w14:textFill>
            <w14:solidFill>
              <w14:schemeClr w14:val="tx1"/>
            </w14:solidFill>
          </w14:textFill>
        </w:rPr>
        <w:t>1.2评价目的和原则</w:t>
      </w:r>
      <w:bookmarkEnd w:id="37"/>
    </w:p>
    <w:p w14:paraId="27846198">
      <w:pPr>
        <w:pStyle w:val="105"/>
        <w:rPr>
          <w:rFonts w:cs="Times New Roman"/>
          <w:color w:val="000000" w:themeColor="text1"/>
          <w14:textFill>
            <w14:solidFill>
              <w14:schemeClr w14:val="tx1"/>
            </w14:solidFill>
          </w14:textFill>
        </w:rPr>
      </w:pPr>
      <w:bookmarkStart w:id="38" w:name="_Toc362393081"/>
      <w:bookmarkStart w:id="39" w:name="_Toc360004782"/>
      <w:r>
        <w:rPr>
          <w:rFonts w:cs="Times New Roman"/>
          <w:color w:val="000000" w:themeColor="text1"/>
          <w14:textFill>
            <w14:solidFill>
              <w14:schemeClr w14:val="tx1"/>
            </w14:solidFill>
          </w14:textFill>
        </w:rPr>
        <w:t>1.2.1评价目的</w:t>
      </w:r>
      <w:bookmarkEnd w:id="38"/>
      <w:bookmarkEnd w:id="39"/>
    </w:p>
    <w:bookmarkEnd w:id="21"/>
    <w:bookmarkEnd w:id="22"/>
    <w:bookmarkEnd w:id="35"/>
    <w:bookmarkEnd w:id="36"/>
    <w:p w14:paraId="59A15229">
      <w:pPr>
        <w:pStyle w:val="57"/>
        <w:ind w:firstLine="480" w:firstLineChars="200"/>
        <w:rPr>
          <w:color w:val="000000" w:themeColor="text1"/>
          <w14:textFill>
            <w14:solidFill>
              <w14:schemeClr w14:val="tx1"/>
            </w14:solidFill>
          </w14:textFill>
        </w:rPr>
      </w:pPr>
      <w:bookmarkStart w:id="40" w:name="_Toc226540110"/>
      <w:bookmarkStart w:id="41" w:name="_Toc230393119"/>
      <w:bookmarkStart w:id="42" w:name="_Toc290295710"/>
      <w:bookmarkStart w:id="43" w:name="_Toc280621012"/>
      <w:bookmarkStart w:id="44" w:name="_Toc226540382"/>
      <w:bookmarkStart w:id="45" w:name="_Toc226861711"/>
      <w:r>
        <w:rPr>
          <w:color w:val="000000" w:themeColor="text1"/>
          <w14:textFill>
            <w14:solidFill>
              <w14:schemeClr w14:val="tx1"/>
            </w14:solidFill>
          </w14:textFill>
        </w:rPr>
        <w:t>（1）通过对国家和省市的产业政策、城市及环境规划的了解和分析，论证本项目总体设计的可行性和合理性；</w:t>
      </w:r>
    </w:p>
    <w:p w14:paraId="32F22203">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（2）通过对该建设项目的工程内容和工艺路线进行分析，明确污染源和可能产生的污染因素，计算污染物的排放量，掌握该项目对环境产生的不利影响；</w:t>
      </w:r>
    </w:p>
    <w:p w14:paraId="7D6298B6">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对建设项目所在地的自然环境和环境质量现状调查，确定环境评价的主要保护目标和评价重点；</w:t>
      </w:r>
    </w:p>
    <w:p w14:paraId="52D1251D">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通过环境质量现状监测分析，查清建设项目选址所在地区的环境质量现状，得到当地的环境质量现状的结论；对建设项目建设期、运营期可能造成的环境影响进行评价，确定建设项目对当地环境可能造成的不良影响的范围和程度，从而提出避免污染、减少污染的对策措施；</w:t>
      </w:r>
    </w:p>
    <w:p w14:paraId="46FFD0BC">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（4）根据工程分析和影响预测评价的结果，对工程方案和环保措施进行可行性论证；</w:t>
      </w:r>
    </w:p>
    <w:p w14:paraId="600C6156">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（5）结合国家及地方的产业政策及</w:t>
      </w:r>
      <w:r>
        <w:rPr>
          <w:bCs/>
          <w:color w:val="000000" w:themeColor="text1"/>
          <w14:textFill>
            <w14:solidFill>
              <w14:schemeClr w14:val="tx1"/>
            </w14:solidFill>
          </w14:textFill>
        </w:rPr>
        <w:t>《废塑料加工利用污染防治管理规定》、</w:t>
      </w:r>
      <w:r>
        <w:rPr>
          <w:color w:val="000000" w:themeColor="text1"/>
          <w:szCs w:val="24"/>
          <w14:textFill>
            <w14:solidFill>
              <w14:schemeClr w14:val="tx1"/>
            </w14:solidFill>
          </w14:textFill>
        </w:rPr>
        <w:t>《废塑料综合利用行业规范条件》</w:t>
      </w:r>
      <w:r>
        <w:rPr>
          <w:color w:val="000000" w:themeColor="text1"/>
          <w14:textFill>
            <w14:solidFill>
              <w14:schemeClr w14:val="tx1"/>
            </w14:solidFill>
          </w14:textFill>
        </w:rPr>
        <w:t>准入要求，分析该选址的合理合法性；</w:t>
      </w:r>
    </w:p>
    <w:p w14:paraId="33B9AD19">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（6）从环保的角度明确给出项目建设的可行性结论。</w:t>
      </w:r>
    </w:p>
    <w:p w14:paraId="428C8A3C">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1.2.2评价原则</w:t>
      </w:r>
    </w:p>
    <w:p w14:paraId="6C4628CA">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突出环境影响评价的源头预防作用，坚持保护和改善环境质量。</w:t>
      </w:r>
    </w:p>
    <w:p w14:paraId="35610B1E">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（1）依法评价</w:t>
      </w:r>
    </w:p>
    <w:p w14:paraId="743ED3CC">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贯彻执行我国环境保护相关法律法规、标准、政策和规划等，优化项目建设，服务环境管理。</w:t>
      </w:r>
    </w:p>
    <w:p w14:paraId="7F2B0AC5">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（2）科学评价</w:t>
      </w:r>
    </w:p>
    <w:p w14:paraId="268173B5">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规范环境影响评价方法，科学分析项目建设对环境质量的影响。</w:t>
      </w:r>
    </w:p>
    <w:p w14:paraId="0BFE11B2">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（3）突出重点</w:t>
      </w:r>
    </w:p>
    <w:p w14:paraId="4E3C317E">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根据建设项目的工程内容及其特点，明确与环境要素间的作用效应关系，根据规划环境影响评价结论和审查意见，充分利用符合时效的数据资料及成果，对建设项目主要环境影响予以重点分析和评价。</w:t>
      </w:r>
    </w:p>
    <w:bookmarkEnd w:id="40"/>
    <w:bookmarkEnd w:id="41"/>
    <w:bookmarkEnd w:id="42"/>
    <w:bookmarkEnd w:id="43"/>
    <w:bookmarkEnd w:id="44"/>
    <w:bookmarkEnd w:id="45"/>
    <w:p w14:paraId="3D972672">
      <w:pPr>
        <w:pStyle w:val="4"/>
        <w:rPr>
          <w:rFonts w:ascii="Times New Roman" w:hAnsi="Times New Roman"/>
          <w:color w:val="000000" w:themeColor="text1"/>
          <w14:textFill>
            <w14:solidFill>
              <w14:schemeClr w14:val="tx1"/>
            </w14:solidFill>
          </w14:textFill>
        </w:rPr>
      </w:pPr>
      <w:bookmarkStart w:id="46" w:name="_Toc2773730"/>
      <w:bookmarkStart w:id="47" w:name="_Toc226861713"/>
      <w:bookmarkStart w:id="48" w:name="_Toc226540112"/>
      <w:bookmarkStart w:id="49" w:name="_Toc230393121"/>
      <w:bookmarkStart w:id="50" w:name="_Toc290295712"/>
      <w:bookmarkStart w:id="51" w:name="_Toc226540384"/>
      <w:bookmarkStart w:id="52" w:name="_Toc280621014"/>
      <w:r>
        <w:rPr>
          <w:rFonts w:ascii="Times New Roman" w:hAnsi="Times New Roman"/>
          <w:color w:val="000000" w:themeColor="text1"/>
          <w14:textFill>
            <w14:solidFill>
              <w14:schemeClr w14:val="tx1"/>
            </w14:solidFill>
          </w14:textFill>
        </w:rPr>
        <w:t>1.3评价标准</w:t>
      </w:r>
      <w:bookmarkEnd w:id="46"/>
    </w:p>
    <w:p w14:paraId="2CAB506E">
      <w:pPr>
        <w:pStyle w:val="105"/>
        <w:rPr>
          <w:rFonts w:cs="Times New Roman"/>
          <w:color w:val="000000" w:themeColor="text1"/>
          <w14:textFill>
            <w14:solidFill>
              <w14:schemeClr w14:val="tx1"/>
            </w14:solidFill>
          </w14:textFill>
        </w:rPr>
      </w:pPr>
      <w:bookmarkStart w:id="53" w:name="_Toc230393120"/>
      <w:bookmarkStart w:id="54" w:name="_Toc290295711"/>
      <w:bookmarkStart w:id="55" w:name="_Toc226540383"/>
      <w:bookmarkStart w:id="56" w:name="_Toc280621013"/>
      <w:bookmarkStart w:id="57" w:name="_Toc226861712"/>
      <w:bookmarkStart w:id="58" w:name="_Toc226540111"/>
      <w:r>
        <w:rPr>
          <w:rFonts w:cs="Times New Roman"/>
          <w:color w:val="000000" w:themeColor="text1"/>
          <w14:textFill>
            <w14:solidFill>
              <w14:schemeClr w14:val="tx1"/>
            </w14:solidFill>
          </w14:textFill>
        </w:rPr>
        <w:t>1.3.1环境质量评价标准</w:t>
      </w:r>
      <w:bookmarkEnd w:id="53"/>
      <w:bookmarkEnd w:id="54"/>
      <w:bookmarkEnd w:id="55"/>
      <w:bookmarkEnd w:id="56"/>
      <w:bookmarkEnd w:id="57"/>
      <w:bookmarkEnd w:id="58"/>
    </w:p>
    <w:p w14:paraId="0DFABEFB">
      <w:pPr>
        <w:spacing w:line="360" w:lineRule="auto"/>
        <w:ind w:firstLine="440"/>
        <w:rPr>
          <w:b/>
          <w:color w:val="000000" w:themeColor="text1"/>
          <w:sz w:val="24"/>
          <w14:textFill>
            <w14:solidFill>
              <w14:schemeClr w14:val="tx1"/>
            </w14:solidFill>
          </w14:textFill>
        </w:rPr>
      </w:pPr>
      <w:r>
        <w:rPr>
          <w:b/>
          <w:color w:val="000000" w:themeColor="text1"/>
          <w:sz w:val="24"/>
          <w14:textFill>
            <w14:solidFill>
              <w14:schemeClr w14:val="tx1"/>
            </w14:solidFill>
          </w14:textFill>
        </w:rPr>
        <w:t>（1）环境空气</w:t>
      </w:r>
    </w:p>
    <w:p w14:paraId="26AC134F">
      <w:pPr>
        <w:spacing w:line="360" w:lineRule="auto"/>
        <w:ind w:firstLine="44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bCs/>
          <w:color w:val="000000" w:themeColor="text1"/>
          <w:sz w:val="24"/>
          <w14:textFill>
            <w14:solidFill>
              <w14:schemeClr w14:val="tx1"/>
            </w14:solidFill>
          </w14:textFill>
        </w:rPr>
        <w:t>芒市遮放镇弄坎村芒捧村</w:t>
      </w:r>
      <w:r>
        <w:rPr>
          <w:color w:val="000000" w:themeColor="text1"/>
          <w:sz w:val="24"/>
          <w14:textFill>
            <w14:solidFill>
              <w14:schemeClr w14:val="tx1"/>
            </w14:solidFill>
          </w14:textFill>
        </w:rPr>
        <w:t>，属二类区，执行《环境空气质量标准》（GB3095-2012）中二级标准，根据中国环境科学出版社出版的国家环境保护局科技标准司的《大气污染物综合排放标准详解》，非甲烷总烃的质量标准采用2mg/m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；标准值见表1.3-1。</w:t>
      </w:r>
    </w:p>
    <w:p w14:paraId="24F717A4">
      <w:pPr>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表1.3-1  环境空气质量标准</w:t>
      </w:r>
    </w:p>
    <w:tbl>
      <w:tblPr>
        <w:tblStyle w:val="42"/>
        <w:tblW w:w="5000" w:type="pct"/>
        <w:jc w:val="center"/>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3"/>
        <w:gridCol w:w="1994"/>
        <w:gridCol w:w="2158"/>
        <w:gridCol w:w="1073"/>
      </w:tblGrid>
      <w:tr w14:paraId="330FB99E">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pct"/>
            <w:vAlign w:val="center"/>
          </w:tcPr>
          <w:p w14:paraId="773B25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169" w:type="pct"/>
            <w:vAlign w:val="center"/>
          </w:tcPr>
          <w:p w14:paraId="18A255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取值时间</w:t>
            </w:r>
          </w:p>
        </w:tc>
        <w:tc>
          <w:tcPr>
            <w:tcW w:w="1265" w:type="pct"/>
            <w:vAlign w:val="center"/>
          </w:tcPr>
          <w:p w14:paraId="30DC71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二级标准浓度限值</w:t>
            </w:r>
          </w:p>
        </w:tc>
        <w:tc>
          <w:tcPr>
            <w:tcW w:w="629" w:type="pct"/>
            <w:vAlign w:val="center"/>
          </w:tcPr>
          <w:p w14:paraId="3F534B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r>
      <w:tr w14:paraId="2780BAB2">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6C8C4F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总悬浮颗粒物(TSP)</w:t>
            </w:r>
          </w:p>
        </w:tc>
        <w:tc>
          <w:tcPr>
            <w:tcW w:w="1169" w:type="pct"/>
            <w:vAlign w:val="center"/>
          </w:tcPr>
          <w:p w14:paraId="5127508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1265" w:type="pct"/>
            <w:vAlign w:val="center"/>
          </w:tcPr>
          <w:p w14:paraId="33F082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29" w:type="pct"/>
            <w:vMerge w:val="restart"/>
            <w:vAlign w:val="center"/>
          </w:tcPr>
          <w:p w14:paraId="44122C7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µg/m</w:t>
            </w:r>
            <w:r>
              <w:rPr>
                <w:color w:val="000000" w:themeColor="text1"/>
                <w:szCs w:val="21"/>
                <w:vertAlign w:val="superscript"/>
                <w14:textFill>
                  <w14:solidFill>
                    <w14:schemeClr w14:val="tx1"/>
                  </w14:solidFill>
                </w14:textFill>
              </w:rPr>
              <w:t>3</w:t>
            </w:r>
          </w:p>
        </w:tc>
      </w:tr>
      <w:tr w14:paraId="64090FA9">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32817BA4">
            <w:pPr>
              <w:jc w:val="center"/>
              <w:rPr>
                <w:color w:val="000000" w:themeColor="text1"/>
                <w:szCs w:val="21"/>
                <w14:textFill>
                  <w14:solidFill>
                    <w14:schemeClr w14:val="tx1"/>
                  </w14:solidFill>
                </w14:textFill>
              </w:rPr>
            </w:pPr>
          </w:p>
        </w:tc>
        <w:tc>
          <w:tcPr>
            <w:tcW w:w="1169" w:type="pct"/>
            <w:vAlign w:val="center"/>
          </w:tcPr>
          <w:p w14:paraId="39FB22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1265" w:type="pct"/>
            <w:vAlign w:val="center"/>
          </w:tcPr>
          <w:p w14:paraId="27F88B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629" w:type="pct"/>
            <w:vMerge w:val="continue"/>
            <w:vAlign w:val="center"/>
          </w:tcPr>
          <w:p w14:paraId="5C6D8C54">
            <w:pPr>
              <w:jc w:val="center"/>
              <w:rPr>
                <w:color w:val="000000" w:themeColor="text1"/>
                <w:szCs w:val="21"/>
                <w14:textFill>
                  <w14:solidFill>
                    <w14:schemeClr w14:val="tx1"/>
                  </w14:solidFill>
                </w14:textFill>
              </w:rPr>
            </w:pPr>
          </w:p>
        </w:tc>
      </w:tr>
      <w:tr w14:paraId="15A988B4">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615398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可吸入颗粒物(PM</w:t>
            </w:r>
            <w:r>
              <w:rPr>
                <w:color w:val="000000" w:themeColor="text1"/>
                <w:szCs w:val="21"/>
                <w:vertAlign w:val="subscript"/>
                <w14:textFill>
                  <w14:solidFill>
                    <w14:schemeClr w14:val="tx1"/>
                  </w14:solidFill>
                </w14:textFill>
              </w:rPr>
              <w:t>10</w:t>
            </w:r>
            <w:r>
              <w:rPr>
                <w:color w:val="000000" w:themeColor="text1"/>
                <w:szCs w:val="21"/>
                <w14:textFill>
                  <w14:solidFill>
                    <w14:schemeClr w14:val="tx1"/>
                  </w14:solidFill>
                </w14:textFill>
              </w:rPr>
              <w:t>)</w:t>
            </w:r>
          </w:p>
        </w:tc>
        <w:tc>
          <w:tcPr>
            <w:tcW w:w="1169" w:type="pct"/>
            <w:vAlign w:val="center"/>
          </w:tcPr>
          <w:p w14:paraId="7C00AA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1265" w:type="pct"/>
            <w:vAlign w:val="center"/>
          </w:tcPr>
          <w:p w14:paraId="31DEF6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629" w:type="pct"/>
            <w:vMerge w:val="continue"/>
            <w:vAlign w:val="center"/>
          </w:tcPr>
          <w:p w14:paraId="02100EF6">
            <w:pPr>
              <w:jc w:val="center"/>
              <w:rPr>
                <w:color w:val="000000" w:themeColor="text1"/>
                <w:szCs w:val="21"/>
                <w14:textFill>
                  <w14:solidFill>
                    <w14:schemeClr w14:val="tx1"/>
                  </w14:solidFill>
                </w14:textFill>
              </w:rPr>
            </w:pPr>
          </w:p>
        </w:tc>
      </w:tr>
      <w:tr w14:paraId="4BCE1DEA">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3BA6D9D6">
            <w:pPr>
              <w:jc w:val="center"/>
              <w:rPr>
                <w:color w:val="000000" w:themeColor="text1"/>
                <w:szCs w:val="21"/>
                <w14:textFill>
                  <w14:solidFill>
                    <w14:schemeClr w14:val="tx1"/>
                  </w14:solidFill>
                </w14:textFill>
              </w:rPr>
            </w:pPr>
          </w:p>
        </w:tc>
        <w:tc>
          <w:tcPr>
            <w:tcW w:w="1169" w:type="pct"/>
            <w:vAlign w:val="center"/>
          </w:tcPr>
          <w:p w14:paraId="12E14B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1265" w:type="pct"/>
            <w:vAlign w:val="center"/>
          </w:tcPr>
          <w:p w14:paraId="6E08EB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629" w:type="pct"/>
            <w:vMerge w:val="continue"/>
            <w:vAlign w:val="center"/>
          </w:tcPr>
          <w:p w14:paraId="2F2D1F03">
            <w:pPr>
              <w:jc w:val="center"/>
              <w:rPr>
                <w:color w:val="000000" w:themeColor="text1"/>
                <w:szCs w:val="21"/>
                <w14:textFill>
                  <w14:solidFill>
                    <w14:schemeClr w14:val="tx1"/>
                  </w14:solidFill>
                </w14:textFill>
              </w:rPr>
            </w:pPr>
          </w:p>
        </w:tc>
      </w:tr>
      <w:tr w14:paraId="18E60B46">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78B09A48">
            <w:pPr>
              <w:pStyle w:val="55"/>
              <w:ind w:left="420" w:hanging="42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PM</w:t>
            </w:r>
            <w:r>
              <w:rPr>
                <w:snapToGrid w:val="0"/>
                <w:color w:val="000000" w:themeColor="text1"/>
                <w:vertAlign w:val="subscript"/>
                <w14:textFill>
                  <w14:solidFill>
                    <w14:schemeClr w14:val="tx1"/>
                  </w14:solidFill>
                </w14:textFill>
              </w:rPr>
              <w:t>2.5</w:t>
            </w:r>
          </w:p>
        </w:tc>
        <w:tc>
          <w:tcPr>
            <w:tcW w:w="1169" w:type="pct"/>
            <w:vAlign w:val="center"/>
          </w:tcPr>
          <w:p w14:paraId="2A6146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1265" w:type="pct"/>
            <w:vAlign w:val="center"/>
          </w:tcPr>
          <w:p w14:paraId="7D549AF6">
            <w:pPr>
              <w:pStyle w:val="55"/>
              <w:ind w:left="420" w:hanging="420"/>
              <w:rPr>
                <w:snapToGrid w:val="0"/>
                <w:color w:val="000000" w:themeColor="text1"/>
                <w:sz w:val="21"/>
                <w14:textFill>
                  <w14:solidFill>
                    <w14:schemeClr w14:val="tx1"/>
                  </w14:solidFill>
                </w14:textFill>
              </w:rPr>
            </w:pPr>
            <w:r>
              <w:rPr>
                <w:snapToGrid w:val="0"/>
                <w:color w:val="000000" w:themeColor="text1"/>
                <w:sz w:val="21"/>
                <w14:textFill>
                  <w14:solidFill>
                    <w14:schemeClr w14:val="tx1"/>
                  </w14:solidFill>
                </w14:textFill>
              </w:rPr>
              <w:t>35</w:t>
            </w:r>
          </w:p>
        </w:tc>
        <w:tc>
          <w:tcPr>
            <w:tcW w:w="629" w:type="pct"/>
            <w:vMerge w:val="continue"/>
            <w:vAlign w:val="center"/>
          </w:tcPr>
          <w:p w14:paraId="2584C296">
            <w:pPr>
              <w:jc w:val="center"/>
              <w:rPr>
                <w:color w:val="000000" w:themeColor="text1"/>
                <w:szCs w:val="21"/>
                <w14:textFill>
                  <w14:solidFill>
                    <w14:schemeClr w14:val="tx1"/>
                  </w14:solidFill>
                </w14:textFill>
              </w:rPr>
            </w:pPr>
          </w:p>
        </w:tc>
      </w:tr>
      <w:tr w14:paraId="521E9D53">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6BBAE414">
            <w:pPr>
              <w:jc w:val="center"/>
              <w:rPr>
                <w:color w:val="000000" w:themeColor="text1"/>
                <w:szCs w:val="21"/>
                <w14:textFill>
                  <w14:solidFill>
                    <w14:schemeClr w14:val="tx1"/>
                  </w14:solidFill>
                </w14:textFill>
              </w:rPr>
            </w:pPr>
          </w:p>
        </w:tc>
        <w:tc>
          <w:tcPr>
            <w:tcW w:w="1169" w:type="pct"/>
            <w:vAlign w:val="center"/>
          </w:tcPr>
          <w:p w14:paraId="4A57D12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1265" w:type="pct"/>
            <w:vAlign w:val="center"/>
          </w:tcPr>
          <w:p w14:paraId="722F81BA">
            <w:pPr>
              <w:pStyle w:val="55"/>
              <w:ind w:left="420" w:hanging="420"/>
              <w:rPr>
                <w:snapToGrid w:val="0"/>
                <w:color w:val="000000" w:themeColor="text1"/>
                <w:sz w:val="21"/>
                <w14:textFill>
                  <w14:solidFill>
                    <w14:schemeClr w14:val="tx1"/>
                  </w14:solidFill>
                </w14:textFill>
              </w:rPr>
            </w:pPr>
            <w:r>
              <w:rPr>
                <w:snapToGrid w:val="0"/>
                <w:color w:val="000000" w:themeColor="text1"/>
                <w:sz w:val="21"/>
                <w14:textFill>
                  <w14:solidFill>
                    <w14:schemeClr w14:val="tx1"/>
                  </w14:solidFill>
                </w14:textFill>
              </w:rPr>
              <w:t>75</w:t>
            </w:r>
          </w:p>
        </w:tc>
        <w:tc>
          <w:tcPr>
            <w:tcW w:w="629" w:type="pct"/>
            <w:vMerge w:val="continue"/>
            <w:vAlign w:val="center"/>
          </w:tcPr>
          <w:p w14:paraId="0F2CDA6C">
            <w:pPr>
              <w:jc w:val="center"/>
              <w:rPr>
                <w:color w:val="000000" w:themeColor="text1"/>
                <w:szCs w:val="21"/>
                <w14:textFill>
                  <w14:solidFill>
                    <w14:schemeClr w14:val="tx1"/>
                  </w14:solidFill>
                </w14:textFill>
              </w:rPr>
            </w:pPr>
          </w:p>
        </w:tc>
      </w:tr>
      <w:tr w14:paraId="5E69B47D">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2589C6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二氧化硫(SO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w:t>
            </w:r>
          </w:p>
        </w:tc>
        <w:tc>
          <w:tcPr>
            <w:tcW w:w="1169" w:type="pct"/>
            <w:vAlign w:val="center"/>
          </w:tcPr>
          <w:p w14:paraId="2196CB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1265" w:type="pct"/>
            <w:vAlign w:val="center"/>
          </w:tcPr>
          <w:p w14:paraId="42ACD3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629" w:type="pct"/>
            <w:vMerge w:val="continue"/>
            <w:vAlign w:val="center"/>
          </w:tcPr>
          <w:p w14:paraId="7D1F1496">
            <w:pPr>
              <w:jc w:val="center"/>
              <w:rPr>
                <w:color w:val="000000" w:themeColor="text1"/>
                <w:szCs w:val="21"/>
                <w14:textFill>
                  <w14:solidFill>
                    <w14:schemeClr w14:val="tx1"/>
                  </w14:solidFill>
                </w14:textFill>
              </w:rPr>
            </w:pPr>
          </w:p>
        </w:tc>
      </w:tr>
      <w:tr w14:paraId="513A4A9B">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689D3960">
            <w:pPr>
              <w:jc w:val="center"/>
              <w:rPr>
                <w:color w:val="000000" w:themeColor="text1"/>
                <w:szCs w:val="21"/>
                <w14:textFill>
                  <w14:solidFill>
                    <w14:schemeClr w14:val="tx1"/>
                  </w14:solidFill>
                </w14:textFill>
              </w:rPr>
            </w:pPr>
          </w:p>
        </w:tc>
        <w:tc>
          <w:tcPr>
            <w:tcW w:w="1169" w:type="pct"/>
            <w:vAlign w:val="center"/>
          </w:tcPr>
          <w:p w14:paraId="2422AC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1265" w:type="pct"/>
            <w:vAlign w:val="center"/>
          </w:tcPr>
          <w:p w14:paraId="6113AD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629" w:type="pct"/>
            <w:vMerge w:val="continue"/>
            <w:vAlign w:val="center"/>
          </w:tcPr>
          <w:p w14:paraId="2EF88FFD">
            <w:pPr>
              <w:jc w:val="center"/>
              <w:rPr>
                <w:color w:val="000000" w:themeColor="text1"/>
                <w:szCs w:val="21"/>
                <w14:textFill>
                  <w14:solidFill>
                    <w14:schemeClr w14:val="tx1"/>
                  </w14:solidFill>
                </w14:textFill>
              </w:rPr>
            </w:pPr>
          </w:p>
        </w:tc>
      </w:tr>
      <w:tr w14:paraId="647D8FF6">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4C672303">
            <w:pPr>
              <w:jc w:val="center"/>
              <w:rPr>
                <w:color w:val="000000" w:themeColor="text1"/>
                <w:szCs w:val="21"/>
                <w14:textFill>
                  <w14:solidFill>
                    <w14:schemeClr w14:val="tx1"/>
                  </w14:solidFill>
                </w14:textFill>
              </w:rPr>
            </w:pPr>
          </w:p>
        </w:tc>
        <w:tc>
          <w:tcPr>
            <w:tcW w:w="1169" w:type="pct"/>
            <w:vAlign w:val="center"/>
          </w:tcPr>
          <w:p w14:paraId="201234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1265" w:type="pct"/>
            <w:vAlign w:val="center"/>
          </w:tcPr>
          <w:p w14:paraId="452A62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629" w:type="pct"/>
            <w:vMerge w:val="continue"/>
            <w:vAlign w:val="center"/>
          </w:tcPr>
          <w:p w14:paraId="21728E3E">
            <w:pPr>
              <w:jc w:val="center"/>
              <w:rPr>
                <w:color w:val="000000" w:themeColor="text1"/>
                <w:szCs w:val="21"/>
                <w14:textFill>
                  <w14:solidFill>
                    <w14:schemeClr w14:val="tx1"/>
                  </w14:solidFill>
                </w14:textFill>
              </w:rPr>
            </w:pPr>
          </w:p>
        </w:tc>
      </w:tr>
      <w:tr w14:paraId="0B8D7F65">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5E2515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二氧化氮(NO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w:t>
            </w:r>
          </w:p>
        </w:tc>
        <w:tc>
          <w:tcPr>
            <w:tcW w:w="1169" w:type="pct"/>
            <w:vAlign w:val="center"/>
          </w:tcPr>
          <w:p w14:paraId="66A9E3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1265" w:type="pct"/>
            <w:vAlign w:val="center"/>
          </w:tcPr>
          <w:p w14:paraId="43B1D2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629" w:type="pct"/>
            <w:vMerge w:val="continue"/>
            <w:vAlign w:val="center"/>
          </w:tcPr>
          <w:p w14:paraId="7356922A">
            <w:pPr>
              <w:jc w:val="center"/>
              <w:rPr>
                <w:color w:val="000000" w:themeColor="text1"/>
                <w:szCs w:val="21"/>
                <w14:textFill>
                  <w14:solidFill>
                    <w14:schemeClr w14:val="tx1"/>
                  </w14:solidFill>
                </w14:textFill>
              </w:rPr>
            </w:pPr>
          </w:p>
        </w:tc>
      </w:tr>
      <w:tr w14:paraId="0646C4D0">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1399BB24">
            <w:pPr>
              <w:jc w:val="center"/>
              <w:rPr>
                <w:color w:val="000000" w:themeColor="text1"/>
                <w:szCs w:val="21"/>
                <w14:textFill>
                  <w14:solidFill>
                    <w14:schemeClr w14:val="tx1"/>
                  </w14:solidFill>
                </w14:textFill>
              </w:rPr>
            </w:pPr>
          </w:p>
        </w:tc>
        <w:tc>
          <w:tcPr>
            <w:tcW w:w="1169" w:type="pct"/>
            <w:vAlign w:val="center"/>
          </w:tcPr>
          <w:p w14:paraId="2730FD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1265" w:type="pct"/>
            <w:vAlign w:val="center"/>
          </w:tcPr>
          <w:p w14:paraId="7BA7BD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629" w:type="pct"/>
            <w:vMerge w:val="continue"/>
            <w:vAlign w:val="center"/>
          </w:tcPr>
          <w:p w14:paraId="140E903E">
            <w:pPr>
              <w:jc w:val="center"/>
              <w:rPr>
                <w:color w:val="000000" w:themeColor="text1"/>
                <w:szCs w:val="21"/>
                <w14:textFill>
                  <w14:solidFill>
                    <w14:schemeClr w14:val="tx1"/>
                  </w14:solidFill>
                </w14:textFill>
              </w:rPr>
            </w:pPr>
          </w:p>
        </w:tc>
      </w:tr>
      <w:tr w14:paraId="23E2FFFB">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3923EF9C">
            <w:pPr>
              <w:jc w:val="center"/>
              <w:rPr>
                <w:color w:val="000000" w:themeColor="text1"/>
                <w:szCs w:val="21"/>
                <w14:textFill>
                  <w14:solidFill>
                    <w14:schemeClr w14:val="tx1"/>
                  </w14:solidFill>
                </w14:textFill>
              </w:rPr>
            </w:pPr>
          </w:p>
        </w:tc>
        <w:tc>
          <w:tcPr>
            <w:tcW w:w="1169" w:type="pct"/>
            <w:vAlign w:val="center"/>
          </w:tcPr>
          <w:p w14:paraId="400BC1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1265" w:type="pct"/>
            <w:vAlign w:val="center"/>
          </w:tcPr>
          <w:p w14:paraId="61ED96A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29" w:type="pct"/>
            <w:vMerge w:val="continue"/>
            <w:vAlign w:val="center"/>
          </w:tcPr>
          <w:p w14:paraId="08408ECA">
            <w:pPr>
              <w:jc w:val="center"/>
              <w:rPr>
                <w:color w:val="000000" w:themeColor="text1"/>
                <w:szCs w:val="21"/>
                <w14:textFill>
                  <w14:solidFill>
                    <w14:schemeClr w14:val="tx1"/>
                  </w14:solidFill>
                </w14:textFill>
              </w:rPr>
            </w:pPr>
          </w:p>
        </w:tc>
      </w:tr>
      <w:tr w14:paraId="5E9DBB1C">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Align w:val="center"/>
          </w:tcPr>
          <w:p w14:paraId="0029273E">
            <w:pPr>
              <w:ind w:left="105" w:leftChars="50" w:right="105" w:rightChars="50"/>
              <w:jc w:val="center"/>
              <w:textAlignment w:val="baseline"/>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非甲烷总烃，《大气污染物综合排放标准详解》</w:t>
            </w:r>
          </w:p>
        </w:tc>
        <w:tc>
          <w:tcPr>
            <w:tcW w:w="1169" w:type="pct"/>
            <w:vAlign w:val="center"/>
          </w:tcPr>
          <w:p w14:paraId="7980FD3F">
            <w:pPr>
              <w:ind w:left="105" w:leftChars="50" w:right="105" w:rightChars="5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1小时均值</w:t>
            </w:r>
          </w:p>
        </w:tc>
        <w:tc>
          <w:tcPr>
            <w:tcW w:w="1265" w:type="pct"/>
            <w:vAlign w:val="center"/>
          </w:tcPr>
          <w:p w14:paraId="32A8C947">
            <w:pPr>
              <w:ind w:left="105" w:leftChars="50" w:right="105" w:rightChars="5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2000</w:t>
            </w:r>
          </w:p>
        </w:tc>
        <w:tc>
          <w:tcPr>
            <w:tcW w:w="629" w:type="pct"/>
            <w:vMerge w:val="continue"/>
            <w:vAlign w:val="center"/>
          </w:tcPr>
          <w:p w14:paraId="58D7565F">
            <w:pPr>
              <w:jc w:val="center"/>
              <w:rPr>
                <w:color w:val="000000" w:themeColor="text1"/>
                <w:szCs w:val="21"/>
                <w14:textFill>
                  <w14:solidFill>
                    <w14:schemeClr w14:val="tx1"/>
                  </w14:solidFill>
                </w14:textFill>
              </w:rPr>
            </w:pPr>
          </w:p>
        </w:tc>
      </w:tr>
    </w:tbl>
    <w:p w14:paraId="7BEB7CCC">
      <w:pPr>
        <w:snapToGrid w:val="0"/>
        <w:jc w:val="center"/>
        <w:rPr>
          <w:b/>
          <w:color w:val="000000" w:themeColor="text1"/>
          <w:sz w:val="24"/>
          <w14:textFill>
            <w14:solidFill>
              <w14:schemeClr w14:val="tx1"/>
            </w14:solidFill>
          </w14:textFill>
        </w:rPr>
      </w:pPr>
    </w:p>
    <w:p w14:paraId="45C2E191">
      <w:pPr>
        <w:snapToGrid w:val="0"/>
        <w:spacing w:line="500" w:lineRule="exact"/>
        <w:ind w:firstLine="352" w:firstLineChars="147"/>
        <w:rPr>
          <w:b/>
          <w:color w:val="000000" w:themeColor="text1"/>
          <w:sz w:val="24"/>
          <w14:textFill>
            <w14:solidFill>
              <w14:schemeClr w14:val="tx1"/>
            </w14:solidFill>
          </w14:textFill>
        </w:rPr>
      </w:pPr>
      <w:r>
        <w:rPr>
          <w:b/>
          <w:color w:val="000000" w:themeColor="text1"/>
          <w:sz w:val="24"/>
          <w14:textFill>
            <w14:solidFill>
              <w14:schemeClr w14:val="tx1"/>
            </w14:solidFill>
          </w14:textFill>
        </w:rPr>
        <w:t>（2）地表水</w:t>
      </w:r>
    </w:p>
    <w:p w14:paraId="6F126EEA">
      <w:pPr>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根据现场勘查，距本项目最近的为项目南侧</w:t>
      </w:r>
      <w:r>
        <w:rPr>
          <w:rFonts w:hint="eastAsia"/>
          <w:color w:val="000000" w:themeColor="text1"/>
          <w:sz w:val="24"/>
          <w14:textFill>
            <w14:solidFill>
              <w14:schemeClr w14:val="tx1"/>
            </w14:solidFill>
          </w14:textFill>
        </w:rPr>
        <w:t>65</w:t>
      </w:r>
      <w:r>
        <w:rPr>
          <w:color w:val="000000" w:themeColor="text1"/>
          <w:sz w:val="24"/>
          <w14:textFill>
            <w14:solidFill>
              <w14:schemeClr w14:val="tx1"/>
            </w14:solidFill>
          </w14:textFill>
        </w:rPr>
        <w:t>m的瑞丽江。</w:t>
      </w:r>
    </w:p>
    <w:p w14:paraId="6D8CCA94">
      <w:pPr>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根据《云南省地表水水环境功能区划》（2010~2020年），源头—入瑞丽江口执行《地表水环境质量标准》（GB3838-2002）III类水质标准，标准值见表1.3-2。 </w:t>
      </w:r>
    </w:p>
    <w:p w14:paraId="4B78A763">
      <w:pPr>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表1.3-2  地表水环境质量标准限值</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3943"/>
        <w:gridCol w:w="3406"/>
      </w:tblGrid>
      <w:tr w14:paraId="7C28739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08A2D184">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序号</w:t>
            </w:r>
          </w:p>
        </w:tc>
        <w:tc>
          <w:tcPr>
            <w:tcW w:w="2312" w:type="pct"/>
            <w:shd w:val="clear" w:color="auto" w:fill="auto"/>
            <w:vAlign w:val="center"/>
          </w:tcPr>
          <w:p w14:paraId="5AD8D46A">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项目</w:t>
            </w:r>
          </w:p>
        </w:tc>
        <w:tc>
          <w:tcPr>
            <w:tcW w:w="1997" w:type="pct"/>
          </w:tcPr>
          <w:p w14:paraId="1045263E">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III类标准值</w:t>
            </w:r>
          </w:p>
        </w:tc>
      </w:tr>
      <w:tr w14:paraId="6D0E3E8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62D2FEFD">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1</w:t>
            </w:r>
          </w:p>
        </w:tc>
        <w:tc>
          <w:tcPr>
            <w:tcW w:w="2312" w:type="pct"/>
            <w:shd w:val="clear" w:color="auto" w:fill="auto"/>
            <w:vAlign w:val="center"/>
          </w:tcPr>
          <w:p w14:paraId="1679401F">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pH值</w:t>
            </w:r>
          </w:p>
        </w:tc>
        <w:tc>
          <w:tcPr>
            <w:tcW w:w="1997" w:type="pct"/>
          </w:tcPr>
          <w:p w14:paraId="7D7341F7">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6~9</w:t>
            </w:r>
          </w:p>
        </w:tc>
      </w:tr>
      <w:tr w14:paraId="208ACD0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11A516E8">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2</w:t>
            </w:r>
          </w:p>
        </w:tc>
        <w:tc>
          <w:tcPr>
            <w:tcW w:w="2312" w:type="pct"/>
            <w:shd w:val="clear" w:color="auto" w:fill="auto"/>
            <w:vAlign w:val="center"/>
          </w:tcPr>
          <w:p w14:paraId="5551AF25">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BOD</w:t>
            </w:r>
            <w:r>
              <w:rPr>
                <w:bCs/>
                <w:color w:val="000000" w:themeColor="text1"/>
                <w:szCs w:val="21"/>
                <w:vertAlign w:val="subscript"/>
                <w:lang w:val="zh-CN"/>
                <w14:textFill>
                  <w14:solidFill>
                    <w14:schemeClr w14:val="tx1"/>
                  </w14:solidFill>
                </w14:textFill>
              </w:rPr>
              <w:t>5</w:t>
            </w:r>
          </w:p>
        </w:tc>
        <w:tc>
          <w:tcPr>
            <w:tcW w:w="1997" w:type="pct"/>
          </w:tcPr>
          <w:p w14:paraId="7B4D85BD">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≤4</w:t>
            </w:r>
          </w:p>
        </w:tc>
      </w:tr>
      <w:tr w14:paraId="686FB9D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6ACA4D66">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3</w:t>
            </w:r>
          </w:p>
        </w:tc>
        <w:tc>
          <w:tcPr>
            <w:tcW w:w="2312" w:type="pct"/>
            <w:shd w:val="clear" w:color="auto" w:fill="auto"/>
            <w:vAlign w:val="center"/>
          </w:tcPr>
          <w:p w14:paraId="578BA46D">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氟化物</w:t>
            </w:r>
          </w:p>
        </w:tc>
        <w:tc>
          <w:tcPr>
            <w:tcW w:w="1997" w:type="pct"/>
          </w:tcPr>
          <w:p w14:paraId="3D784895">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≤1.0</w:t>
            </w:r>
          </w:p>
        </w:tc>
      </w:tr>
      <w:tr w14:paraId="4D6BCCA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1CE49C89">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4</w:t>
            </w:r>
          </w:p>
        </w:tc>
        <w:tc>
          <w:tcPr>
            <w:tcW w:w="2312" w:type="pct"/>
            <w:shd w:val="clear" w:color="auto" w:fill="auto"/>
            <w:vAlign w:val="center"/>
          </w:tcPr>
          <w:p w14:paraId="247AB3A4">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CODcr</w:t>
            </w:r>
          </w:p>
        </w:tc>
        <w:tc>
          <w:tcPr>
            <w:tcW w:w="1997" w:type="pct"/>
          </w:tcPr>
          <w:p w14:paraId="2632A9B4">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20</w:t>
            </w:r>
          </w:p>
        </w:tc>
      </w:tr>
      <w:tr w14:paraId="013F9BE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482B7E6D">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5</w:t>
            </w:r>
          </w:p>
        </w:tc>
        <w:tc>
          <w:tcPr>
            <w:tcW w:w="2312" w:type="pct"/>
            <w:shd w:val="clear" w:color="auto" w:fill="auto"/>
            <w:vAlign w:val="center"/>
          </w:tcPr>
          <w:p w14:paraId="19C270ED">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氨氮</w:t>
            </w:r>
          </w:p>
        </w:tc>
        <w:tc>
          <w:tcPr>
            <w:tcW w:w="1997" w:type="pct"/>
          </w:tcPr>
          <w:p w14:paraId="1D7C0EA7">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1.0</w:t>
            </w:r>
          </w:p>
        </w:tc>
      </w:tr>
      <w:tr w14:paraId="36676A4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7D85D816">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6</w:t>
            </w:r>
          </w:p>
        </w:tc>
        <w:tc>
          <w:tcPr>
            <w:tcW w:w="2312" w:type="pct"/>
            <w:shd w:val="clear" w:color="auto" w:fill="auto"/>
            <w:vAlign w:val="center"/>
          </w:tcPr>
          <w:p w14:paraId="2D3843EC">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总磷</w:t>
            </w:r>
          </w:p>
        </w:tc>
        <w:tc>
          <w:tcPr>
            <w:tcW w:w="1997" w:type="pct"/>
          </w:tcPr>
          <w:p w14:paraId="18EE1B71">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≤0.2</w:t>
            </w:r>
          </w:p>
        </w:tc>
      </w:tr>
      <w:tr w14:paraId="519F026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4D2D149C">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7</w:t>
            </w:r>
          </w:p>
        </w:tc>
        <w:tc>
          <w:tcPr>
            <w:tcW w:w="2312" w:type="pct"/>
            <w:shd w:val="clear" w:color="auto" w:fill="auto"/>
            <w:vAlign w:val="center"/>
          </w:tcPr>
          <w:p w14:paraId="7C18EDE8">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铬（六价）</w:t>
            </w:r>
          </w:p>
        </w:tc>
        <w:tc>
          <w:tcPr>
            <w:tcW w:w="1997" w:type="pct"/>
          </w:tcPr>
          <w:p w14:paraId="313B0AB3">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≤0.05</w:t>
            </w:r>
          </w:p>
        </w:tc>
      </w:tr>
      <w:tr w14:paraId="25FE9E8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16CEB0C3">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8</w:t>
            </w:r>
          </w:p>
        </w:tc>
        <w:tc>
          <w:tcPr>
            <w:tcW w:w="2312" w:type="pct"/>
            <w:shd w:val="clear" w:color="auto" w:fill="auto"/>
            <w:vAlign w:val="center"/>
          </w:tcPr>
          <w:p w14:paraId="5D6DEEA1">
            <w:pPr>
              <w:jc w:val="center"/>
              <w:rPr>
                <w:bCs/>
                <w:color w:val="000000" w:themeColor="text1"/>
                <w:szCs w:val="21"/>
                <w:lang w:val="zh-CN"/>
                <w14:textFill>
                  <w14:solidFill>
                    <w14:schemeClr w14:val="tx1"/>
                  </w14:solidFill>
                </w14:textFill>
              </w:rPr>
            </w:pPr>
            <w:r>
              <w:rPr>
                <w:bCs/>
                <w:color w:val="000000" w:themeColor="text1"/>
                <w:szCs w:val="21"/>
                <w14:textFill>
                  <w14:solidFill>
                    <w14:schemeClr w14:val="tx1"/>
                  </w14:solidFill>
                </w14:textFill>
              </w:rPr>
              <w:t>硫化物</w:t>
            </w:r>
          </w:p>
        </w:tc>
        <w:tc>
          <w:tcPr>
            <w:tcW w:w="1997" w:type="pct"/>
          </w:tcPr>
          <w:p w14:paraId="1AE35C01">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≤0.2</w:t>
            </w:r>
          </w:p>
        </w:tc>
      </w:tr>
      <w:tr w14:paraId="1FE655C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640335C8">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9</w:t>
            </w:r>
          </w:p>
        </w:tc>
        <w:tc>
          <w:tcPr>
            <w:tcW w:w="2312" w:type="pct"/>
            <w:shd w:val="clear" w:color="auto" w:fill="auto"/>
            <w:vAlign w:val="center"/>
          </w:tcPr>
          <w:p w14:paraId="0948EC8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氰化物</w:t>
            </w:r>
          </w:p>
        </w:tc>
        <w:tc>
          <w:tcPr>
            <w:tcW w:w="1997" w:type="pct"/>
          </w:tcPr>
          <w:p w14:paraId="34B09F3F">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≤0.2</w:t>
            </w:r>
          </w:p>
        </w:tc>
      </w:tr>
      <w:tr w14:paraId="0966723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4D510B9E">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10</w:t>
            </w:r>
          </w:p>
        </w:tc>
        <w:tc>
          <w:tcPr>
            <w:tcW w:w="2312" w:type="pct"/>
            <w:shd w:val="clear" w:color="auto" w:fill="auto"/>
            <w:vAlign w:val="center"/>
          </w:tcPr>
          <w:p w14:paraId="41374BA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挥发酚</w:t>
            </w:r>
          </w:p>
        </w:tc>
        <w:tc>
          <w:tcPr>
            <w:tcW w:w="1997" w:type="pct"/>
          </w:tcPr>
          <w:p w14:paraId="25E572B0">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≤0.005</w:t>
            </w:r>
          </w:p>
        </w:tc>
      </w:tr>
      <w:tr w14:paraId="2BF139B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7D45937F">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11</w:t>
            </w:r>
          </w:p>
        </w:tc>
        <w:tc>
          <w:tcPr>
            <w:tcW w:w="2312" w:type="pct"/>
            <w:shd w:val="clear" w:color="auto" w:fill="auto"/>
            <w:vAlign w:val="center"/>
          </w:tcPr>
          <w:p w14:paraId="15776478">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石油类</w:t>
            </w:r>
          </w:p>
        </w:tc>
        <w:tc>
          <w:tcPr>
            <w:tcW w:w="1997" w:type="pct"/>
          </w:tcPr>
          <w:p w14:paraId="70730D2F">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≤0.05</w:t>
            </w:r>
          </w:p>
        </w:tc>
      </w:tr>
      <w:tr w14:paraId="2CABFE9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49FB7DA3">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12</w:t>
            </w:r>
          </w:p>
        </w:tc>
        <w:tc>
          <w:tcPr>
            <w:tcW w:w="2312" w:type="pct"/>
            <w:shd w:val="clear" w:color="auto" w:fill="auto"/>
            <w:vAlign w:val="center"/>
          </w:tcPr>
          <w:p w14:paraId="01BE45DB">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溶解氧</w:t>
            </w:r>
          </w:p>
        </w:tc>
        <w:tc>
          <w:tcPr>
            <w:tcW w:w="1997" w:type="pct"/>
          </w:tcPr>
          <w:p w14:paraId="468037F2">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≤4</w:t>
            </w:r>
          </w:p>
        </w:tc>
      </w:tr>
      <w:tr w14:paraId="69C5679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341353C2">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13</w:t>
            </w:r>
          </w:p>
        </w:tc>
        <w:tc>
          <w:tcPr>
            <w:tcW w:w="2312" w:type="pct"/>
            <w:shd w:val="clear" w:color="auto" w:fill="auto"/>
            <w:vAlign w:val="center"/>
          </w:tcPr>
          <w:p w14:paraId="4D30C564">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粪大肠菌群（个/L）</w:t>
            </w:r>
          </w:p>
        </w:tc>
        <w:tc>
          <w:tcPr>
            <w:tcW w:w="1997" w:type="pct"/>
          </w:tcPr>
          <w:p w14:paraId="722156EC">
            <w:pPr>
              <w:jc w:val="center"/>
              <w:rPr>
                <w:bCs/>
                <w:color w:val="000000" w:themeColor="text1"/>
                <w:szCs w:val="32"/>
                <w:lang w:val="zh-CN"/>
                <w14:textFill>
                  <w14:solidFill>
                    <w14:schemeClr w14:val="tx1"/>
                  </w14:solidFill>
                </w14:textFill>
              </w:rPr>
            </w:pPr>
            <w:r>
              <w:rPr>
                <w:bCs/>
                <w:color w:val="000000" w:themeColor="text1"/>
                <w:szCs w:val="32"/>
                <w:lang w:val="zh-CN"/>
                <w14:textFill>
                  <w14:solidFill>
                    <w14:schemeClr w14:val="tx1"/>
                  </w14:solidFill>
                </w14:textFill>
              </w:rPr>
              <w:t>≤10000</w:t>
            </w:r>
          </w:p>
        </w:tc>
      </w:tr>
    </w:tbl>
    <w:p w14:paraId="31A5657F">
      <w:pPr>
        <w:snapToGrid w:val="0"/>
        <w:spacing w:line="500" w:lineRule="exact"/>
        <w:ind w:firstLine="352" w:firstLineChars="147"/>
        <w:rPr>
          <w:b/>
          <w:color w:val="000000" w:themeColor="text1"/>
          <w:sz w:val="24"/>
          <w14:textFill>
            <w14:solidFill>
              <w14:schemeClr w14:val="tx1"/>
            </w14:solidFill>
          </w14:textFill>
        </w:rPr>
      </w:pPr>
      <w:r>
        <w:rPr>
          <w:b/>
          <w:color w:val="000000" w:themeColor="text1"/>
          <w:sz w:val="24"/>
          <w14:textFill>
            <w14:solidFill>
              <w14:schemeClr w14:val="tx1"/>
            </w14:solidFill>
          </w14:textFill>
        </w:rPr>
        <w:t>（3）地下水环境质量标准</w:t>
      </w:r>
    </w:p>
    <w:p w14:paraId="3DCFB10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本项目区域执行GB/T 14848-2017《地下水环境质量标准》III类标准。</w:t>
      </w:r>
    </w:p>
    <w:p w14:paraId="051594E6">
      <w:pPr>
        <w:spacing w:line="460" w:lineRule="exact"/>
        <w:ind w:firstLine="1411" w:firstLineChars="588"/>
        <w:rPr>
          <w:b/>
          <w:color w:val="000000" w:themeColor="text1"/>
          <w:sz w:val="24"/>
          <w:szCs w:val="21"/>
          <w14:textFill>
            <w14:solidFill>
              <w14:schemeClr w14:val="tx1"/>
            </w14:solidFill>
          </w14:textFill>
        </w:rPr>
      </w:pPr>
      <w:r>
        <w:rPr>
          <w:b/>
          <w:color w:val="000000" w:themeColor="text1"/>
          <w:sz w:val="24"/>
          <w:szCs w:val="21"/>
          <w14:textFill>
            <w14:solidFill>
              <w14:schemeClr w14:val="tx1"/>
            </w14:solidFill>
          </w14:textFill>
        </w:rPr>
        <w:t>表1.3-3   地下水环境质量标准限值  单位：（mg/L）</w:t>
      </w:r>
    </w:p>
    <w:tbl>
      <w:tblPr>
        <w:tblStyle w:val="42"/>
        <w:tblW w:w="8523"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93"/>
        <w:gridCol w:w="2320"/>
        <w:gridCol w:w="1464"/>
        <w:gridCol w:w="2746"/>
      </w:tblGrid>
      <w:tr w14:paraId="6FE5563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tblHeader/>
          <w:jc w:val="center"/>
        </w:trPr>
        <w:tc>
          <w:tcPr>
            <w:tcW w:w="1993" w:type="dxa"/>
            <w:vMerge w:val="restart"/>
            <w:vAlign w:val="center"/>
          </w:tcPr>
          <w:p w14:paraId="4AF2C6EC">
            <w:pPr>
              <w:adjustRightInd w:val="0"/>
              <w:snapToGrid w:val="0"/>
              <w:jc w:val="center"/>
              <w:rPr>
                <w:b/>
                <w:color w:val="000000" w:themeColor="text1"/>
                <w:kern w:val="0"/>
                <w:szCs w:val="21"/>
                <w:lang w:eastAsia="en-US"/>
                <w14:textFill>
                  <w14:solidFill>
                    <w14:schemeClr w14:val="tx1"/>
                  </w14:solidFill>
                </w14:textFill>
              </w:rPr>
            </w:pPr>
            <w:r>
              <w:rPr>
                <w:b/>
                <w:color w:val="000000" w:themeColor="text1"/>
                <w:kern w:val="0"/>
                <w:szCs w:val="21"/>
                <w:lang w:eastAsia="en-US"/>
                <w14:textFill>
                  <w14:solidFill>
                    <w14:schemeClr w14:val="tx1"/>
                  </w14:solidFill>
                </w14:textFill>
              </w:rPr>
              <w:t>标准名称及类别</w:t>
            </w:r>
          </w:p>
        </w:tc>
        <w:tc>
          <w:tcPr>
            <w:tcW w:w="2320" w:type="dxa"/>
            <w:vMerge w:val="restart"/>
            <w:vAlign w:val="center"/>
          </w:tcPr>
          <w:p w14:paraId="1188BBCF">
            <w:pPr>
              <w:adjustRightInd w:val="0"/>
              <w:snapToGrid w:val="0"/>
              <w:jc w:val="center"/>
              <w:rPr>
                <w:b/>
                <w:color w:val="000000" w:themeColor="text1"/>
                <w:kern w:val="0"/>
                <w:szCs w:val="21"/>
                <w:lang w:eastAsia="en-US"/>
                <w14:textFill>
                  <w14:solidFill>
                    <w14:schemeClr w14:val="tx1"/>
                  </w14:solidFill>
                </w14:textFill>
              </w:rPr>
            </w:pPr>
            <w:r>
              <w:rPr>
                <w:b/>
                <w:color w:val="000000" w:themeColor="text1"/>
                <w:kern w:val="0"/>
                <w:szCs w:val="21"/>
                <w:lang w:eastAsia="en-US"/>
                <w14:textFill>
                  <w14:solidFill>
                    <w14:schemeClr w14:val="tx1"/>
                  </w14:solidFill>
                </w14:textFill>
              </w:rPr>
              <w:t>项目</w:t>
            </w:r>
          </w:p>
        </w:tc>
        <w:tc>
          <w:tcPr>
            <w:tcW w:w="4210" w:type="dxa"/>
            <w:gridSpan w:val="2"/>
            <w:vAlign w:val="center"/>
          </w:tcPr>
          <w:p w14:paraId="41E74220">
            <w:pPr>
              <w:adjustRightInd w:val="0"/>
              <w:snapToGrid w:val="0"/>
              <w:jc w:val="center"/>
              <w:rPr>
                <w:b/>
                <w:color w:val="000000" w:themeColor="text1"/>
                <w:kern w:val="0"/>
                <w:szCs w:val="21"/>
                <w:lang w:eastAsia="en-US"/>
                <w14:textFill>
                  <w14:solidFill>
                    <w14:schemeClr w14:val="tx1"/>
                  </w14:solidFill>
                </w14:textFill>
              </w:rPr>
            </w:pPr>
            <w:r>
              <w:rPr>
                <w:b/>
                <w:color w:val="000000" w:themeColor="text1"/>
                <w:kern w:val="0"/>
                <w:szCs w:val="21"/>
                <w:lang w:eastAsia="en-US"/>
                <w14:textFill>
                  <w14:solidFill>
                    <w14:schemeClr w14:val="tx1"/>
                  </w14:solidFill>
                </w14:textFill>
              </w:rPr>
              <w:t>标准值</w:t>
            </w:r>
          </w:p>
        </w:tc>
      </w:tr>
      <w:tr w14:paraId="4D0A98B9">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tblHeader/>
          <w:jc w:val="center"/>
        </w:trPr>
        <w:tc>
          <w:tcPr>
            <w:tcW w:w="1993" w:type="dxa"/>
            <w:vMerge w:val="continue"/>
            <w:vAlign w:val="center"/>
          </w:tcPr>
          <w:p w14:paraId="69F9FCCC">
            <w:pPr>
              <w:adjustRightInd w:val="0"/>
              <w:snapToGrid w:val="0"/>
              <w:jc w:val="center"/>
              <w:rPr>
                <w:b/>
                <w:color w:val="000000" w:themeColor="text1"/>
                <w:kern w:val="0"/>
                <w:szCs w:val="21"/>
                <w:lang w:eastAsia="en-US"/>
                <w14:textFill>
                  <w14:solidFill>
                    <w14:schemeClr w14:val="tx1"/>
                  </w14:solidFill>
                </w14:textFill>
              </w:rPr>
            </w:pPr>
          </w:p>
        </w:tc>
        <w:tc>
          <w:tcPr>
            <w:tcW w:w="2320" w:type="dxa"/>
            <w:vMerge w:val="continue"/>
            <w:vAlign w:val="center"/>
          </w:tcPr>
          <w:p w14:paraId="447446E9">
            <w:pPr>
              <w:adjustRightInd w:val="0"/>
              <w:snapToGrid w:val="0"/>
              <w:jc w:val="center"/>
              <w:rPr>
                <w:b/>
                <w:color w:val="000000" w:themeColor="text1"/>
                <w:kern w:val="0"/>
                <w:szCs w:val="21"/>
                <w:lang w:eastAsia="en-US"/>
                <w14:textFill>
                  <w14:solidFill>
                    <w14:schemeClr w14:val="tx1"/>
                  </w14:solidFill>
                </w14:textFill>
              </w:rPr>
            </w:pPr>
          </w:p>
        </w:tc>
        <w:tc>
          <w:tcPr>
            <w:tcW w:w="1464" w:type="dxa"/>
            <w:vAlign w:val="center"/>
          </w:tcPr>
          <w:p w14:paraId="7FFF3D3B">
            <w:pPr>
              <w:adjustRightInd w:val="0"/>
              <w:snapToGrid w:val="0"/>
              <w:jc w:val="center"/>
              <w:rPr>
                <w:b/>
                <w:color w:val="000000" w:themeColor="text1"/>
                <w:kern w:val="0"/>
                <w:szCs w:val="21"/>
                <w:lang w:eastAsia="en-US"/>
                <w14:textFill>
                  <w14:solidFill>
                    <w14:schemeClr w14:val="tx1"/>
                  </w14:solidFill>
                </w14:textFill>
              </w:rPr>
            </w:pPr>
            <w:r>
              <w:rPr>
                <w:b/>
                <w:color w:val="000000" w:themeColor="text1"/>
                <w:kern w:val="0"/>
                <w:szCs w:val="21"/>
                <w:lang w:eastAsia="en-US"/>
                <w14:textFill>
                  <w14:solidFill>
                    <w14:schemeClr w14:val="tx1"/>
                  </w14:solidFill>
                </w14:textFill>
              </w:rPr>
              <w:t>单位</w:t>
            </w:r>
          </w:p>
        </w:tc>
        <w:tc>
          <w:tcPr>
            <w:tcW w:w="2746" w:type="dxa"/>
            <w:vAlign w:val="center"/>
          </w:tcPr>
          <w:p w14:paraId="28700BE5">
            <w:pPr>
              <w:adjustRightInd w:val="0"/>
              <w:snapToGrid w:val="0"/>
              <w:jc w:val="center"/>
              <w:rPr>
                <w:b/>
                <w:color w:val="000000" w:themeColor="text1"/>
                <w:kern w:val="0"/>
                <w:szCs w:val="21"/>
                <w:lang w:eastAsia="en-US"/>
                <w14:textFill>
                  <w14:solidFill>
                    <w14:schemeClr w14:val="tx1"/>
                  </w14:solidFill>
                </w14:textFill>
              </w:rPr>
            </w:pPr>
            <w:r>
              <w:rPr>
                <w:b/>
                <w:color w:val="000000" w:themeColor="text1"/>
                <w:kern w:val="0"/>
                <w:szCs w:val="21"/>
                <w:lang w:eastAsia="en-US"/>
                <w14:textFill>
                  <w14:solidFill>
                    <w14:schemeClr w14:val="tx1"/>
                  </w14:solidFill>
                </w14:textFill>
              </w:rPr>
              <w:t>数值</w:t>
            </w:r>
          </w:p>
        </w:tc>
      </w:tr>
      <w:tr w14:paraId="45EF0E25">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restart"/>
            <w:vAlign w:val="center"/>
          </w:tcPr>
          <w:p w14:paraId="5C23A24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GB14848-93《地下水质量标准》III类标准</w:t>
            </w:r>
          </w:p>
        </w:tc>
        <w:tc>
          <w:tcPr>
            <w:tcW w:w="2320" w:type="dxa"/>
            <w:vAlign w:val="center"/>
          </w:tcPr>
          <w:p w14:paraId="2A57D767">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pH</w:t>
            </w:r>
          </w:p>
        </w:tc>
        <w:tc>
          <w:tcPr>
            <w:tcW w:w="1464" w:type="dxa"/>
            <w:vMerge w:val="restart"/>
            <w:vAlign w:val="center"/>
          </w:tcPr>
          <w:p w14:paraId="79635F26">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mg/L</w:t>
            </w:r>
          </w:p>
        </w:tc>
        <w:tc>
          <w:tcPr>
            <w:tcW w:w="2746" w:type="dxa"/>
            <w:vAlign w:val="center"/>
          </w:tcPr>
          <w:p w14:paraId="7365B76E">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6.5~8.5</w:t>
            </w:r>
          </w:p>
        </w:tc>
      </w:tr>
      <w:tr w14:paraId="163FAC7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0D13C619">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7B8B34B5">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总硬度</w:t>
            </w:r>
          </w:p>
        </w:tc>
        <w:tc>
          <w:tcPr>
            <w:tcW w:w="1464" w:type="dxa"/>
            <w:vMerge w:val="continue"/>
            <w:vAlign w:val="center"/>
          </w:tcPr>
          <w:p w14:paraId="406330B8">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5A317247">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≤450</w:t>
            </w:r>
          </w:p>
        </w:tc>
      </w:tr>
      <w:tr w14:paraId="59547D5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4EE62F92">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01626954">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溶解性总固体</w:t>
            </w:r>
          </w:p>
        </w:tc>
        <w:tc>
          <w:tcPr>
            <w:tcW w:w="1464" w:type="dxa"/>
            <w:vMerge w:val="continue"/>
            <w:vAlign w:val="center"/>
          </w:tcPr>
          <w:p w14:paraId="4C28DEFE">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45778753">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≤1000</w:t>
            </w:r>
          </w:p>
        </w:tc>
      </w:tr>
      <w:tr w14:paraId="4AB5771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F154374">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14D38253">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高锰酸盐指数</w:t>
            </w:r>
          </w:p>
        </w:tc>
        <w:tc>
          <w:tcPr>
            <w:tcW w:w="1464" w:type="dxa"/>
            <w:vMerge w:val="continue"/>
            <w:vAlign w:val="center"/>
          </w:tcPr>
          <w:p w14:paraId="7F49691B">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28F27AEC">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≤3.0</w:t>
            </w:r>
          </w:p>
        </w:tc>
      </w:tr>
      <w:tr w14:paraId="5B4514D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661015DB">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45743315">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氨氮</w:t>
            </w:r>
          </w:p>
        </w:tc>
        <w:tc>
          <w:tcPr>
            <w:tcW w:w="1464" w:type="dxa"/>
            <w:vMerge w:val="continue"/>
            <w:vAlign w:val="center"/>
          </w:tcPr>
          <w:p w14:paraId="6FE26DF3">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386587A5">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≤0.2</w:t>
            </w:r>
          </w:p>
        </w:tc>
      </w:tr>
      <w:tr w14:paraId="11680AC9">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177AF841">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7EC9479D">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挥发酚</w:t>
            </w:r>
          </w:p>
        </w:tc>
        <w:tc>
          <w:tcPr>
            <w:tcW w:w="1464" w:type="dxa"/>
            <w:vMerge w:val="continue"/>
            <w:vAlign w:val="center"/>
          </w:tcPr>
          <w:p w14:paraId="5FCAA9EC">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4701CC3B">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≤0.002</w:t>
            </w:r>
          </w:p>
        </w:tc>
      </w:tr>
      <w:tr w14:paraId="19C566F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E36A8AD">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08619285">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氟化物</w:t>
            </w:r>
          </w:p>
        </w:tc>
        <w:tc>
          <w:tcPr>
            <w:tcW w:w="1464" w:type="dxa"/>
            <w:vMerge w:val="continue"/>
            <w:vAlign w:val="center"/>
          </w:tcPr>
          <w:p w14:paraId="4CA5047A">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699C7FCD">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≤1</w:t>
            </w:r>
          </w:p>
        </w:tc>
      </w:tr>
      <w:tr w14:paraId="541A946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FE62E6B">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2F447F3D">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氯化物</w:t>
            </w:r>
          </w:p>
        </w:tc>
        <w:tc>
          <w:tcPr>
            <w:tcW w:w="1464" w:type="dxa"/>
            <w:vMerge w:val="continue"/>
            <w:vAlign w:val="center"/>
          </w:tcPr>
          <w:p w14:paraId="69109F2B">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69D2C288">
            <w:pPr>
              <w:adjustRightInd w:val="0"/>
              <w:snapToGrid w:val="0"/>
              <w:jc w:val="center"/>
              <w:rPr>
                <w:color w:val="000000" w:themeColor="text1"/>
                <w:kern w:val="0"/>
                <w:szCs w:val="21"/>
                <w14:textFill>
                  <w14:solidFill>
                    <w14:schemeClr w14:val="tx1"/>
                  </w14:solidFill>
                </w14:textFill>
              </w:rPr>
            </w:pPr>
            <w:r>
              <w:rPr>
                <w:color w:val="000000" w:themeColor="text1"/>
                <w:kern w:val="0"/>
                <w:szCs w:val="21"/>
                <w:lang w:eastAsia="en-US"/>
                <w14:textFill>
                  <w14:solidFill>
                    <w14:schemeClr w14:val="tx1"/>
                  </w14:solidFill>
                </w14:textFill>
              </w:rPr>
              <w:t>≤</w:t>
            </w:r>
            <w:r>
              <w:rPr>
                <w:color w:val="000000" w:themeColor="text1"/>
                <w:kern w:val="0"/>
                <w:szCs w:val="21"/>
                <w14:textFill>
                  <w14:solidFill>
                    <w14:schemeClr w14:val="tx1"/>
                  </w14:solidFill>
                </w14:textFill>
              </w:rPr>
              <w:t>250</w:t>
            </w:r>
          </w:p>
        </w:tc>
      </w:tr>
      <w:tr w14:paraId="391FAB3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574BF7AC">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1BCC1053">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硫酸盐</w:t>
            </w:r>
          </w:p>
        </w:tc>
        <w:tc>
          <w:tcPr>
            <w:tcW w:w="1464" w:type="dxa"/>
            <w:vMerge w:val="continue"/>
            <w:vAlign w:val="center"/>
          </w:tcPr>
          <w:p w14:paraId="3C181F7C">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0E2FF79E">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≤250</w:t>
            </w:r>
          </w:p>
        </w:tc>
      </w:tr>
      <w:tr w14:paraId="1BC0D02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C85F597">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3BC8F993">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硝酸盐(以N计)</w:t>
            </w:r>
          </w:p>
        </w:tc>
        <w:tc>
          <w:tcPr>
            <w:tcW w:w="1464" w:type="dxa"/>
            <w:vMerge w:val="continue"/>
            <w:vAlign w:val="center"/>
          </w:tcPr>
          <w:p w14:paraId="5556E50C">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452F1E6B">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≤20</w:t>
            </w:r>
          </w:p>
        </w:tc>
      </w:tr>
      <w:tr w14:paraId="73BE5CA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105E9230">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178F1522">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亚硝酸盐</w:t>
            </w:r>
          </w:p>
        </w:tc>
        <w:tc>
          <w:tcPr>
            <w:tcW w:w="1464" w:type="dxa"/>
            <w:vMerge w:val="continue"/>
            <w:vAlign w:val="center"/>
          </w:tcPr>
          <w:p w14:paraId="227DAE2D">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57BA9BFD">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≤0.02</w:t>
            </w:r>
          </w:p>
        </w:tc>
      </w:tr>
      <w:tr w14:paraId="1AD2A35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419B7F2F">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2D654D11">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氰化物</w:t>
            </w:r>
          </w:p>
        </w:tc>
        <w:tc>
          <w:tcPr>
            <w:tcW w:w="1464" w:type="dxa"/>
            <w:vMerge w:val="continue"/>
            <w:vAlign w:val="center"/>
          </w:tcPr>
          <w:p w14:paraId="0F0BB278">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3BA2A262">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≤0.05</w:t>
            </w:r>
          </w:p>
        </w:tc>
      </w:tr>
      <w:tr w14:paraId="7F62440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4F6E6447">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665EB6AD">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铁</w:t>
            </w:r>
          </w:p>
        </w:tc>
        <w:tc>
          <w:tcPr>
            <w:tcW w:w="1464" w:type="dxa"/>
            <w:vMerge w:val="continue"/>
            <w:vAlign w:val="center"/>
          </w:tcPr>
          <w:p w14:paraId="4D06847A">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79437DE0">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≤0.3</w:t>
            </w:r>
          </w:p>
        </w:tc>
      </w:tr>
      <w:tr w14:paraId="35E451BF">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5C3394B7">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6A45C712">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锰</w:t>
            </w:r>
          </w:p>
        </w:tc>
        <w:tc>
          <w:tcPr>
            <w:tcW w:w="1464" w:type="dxa"/>
            <w:vMerge w:val="continue"/>
            <w:vAlign w:val="center"/>
          </w:tcPr>
          <w:p w14:paraId="6E0FC86D">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02F8182B">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≤0.1</w:t>
            </w:r>
          </w:p>
        </w:tc>
      </w:tr>
      <w:tr w14:paraId="081533E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1E0A3168">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2BE72854">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钴</w:t>
            </w:r>
          </w:p>
        </w:tc>
        <w:tc>
          <w:tcPr>
            <w:tcW w:w="1464" w:type="dxa"/>
            <w:vMerge w:val="continue"/>
            <w:vAlign w:val="center"/>
          </w:tcPr>
          <w:p w14:paraId="31F4D349">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21CCF3AD">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≤0.05</w:t>
            </w:r>
          </w:p>
        </w:tc>
      </w:tr>
      <w:tr w14:paraId="6770129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18B389FF">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5A3C424A">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铜</w:t>
            </w:r>
          </w:p>
        </w:tc>
        <w:tc>
          <w:tcPr>
            <w:tcW w:w="1464" w:type="dxa"/>
            <w:vMerge w:val="continue"/>
            <w:vAlign w:val="center"/>
          </w:tcPr>
          <w:p w14:paraId="4461736D">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2B4DC566">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≤1</w:t>
            </w:r>
          </w:p>
        </w:tc>
      </w:tr>
      <w:tr w14:paraId="371F41FF">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EEEF589">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35572848">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锌</w:t>
            </w:r>
          </w:p>
        </w:tc>
        <w:tc>
          <w:tcPr>
            <w:tcW w:w="1464" w:type="dxa"/>
            <w:vMerge w:val="continue"/>
            <w:vAlign w:val="center"/>
          </w:tcPr>
          <w:p w14:paraId="1F216EAD">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2A9DE91A">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≤1</w:t>
            </w:r>
          </w:p>
        </w:tc>
      </w:tr>
      <w:tr w14:paraId="2DCEE13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6771B5A8">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33B0A086">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铅</w:t>
            </w:r>
          </w:p>
        </w:tc>
        <w:tc>
          <w:tcPr>
            <w:tcW w:w="1464" w:type="dxa"/>
            <w:vMerge w:val="continue"/>
            <w:vAlign w:val="center"/>
          </w:tcPr>
          <w:p w14:paraId="0ADF2376">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1048BFDD">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≤0.05</w:t>
            </w:r>
          </w:p>
        </w:tc>
      </w:tr>
      <w:tr w14:paraId="777CAD6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7FE06AC4">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57C8EE83">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砷</w:t>
            </w:r>
          </w:p>
        </w:tc>
        <w:tc>
          <w:tcPr>
            <w:tcW w:w="1464" w:type="dxa"/>
            <w:vMerge w:val="continue"/>
            <w:vAlign w:val="center"/>
          </w:tcPr>
          <w:p w14:paraId="2CAF45CB">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438F18B5">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≤0.05</w:t>
            </w:r>
          </w:p>
        </w:tc>
      </w:tr>
      <w:tr w14:paraId="1D42DE5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41B8E6B0">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2FC07891">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汞</w:t>
            </w:r>
          </w:p>
        </w:tc>
        <w:tc>
          <w:tcPr>
            <w:tcW w:w="1464" w:type="dxa"/>
            <w:vMerge w:val="continue"/>
            <w:vAlign w:val="center"/>
          </w:tcPr>
          <w:p w14:paraId="1BEBB794">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5543E5CE">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≤0.001</w:t>
            </w:r>
          </w:p>
        </w:tc>
      </w:tr>
      <w:tr w14:paraId="04CEDB8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66470DB5">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5EC8E8B9">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镉</w:t>
            </w:r>
          </w:p>
        </w:tc>
        <w:tc>
          <w:tcPr>
            <w:tcW w:w="1464" w:type="dxa"/>
            <w:vMerge w:val="continue"/>
            <w:vAlign w:val="center"/>
          </w:tcPr>
          <w:p w14:paraId="36B1CC7F">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422BD65E">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≤0.01</w:t>
            </w:r>
          </w:p>
        </w:tc>
      </w:tr>
      <w:tr w14:paraId="12E91EA9">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09296F16">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7D2B2A68">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镍</w:t>
            </w:r>
          </w:p>
        </w:tc>
        <w:tc>
          <w:tcPr>
            <w:tcW w:w="1464" w:type="dxa"/>
            <w:vMerge w:val="continue"/>
            <w:vAlign w:val="center"/>
          </w:tcPr>
          <w:p w14:paraId="7DC077F6">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78510196">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≤0.05</w:t>
            </w:r>
          </w:p>
        </w:tc>
      </w:tr>
      <w:tr w14:paraId="227B597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4669E729">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713D784C">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六价铬</w:t>
            </w:r>
          </w:p>
        </w:tc>
        <w:tc>
          <w:tcPr>
            <w:tcW w:w="1464" w:type="dxa"/>
            <w:vMerge w:val="continue"/>
            <w:vAlign w:val="center"/>
          </w:tcPr>
          <w:p w14:paraId="0B7AF6F7">
            <w:pPr>
              <w:adjustRightInd w:val="0"/>
              <w:snapToGrid w:val="0"/>
              <w:jc w:val="center"/>
              <w:rPr>
                <w:color w:val="000000" w:themeColor="text1"/>
                <w:kern w:val="0"/>
                <w:szCs w:val="21"/>
                <w:lang w:eastAsia="en-US"/>
                <w14:textFill>
                  <w14:solidFill>
                    <w14:schemeClr w14:val="tx1"/>
                  </w14:solidFill>
                </w14:textFill>
              </w:rPr>
            </w:pPr>
          </w:p>
        </w:tc>
        <w:tc>
          <w:tcPr>
            <w:tcW w:w="2746" w:type="dxa"/>
            <w:vAlign w:val="center"/>
          </w:tcPr>
          <w:p w14:paraId="1111902B">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≤0.05</w:t>
            </w:r>
          </w:p>
        </w:tc>
      </w:tr>
      <w:tr w14:paraId="71E0666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4E3039DA">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47F279DB">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细菌总数</w:t>
            </w:r>
          </w:p>
        </w:tc>
        <w:tc>
          <w:tcPr>
            <w:tcW w:w="1464" w:type="dxa"/>
            <w:vAlign w:val="center"/>
          </w:tcPr>
          <w:p w14:paraId="60FBEE25">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个/mL</w:t>
            </w:r>
          </w:p>
        </w:tc>
        <w:tc>
          <w:tcPr>
            <w:tcW w:w="2746" w:type="dxa"/>
            <w:vAlign w:val="center"/>
          </w:tcPr>
          <w:p w14:paraId="222836AE">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≤100</w:t>
            </w:r>
          </w:p>
        </w:tc>
      </w:tr>
      <w:tr w14:paraId="5F49422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16AA5FBA">
            <w:pPr>
              <w:adjustRightInd w:val="0"/>
              <w:snapToGrid w:val="0"/>
              <w:jc w:val="center"/>
              <w:rPr>
                <w:color w:val="000000" w:themeColor="text1"/>
                <w:kern w:val="0"/>
                <w:szCs w:val="21"/>
                <w:lang w:eastAsia="en-US"/>
                <w14:textFill>
                  <w14:solidFill>
                    <w14:schemeClr w14:val="tx1"/>
                  </w14:solidFill>
                </w14:textFill>
              </w:rPr>
            </w:pPr>
          </w:p>
        </w:tc>
        <w:tc>
          <w:tcPr>
            <w:tcW w:w="2320" w:type="dxa"/>
            <w:vAlign w:val="center"/>
          </w:tcPr>
          <w:p w14:paraId="3B2582EB">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总大肠菌群</w:t>
            </w:r>
          </w:p>
        </w:tc>
        <w:tc>
          <w:tcPr>
            <w:tcW w:w="1464" w:type="dxa"/>
            <w:vAlign w:val="center"/>
          </w:tcPr>
          <w:p w14:paraId="2925F36C">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个/L</w:t>
            </w:r>
          </w:p>
        </w:tc>
        <w:tc>
          <w:tcPr>
            <w:tcW w:w="2746" w:type="dxa"/>
            <w:vAlign w:val="center"/>
          </w:tcPr>
          <w:p w14:paraId="7B8E791A">
            <w:pPr>
              <w:adjustRightInd w:val="0"/>
              <w:snapToGrid w:val="0"/>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≤3</w:t>
            </w:r>
          </w:p>
        </w:tc>
      </w:tr>
    </w:tbl>
    <w:p w14:paraId="6D446AA9">
      <w:pPr>
        <w:snapToGrid w:val="0"/>
        <w:spacing w:line="500" w:lineRule="exact"/>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（4）声环境</w:t>
      </w:r>
    </w:p>
    <w:p w14:paraId="7A39325C">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本项目位于芒市遮放镇弄坎村芒捧村，居住、商业、工业混杂区，项目声环境功能分区属2类区，执行GB3096-2008《声环境质量标准》2类标准。标标准值见表1.3-4。</w:t>
      </w:r>
    </w:p>
    <w:p w14:paraId="1F10DA77">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表1.3-4  声环境标准  单位：dB（A）</w:t>
      </w:r>
    </w:p>
    <w:tbl>
      <w:tblPr>
        <w:tblStyle w:val="280"/>
        <w:tblW w:w="5000" w:type="pct"/>
        <w:tblInd w:w="0"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53"/>
        <w:gridCol w:w="3401"/>
        <w:gridCol w:w="3119"/>
        <w:gridCol w:w="939"/>
      </w:tblGrid>
      <w:tr w14:paraId="57A0B3CD">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513" w:type="pct"/>
            <w:vAlign w:val="center"/>
          </w:tcPr>
          <w:p w14:paraId="609F6751">
            <w:pPr>
              <w:pStyle w:val="281"/>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类别</w:t>
            </w:r>
          </w:p>
        </w:tc>
        <w:tc>
          <w:tcPr>
            <w:tcW w:w="2046" w:type="pct"/>
            <w:vAlign w:val="center"/>
          </w:tcPr>
          <w:p w14:paraId="45205690">
            <w:pPr>
              <w:pStyle w:val="281"/>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适用区域</w:t>
            </w:r>
          </w:p>
        </w:tc>
        <w:tc>
          <w:tcPr>
            <w:tcW w:w="1876" w:type="pct"/>
            <w:vAlign w:val="center"/>
          </w:tcPr>
          <w:p w14:paraId="17975597">
            <w:pPr>
              <w:pStyle w:val="281"/>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昼间</w:t>
            </w:r>
          </w:p>
        </w:tc>
        <w:tc>
          <w:tcPr>
            <w:tcW w:w="566" w:type="pct"/>
            <w:vAlign w:val="center"/>
          </w:tcPr>
          <w:p w14:paraId="0A3DE73E">
            <w:pPr>
              <w:pStyle w:val="281"/>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夜间</w:t>
            </w:r>
          </w:p>
        </w:tc>
      </w:tr>
      <w:tr w14:paraId="30BC5F8B">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513" w:type="pct"/>
            <w:vAlign w:val="center"/>
          </w:tcPr>
          <w:p w14:paraId="3B0CBF74">
            <w:pPr>
              <w:pStyle w:val="281"/>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类</w:t>
            </w:r>
          </w:p>
        </w:tc>
        <w:tc>
          <w:tcPr>
            <w:tcW w:w="2046" w:type="pct"/>
            <w:vAlign w:val="center"/>
          </w:tcPr>
          <w:p w14:paraId="5B2C5DCA">
            <w:pPr>
              <w:pStyle w:val="281"/>
              <w:ind w:left="105" w:leftChars="50" w:right="105" w:rightChars="5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保护目标</w:t>
            </w:r>
          </w:p>
        </w:tc>
        <w:tc>
          <w:tcPr>
            <w:tcW w:w="1876" w:type="pct"/>
            <w:vAlign w:val="center"/>
          </w:tcPr>
          <w:p w14:paraId="21F3A9D1">
            <w:pPr>
              <w:pStyle w:val="281"/>
              <w:ind w:left="105" w:leftChars="50" w:right="105" w:rightChars="50"/>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60</w:t>
            </w:r>
          </w:p>
        </w:tc>
        <w:tc>
          <w:tcPr>
            <w:tcW w:w="566" w:type="pct"/>
            <w:vAlign w:val="center"/>
          </w:tcPr>
          <w:p w14:paraId="274E191F">
            <w:pPr>
              <w:pStyle w:val="281"/>
              <w:ind w:left="105" w:leftChars="50" w:right="105" w:rightChars="50"/>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50</w:t>
            </w:r>
          </w:p>
        </w:tc>
      </w:tr>
    </w:tbl>
    <w:p w14:paraId="36503AD5">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1.3.2排放标准</w:t>
      </w:r>
    </w:p>
    <w:p w14:paraId="5C2C7177">
      <w:pPr>
        <w:snapToGrid w:val="0"/>
        <w:spacing w:line="500" w:lineRule="exact"/>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（1）大气污染物排放标准</w:t>
      </w:r>
    </w:p>
    <w:p w14:paraId="10109F47">
      <w:pPr>
        <w:snapToGrid w:val="0"/>
        <w:spacing w:line="500" w:lineRule="exact"/>
        <w:ind w:firstLine="480"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①</w:t>
      </w:r>
      <w:r>
        <w:rPr>
          <w:b/>
          <w:color w:val="000000" w:themeColor="text1"/>
          <w:sz w:val="24"/>
          <w14:textFill>
            <w14:solidFill>
              <w14:schemeClr w14:val="tx1"/>
            </w14:solidFill>
          </w14:textFill>
        </w:rPr>
        <w:t>施工期大气污染物排放标准</w:t>
      </w:r>
    </w:p>
    <w:p w14:paraId="7D95C76B">
      <w:pPr>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施工期执行《大气污染物综合排放标准》（GB16297-1996）表2二级标准，标准值见表1.3-5。</w:t>
      </w:r>
    </w:p>
    <w:p w14:paraId="1FE21B44">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表1.3-5  大气污染物综合排放标准</w:t>
      </w:r>
    </w:p>
    <w:tbl>
      <w:tblPr>
        <w:tblStyle w:val="42"/>
        <w:tblW w:w="5000"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4"/>
        <w:gridCol w:w="4264"/>
      </w:tblGrid>
      <w:tr w14:paraId="2E25AB46">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vAlign w:val="center"/>
          </w:tcPr>
          <w:p w14:paraId="4AC35A47">
            <w:pPr>
              <w:spacing w:line="276"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标准类别</w:t>
            </w:r>
          </w:p>
        </w:tc>
        <w:tc>
          <w:tcPr>
            <w:tcW w:w="2500" w:type="pct"/>
            <w:vAlign w:val="center"/>
          </w:tcPr>
          <w:p w14:paraId="0EBAA99F">
            <w:pPr>
              <w:spacing w:line="276"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颗粒物（mg/ 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r>
      <w:tr w14:paraId="3CE3A8FA">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2500" w:type="pct"/>
            <w:vAlign w:val="center"/>
          </w:tcPr>
          <w:p w14:paraId="23FC2B78">
            <w:pPr>
              <w:spacing w:line="276"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无组织排放限值</w:t>
            </w:r>
          </w:p>
        </w:tc>
        <w:tc>
          <w:tcPr>
            <w:tcW w:w="2500" w:type="pct"/>
            <w:vAlign w:val="center"/>
          </w:tcPr>
          <w:p w14:paraId="0018E352">
            <w:pPr>
              <w:spacing w:line="276"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bl>
    <w:p w14:paraId="192623E6">
      <w:pPr>
        <w:adjustRightInd w:val="0"/>
        <w:snapToGrid w:val="0"/>
        <w:spacing w:line="360" w:lineRule="auto"/>
        <w:ind w:firstLine="48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②</w:t>
      </w:r>
      <w:r>
        <w:rPr>
          <w:b/>
          <w:color w:val="000000" w:themeColor="text1"/>
          <w:sz w:val="24"/>
          <w14:textFill>
            <w14:solidFill>
              <w14:schemeClr w14:val="tx1"/>
            </w14:solidFill>
          </w14:textFill>
        </w:rPr>
        <w:t>运营期大气污染物排放标准</w:t>
      </w:r>
    </w:p>
    <w:p w14:paraId="4E8099AC">
      <w:pPr>
        <w:adjustRightInd w:val="0"/>
        <w:snapToGrid w:val="0"/>
        <w:spacing w:line="360" w:lineRule="auto"/>
        <w:ind w:firstLine="480"/>
        <w:rPr>
          <w:color w:val="FF0000"/>
          <w:sz w:val="24"/>
        </w:rPr>
      </w:pPr>
      <w:r>
        <w:rPr>
          <w:b/>
          <w:color w:val="FF0000"/>
          <w:sz w:val="24"/>
        </w:rPr>
        <w:t>有组织废气：</w:t>
      </w:r>
      <w:r>
        <w:rPr>
          <w:color w:val="FF0000"/>
          <w:sz w:val="24"/>
        </w:rPr>
        <w:t>运营期有组织颗粒物和非甲烷总烃执行</w:t>
      </w:r>
      <w:r>
        <w:rPr>
          <w:rFonts w:hint="eastAsia"/>
          <w:color w:val="FF0000"/>
          <w:sz w:val="24"/>
        </w:rPr>
        <w:t>《合成树脂工业污染物排放标准》（</w:t>
      </w:r>
      <w:r>
        <w:rPr>
          <w:color w:val="FF0000"/>
          <w:sz w:val="24"/>
        </w:rPr>
        <w:t>GB31572-2015</w:t>
      </w:r>
      <w:r>
        <w:rPr>
          <w:rFonts w:hint="eastAsia"/>
          <w:color w:val="FF0000"/>
          <w:sz w:val="24"/>
        </w:rPr>
        <w:t>）</w:t>
      </w:r>
      <w:r>
        <w:rPr>
          <w:color w:val="FF0000"/>
          <w:sz w:val="24"/>
        </w:rPr>
        <w:t>中标准</w:t>
      </w:r>
      <w:r>
        <w:rPr>
          <w:rFonts w:hint="eastAsia"/>
          <w:color w:val="FF0000"/>
          <w:sz w:val="24"/>
        </w:rPr>
        <w:t>，</w:t>
      </w:r>
      <w:r>
        <w:rPr>
          <w:color w:val="FF0000"/>
          <w:sz w:val="24"/>
        </w:rPr>
        <w:t>具体标准值见下表。</w:t>
      </w:r>
    </w:p>
    <w:p w14:paraId="708661D7">
      <w:pPr>
        <w:jc w:val="center"/>
        <w:rPr>
          <w:b/>
          <w:snapToGrid w:val="0"/>
          <w:color w:val="FF0000"/>
          <w:kern w:val="0"/>
          <w:sz w:val="24"/>
        </w:rPr>
      </w:pPr>
      <w:r>
        <w:rPr>
          <w:b/>
          <w:color w:val="FF0000"/>
          <w:sz w:val="24"/>
        </w:rPr>
        <w:t xml:space="preserve">表1.3-6  </w:t>
      </w:r>
      <w:r>
        <w:rPr>
          <w:b/>
          <w:snapToGrid w:val="0"/>
          <w:color w:val="FF0000"/>
          <w:kern w:val="0"/>
          <w:sz w:val="24"/>
        </w:rPr>
        <w:t>有组织废气排放执行标准一览表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3" w:type="dxa"/>
          <w:bottom w:w="0" w:type="dxa"/>
          <w:right w:w="23" w:type="dxa"/>
        </w:tblCellMar>
      </w:tblPr>
      <w:tblGrid>
        <w:gridCol w:w="1260"/>
        <w:gridCol w:w="1392"/>
        <w:gridCol w:w="1103"/>
        <w:gridCol w:w="1127"/>
        <w:gridCol w:w="3476"/>
      </w:tblGrid>
      <w:tr w14:paraId="1191A0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0" w:hRule="atLeast"/>
          <w:jc w:val="center"/>
        </w:trPr>
        <w:tc>
          <w:tcPr>
            <w:tcW w:w="754" w:type="pct"/>
            <w:tcBorders>
              <w:bottom w:val="single" w:color="auto" w:sz="6" w:space="0"/>
              <w:right w:val="single" w:color="auto" w:sz="4" w:space="0"/>
            </w:tcBorders>
            <w:vAlign w:val="center"/>
          </w:tcPr>
          <w:p w14:paraId="399B426F">
            <w:pPr>
              <w:jc w:val="center"/>
              <w:rPr>
                <w:color w:val="FF0000"/>
              </w:rPr>
            </w:pPr>
            <w:r>
              <w:rPr>
                <w:color w:val="FF0000"/>
              </w:rPr>
              <w:t>污染源</w:t>
            </w:r>
          </w:p>
        </w:tc>
        <w:tc>
          <w:tcPr>
            <w:tcW w:w="833" w:type="pct"/>
            <w:tcBorders>
              <w:top w:val="single" w:color="auto" w:sz="12" w:space="0"/>
              <w:left w:val="single" w:color="auto" w:sz="4" w:space="0"/>
              <w:bottom w:val="single" w:color="auto" w:sz="6" w:space="0"/>
              <w:right w:val="single" w:color="auto" w:sz="4" w:space="0"/>
            </w:tcBorders>
            <w:vAlign w:val="center"/>
          </w:tcPr>
          <w:p w14:paraId="1D92C425">
            <w:pPr>
              <w:jc w:val="center"/>
              <w:rPr>
                <w:color w:val="FF0000"/>
              </w:rPr>
            </w:pPr>
            <w:r>
              <w:rPr>
                <w:color w:val="FF0000"/>
              </w:rPr>
              <w:t>污染因子</w:t>
            </w:r>
          </w:p>
        </w:tc>
        <w:tc>
          <w:tcPr>
            <w:tcW w:w="660" w:type="pct"/>
            <w:tcBorders>
              <w:top w:val="single" w:color="auto" w:sz="12" w:space="0"/>
              <w:left w:val="single" w:color="auto" w:sz="4" w:space="0"/>
              <w:bottom w:val="single" w:color="auto" w:sz="6" w:space="0"/>
              <w:right w:val="single" w:color="auto" w:sz="4" w:space="0"/>
            </w:tcBorders>
            <w:vAlign w:val="center"/>
          </w:tcPr>
          <w:p w14:paraId="274D96E7">
            <w:pPr>
              <w:jc w:val="center"/>
              <w:rPr>
                <w:color w:val="FF0000"/>
              </w:rPr>
            </w:pPr>
            <w:r>
              <w:rPr>
                <w:color w:val="FF0000"/>
              </w:rPr>
              <w:t>标准限值</w:t>
            </w:r>
          </w:p>
        </w:tc>
        <w:tc>
          <w:tcPr>
            <w:tcW w:w="674" w:type="pct"/>
            <w:tcBorders>
              <w:top w:val="single" w:color="auto" w:sz="12" w:space="0"/>
              <w:left w:val="single" w:color="auto" w:sz="4" w:space="0"/>
              <w:bottom w:val="single" w:color="auto" w:sz="6" w:space="0"/>
            </w:tcBorders>
            <w:vAlign w:val="center"/>
          </w:tcPr>
          <w:p w14:paraId="5B8CF39C">
            <w:pPr>
              <w:jc w:val="center"/>
              <w:rPr>
                <w:color w:val="FF0000"/>
              </w:rPr>
            </w:pPr>
            <w:r>
              <w:rPr>
                <w:color w:val="FF0000"/>
              </w:rPr>
              <w:t>单位</w:t>
            </w:r>
          </w:p>
        </w:tc>
        <w:tc>
          <w:tcPr>
            <w:tcW w:w="2079" w:type="pct"/>
            <w:tcBorders>
              <w:bottom w:val="single" w:color="auto" w:sz="6" w:space="0"/>
            </w:tcBorders>
            <w:vAlign w:val="center"/>
          </w:tcPr>
          <w:p w14:paraId="3575CB88">
            <w:pPr>
              <w:jc w:val="center"/>
              <w:rPr>
                <w:color w:val="FF0000"/>
              </w:rPr>
            </w:pPr>
            <w:r>
              <w:rPr>
                <w:color w:val="FF0000"/>
              </w:rPr>
              <w:t>标准名称</w:t>
            </w:r>
          </w:p>
        </w:tc>
      </w:tr>
      <w:tr w14:paraId="61FA69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0" w:hRule="atLeast"/>
          <w:jc w:val="center"/>
        </w:trPr>
        <w:tc>
          <w:tcPr>
            <w:tcW w:w="754" w:type="pct"/>
            <w:vMerge w:val="restart"/>
            <w:tcBorders>
              <w:top w:val="single" w:color="auto" w:sz="6" w:space="0"/>
              <w:right w:val="single" w:color="auto" w:sz="4" w:space="0"/>
            </w:tcBorders>
            <w:vAlign w:val="center"/>
          </w:tcPr>
          <w:p w14:paraId="4150577A">
            <w:pPr>
              <w:jc w:val="center"/>
              <w:rPr>
                <w:color w:val="FF0000"/>
              </w:rPr>
            </w:pPr>
            <w:r>
              <w:rPr>
                <w:rFonts w:hint="eastAsia"/>
                <w:color w:val="FF0000"/>
              </w:rPr>
              <w:t>生产车间排气筒</w:t>
            </w:r>
          </w:p>
        </w:tc>
        <w:tc>
          <w:tcPr>
            <w:tcW w:w="833" w:type="pct"/>
            <w:tcBorders>
              <w:top w:val="single" w:color="auto" w:sz="6" w:space="0"/>
              <w:left w:val="single" w:color="auto" w:sz="4" w:space="0"/>
              <w:bottom w:val="single" w:color="auto" w:sz="6" w:space="0"/>
              <w:right w:val="single" w:color="auto" w:sz="4" w:space="0"/>
            </w:tcBorders>
            <w:vAlign w:val="center"/>
          </w:tcPr>
          <w:p w14:paraId="1B07427F">
            <w:pPr>
              <w:jc w:val="center"/>
              <w:rPr>
                <w:color w:val="FF0000"/>
              </w:rPr>
            </w:pPr>
            <w:r>
              <w:rPr>
                <w:color w:val="FF0000"/>
              </w:rPr>
              <w:t>颗粒物</w:t>
            </w:r>
          </w:p>
        </w:tc>
        <w:tc>
          <w:tcPr>
            <w:tcW w:w="660" w:type="pct"/>
            <w:tcBorders>
              <w:top w:val="single" w:color="auto" w:sz="6" w:space="0"/>
              <w:left w:val="single" w:color="auto" w:sz="4" w:space="0"/>
              <w:bottom w:val="single" w:color="auto" w:sz="6" w:space="0"/>
              <w:right w:val="single" w:color="auto" w:sz="4" w:space="0"/>
            </w:tcBorders>
            <w:vAlign w:val="center"/>
          </w:tcPr>
          <w:p w14:paraId="0D98F3B0">
            <w:pPr>
              <w:jc w:val="center"/>
              <w:rPr>
                <w:color w:val="FF0000"/>
              </w:rPr>
            </w:pPr>
            <w:r>
              <w:rPr>
                <w:rFonts w:eastAsia="新宋体"/>
                <w:color w:val="FF0000"/>
                <w:szCs w:val="21"/>
              </w:rPr>
              <w:t>30</w:t>
            </w:r>
          </w:p>
        </w:tc>
        <w:tc>
          <w:tcPr>
            <w:tcW w:w="674" w:type="pct"/>
            <w:tcBorders>
              <w:top w:val="single" w:color="auto" w:sz="6" w:space="0"/>
              <w:left w:val="single" w:color="auto" w:sz="4" w:space="0"/>
              <w:bottom w:val="single" w:color="auto" w:sz="6" w:space="0"/>
            </w:tcBorders>
            <w:vAlign w:val="center"/>
          </w:tcPr>
          <w:p w14:paraId="2268DB86">
            <w:pPr>
              <w:jc w:val="center"/>
              <w:rPr>
                <w:color w:val="FF0000"/>
              </w:rPr>
            </w:pPr>
            <w:r>
              <w:rPr>
                <w:bCs/>
                <w:color w:val="FF0000"/>
                <w:szCs w:val="21"/>
              </w:rPr>
              <w:t>mg/m</w:t>
            </w:r>
            <w:r>
              <w:rPr>
                <w:bCs/>
                <w:color w:val="FF0000"/>
                <w:szCs w:val="21"/>
                <w:vertAlign w:val="superscript"/>
              </w:rPr>
              <w:t>3</w:t>
            </w:r>
          </w:p>
        </w:tc>
        <w:tc>
          <w:tcPr>
            <w:tcW w:w="2079" w:type="pct"/>
            <w:vMerge w:val="restart"/>
            <w:tcBorders>
              <w:top w:val="single" w:color="auto" w:sz="6" w:space="0"/>
            </w:tcBorders>
            <w:vAlign w:val="center"/>
          </w:tcPr>
          <w:p w14:paraId="7A86FC91">
            <w:pPr>
              <w:adjustRightInd w:val="0"/>
              <w:snapToGrid w:val="0"/>
              <w:spacing w:line="280" w:lineRule="exact"/>
              <w:jc w:val="center"/>
              <w:textAlignment w:val="baseline"/>
              <w:rPr>
                <w:color w:val="FF0000"/>
              </w:rPr>
            </w:pPr>
            <w:r>
              <w:rPr>
                <w:rFonts w:hint="eastAsia"/>
                <w:color w:val="FF0000"/>
              </w:rPr>
              <w:t>《合成树脂工业污染物排放标准》（</w:t>
            </w:r>
            <w:r>
              <w:rPr>
                <w:color w:val="FF0000"/>
              </w:rPr>
              <w:t>GB31572-2015</w:t>
            </w:r>
            <w:r>
              <w:rPr>
                <w:rFonts w:hint="eastAsia"/>
                <w:color w:val="FF0000"/>
              </w:rPr>
              <w:t>）</w:t>
            </w:r>
          </w:p>
        </w:tc>
      </w:tr>
      <w:tr w14:paraId="730992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0" w:hRule="atLeast"/>
          <w:jc w:val="center"/>
        </w:trPr>
        <w:tc>
          <w:tcPr>
            <w:tcW w:w="754" w:type="pct"/>
            <w:vMerge w:val="continue"/>
            <w:tcBorders>
              <w:right w:val="single" w:color="auto" w:sz="4" w:space="0"/>
            </w:tcBorders>
            <w:vAlign w:val="center"/>
          </w:tcPr>
          <w:p w14:paraId="7A3AB128">
            <w:pPr>
              <w:jc w:val="center"/>
              <w:rPr>
                <w:color w:val="FF0000"/>
              </w:rPr>
            </w:pPr>
          </w:p>
        </w:tc>
        <w:tc>
          <w:tcPr>
            <w:tcW w:w="833" w:type="pct"/>
            <w:tcBorders>
              <w:top w:val="single" w:color="auto" w:sz="6" w:space="0"/>
              <w:left w:val="single" w:color="auto" w:sz="4" w:space="0"/>
              <w:bottom w:val="single" w:color="auto" w:sz="6" w:space="0"/>
              <w:right w:val="single" w:color="auto" w:sz="4" w:space="0"/>
            </w:tcBorders>
            <w:vAlign w:val="center"/>
          </w:tcPr>
          <w:p w14:paraId="22B9061A">
            <w:pPr>
              <w:jc w:val="center"/>
              <w:rPr>
                <w:color w:val="FF0000"/>
              </w:rPr>
            </w:pPr>
            <w:r>
              <w:rPr>
                <w:color w:val="FF0000"/>
              </w:rPr>
              <w:t>非甲烷总烃</w:t>
            </w:r>
          </w:p>
        </w:tc>
        <w:tc>
          <w:tcPr>
            <w:tcW w:w="660" w:type="pct"/>
            <w:tcBorders>
              <w:top w:val="single" w:color="auto" w:sz="6" w:space="0"/>
              <w:left w:val="single" w:color="auto" w:sz="4" w:space="0"/>
              <w:bottom w:val="single" w:color="auto" w:sz="6" w:space="0"/>
              <w:right w:val="single" w:color="auto" w:sz="4" w:space="0"/>
            </w:tcBorders>
            <w:vAlign w:val="center"/>
          </w:tcPr>
          <w:p w14:paraId="1C7FE479">
            <w:pPr>
              <w:adjustRightInd w:val="0"/>
              <w:jc w:val="center"/>
              <w:textAlignment w:val="baseline"/>
              <w:rPr>
                <w:color w:val="FF0000"/>
              </w:rPr>
            </w:pPr>
            <w:r>
              <w:rPr>
                <w:color w:val="FF0000"/>
                <w:szCs w:val="21"/>
              </w:rPr>
              <w:t>100</w:t>
            </w:r>
          </w:p>
        </w:tc>
        <w:tc>
          <w:tcPr>
            <w:tcW w:w="674" w:type="pct"/>
            <w:tcBorders>
              <w:top w:val="single" w:color="auto" w:sz="6" w:space="0"/>
              <w:left w:val="single" w:color="auto" w:sz="4" w:space="0"/>
              <w:bottom w:val="single" w:color="auto" w:sz="6" w:space="0"/>
            </w:tcBorders>
            <w:vAlign w:val="center"/>
          </w:tcPr>
          <w:p w14:paraId="51E8B1A1">
            <w:pPr>
              <w:adjustRightInd w:val="0"/>
              <w:jc w:val="center"/>
              <w:textAlignment w:val="baseline"/>
              <w:rPr>
                <w:color w:val="FF0000"/>
              </w:rPr>
            </w:pPr>
            <w:r>
              <w:rPr>
                <w:bCs/>
                <w:color w:val="FF0000"/>
                <w:szCs w:val="21"/>
              </w:rPr>
              <w:t>mg/m</w:t>
            </w:r>
            <w:r>
              <w:rPr>
                <w:bCs/>
                <w:color w:val="FF0000"/>
                <w:szCs w:val="21"/>
                <w:vertAlign w:val="superscript"/>
              </w:rPr>
              <w:t>3</w:t>
            </w:r>
          </w:p>
        </w:tc>
        <w:tc>
          <w:tcPr>
            <w:tcW w:w="2079" w:type="pct"/>
            <w:vMerge w:val="continue"/>
            <w:vAlign w:val="center"/>
          </w:tcPr>
          <w:p w14:paraId="536BFE2B">
            <w:pPr>
              <w:adjustRightInd w:val="0"/>
              <w:snapToGrid w:val="0"/>
              <w:spacing w:line="280" w:lineRule="exact"/>
              <w:jc w:val="center"/>
              <w:textAlignment w:val="baseline"/>
              <w:rPr>
                <w:bCs/>
                <w:color w:val="FF0000"/>
              </w:rPr>
            </w:pPr>
          </w:p>
        </w:tc>
      </w:tr>
    </w:tbl>
    <w:p w14:paraId="37B9787A">
      <w:pPr>
        <w:spacing w:line="360" w:lineRule="auto"/>
        <w:ind w:firstLine="475"/>
        <w:jc w:val="left"/>
        <w:rPr>
          <w:color w:val="FF0000"/>
          <w:sz w:val="24"/>
        </w:rPr>
      </w:pPr>
      <w:r>
        <w:rPr>
          <w:b/>
          <w:color w:val="FF0000"/>
          <w:sz w:val="24"/>
        </w:rPr>
        <w:t>厂界无组织废气：</w:t>
      </w:r>
      <w:r>
        <w:rPr>
          <w:color w:val="FF0000"/>
          <w:sz w:val="24"/>
        </w:rPr>
        <w:t>运营期</w:t>
      </w:r>
      <w:r>
        <w:rPr>
          <w:rFonts w:hint="eastAsia"/>
          <w:color w:val="FF0000"/>
          <w:sz w:val="24"/>
        </w:rPr>
        <w:t>厂界无组织</w:t>
      </w:r>
      <w:r>
        <w:rPr>
          <w:color w:val="FF0000"/>
          <w:sz w:val="24"/>
        </w:rPr>
        <w:t>颗粒物</w:t>
      </w:r>
      <w:r>
        <w:rPr>
          <w:rFonts w:hint="eastAsia"/>
          <w:color w:val="FF0000"/>
          <w:sz w:val="24"/>
        </w:rPr>
        <w:t>和非甲烷总烃执行《合成树脂工业污染物排放标准》（</w:t>
      </w:r>
      <w:r>
        <w:rPr>
          <w:color w:val="FF0000"/>
          <w:sz w:val="24"/>
        </w:rPr>
        <w:t>GB31572-2015</w:t>
      </w:r>
      <w:r>
        <w:rPr>
          <w:rFonts w:hint="eastAsia"/>
          <w:color w:val="FF0000"/>
          <w:sz w:val="24"/>
        </w:rPr>
        <w:t>）；</w:t>
      </w:r>
    </w:p>
    <w:p w14:paraId="3DA66C1D">
      <w:pPr>
        <w:spacing w:line="360" w:lineRule="auto"/>
        <w:ind w:firstLine="475"/>
        <w:jc w:val="left"/>
        <w:rPr>
          <w:color w:val="FF0000"/>
          <w:sz w:val="24"/>
        </w:rPr>
      </w:pPr>
      <w:r>
        <w:rPr>
          <w:color w:val="FF0000"/>
          <w:sz w:val="24"/>
        </w:rPr>
        <w:t>臭气浓度</w:t>
      </w:r>
      <w:r>
        <w:rPr>
          <w:rFonts w:hint="eastAsia"/>
          <w:color w:val="FF0000"/>
          <w:sz w:val="24"/>
        </w:rPr>
        <w:t>执行</w:t>
      </w:r>
      <w:r>
        <w:rPr>
          <w:color w:val="FF0000"/>
          <w:sz w:val="24"/>
        </w:rPr>
        <w:t>《恶臭污染物排放标准》（GB14554-1993）中表1恶臭污染物厂界标准中二级标准</w:t>
      </w:r>
      <w:r>
        <w:rPr>
          <w:rFonts w:hint="eastAsia"/>
          <w:color w:val="FF0000"/>
          <w:sz w:val="24"/>
        </w:rPr>
        <w:t>，</w:t>
      </w:r>
      <w:r>
        <w:rPr>
          <w:color w:val="FF0000"/>
          <w:sz w:val="24"/>
        </w:rPr>
        <w:t>具体标准值见下表。</w:t>
      </w:r>
    </w:p>
    <w:p w14:paraId="271F95E4">
      <w:pPr>
        <w:jc w:val="center"/>
        <w:rPr>
          <w:color w:val="FF0000"/>
          <w:kern w:val="0"/>
          <w:sz w:val="24"/>
        </w:rPr>
      </w:pPr>
      <w:r>
        <w:rPr>
          <w:rFonts w:hint="eastAsia"/>
          <w:b/>
          <w:color w:val="FF0000"/>
          <w:sz w:val="24"/>
        </w:rPr>
        <w:t>表1</w:t>
      </w:r>
      <w:r>
        <w:rPr>
          <w:b/>
          <w:color w:val="FF0000"/>
          <w:sz w:val="24"/>
        </w:rPr>
        <w:t>.3</w:t>
      </w:r>
      <w:r>
        <w:rPr>
          <w:rFonts w:hint="eastAsia"/>
          <w:b/>
          <w:color w:val="FF0000"/>
          <w:sz w:val="24"/>
        </w:rPr>
        <w:t xml:space="preserve">-7  </w:t>
      </w:r>
      <w:r>
        <w:rPr>
          <w:rFonts w:hint="eastAsia" w:ascii="宋体" w:hAnsi="宋体" w:cs="宋体"/>
          <w:b/>
          <w:snapToGrid w:val="0"/>
          <w:color w:val="FF0000"/>
          <w:kern w:val="0"/>
          <w:sz w:val="24"/>
        </w:rPr>
        <w:t>厂界无组织废气排放标准一览表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3" w:type="dxa"/>
          <w:bottom w:w="0" w:type="dxa"/>
          <w:right w:w="23" w:type="dxa"/>
        </w:tblCellMar>
      </w:tblPr>
      <w:tblGrid>
        <w:gridCol w:w="590"/>
        <w:gridCol w:w="1135"/>
        <w:gridCol w:w="1135"/>
        <w:gridCol w:w="896"/>
        <w:gridCol w:w="1127"/>
        <w:gridCol w:w="3475"/>
      </w:tblGrid>
      <w:tr w14:paraId="3CE5C3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0" w:hRule="atLeast"/>
          <w:jc w:val="center"/>
        </w:trPr>
        <w:tc>
          <w:tcPr>
            <w:tcW w:w="353" w:type="pct"/>
            <w:tcBorders>
              <w:bottom w:val="single" w:color="auto" w:sz="6" w:space="0"/>
              <w:right w:val="single" w:color="auto" w:sz="4" w:space="0"/>
            </w:tcBorders>
            <w:vAlign w:val="center"/>
          </w:tcPr>
          <w:p w14:paraId="4AB27BB2">
            <w:pPr>
              <w:jc w:val="center"/>
              <w:rPr>
                <w:color w:val="FF0000"/>
                <w:szCs w:val="21"/>
              </w:rPr>
            </w:pPr>
            <w:r>
              <w:rPr>
                <w:color w:val="FF0000"/>
                <w:szCs w:val="21"/>
              </w:rPr>
              <w:t>污染源</w:t>
            </w:r>
          </w:p>
        </w:tc>
        <w:tc>
          <w:tcPr>
            <w:tcW w:w="1358" w:type="pct"/>
            <w:gridSpan w:val="2"/>
            <w:tcBorders>
              <w:left w:val="single" w:color="auto" w:sz="4" w:space="0"/>
              <w:bottom w:val="single" w:color="auto" w:sz="6" w:space="0"/>
              <w:right w:val="single" w:color="auto" w:sz="4" w:space="0"/>
            </w:tcBorders>
            <w:vAlign w:val="center"/>
          </w:tcPr>
          <w:p w14:paraId="3489A49C">
            <w:pPr>
              <w:jc w:val="center"/>
              <w:rPr>
                <w:color w:val="FF0000"/>
                <w:szCs w:val="21"/>
              </w:rPr>
            </w:pPr>
            <w:r>
              <w:rPr>
                <w:color w:val="FF0000"/>
                <w:szCs w:val="21"/>
              </w:rPr>
              <w:t>污染因子</w:t>
            </w:r>
          </w:p>
        </w:tc>
        <w:tc>
          <w:tcPr>
            <w:tcW w:w="536" w:type="pct"/>
            <w:tcBorders>
              <w:left w:val="single" w:color="auto" w:sz="4" w:space="0"/>
              <w:bottom w:val="single" w:color="auto" w:sz="6" w:space="0"/>
              <w:right w:val="single" w:color="auto" w:sz="4" w:space="0"/>
            </w:tcBorders>
            <w:vAlign w:val="center"/>
          </w:tcPr>
          <w:p w14:paraId="68FDC150">
            <w:pPr>
              <w:jc w:val="center"/>
              <w:rPr>
                <w:color w:val="FF0000"/>
                <w:szCs w:val="21"/>
              </w:rPr>
            </w:pPr>
            <w:r>
              <w:rPr>
                <w:color w:val="FF0000"/>
                <w:szCs w:val="21"/>
              </w:rPr>
              <w:t>标准限值</w:t>
            </w:r>
          </w:p>
        </w:tc>
        <w:tc>
          <w:tcPr>
            <w:tcW w:w="674" w:type="pct"/>
            <w:tcBorders>
              <w:left w:val="single" w:color="auto" w:sz="4" w:space="0"/>
              <w:bottom w:val="single" w:color="auto" w:sz="6" w:space="0"/>
            </w:tcBorders>
            <w:vAlign w:val="center"/>
          </w:tcPr>
          <w:p w14:paraId="2D0F97BA">
            <w:pPr>
              <w:jc w:val="center"/>
              <w:rPr>
                <w:color w:val="FF0000"/>
                <w:szCs w:val="21"/>
              </w:rPr>
            </w:pPr>
            <w:r>
              <w:rPr>
                <w:color w:val="FF0000"/>
                <w:szCs w:val="21"/>
              </w:rPr>
              <w:t>单位</w:t>
            </w:r>
          </w:p>
        </w:tc>
        <w:tc>
          <w:tcPr>
            <w:tcW w:w="2079" w:type="pct"/>
            <w:tcBorders>
              <w:bottom w:val="single" w:color="auto" w:sz="6" w:space="0"/>
            </w:tcBorders>
            <w:vAlign w:val="center"/>
          </w:tcPr>
          <w:p w14:paraId="05387A48">
            <w:pPr>
              <w:jc w:val="center"/>
              <w:rPr>
                <w:color w:val="FF0000"/>
                <w:szCs w:val="21"/>
              </w:rPr>
            </w:pPr>
            <w:r>
              <w:rPr>
                <w:color w:val="FF0000"/>
                <w:szCs w:val="21"/>
              </w:rPr>
              <w:t>标准名称</w:t>
            </w:r>
          </w:p>
        </w:tc>
      </w:tr>
      <w:tr w14:paraId="57A8FA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0" w:hRule="atLeast"/>
          <w:jc w:val="center"/>
        </w:trPr>
        <w:tc>
          <w:tcPr>
            <w:tcW w:w="353" w:type="pct"/>
            <w:vMerge w:val="restart"/>
            <w:tcBorders>
              <w:top w:val="single" w:color="auto" w:sz="6" w:space="0"/>
              <w:right w:val="single" w:color="auto" w:sz="4" w:space="0"/>
            </w:tcBorders>
            <w:vAlign w:val="center"/>
          </w:tcPr>
          <w:p w14:paraId="24680766">
            <w:pPr>
              <w:jc w:val="center"/>
              <w:rPr>
                <w:color w:val="FF0000"/>
                <w:szCs w:val="21"/>
              </w:rPr>
            </w:pPr>
            <w:r>
              <w:rPr>
                <w:rFonts w:hint="eastAsia"/>
                <w:color w:val="FF0000"/>
                <w:szCs w:val="21"/>
              </w:rPr>
              <w:t>无组织排放</w:t>
            </w:r>
          </w:p>
        </w:tc>
        <w:tc>
          <w:tcPr>
            <w:tcW w:w="679" w:type="pct"/>
            <w:tcBorders>
              <w:top w:val="single" w:color="auto" w:sz="6" w:space="0"/>
              <w:left w:val="single" w:color="auto" w:sz="4" w:space="0"/>
              <w:bottom w:val="single" w:color="auto" w:sz="6" w:space="0"/>
              <w:right w:val="single" w:color="auto" w:sz="4" w:space="0"/>
            </w:tcBorders>
            <w:vAlign w:val="center"/>
          </w:tcPr>
          <w:p w14:paraId="6A58BA95">
            <w:pPr>
              <w:jc w:val="center"/>
              <w:rPr>
                <w:color w:val="FF0000"/>
                <w:szCs w:val="21"/>
              </w:rPr>
            </w:pPr>
            <w:r>
              <w:rPr>
                <w:color w:val="FF0000"/>
                <w:szCs w:val="21"/>
              </w:rPr>
              <w:t>颗粒物</w:t>
            </w:r>
          </w:p>
        </w:tc>
        <w:tc>
          <w:tcPr>
            <w:tcW w:w="679" w:type="pct"/>
            <w:vMerge w:val="restart"/>
            <w:tcBorders>
              <w:top w:val="single" w:color="auto" w:sz="6" w:space="0"/>
              <w:left w:val="single" w:color="auto" w:sz="4" w:space="0"/>
              <w:right w:val="single" w:color="auto" w:sz="4" w:space="0"/>
            </w:tcBorders>
            <w:vAlign w:val="center"/>
          </w:tcPr>
          <w:p w14:paraId="45F250EA">
            <w:pPr>
              <w:jc w:val="center"/>
              <w:rPr>
                <w:color w:val="FF0000"/>
                <w:szCs w:val="21"/>
              </w:rPr>
            </w:pPr>
            <w:r>
              <w:rPr>
                <w:rFonts w:hint="eastAsia" w:ascii="宋体" w:hAnsi="宋体" w:cs="宋体"/>
                <w:color w:val="FF0000"/>
                <w:kern w:val="0"/>
                <w:szCs w:val="21"/>
              </w:rPr>
              <w:t>监控点处</w:t>
            </w:r>
            <w:r>
              <w:rPr>
                <w:rFonts w:ascii="宋体" w:hAnsi="宋体" w:cs="宋体"/>
                <w:color w:val="FF0000"/>
                <w:kern w:val="0"/>
                <w:szCs w:val="21"/>
              </w:rPr>
              <w:t>1 h</w:t>
            </w:r>
            <w:r>
              <w:rPr>
                <w:rFonts w:hint="eastAsia" w:ascii="宋体" w:hAnsi="宋体" w:cs="宋体"/>
                <w:color w:val="FF0000"/>
                <w:kern w:val="0"/>
                <w:szCs w:val="21"/>
              </w:rPr>
              <w:t>平均浓度值</w:t>
            </w:r>
          </w:p>
        </w:tc>
        <w:tc>
          <w:tcPr>
            <w:tcW w:w="536" w:type="pct"/>
            <w:tcBorders>
              <w:top w:val="single" w:color="auto" w:sz="6" w:space="0"/>
              <w:left w:val="single" w:color="auto" w:sz="4" w:space="0"/>
              <w:bottom w:val="single" w:color="auto" w:sz="6" w:space="0"/>
              <w:right w:val="single" w:color="auto" w:sz="4" w:space="0"/>
            </w:tcBorders>
            <w:vAlign w:val="center"/>
          </w:tcPr>
          <w:p w14:paraId="228D0369">
            <w:pPr>
              <w:jc w:val="center"/>
              <w:rPr>
                <w:bCs/>
                <w:color w:val="FF0000"/>
                <w:szCs w:val="21"/>
              </w:rPr>
            </w:pPr>
            <w:r>
              <w:rPr>
                <w:color w:val="FF0000"/>
                <w:szCs w:val="21"/>
              </w:rPr>
              <w:t>1.0</w:t>
            </w:r>
          </w:p>
        </w:tc>
        <w:tc>
          <w:tcPr>
            <w:tcW w:w="674" w:type="pct"/>
            <w:tcBorders>
              <w:top w:val="single" w:color="auto" w:sz="6" w:space="0"/>
              <w:left w:val="single" w:color="auto" w:sz="4" w:space="0"/>
              <w:bottom w:val="single" w:color="auto" w:sz="6" w:space="0"/>
            </w:tcBorders>
            <w:vAlign w:val="center"/>
          </w:tcPr>
          <w:p w14:paraId="42731ACC">
            <w:pPr>
              <w:jc w:val="center"/>
              <w:rPr>
                <w:color w:val="FF0000"/>
                <w:szCs w:val="21"/>
              </w:rPr>
            </w:pPr>
            <w:r>
              <w:rPr>
                <w:bCs/>
                <w:color w:val="FF0000"/>
                <w:szCs w:val="21"/>
              </w:rPr>
              <w:t>mg/m</w:t>
            </w:r>
            <w:r>
              <w:rPr>
                <w:bCs/>
                <w:color w:val="FF0000"/>
                <w:szCs w:val="21"/>
                <w:vertAlign w:val="superscript"/>
              </w:rPr>
              <w:t>3</w:t>
            </w:r>
          </w:p>
        </w:tc>
        <w:tc>
          <w:tcPr>
            <w:tcW w:w="2079" w:type="pct"/>
            <w:vMerge w:val="restart"/>
            <w:tcBorders>
              <w:top w:val="single" w:color="auto" w:sz="6" w:space="0"/>
            </w:tcBorders>
            <w:vAlign w:val="center"/>
          </w:tcPr>
          <w:p w14:paraId="771D9B4D">
            <w:pPr>
              <w:adjustRightInd w:val="0"/>
              <w:snapToGrid w:val="0"/>
              <w:spacing w:line="280" w:lineRule="exact"/>
              <w:jc w:val="center"/>
              <w:textAlignment w:val="baseline"/>
              <w:rPr>
                <w:bCs/>
                <w:color w:val="FF0000"/>
                <w:szCs w:val="21"/>
              </w:rPr>
            </w:pPr>
            <w:r>
              <w:rPr>
                <w:rFonts w:hint="eastAsia"/>
                <w:bCs/>
                <w:color w:val="FF0000"/>
                <w:szCs w:val="21"/>
              </w:rPr>
              <w:t>《合成树脂工业污染物排放标准》（</w:t>
            </w:r>
            <w:r>
              <w:rPr>
                <w:bCs/>
                <w:color w:val="FF0000"/>
                <w:szCs w:val="21"/>
              </w:rPr>
              <w:t>GB31572-2015</w:t>
            </w:r>
            <w:r>
              <w:rPr>
                <w:rFonts w:hint="eastAsia"/>
                <w:bCs/>
                <w:color w:val="FF0000"/>
                <w:szCs w:val="21"/>
              </w:rPr>
              <w:t>）</w:t>
            </w:r>
          </w:p>
        </w:tc>
      </w:tr>
      <w:tr w14:paraId="34247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52" w:hRule="atLeast"/>
          <w:jc w:val="center"/>
        </w:trPr>
        <w:tc>
          <w:tcPr>
            <w:tcW w:w="353" w:type="pct"/>
            <w:vMerge w:val="continue"/>
            <w:tcBorders>
              <w:right w:val="single" w:color="auto" w:sz="4" w:space="0"/>
            </w:tcBorders>
            <w:vAlign w:val="center"/>
          </w:tcPr>
          <w:p w14:paraId="700171F9">
            <w:pPr>
              <w:jc w:val="center"/>
              <w:rPr>
                <w:color w:val="FF0000"/>
                <w:szCs w:val="21"/>
              </w:rPr>
            </w:pPr>
          </w:p>
        </w:tc>
        <w:tc>
          <w:tcPr>
            <w:tcW w:w="679" w:type="pct"/>
            <w:tcBorders>
              <w:top w:val="single" w:color="auto" w:sz="6" w:space="0"/>
              <w:left w:val="single" w:color="auto" w:sz="4" w:space="0"/>
              <w:right w:val="single" w:color="auto" w:sz="4" w:space="0"/>
            </w:tcBorders>
            <w:vAlign w:val="center"/>
          </w:tcPr>
          <w:p w14:paraId="24497CA7">
            <w:pPr>
              <w:jc w:val="center"/>
              <w:rPr>
                <w:color w:val="FF0000"/>
                <w:szCs w:val="21"/>
              </w:rPr>
            </w:pPr>
            <w:r>
              <w:rPr>
                <w:color w:val="FF0000"/>
                <w:szCs w:val="21"/>
              </w:rPr>
              <w:t>非甲烷总烃</w:t>
            </w:r>
          </w:p>
        </w:tc>
        <w:tc>
          <w:tcPr>
            <w:tcW w:w="679" w:type="pct"/>
            <w:vMerge w:val="continue"/>
            <w:tcBorders>
              <w:left w:val="single" w:color="auto" w:sz="4" w:space="0"/>
              <w:bottom w:val="single" w:color="auto" w:sz="6" w:space="0"/>
              <w:right w:val="single" w:color="auto" w:sz="4" w:space="0"/>
            </w:tcBorders>
            <w:vAlign w:val="center"/>
          </w:tcPr>
          <w:p w14:paraId="3F8CF81A">
            <w:pPr>
              <w:jc w:val="center"/>
              <w:rPr>
                <w:rFonts w:ascii="宋体" w:hAnsi="宋体" w:cs="宋体"/>
                <w:color w:val="FF0000"/>
                <w:kern w:val="0"/>
                <w:szCs w:val="21"/>
              </w:rPr>
            </w:pPr>
          </w:p>
        </w:tc>
        <w:tc>
          <w:tcPr>
            <w:tcW w:w="536" w:type="pct"/>
            <w:tcBorders>
              <w:top w:val="single" w:color="auto" w:sz="6" w:space="0"/>
              <w:left w:val="single" w:color="auto" w:sz="4" w:space="0"/>
              <w:right w:val="single" w:color="auto" w:sz="4" w:space="0"/>
            </w:tcBorders>
            <w:vAlign w:val="center"/>
          </w:tcPr>
          <w:p w14:paraId="12EE6BBF">
            <w:pPr>
              <w:jc w:val="center"/>
              <w:rPr>
                <w:color w:val="FF0000"/>
                <w:szCs w:val="21"/>
              </w:rPr>
            </w:pPr>
            <w:r>
              <w:rPr>
                <w:color w:val="FF0000"/>
                <w:szCs w:val="21"/>
              </w:rPr>
              <w:t>4.0</w:t>
            </w:r>
          </w:p>
        </w:tc>
        <w:tc>
          <w:tcPr>
            <w:tcW w:w="674" w:type="pct"/>
            <w:tcBorders>
              <w:top w:val="single" w:color="auto" w:sz="6" w:space="0"/>
              <w:left w:val="single" w:color="auto" w:sz="4" w:space="0"/>
            </w:tcBorders>
            <w:vAlign w:val="center"/>
          </w:tcPr>
          <w:p w14:paraId="6B4C7F97">
            <w:pPr>
              <w:jc w:val="center"/>
              <w:rPr>
                <w:color w:val="FF0000"/>
                <w:szCs w:val="21"/>
              </w:rPr>
            </w:pPr>
            <w:r>
              <w:rPr>
                <w:bCs/>
                <w:color w:val="FF0000"/>
                <w:szCs w:val="21"/>
              </w:rPr>
              <w:t>mg/m</w:t>
            </w:r>
            <w:r>
              <w:rPr>
                <w:bCs/>
                <w:color w:val="FF0000"/>
                <w:szCs w:val="21"/>
                <w:vertAlign w:val="superscript"/>
              </w:rPr>
              <w:t>3</w:t>
            </w:r>
          </w:p>
        </w:tc>
        <w:tc>
          <w:tcPr>
            <w:tcW w:w="2079" w:type="pct"/>
            <w:vMerge w:val="continue"/>
            <w:vAlign w:val="center"/>
          </w:tcPr>
          <w:p w14:paraId="6ABDE656">
            <w:pPr>
              <w:spacing w:line="280" w:lineRule="exact"/>
              <w:jc w:val="center"/>
              <w:rPr>
                <w:color w:val="FF0000"/>
                <w:szCs w:val="21"/>
              </w:rPr>
            </w:pPr>
          </w:p>
        </w:tc>
      </w:tr>
      <w:tr w14:paraId="5DD722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0" w:hRule="atLeast"/>
          <w:jc w:val="center"/>
        </w:trPr>
        <w:tc>
          <w:tcPr>
            <w:tcW w:w="353" w:type="pct"/>
            <w:vMerge w:val="continue"/>
            <w:tcBorders>
              <w:right w:val="single" w:color="auto" w:sz="4" w:space="0"/>
            </w:tcBorders>
            <w:vAlign w:val="center"/>
          </w:tcPr>
          <w:p w14:paraId="3B640DB5">
            <w:pPr>
              <w:jc w:val="center"/>
              <w:rPr>
                <w:color w:val="FF0000"/>
                <w:szCs w:val="21"/>
              </w:rPr>
            </w:pPr>
          </w:p>
        </w:tc>
        <w:tc>
          <w:tcPr>
            <w:tcW w:w="1358" w:type="pct"/>
            <w:gridSpan w:val="2"/>
            <w:tcBorders>
              <w:top w:val="single" w:color="auto" w:sz="6" w:space="0"/>
              <w:left w:val="single" w:color="auto" w:sz="4" w:space="0"/>
              <w:right w:val="single" w:color="auto" w:sz="4" w:space="0"/>
            </w:tcBorders>
            <w:vAlign w:val="center"/>
          </w:tcPr>
          <w:p w14:paraId="18B8DAD6">
            <w:pPr>
              <w:jc w:val="center"/>
              <w:rPr>
                <w:color w:val="FF0000"/>
                <w:szCs w:val="21"/>
              </w:rPr>
            </w:pPr>
            <w:r>
              <w:rPr>
                <w:color w:val="FF0000"/>
                <w:szCs w:val="21"/>
              </w:rPr>
              <w:t>臭气浓度</w:t>
            </w:r>
          </w:p>
        </w:tc>
        <w:tc>
          <w:tcPr>
            <w:tcW w:w="536" w:type="pct"/>
            <w:tcBorders>
              <w:top w:val="single" w:color="auto" w:sz="6" w:space="0"/>
              <w:left w:val="single" w:color="auto" w:sz="4" w:space="0"/>
              <w:right w:val="single" w:color="auto" w:sz="4" w:space="0"/>
            </w:tcBorders>
            <w:vAlign w:val="center"/>
          </w:tcPr>
          <w:p w14:paraId="4BC7B400">
            <w:pPr>
              <w:jc w:val="center"/>
              <w:rPr>
                <w:color w:val="FF0000"/>
                <w:szCs w:val="21"/>
              </w:rPr>
            </w:pPr>
            <w:r>
              <w:rPr>
                <w:color w:val="FF0000"/>
                <w:szCs w:val="21"/>
              </w:rPr>
              <w:t>20</w:t>
            </w:r>
          </w:p>
        </w:tc>
        <w:tc>
          <w:tcPr>
            <w:tcW w:w="674" w:type="pct"/>
            <w:tcBorders>
              <w:top w:val="single" w:color="auto" w:sz="6" w:space="0"/>
              <w:left w:val="single" w:color="auto" w:sz="4" w:space="0"/>
            </w:tcBorders>
            <w:vAlign w:val="center"/>
          </w:tcPr>
          <w:p w14:paraId="1CC78529">
            <w:pPr>
              <w:jc w:val="center"/>
              <w:rPr>
                <w:color w:val="FF0000"/>
                <w:szCs w:val="21"/>
              </w:rPr>
            </w:pPr>
            <w:r>
              <w:rPr>
                <w:rFonts w:hint="eastAsia"/>
                <w:color w:val="FF0000"/>
                <w:szCs w:val="21"/>
              </w:rPr>
              <w:t>无量纲</w:t>
            </w:r>
          </w:p>
        </w:tc>
        <w:tc>
          <w:tcPr>
            <w:tcW w:w="2079" w:type="pct"/>
            <w:tcBorders>
              <w:top w:val="single" w:color="auto" w:sz="6" w:space="0"/>
            </w:tcBorders>
            <w:vAlign w:val="center"/>
          </w:tcPr>
          <w:p w14:paraId="0E66E125">
            <w:pPr>
              <w:spacing w:line="280" w:lineRule="exact"/>
              <w:jc w:val="center"/>
              <w:rPr>
                <w:color w:val="FF0000"/>
                <w:szCs w:val="21"/>
              </w:rPr>
            </w:pPr>
            <w:r>
              <w:rPr>
                <w:color w:val="FF0000"/>
                <w:szCs w:val="21"/>
              </w:rPr>
              <w:t>场界无组织排放执行《恶臭污染物排放标准》（GB14554-93）表1中</w:t>
            </w:r>
            <w:r>
              <w:rPr>
                <w:rFonts w:ascii="宋体" w:hAnsi="宋体" w:cs="宋体"/>
                <w:bCs/>
                <w:color w:val="FF0000"/>
                <w:szCs w:val="21"/>
              </w:rPr>
              <w:t>恶臭污染物</w:t>
            </w:r>
            <w:r>
              <w:rPr>
                <w:rFonts w:hint="eastAsia" w:ascii="宋体" w:hAnsi="宋体" w:cs="宋体"/>
                <w:bCs/>
                <w:color w:val="FF0000"/>
                <w:szCs w:val="21"/>
              </w:rPr>
              <w:t>厂</w:t>
            </w:r>
            <w:r>
              <w:rPr>
                <w:rFonts w:ascii="宋体" w:hAnsi="宋体" w:cs="宋体"/>
                <w:bCs/>
                <w:color w:val="FF0000"/>
                <w:szCs w:val="21"/>
              </w:rPr>
              <w:t>界标准</w:t>
            </w:r>
            <w:r>
              <w:rPr>
                <w:color w:val="FF0000"/>
                <w:szCs w:val="21"/>
              </w:rPr>
              <w:t>新改扩建二级标准</w:t>
            </w:r>
          </w:p>
        </w:tc>
      </w:tr>
      <w:bookmarkEnd w:id="47"/>
      <w:bookmarkEnd w:id="48"/>
      <w:bookmarkEnd w:id="49"/>
      <w:bookmarkEnd w:id="50"/>
      <w:bookmarkEnd w:id="51"/>
      <w:bookmarkEnd w:id="52"/>
    </w:tbl>
    <w:p w14:paraId="4AF432C5">
      <w:pPr>
        <w:adjustRightInd w:val="0"/>
        <w:snapToGrid w:val="0"/>
        <w:spacing w:line="360" w:lineRule="auto"/>
        <w:ind w:firstLine="480"/>
        <w:jc w:val="left"/>
        <w:rPr>
          <w:color w:val="000000" w:themeColor="text1"/>
          <w:sz w:val="24"/>
          <w14:textFill>
            <w14:solidFill>
              <w14:schemeClr w14:val="tx1"/>
            </w14:solidFill>
          </w14:textFill>
        </w:rPr>
      </w:pPr>
      <w:bookmarkStart w:id="59" w:name="_Toc360004795"/>
      <w:bookmarkStart w:id="60" w:name="_Toc362393088"/>
      <w:bookmarkStart w:id="61" w:name="_Toc362393087"/>
      <w:bookmarkStart w:id="62" w:name="_Toc226540114"/>
      <w:bookmarkStart w:id="63" w:name="_Toc280621016"/>
      <w:bookmarkStart w:id="64" w:name="_Toc290295714"/>
      <w:bookmarkStart w:id="65" w:name="_Toc226540386"/>
      <w:bookmarkStart w:id="66" w:name="_Toc226861715"/>
      <w:bookmarkStart w:id="67" w:name="_Toc230393123"/>
      <w:r>
        <w:rPr>
          <w:b/>
          <w:color w:val="FF0000"/>
          <w:sz w:val="24"/>
        </w:rPr>
        <w:t>食堂废气：</w:t>
      </w:r>
      <w:r>
        <w:rPr>
          <w:color w:val="FF0000"/>
          <w:sz w:val="24"/>
        </w:rPr>
        <w:t>项目区设有食堂，</w:t>
      </w:r>
      <w:r>
        <w:rPr>
          <w:rFonts w:hint="eastAsia"/>
          <w:color w:val="FF0000"/>
          <w:sz w:val="24"/>
        </w:rPr>
        <w:t>餐饮</w:t>
      </w:r>
      <w:r>
        <w:rPr>
          <w:color w:val="FF0000"/>
          <w:sz w:val="24"/>
        </w:rPr>
        <w:t>以电和</w:t>
      </w:r>
      <w:r>
        <w:rPr>
          <w:rFonts w:hint="eastAsia"/>
          <w:color w:val="FF0000"/>
          <w:sz w:val="24"/>
        </w:rPr>
        <w:t>液化气</w:t>
      </w:r>
      <w:r>
        <w:rPr>
          <w:color w:val="FF0000"/>
          <w:sz w:val="24"/>
        </w:rPr>
        <w:t>作为燃料，</w:t>
      </w:r>
      <w:r>
        <w:rPr>
          <w:color w:val="000000" w:themeColor="text1"/>
          <w:sz w:val="24"/>
          <w14:textFill>
            <w14:solidFill>
              <w14:schemeClr w14:val="tx1"/>
            </w14:solidFill>
          </w14:textFill>
        </w:rPr>
        <w:t>餐饮油烟执行GB18483-2001《饮食业油烟排放标准》小型，油烟最高允许排放浓度和油烟净化设施最低去除效率见下表。</w:t>
      </w:r>
    </w:p>
    <w:p w14:paraId="1018A24C">
      <w:pPr>
        <w:jc w:val="center"/>
        <w:rPr>
          <w:b/>
          <w:color w:val="000000" w:themeColor="text1"/>
          <w:kern w:val="0"/>
          <w:sz w:val="24"/>
          <w14:textFill>
            <w14:solidFill>
              <w14:schemeClr w14:val="tx1"/>
            </w14:solidFill>
          </w14:textFill>
        </w:rPr>
      </w:pPr>
    </w:p>
    <w:p w14:paraId="3227B9D4">
      <w:pPr>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表1.3-8  饮食业单位排放标准值及油烟最低去除率</w:t>
      </w:r>
    </w:p>
    <w:tbl>
      <w:tblPr>
        <w:tblStyle w:val="42"/>
        <w:tblW w:w="8364" w:type="dxa"/>
        <w:tblInd w:w="108"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69"/>
        <w:gridCol w:w="4395"/>
      </w:tblGrid>
      <w:tr w14:paraId="71F4A255">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69" w:type="dxa"/>
            <w:vAlign w:val="center"/>
          </w:tcPr>
          <w:p w14:paraId="698F0B68">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规模</w:t>
            </w:r>
          </w:p>
        </w:tc>
        <w:tc>
          <w:tcPr>
            <w:tcW w:w="4395" w:type="dxa"/>
            <w:vAlign w:val="center"/>
          </w:tcPr>
          <w:p w14:paraId="1AE29132">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大型</w:t>
            </w:r>
          </w:p>
        </w:tc>
      </w:tr>
      <w:tr w14:paraId="56BEC40F">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69" w:type="dxa"/>
            <w:vAlign w:val="center"/>
          </w:tcPr>
          <w:p w14:paraId="1CC4F545">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最高允许排放浓度（mg/m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4395" w:type="dxa"/>
            <w:vAlign w:val="center"/>
          </w:tcPr>
          <w:p w14:paraId="10B1B906">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14:paraId="7167A5FE">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69" w:type="dxa"/>
            <w:vAlign w:val="center"/>
          </w:tcPr>
          <w:p w14:paraId="1B50C9D8">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净化设施最低去除效率（%）</w:t>
            </w:r>
          </w:p>
        </w:tc>
        <w:tc>
          <w:tcPr>
            <w:tcW w:w="4395" w:type="dxa"/>
            <w:vAlign w:val="center"/>
          </w:tcPr>
          <w:p w14:paraId="4053BB57">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r>
    </w:tbl>
    <w:p w14:paraId="6583B834">
      <w:pPr>
        <w:adjustRightInd w:val="0"/>
        <w:snapToGrid w:val="0"/>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（2）废水</w:t>
      </w:r>
    </w:p>
    <w:p w14:paraId="00326762">
      <w:pPr>
        <w:adjustRightInd w:val="0"/>
        <w:snapToGrid w:val="0"/>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生活废水：</w:t>
      </w:r>
      <w:r>
        <w:rPr>
          <w:color w:val="000000" w:themeColor="text1"/>
          <w:sz w:val="24"/>
          <w14:textFill>
            <w14:solidFill>
              <w14:schemeClr w14:val="tx1"/>
            </w14:solidFill>
          </w14:textFill>
        </w:rPr>
        <w:t>废水主要为员工生活废水，厨房废水经1个隔油池处理后，与其它生活废水排入化粪池处理，定期委托周边村民清运，用于农作物施肥，不外排。</w:t>
      </w:r>
    </w:p>
    <w:p w14:paraId="188F1437">
      <w:pPr>
        <w:adjustRightInd w:val="0"/>
        <w:snapToGrid w:val="0"/>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生产废水：</w:t>
      </w:r>
      <w:r>
        <w:rPr>
          <w:color w:val="000000" w:themeColor="text1"/>
          <w:sz w:val="24"/>
          <w14:textFill>
            <w14:solidFill>
              <w14:schemeClr w14:val="tx1"/>
            </w14:solidFill>
          </w14:textFill>
        </w:rPr>
        <w:t>本项目生产清洗废水通过自建的污水处理设施处理后，回用于生产，不设标准</w:t>
      </w:r>
      <w:bookmarkStart w:id="68" w:name="OLE_LINK6"/>
      <w:bookmarkStart w:id="69" w:name="OLE_LINK5"/>
      <w:r>
        <w:rPr>
          <w:color w:val="000000" w:themeColor="text1"/>
          <w:sz w:val="24"/>
          <w14:textFill>
            <w14:solidFill>
              <w14:schemeClr w14:val="tx1"/>
            </w14:solidFill>
          </w14:textFill>
        </w:rPr>
        <w:t>；造粒冷却水循环使用（主要污染物为SS），不外排。</w:t>
      </w:r>
      <w:bookmarkEnd w:id="68"/>
      <w:bookmarkEnd w:id="69"/>
    </w:p>
    <w:p w14:paraId="186D2753">
      <w:pPr>
        <w:adjustRightInd w:val="0"/>
        <w:snapToGrid w:val="0"/>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本项目无废水排放，不设排放标准。</w:t>
      </w:r>
    </w:p>
    <w:p w14:paraId="5E5F4194">
      <w:pPr>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（3）噪声排放标准</w:t>
      </w:r>
    </w:p>
    <w:p w14:paraId="23395C99">
      <w:pPr>
        <w:tabs>
          <w:tab w:val="left" w:pos="4395"/>
        </w:tabs>
        <w:spacing w:line="360" w:lineRule="auto"/>
        <w:ind w:firstLine="480"/>
        <w:rPr>
          <w:color w:val="000000" w:themeColor="text1"/>
          <w:sz w:val="24"/>
          <w14:textFill>
            <w14:solidFill>
              <w14:schemeClr w14:val="tx1"/>
            </w14:solidFill>
          </w14:textFill>
        </w:rPr>
      </w:pPr>
      <w:bookmarkStart w:id="70" w:name="_Toc280621015"/>
      <w:bookmarkStart w:id="71" w:name="_Toc230393122"/>
      <w:bookmarkStart w:id="72" w:name="_Toc226540113"/>
      <w:bookmarkStart w:id="73" w:name="_Toc226540385"/>
      <w:bookmarkStart w:id="74" w:name="_Toc290295713"/>
      <w:bookmarkStart w:id="75" w:name="_Toc226861714"/>
      <w:r>
        <w:rPr>
          <w:color w:val="000000" w:themeColor="text1"/>
          <w:sz w:val="24"/>
          <w14:textFill>
            <w14:solidFill>
              <w14:schemeClr w14:val="tx1"/>
            </w14:solidFill>
          </w14:textFill>
        </w:rPr>
        <w:t>项目施工场界噪声执行GB12523-2011《建筑施工场界环境噪声排放标准》，标准限值列于表1.3-9。</w:t>
      </w:r>
    </w:p>
    <w:p w14:paraId="1CC4823F">
      <w:pPr>
        <w:ind w:firstLine="4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表1.3-9  建筑施工场界环境噪声排放限值   单位：</w:t>
      </w:r>
      <w:r>
        <w:rPr>
          <w:color w:val="000000" w:themeColor="text1"/>
          <w:sz w:val="24"/>
          <w14:textFill>
            <w14:solidFill>
              <w14:schemeClr w14:val="tx1"/>
            </w14:solidFill>
          </w14:textFill>
        </w:rPr>
        <w:t>dB(A)</w:t>
      </w:r>
    </w:p>
    <w:tbl>
      <w:tblPr>
        <w:tblStyle w:val="42"/>
        <w:tblW w:w="852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003A516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61FD4672">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昼间</w:t>
            </w:r>
          </w:p>
        </w:tc>
        <w:tc>
          <w:tcPr>
            <w:tcW w:w="4261" w:type="dxa"/>
            <w:vAlign w:val="center"/>
          </w:tcPr>
          <w:p w14:paraId="72FF9B7E">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夜间</w:t>
            </w:r>
          </w:p>
        </w:tc>
      </w:tr>
      <w:tr w14:paraId="6541ADB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294551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4261" w:type="dxa"/>
            <w:vAlign w:val="center"/>
          </w:tcPr>
          <w:p w14:paraId="24FE38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r>
    </w:tbl>
    <w:p w14:paraId="4E77AA32">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项目运营期厂界噪声排放执行GB12348-2008《工业企业厂界环境噪声排放标准》2类标准，标准限值列于表1.3-10。</w:t>
      </w:r>
    </w:p>
    <w:p w14:paraId="0000C1D1">
      <w:pPr>
        <w:ind w:firstLine="4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表1.3-10  工业企业厂界环境噪声排放标准</w:t>
      </w:r>
    </w:p>
    <w:tbl>
      <w:tblPr>
        <w:tblStyle w:val="42"/>
        <w:tblW w:w="852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3544"/>
        <w:gridCol w:w="1893"/>
      </w:tblGrid>
      <w:tr w14:paraId="769D87C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0" w:hRule="atLeast"/>
          <w:jc w:val="center"/>
        </w:trPr>
        <w:tc>
          <w:tcPr>
            <w:tcW w:w="3085" w:type="dxa"/>
          </w:tcPr>
          <w:p w14:paraId="09D270DD">
            <w:pPr>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类  别</w:t>
            </w:r>
          </w:p>
        </w:tc>
        <w:tc>
          <w:tcPr>
            <w:tcW w:w="3544" w:type="dxa"/>
          </w:tcPr>
          <w:p w14:paraId="226299C6">
            <w:pPr>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昼 间  [dB(A)]</w:t>
            </w:r>
          </w:p>
        </w:tc>
        <w:tc>
          <w:tcPr>
            <w:tcW w:w="1893" w:type="dxa"/>
          </w:tcPr>
          <w:p w14:paraId="2D914E58">
            <w:pPr>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夜 间   [dB(A)]</w:t>
            </w:r>
          </w:p>
        </w:tc>
      </w:tr>
      <w:tr w14:paraId="0C3193F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5" w:type="dxa"/>
            <w:vAlign w:val="center"/>
          </w:tcPr>
          <w:p w14:paraId="04E4F35C">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2类</w:t>
            </w:r>
          </w:p>
        </w:tc>
        <w:tc>
          <w:tcPr>
            <w:tcW w:w="3544" w:type="dxa"/>
            <w:vAlign w:val="center"/>
          </w:tcPr>
          <w:p w14:paraId="75DF155E">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893" w:type="dxa"/>
            <w:vAlign w:val="center"/>
          </w:tcPr>
          <w:p w14:paraId="19C150A0">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bookmarkEnd w:id="70"/>
      <w:bookmarkEnd w:id="71"/>
      <w:bookmarkEnd w:id="72"/>
      <w:bookmarkEnd w:id="73"/>
      <w:bookmarkEnd w:id="74"/>
      <w:bookmarkEnd w:id="75"/>
    </w:tbl>
    <w:p w14:paraId="6B464367">
      <w:pPr>
        <w:spacing w:before="156" w:beforeLines="50"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（4）固体废物</w:t>
      </w:r>
    </w:p>
    <w:p w14:paraId="03C4ED9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GB18599-2001《一般工业固体废弃物贮存、处置场污染物控制标准》及其修改单；</w:t>
      </w:r>
    </w:p>
    <w:p w14:paraId="18DB362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危险固体废物执行《危险废物贮存污染控制标准》（GB18597-2001）</w:t>
      </w:r>
      <w:r>
        <w:rPr>
          <w:rFonts w:hint="eastAsia"/>
          <w:color w:val="000000" w:themeColor="text1"/>
          <w:sz w:val="24"/>
          <w14:textFill>
            <w14:solidFill>
              <w14:schemeClr w14:val="tx1"/>
            </w14:solidFill>
          </w14:textFill>
        </w:rPr>
        <w:t>及其</w:t>
      </w:r>
      <w:r>
        <w:rPr>
          <w:color w:val="000000" w:themeColor="text1"/>
          <w:sz w:val="24"/>
          <w14:textFill>
            <w14:solidFill>
              <w14:schemeClr w14:val="tx1"/>
            </w14:solidFill>
          </w14:textFill>
        </w:rPr>
        <w:t>修改单；</w:t>
      </w:r>
    </w:p>
    <w:p w14:paraId="59FCD368">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GB 5085.2-2007《危险废物鉴别标准 急性毒性初筛》。</w:t>
      </w:r>
    </w:p>
    <w:bookmarkEnd w:id="59"/>
    <w:bookmarkEnd w:id="60"/>
    <w:bookmarkEnd w:id="61"/>
    <w:p w14:paraId="15196FFA">
      <w:pPr>
        <w:pStyle w:val="4"/>
        <w:rPr>
          <w:rFonts w:ascii="Times New Roman" w:hAnsi="Times New Roman"/>
          <w:color w:val="000000" w:themeColor="text1"/>
          <w14:textFill>
            <w14:solidFill>
              <w14:schemeClr w14:val="tx1"/>
            </w14:solidFill>
          </w14:textFill>
        </w:rPr>
      </w:pPr>
      <w:bookmarkStart w:id="76" w:name="_Toc2773731"/>
      <w:bookmarkStart w:id="77" w:name="_Toc362393089"/>
      <w:bookmarkStart w:id="78" w:name="_Toc360004796"/>
      <w:r>
        <w:rPr>
          <w:rFonts w:ascii="Times New Roman" w:hAnsi="Times New Roman"/>
          <w:color w:val="000000" w:themeColor="text1"/>
          <w14:textFill>
            <w14:solidFill>
              <w14:schemeClr w14:val="tx1"/>
            </w14:solidFill>
          </w14:textFill>
        </w:rPr>
        <w:t>1.4环境影响因子识别和评价因子的筛选</w:t>
      </w:r>
      <w:bookmarkEnd w:id="76"/>
    </w:p>
    <w:p w14:paraId="7412E3C9">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1.4.1环境影响因子识别</w:t>
      </w:r>
    </w:p>
    <w:p w14:paraId="682AE973">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本项目对环境的影响发生在施工期和运营期，主要影响在运营期。</w:t>
      </w:r>
    </w:p>
    <w:p w14:paraId="58BA92B7">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不利影响主要为：运营期产生的废水、废气和固体废物对环境的影响；施工期噪声、扬尘、水土流失对环境的影响。</w:t>
      </w:r>
    </w:p>
    <w:p w14:paraId="656E6AED">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有利影响主要为：运营期对项目的所在区域的社会经济发展产生积极的影响；施工期对区域社会环境经济发展产生的正面影响。</w:t>
      </w:r>
    </w:p>
    <w:p w14:paraId="0E88BDA2">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建设项目可能产生的环境影响因子识别见表1.4-1。</w:t>
      </w:r>
    </w:p>
    <w:p w14:paraId="30B1115F">
      <w:pPr>
        <w:autoSpaceDE w:val="0"/>
        <w:autoSpaceDN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表1.4-1  环境影响因子识别表</w:t>
      </w:r>
    </w:p>
    <w:tbl>
      <w:tblPr>
        <w:tblStyle w:val="42"/>
        <w:tblW w:w="8522"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66"/>
        <w:gridCol w:w="1660"/>
        <w:gridCol w:w="945"/>
        <w:gridCol w:w="945"/>
        <w:gridCol w:w="946"/>
        <w:gridCol w:w="946"/>
        <w:gridCol w:w="950"/>
      </w:tblGrid>
      <w:tr w14:paraId="0B3A7F9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c>
          <w:tcPr>
            <w:tcW w:w="1064" w:type="dxa"/>
            <w:vMerge w:val="restart"/>
            <w:vAlign w:val="center"/>
          </w:tcPr>
          <w:p w14:paraId="678EBA7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环境影响因子</w:t>
            </w:r>
          </w:p>
        </w:tc>
        <w:tc>
          <w:tcPr>
            <w:tcW w:w="2726" w:type="dxa"/>
            <w:gridSpan w:val="2"/>
            <w:vAlign w:val="center"/>
          </w:tcPr>
          <w:p w14:paraId="7909A2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4732" w:type="dxa"/>
            <w:gridSpan w:val="5"/>
            <w:vAlign w:val="center"/>
          </w:tcPr>
          <w:p w14:paraId="5FC260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r>
      <w:tr w14:paraId="641031D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vAlign w:val="center"/>
          </w:tcPr>
          <w:p w14:paraId="6566D86F">
            <w:pPr>
              <w:jc w:val="center"/>
              <w:rPr>
                <w:color w:val="000000" w:themeColor="text1"/>
                <w:szCs w:val="21"/>
                <w14:textFill>
                  <w14:solidFill>
                    <w14:schemeClr w14:val="tx1"/>
                  </w14:solidFill>
                </w14:textFill>
              </w:rPr>
            </w:pPr>
          </w:p>
        </w:tc>
        <w:tc>
          <w:tcPr>
            <w:tcW w:w="1066" w:type="dxa"/>
            <w:vAlign w:val="center"/>
          </w:tcPr>
          <w:p w14:paraId="57AC62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开挖、机械作业等</w:t>
            </w:r>
          </w:p>
        </w:tc>
        <w:tc>
          <w:tcPr>
            <w:tcW w:w="1660" w:type="dxa"/>
            <w:vAlign w:val="center"/>
          </w:tcPr>
          <w:p w14:paraId="007832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废水、固废、噪声</w:t>
            </w:r>
          </w:p>
        </w:tc>
        <w:tc>
          <w:tcPr>
            <w:tcW w:w="945" w:type="dxa"/>
            <w:vAlign w:val="center"/>
          </w:tcPr>
          <w:p w14:paraId="2BBE14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945" w:type="dxa"/>
            <w:vAlign w:val="center"/>
          </w:tcPr>
          <w:p w14:paraId="4CE585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w:t>
            </w:r>
          </w:p>
          <w:p w14:paraId="03E586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废物</w:t>
            </w:r>
          </w:p>
        </w:tc>
        <w:tc>
          <w:tcPr>
            <w:tcW w:w="946" w:type="dxa"/>
            <w:vAlign w:val="center"/>
          </w:tcPr>
          <w:p w14:paraId="78D4F5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946" w:type="dxa"/>
            <w:vAlign w:val="center"/>
          </w:tcPr>
          <w:p w14:paraId="0C4FB9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950" w:type="dxa"/>
            <w:vAlign w:val="center"/>
          </w:tcPr>
          <w:p w14:paraId="61E734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p w14:paraId="4D34BF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w:t>
            </w:r>
          </w:p>
        </w:tc>
      </w:tr>
      <w:tr w14:paraId="58CAAFC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7D89E94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农业经济</w:t>
            </w:r>
          </w:p>
        </w:tc>
        <w:tc>
          <w:tcPr>
            <w:tcW w:w="1066" w:type="dxa"/>
            <w:vAlign w:val="center"/>
          </w:tcPr>
          <w:p w14:paraId="70CF05A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60" w:type="dxa"/>
            <w:vAlign w:val="center"/>
          </w:tcPr>
          <w:p w14:paraId="0A3A36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70FB91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1C932F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1CBABD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27A49D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0" w:type="dxa"/>
            <w:vAlign w:val="center"/>
          </w:tcPr>
          <w:p w14:paraId="1CD300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B0B25C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4A7E67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社会经济</w:t>
            </w:r>
          </w:p>
        </w:tc>
        <w:tc>
          <w:tcPr>
            <w:tcW w:w="1066" w:type="dxa"/>
            <w:vAlign w:val="center"/>
          </w:tcPr>
          <w:p w14:paraId="344D06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60" w:type="dxa"/>
            <w:vAlign w:val="center"/>
          </w:tcPr>
          <w:p w14:paraId="3D611D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75C246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2A2338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28F822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20EC08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0" w:type="dxa"/>
            <w:vAlign w:val="center"/>
          </w:tcPr>
          <w:p w14:paraId="1C8A43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207314C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3EDAC4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人群健康</w:t>
            </w:r>
          </w:p>
        </w:tc>
        <w:tc>
          <w:tcPr>
            <w:tcW w:w="1066" w:type="dxa"/>
            <w:vAlign w:val="center"/>
          </w:tcPr>
          <w:p w14:paraId="422A01C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60" w:type="dxa"/>
            <w:vAlign w:val="center"/>
          </w:tcPr>
          <w:p w14:paraId="0CD2FC8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0B6C9EF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0BDAF4C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646745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4318AC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0" w:type="dxa"/>
            <w:vAlign w:val="center"/>
          </w:tcPr>
          <w:p w14:paraId="5063C8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7016D5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029E79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生活水平</w:t>
            </w:r>
          </w:p>
        </w:tc>
        <w:tc>
          <w:tcPr>
            <w:tcW w:w="1066" w:type="dxa"/>
            <w:vAlign w:val="center"/>
          </w:tcPr>
          <w:p w14:paraId="74B89E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60" w:type="dxa"/>
            <w:vAlign w:val="center"/>
          </w:tcPr>
          <w:p w14:paraId="3A3413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1F58CE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12013B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291871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29F45D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0" w:type="dxa"/>
            <w:vAlign w:val="center"/>
          </w:tcPr>
          <w:p w14:paraId="63539C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654C9B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75B15F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农田灌溉</w:t>
            </w:r>
          </w:p>
        </w:tc>
        <w:tc>
          <w:tcPr>
            <w:tcW w:w="1066" w:type="dxa"/>
            <w:vAlign w:val="center"/>
          </w:tcPr>
          <w:p w14:paraId="5D5296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60" w:type="dxa"/>
            <w:vAlign w:val="center"/>
          </w:tcPr>
          <w:p w14:paraId="6FAF29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776D55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77D140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4B206B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58E7538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0" w:type="dxa"/>
            <w:vAlign w:val="center"/>
          </w:tcPr>
          <w:p w14:paraId="0ABA88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ADDB15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3398A06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土地利用</w:t>
            </w:r>
          </w:p>
        </w:tc>
        <w:tc>
          <w:tcPr>
            <w:tcW w:w="1066" w:type="dxa"/>
            <w:vAlign w:val="center"/>
          </w:tcPr>
          <w:p w14:paraId="0A69CA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60" w:type="dxa"/>
            <w:vAlign w:val="center"/>
          </w:tcPr>
          <w:p w14:paraId="576D94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4AE169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4B9C62E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42990C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7F0960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0" w:type="dxa"/>
            <w:vAlign w:val="center"/>
          </w:tcPr>
          <w:p w14:paraId="427CBA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4828E40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639A97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tc>
        <w:tc>
          <w:tcPr>
            <w:tcW w:w="1066" w:type="dxa"/>
            <w:vAlign w:val="center"/>
          </w:tcPr>
          <w:p w14:paraId="20189F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60" w:type="dxa"/>
            <w:vAlign w:val="center"/>
          </w:tcPr>
          <w:p w14:paraId="6BDD549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38A7A1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698308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1F540A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50E052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0" w:type="dxa"/>
            <w:vAlign w:val="center"/>
          </w:tcPr>
          <w:p w14:paraId="3EAF31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43366E6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7BE3147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066" w:type="dxa"/>
            <w:vAlign w:val="center"/>
          </w:tcPr>
          <w:p w14:paraId="1EFE6A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60" w:type="dxa"/>
            <w:vAlign w:val="center"/>
          </w:tcPr>
          <w:p w14:paraId="1ACFB2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63216A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590D7B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65F347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23369E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0" w:type="dxa"/>
            <w:vAlign w:val="center"/>
          </w:tcPr>
          <w:p w14:paraId="274631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10F1492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1848D9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066" w:type="dxa"/>
            <w:vAlign w:val="center"/>
          </w:tcPr>
          <w:p w14:paraId="2959B5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60" w:type="dxa"/>
            <w:vAlign w:val="center"/>
          </w:tcPr>
          <w:p w14:paraId="608547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0C64146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5" w:type="dxa"/>
            <w:vAlign w:val="center"/>
          </w:tcPr>
          <w:p w14:paraId="73EE406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34DCB6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6" w:type="dxa"/>
            <w:vAlign w:val="center"/>
          </w:tcPr>
          <w:p w14:paraId="5FF4DC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0" w:type="dxa"/>
            <w:vAlign w:val="center"/>
          </w:tcPr>
          <w:p w14:paraId="22C9E2F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5650278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338F85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c>
          <w:tcPr>
            <w:tcW w:w="7458" w:type="dxa"/>
            <w:gridSpan w:val="7"/>
            <w:vAlign w:val="center"/>
          </w:tcPr>
          <w:p w14:paraId="3023C8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○为有利影响；●为不利影响；/为无影响或微小影响</w:t>
            </w:r>
          </w:p>
        </w:tc>
      </w:tr>
    </w:tbl>
    <w:p w14:paraId="1CBA9B3C">
      <w:pPr>
        <w:autoSpaceDE w:val="0"/>
        <w:autoSpaceDN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表1.4-2  环境影响性质分析一览表</w:t>
      </w:r>
    </w:p>
    <w:tbl>
      <w:tblPr>
        <w:tblStyle w:val="42"/>
        <w:tblW w:w="8522"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93"/>
        <w:gridCol w:w="893"/>
        <w:gridCol w:w="892"/>
        <w:gridCol w:w="892"/>
        <w:gridCol w:w="892"/>
        <w:gridCol w:w="892"/>
        <w:gridCol w:w="892"/>
        <w:gridCol w:w="892"/>
      </w:tblGrid>
      <w:tr w14:paraId="1CB8D51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c>
          <w:tcPr>
            <w:tcW w:w="1384" w:type="dxa"/>
          </w:tcPr>
          <w:p w14:paraId="326EDBE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影响性质</w:t>
            </w:r>
          </w:p>
          <w:p w14:paraId="6E2C80B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环境因素</w:t>
            </w:r>
          </w:p>
        </w:tc>
        <w:tc>
          <w:tcPr>
            <w:tcW w:w="893" w:type="dxa"/>
          </w:tcPr>
          <w:p w14:paraId="1A5992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短期</w:t>
            </w:r>
          </w:p>
          <w:p w14:paraId="14D92A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w:t>
            </w:r>
          </w:p>
        </w:tc>
        <w:tc>
          <w:tcPr>
            <w:tcW w:w="893" w:type="dxa"/>
          </w:tcPr>
          <w:p w14:paraId="7FF366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w:t>
            </w:r>
          </w:p>
          <w:p w14:paraId="6CEB49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w:t>
            </w:r>
          </w:p>
        </w:tc>
        <w:tc>
          <w:tcPr>
            <w:tcW w:w="892" w:type="dxa"/>
          </w:tcPr>
          <w:p w14:paraId="2BF2B1B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可逆</w:t>
            </w:r>
          </w:p>
          <w:p w14:paraId="4622A5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w:t>
            </w:r>
          </w:p>
        </w:tc>
        <w:tc>
          <w:tcPr>
            <w:tcW w:w="892" w:type="dxa"/>
          </w:tcPr>
          <w:p w14:paraId="13C554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不可</w:t>
            </w:r>
          </w:p>
          <w:p w14:paraId="27C28F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逆影响</w:t>
            </w:r>
          </w:p>
        </w:tc>
        <w:tc>
          <w:tcPr>
            <w:tcW w:w="892" w:type="dxa"/>
          </w:tcPr>
          <w:p w14:paraId="250748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w:t>
            </w:r>
          </w:p>
          <w:p w14:paraId="324AB1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w:t>
            </w:r>
          </w:p>
        </w:tc>
        <w:tc>
          <w:tcPr>
            <w:tcW w:w="892" w:type="dxa"/>
          </w:tcPr>
          <w:p w14:paraId="6F45EFA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间接</w:t>
            </w:r>
          </w:p>
          <w:p w14:paraId="350858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w:t>
            </w:r>
          </w:p>
        </w:tc>
        <w:tc>
          <w:tcPr>
            <w:tcW w:w="892" w:type="dxa"/>
          </w:tcPr>
          <w:p w14:paraId="6BA4B5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局部</w:t>
            </w:r>
          </w:p>
          <w:p w14:paraId="2860AB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w:t>
            </w:r>
          </w:p>
        </w:tc>
        <w:tc>
          <w:tcPr>
            <w:tcW w:w="892" w:type="dxa"/>
          </w:tcPr>
          <w:p w14:paraId="75E14E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大范围影响</w:t>
            </w:r>
          </w:p>
        </w:tc>
      </w:tr>
      <w:tr w14:paraId="3B3B7A1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20D124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893" w:type="dxa"/>
          </w:tcPr>
          <w:p w14:paraId="5269A5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93" w:type="dxa"/>
          </w:tcPr>
          <w:p w14:paraId="42D1CDBE">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1BDF61C6">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1F7AD969">
            <w:pPr>
              <w:jc w:val="center"/>
              <w:rPr>
                <w:color w:val="000000" w:themeColor="text1"/>
                <w:szCs w:val="21"/>
                <w14:textFill>
                  <w14:solidFill>
                    <w14:schemeClr w14:val="tx1"/>
                  </w14:solidFill>
                </w14:textFill>
              </w:rPr>
            </w:pPr>
          </w:p>
        </w:tc>
        <w:tc>
          <w:tcPr>
            <w:tcW w:w="892" w:type="dxa"/>
          </w:tcPr>
          <w:p w14:paraId="55CB90C3">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5C6CE37E">
            <w:pPr>
              <w:jc w:val="center"/>
              <w:rPr>
                <w:color w:val="000000" w:themeColor="text1"/>
                <w:szCs w:val="21"/>
                <w14:textFill>
                  <w14:solidFill>
                    <w14:schemeClr w14:val="tx1"/>
                  </w14:solidFill>
                </w14:textFill>
              </w:rPr>
            </w:pPr>
          </w:p>
        </w:tc>
        <w:tc>
          <w:tcPr>
            <w:tcW w:w="892" w:type="dxa"/>
          </w:tcPr>
          <w:p w14:paraId="61DDFBD8">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230D866A">
            <w:pPr>
              <w:jc w:val="center"/>
              <w:rPr>
                <w:color w:val="000000" w:themeColor="text1"/>
                <w:szCs w:val="21"/>
                <w14:textFill>
                  <w14:solidFill>
                    <w14:schemeClr w14:val="tx1"/>
                  </w14:solidFill>
                </w14:textFill>
              </w:rPr>
            </w:pPr>
          </w:p>
        </w:tc>
      </w:tr>
      <w:tr w14:paraId="55D3B99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14C881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893" w:type="dxa"/>
          </w:tcPr>
          <w:p w14:paraId="26D13AEA">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3" w:type="dxa"/>
          </w:tcPr>
          <w:p w14:paraId="46D95AB8">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1D3CE91E">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564F9518">
            <w:pPr>
              <w:jc w:val="center"/>
              <w:rPr>
                <w:color w:val="000000" w:themeColor="text1"/>
                <w:szCs w:val="21"/>
                <w14:textFill>
                  <w14:solidFill>
                    <w14:schemeClr w14:val="tx1"/>
                  </w14:solidFill>
                </w14:textFill>
              </w:rPr>
            </w:pPr>
          </w:p>
        </w:tc>
        <w:tc>
          <w:tcPr>
            <w:tcW w:w="892" w:type="dxa"/>
          </w:tcPr>
          <w:p w14:paraId="51E426E9">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7452C2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0690C381">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0E2EBCB6">
            <w:pPr>
              <w:jc w:val="center"/>
              <w:rPr>
                <w:color w:val="000000" w:themeColor="text1"/>
                <w:szCs w:val="21"/>
                <w14:textFill>
                  <w14:solidFill>
                    <w14:schemeClr w14:val="tx1"/>
                  </w14:solidFill>
                </w14:textFill>
              </w:rPr>
            </w:pPr>
          </w:p>
        </w:tc>
      </w:tr>
      <w:tr w14:paraId="69A0710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3FE225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893" w:type="dxa"/>
          </w:tcPr>
          <w:p w14:paraId="305982CE">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3" w:type="dxa"/>
          </w:tcPr>
          <w:p w14:paraId="5FE05229">
            <w:pPr>
              <w:jc w:val="center"/>
              <w:rPr>
                <w:color w:val="000000" w:themeColor="text1"/>
                <w:szCs w:val="21"/>
                <w14:textFill>
                  <w14:solidFill>
                    <w14:schemeClr w14:val="tx1"/>
                  </w14:solidFill>
                </w14:textFill>
              </w:rPr>
            </w:pPr>
          </w:p>
        </w:tc>
        <w:tc>
          <w:tcPr>
            <w:tcW w:w="892" w:type="dxa"/>
          </w:tcPr>
          <w:p w14:paraId="2666EBED">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5378CD88">
            <w:pPr>
              <w:jc w:val="center"/>
              <w:rPr>
                <w:color w:val="000000" w:themeColor="text1"/>
                <w:szCs w:val="21"/>
                <w14:textFill>
                  <w14:solidFill>
                    <w14:schemeClr w14:val="tx1"/>
                  </w14:solidFill>
                </w14:textFill>
              </w:rPr>
            </w:pPr>
          </w:p>
        </w:tc>
        <w:tc>
          <w:tcPr>
            <w:tcW w:w="892" w:type="dxa"/>
          </w:tcPr>
          <w:p w14:paraId="1CFA2B45">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4E751609">
            <w:pPr>
              <w:jc w:val="center"/>
              <w:rPr>
                <w:color w:val="000000" w:themeColor="text1"/>
                <w:szCs w:val="21"/>
                <w14:textFill>
                  <w14:solidFill>
                    <w14:schemeClr w14:val="tx1"/>
                  </w14:solidFill>
                </w14:textFill>
              </w:rPr>
            </w:pPr>
          </w:p>
        </w:tc>
        <w:tc>
          <w:tcPr>
            <w:tcW w:w="892" w:type="dxa"/>
          </w:tcPr>
          <w:p w14:paraId="19BA7B22">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5BE0D054">
            <w:pPr>
              <w:jc w:val="center"/>
              <w:rPr>
                <w:color w:val="000000" w:themeColor="text1"/>
                <w:szCs w:val="21"/>
                <w14:textFill>
                  <w14:solidFill>
                    <w14:schemeClr w14:val="tx1"/>
                  </w14:solidFill>
                </w14:textFill>
              </w:rPr>
            </w:pPr>
          </w:p>
        </w:tc>
      </w:tr>
      <w:tr w14:paraId="498C6D2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612304E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生态环境</w:t>
            </w:r>
          </w:p>
        </w:tc>
        <w:tc>
          <w:tcPr>
            <w:tcW w:w="893" w:type="dxa"/>
          </w:tcPr>
          <w:p w14:paraId="4E05790E">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3" w:type="dxa"/>
          </w:tcPr>
          <w:p w14:paraId="3926D9C9">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69A65A6B">
            <w:pPr>
              <w:jc w:val="center"/>
              <w:rPr>
                <w:color w:val="000000" w:themeColor="text1"/>
                <w:szCs w:val="21"/>
                <w14:textFill>
                  <w14:solidFill>
                    <w14:schemeClr w14:val="tx1"/>
                  </w14:solidFill>
                </w14:textFill>
              </w:rPr>
            </w:pPr>
          </w:p>
        </w:tc>
        <w:tc>
          <w:tcPr>
            <w:tcW w:w="892" w:type="dxa"/>
          </w:tcPr>
          <w:p w14:paraId="6FAA7A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6C0E3E98">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2751287D">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4F7FD63F">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78767532">
            <w:pPr>
              <w:jc w:val="center"/>
              <w:rPr>
                <w:color w:val="000000" w:themeColor="text1"/>
                <w:szCs w:val="21"/>
                <w14:textFill>
                  <w14:solidFill>
                    <w14:schemeClr w14:val="tx1"/>
                  </w14:solidFill>
                </w14:textFill>
              </w:rPr>
            </w:pPr>
          </w:p>
        </w:tc>
      </w:tr>
      <w:tr w14:paraId="4231C2E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76A2C8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社会环境</w:t>
            </w:r>
          </w:p>
        </w:tc>
        <w:tc>
          <w:tcPr>
            <w:tcW w:w="893" w:type="dxa"/>
          </w:tcPr>
          <w:p w14:paraId="0A4CACFC">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3" w:type="dxa"/>
          </w:tcPr>
          <w:p w14:paraId="7A7607D3">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4EB5BDB9">
            <w:pPr>
              <w:jc w:val="center"/>
              <w:rPr>
                <w:color w:val="000000" w:themeColor="text1"/>
                <w:szCs w:val="21"/>
                <w14:textFill>
                  <w14:solidFill>
                    <w14:schemeClr w14:val="tx1"/>
                  </w14:solidFill>
                </w14:textFill>
              </w:rPr>
            </w:pPr>
          </w:p>
        </w:tc>
        <w:tc>
          <w:tcPr>
            <w:tcW w:w="892" w:type="dxa"/>
          </w:tcPr>
          <w:p w14:paraId="4F1E40E3">
            <w:pPr>
              <w:jc w:val="center"/>
              <w:rPr>
                <w:color w:val="000000" w:themeColor="text1"/>
                <w:szCs w:val="21"/>
                <w14:textFill>
                  <w14:solidFill>
                    <w14:schemeClr w14:val="tx1"/>
                  </w14:solidFill>
                </w14:textFill>
              </w:rPr>
            </w:pPr>
          </w:p>
        </w:tc>
        <w:tc>
          <w:tcPr>
            <w:tcW w:w="892" w:type="dxa"/>
          </w:tcPr>
          <w:p w14:paraId="792240A2">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2A71F162">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10F38C5B">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6B8EAFD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6C13F4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5FBE55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人群环境</w:t>
            </w:r>
          </w:p>
        </w:tc>
        <w:tc>
          <w:tcPr>
            <w:tcW w:w="893" w:type="dxa"/>
          </w:tcPr>
          <w:p w14:paraId="3D43ED4A">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3" w:type="dxa"/>
          </w:tcPr>
          <w:p w14:paraId="47516B5E">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7C8B4E71">
            <w:pPr>
              <w:jc w:val="center"/>
              <w:rPr>
                <w:color w:val="000000" w:themeColor="text1"/>
                <w:szCs w:val="21"/>
                <w14:textFill>
                  <w14:solidFill>
                    <w14:schemeClr w14:val="tx1"/>
                  </w14:solidFill>
                </w14:textFill>
              </w:rPr>
            </w:pPr>
          </w:p>
        </w:tc>
        <w:tc>
          <w:tcPr>
            <w:tcW w:w="892" w:type="dxa"/>
          </w:tcPr>
          <w:p w14:paraId="68720F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2EB43B3D">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3BCDC567">
            <w:pPr>
              <w:jc w:val="center"/>
              <w:rPr>
                <w:color w:val="000000" w:themeColor="text1"/>
                <w:szCs w:val="21"/>
                <w14:textFill>
                  <w14:solidFill>
                    <w14:schemeClr w14:val="tx1"/>
                  </w14:solidFill>
                </w14:textFill>
              </w:rPr>
            </w:pPr>
          </w:p>
        </w:tc>
        <w:tc>
          <w:tcPr>
            <w:tcW w:w="892" w:type="dxa"/>
          </w:tcPr>
          <w:p w14:paraId="237A7510">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892" w:type="dxa"/>
          </w:tcPr>
          <w:p w14:paraId="11E22975">
            <w:pPr>
              <w:jc w:val="center"/>
              <w:rPr>
                <w:color w:val="000000" w:themeColor="text1"/>
                <w:szCs w:val="21"/>
                <w14:textFill>
                  <w14:solidFill>
                    <w14:schemeClr w14:val="tx1"/>
                  </w14:solidFill>
                </w14:textFill>
              </w:rPr>
            </w:pPr>
          </w:p>
        </w:tc>
      </w:tr>
    </w:tbl>
    <w:p w14:paraId="489BA0F8">
      <w:pPr>
        <w:pStyle w:val="57"/>
        <w:ind w:firstLine="480" w:firstLineChars="200"/>
        <w:rPr>
          <w:color w:val="000000" w:themeColor="text1"/>
          <w14:textFill>
            <w14:solidFill>
              <w14:schemeClr w14:val="tx1"/>
            </w14:solidFill>
          </w14:textFill>
        </w:rPr>
      </w:pPr>
      <w:r>
        <w:rPr>
          <w:color w:val="000000" w:themeColor="text1"/>
          <w:szCs w:val="24"/>
          <w14:textFill>
            <w14:solidFill>
              <w14:schemeClr w14:val="tx1"/>
            </w14:solidFill>
          </w14:textFill>
        </w:rPr>
        <w:t>从上述矩阵识别因子表可以看出，建设项目施工期对环境的影响主要是施工废水、固废等对环境的影响。项目运营期对环境的影响主要因子是废水、废气、噪声和固废。</w:t>
      </w:r>
    </w:p>
    <w:p w14:paraId="5678875A">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1.4.2评价因子</w:t>
      </w:r>
      <w:bookmarkEnd w:id="77"/>
      <w:bookmarkEnd w:id="78"/>
    </w:p>
    <w:p w14:paraId="7CBD099F">
      <w:pPr>
        <w:autoSpaceDE w:val="0"/>
        <w:autoSpaceDN w:val="0"/>
        <w:spacing w:line="360" w:lineRule="auto"/>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根据对项目主要环境污染问题的分析结果，筛选出该项目在施工期和运营期的主要评价因子见下表。</w:t>
      </w:r>
    </w:p>
    <w:p w14:paraId="4A4DDE42">
      <w:pPr>
        <w:autoSpaceDE w:val="0"/>
        <w:autoSpaceDN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表1.4-3  项目评价因子</w:t>
      </w:r>
    </w:p>
    <w:tbl>
      <w:tblPr>
        <w:tblStyle w:val="42"/>
        <w:tblW w:w="852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01"/>
        <w:gridCol w:w="5723"/>
      </w:tblGrid>
      <w:tr w14:paraId="2DA5187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799" w:type="dxa"/>
            <w:gridSpan w:val="2"/>
            <w:vAlign w:val="center"/>
          </w:tcPr>
          <w:p w14:paraId="0E3D9F4C">
            <w:pPr>
              <w:jc w:val="center"/>
              <w:rPr>
                <w:b/>
                <w:color w:val="000000" w:themeColor="text1"/>
                <w:szCs w:val="21"/>
                <w14:textFill>
                  <w14:solidFill>
                    <w14:schemeClr w14:val="tx1"/>
                  </w14:solidFill>
                </w14:textFill>
              </w:rPr>
            </w:pPr>
            <w:bookmarkStart w:id="79" w:name="_Toc250447522"/>
            <w:r>
              <w:rPr>
                <w:b/>
                <w:color w:val="000000" w:themeColor="text1"/>
                <w:szCs w:val="21"/>
                <w14:textFill>
                  <w14:solidFill>
                    <w14:schemeClr w14:val="tx1"/>
                  </w14:solidFill>
                </w14:textFill>
              </w:rPr>
              <w:t>项目</w:t>
            </w:r>
            <w:bookmarkEnd w:id="79"/>
          </w:p>
        </w:tc>
        <w:tc>
          <w:tcPr>
            <w:tcW w:w="5723" w:type="dxa"/>
            <w:vAlign w:val="center"/>
          </w:tcPr>
          <w:p w14:paraId="784C9CEE">
            <w:pPr>
              <w:jc w:val="center"/>
              <w:rPr>
                <w:b/>
                <w:color w:val="000000" w:themeColor="text1"/>
                <w:szCs w:val="21"/>
                <w14:textFill>
                  <w14:solidFill>
                    <w14:schemeClr w14:val="tx1"/>
                  </w14:solidFill>
                </w14:textFill>
              </w:rPr>
            </w:pPr>
            <w:bookmarkStart w:id="80" w:name="_Toc250447523"/>
            <w:r>
              <w:rPr>
                <w:b/>
                <w:color w:val="000000" w:themeColor="text1"/>
                <w:szCs w:val="21"/>
                <w14:textFill>
                  <w14:solidFill>
                    <w14:schemeClr w14:val="tx1"/>
                  </w14:solidFill>
                </w14:textFill>
              </w:rPr>
              <w:t>评价因子</w:t>
            </w:r>
            <w:bookmarkEnd w:id="80"/>
          </w:p>
        </w:tc>
      </w:tr>
      <w:tr w14:paraId="1050086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restart"/>
            <w:vAlign w:val="center"/>
          </w:tcPr>
          <w:p w14:paraId="6E0D7AB9">
            <w:pPr>
              <w:jc w:val="center"/>
              <w:rPr>
                <w:color w:val="000000" w:themeColor="text1"/>
                <w:szCs w:val="21"/>
                <w14:textFill>
                  <w14:solidFill>
                    <w14:schemeClr w14:val="tx1"/>
                  </w14:solidFill>
                </w14:textFill>
              </w:rPr>
            </w:pPr>
            <w:bookmarkStart w:id="81" w:name="_Toc250447524"/>
            <w:r>
              <w:rPr>
                <w:color w:val="000000" w:themeColor="text1"/>
                <w:szCs w:val="21"/>
                <w14:textFill>
                  <w14:solidFill>
                    <w14:schemeClr w14:val="tx1"/>
                  </w14:solidFill>
                </w14:textFill>
              </w:rPr>
              <w:t>环境空气</w:t>
            </w:r>
            <w:bookmarkEnd w:id="81"/>
          </w:p>
        </w:tc>
        <w:tc>
          <w:tcPr>
            <w:tcW w:w="1701" w:type="dxa"/>
            <w:vAlign w:val="center"/>
          </w:tcPr>
          <w:p w14:paraId="62E6C105">
            <w:pPr>
              <w:jc w:val="center"/>
              <w:rPr>
                <w:color w:val="000000" w:themeColor="text1"/>
                <w:szCs w:val="21"/>
                <w14:textFill>
                  <w14:solidFill>
                    <w14:schemeClr w14:val="tx1"/>
                  </w14:solidFill>
                </w14:textFill>
              </w:rPr>
            </w:pPr>
            <w:bookmarkStart w:id="82" w:name="_Toc250447525"/>
            <w:r>
              <w:rPr>
                <w:color w:val="000000" w:themeColor="text1"/>
                <w:szCs w:val="21"/>
                <w14:textFill>
                  <w14:solidFill>
                    <w14:schemeClr w14:val="tx1"/>
                  </w14:solidFill>
                </w14:textFill>
              </w:rPr>
              <w:t>现状评价</w:t>
            </w:r>
            <w:bookmarkEnd w:id="82"/>
          </w:p>
        </w:tc>
        <w:tc>
          <w:tcPr>
            <w:tcW w:w="5723" w:type="dxa"/>
            <w:vAlign w:val="center"/>
          </w:tcPr>
          <w:p w14:paraId="0C1C8F4D">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TSP、PM</w:t>
            </w:r>
            <w:r>
              <w:rPr>
                <w:color w:val="000000" w:themeColor="text1"/>
                <w:szCs w:val="21"/>
                <w:vertAlign w:val="subscript"/>
                <w14:textFill>
                  <w14:solidFill>
                    <w14:schemeClr w14:val="tx1"/>
                  </w14:solidFill>
                </w14:textFill>
              </w:rPr>
              <w:t>10</w:t>
            </w: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、非甲烷总烃、PM</w:t>
            </w:r>
            <w:r>
              <w:rPr>
                <w:color w:val="000000" w:themeColor="text1"/>
                <w:szCs w:val="21"/>
                <w:vertAlign w:val="subscript"/>
                <w14:textFill>
                  <w14:solidFill>
                    <w14:schemeClr w14:val="tx1"/>
                  </w14:solidFill>
                </w14:textFill>
              </w:rPr>
              <w:t>2.5</w:t>
            </w:r>
          </w:p>
        </w:tc>
      </w:tr>
      <w:tr w14:paraId="26E6C28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continue"/>
            <w:vAlign w:val="center"/>
          </w:tcPr>
          <w:p w14:paraId="15650126">
            <w:pPr>
              <w:widowControl/>
              <w:jc w:val="center"/>
              <w:rPr>
                <w:color w:val="000000" w:themeColor="text1"/>
                <w:szCs w:val="21"/>
                <w14:textFill>
                  <w14:solidFill>
                    <w14:schemeClr w14:val="tx1"/>
                  </w14:solidFill>
                </w14:textFill>
              </w:rPr>
            </w:pPr>
          </w:p>
        </w:tc>
        <w:tc>
          <w:tcPr>
            <w:tcW w:w="1701" w:type="dxa"/>
            <w:vAlign w:val="center"/>
          </w:tcPr>
          <w:p w14:paraId="0B81F173">
            <w:pPr>
              <w:jc w:val="center"/>
              <w:rPr>
                <w:color w:val="000000" w:themeColor="text1"/>
                <w:szCs w:val="21"/>
                <w14:textFill>
                  <w14:solidFill>
                    <w14:schemeClr w14:val="tx1"/>
                  </w14:solidFill>
                </w14:textFill>
              </w:rPr>
            </w:pPr>
            <w:bookmarkStart w:id="83" w:name="_Toc250447526"/>
            <w:r>
              <w:rPr>
                <w:color w:val="000000" w:themeColor="text1"/>
                <w:szCs w:val="21"/>
                <w14:textFill>
                  <w14:solidFill>
                    <w14:schemeClr w14:val="tx1"/>
                  </w14:solidFill>
                </w14:textFill>
              </w:rPr>
              <w:t>影响分析</w:t>
            </w:r>
            <w:bookmarkEnd w:id="83"/>
          </w:p>
        </w:tc>
        <w:tc>
          <w:tcPr>
            <w:tcW w:w="5723" w:type="dxa"/>
            <w:vAlign w:val="center"/>
          </w:tcPr>
          <w:p w14:paraId="2FDDF23B">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施工期扬尘；运营期PM</w:t>
            </w:r>
            <w:r>
              <w:rPr>
                <w:color w:val="000000" w:themeColor="text1"/>
                <w:szCs w:val="21"/>
                <w:vertAlign w:val="subscript"/>
                <w14:textFill>
                  <w14:solidFill>
                    <w14:schemeClr w14:val="tx1"/>
                  </w14:solidFill>
                </w14:textFill>
              </w:rPr>
              <w:t>10</w:t>
            </w:r>
            <w:r>
              <w:rPr>
                <w:color w:val="000000" w:themeColor="text1"/>
                <w:szCs w:val="21"/>
                <w14:textFill>
                  <w14:solidFill>
                    <w14:schemeClr w14:val="tx1"/>
                  </w14:solidFill>
                </w14:textFill>
              </w:rPr>
              <w:t>、非甲烷总烃</w:t>
            </w:r>
          </w:p>
        </w:tc>
      </w:tr>
      <w:tr w14:paraId="62C3E85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restart"/>
            <w:vAlign w:val="center"/>
          </w:tcPr>
          <w:p w14:paraId="0A00E8A2">
            <w:pPr>
              <w:jc w:val="center"/>
              <w:rPr>
                <w:color w:val="000000" w:themeColor="text1"/>
                <w:szCs w:val="21"/>
                <w14:textFill>
                  <w14:solidFill>
                    <w14:schemeClr w14:val="tx1"/>
                  </w14:solidFill>
                </w14:textFill>
              </w:rPr>
            </w:pPr>
            <w:bookmarkStart w:id="84" w:name="_Toc250447527"/>
            <w:r>
              <w:rPr>
                <w:color w:val="000000" w:themeColor="text1"/>
                <w:szCs w:val="21"/>
                <w14:textFill>
                  <w14:solidFill>
                    <w14:schemeClr w14:val="tx1"/>
                  </w14:solidFill>
                </w14:textFill>
              </w:rPr>
              <w:t>地表水环境</w:t>
            </w:r>
            <w:bookmarkEnd w:id="84"/>
          </w:p>
        </w:tc>
        <w:tc>
          <w:tcPr>
            <w:tcW w:w="1701" w:type="dxa"/>
            <w:vAlign w:val="center"/>
          </w:tcPr>
          <w:p w14:paraId="19D3B35C">
            <w:pPr>
              <w:jc w:val="center"/>
              <w:rPr>
                <w:color w:val="000000" w:themeColor="text1"/>
                <w:szCs w:val="21"/>
                <w14:textFill>
                  <w14:solidFill>
                    <w14:schemeClr w14:val="tx1"/>
                  </w14:solidFill>
                </w14:textFill>
              </w:rPr>
            </w:pPr>
            <w:bookmarkStart w:id="85" w:name="_Toc250447528"/>
            <w:r>
              <w:rPr>
                <w:color w:val="000000" w:themeColor="text1"/>
                <w:szCs w:val="21"/>
                <w14:textFill>
                  <w14:solidFill>
                    <w14:schemeClr w14:val="tx1"/>
                  </w14:solidFill>
                </w14:textFill>
              </w:rPr>
              <w:t>现状评价</w:t>
            </w:r>
            <w:bookmarkEnd w:id="85"/>
          </w:p>
        </w:tc>
        <w:tc>
          <w:tcPr>
            <w:tcW w:w="5723" w:type="dxa"/>
            <w:vAlign w:val="center"/>
          </w:tcPr>
          <w:p w14:paraId="6872D5FE">
            <w:pPr>
              <w:widowControl/>
              <w:ind w:firstLine="420" w:firstLineChars="200"/>
              <w:jc w:val="left"/>
              <w:rPr>
                <w:color w:val="000000" w:themeColor="text1"/>
                <w:kern w:val="0"/>
                <w:szCs w:val="21"/>
                <w14:textFill>
                  <w14:solidFill>
                    <w14:schemeClr w14:val="tx1"/>
                  </w14:solidFill>
                </w14:textFill>
              </w:rPr>
            </w:pPr>
            <w:r>
              <w:rPr>
                <w:color w:val="000000" w:themeColor="text1"/>
                <w14:textFill>
                  <w14:solidFill>
                    <w14:schemeClr w14:val="tx1"/>
                  </w14:solidFill>
                </w14:textFill>
              </w:rPr>
              <w:t>pH、BOD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、溶解氧、SS、氨氮、总氮、总磷、石油类、悬浮物</w:t>
            </w:r>
          </w:p>
        </w:tc>
      </w:tr>
      <w:tr w14:paraId="140E21A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continue"/>
            <w:vAlign w:val="center"/>
          </w:tcPr>
          <w:p w14:paraId="6EE97F27">
            <w:pPr>
              <w:widowControl/>
              <w:jc w:val="center"/>
              <w:rPr>
                <w:color w:val="000000" w:themeColor="text1"/>
                <w:szCs w:val="21"/>
                <w14:textFill>
                  <w14:solidFill>
                    <w14:schemeClr w14:val="tx1"/>
                  </w14:solidFill>
                </w14:textFill>
              </w:rPr>
            </w:pPr>
          </w:p>
        </w:tc>
        <w:tc>
          <w:tcPr>
            <w:tcW w:w="1701" w:type="dxa"/>
            <w:vAlign w:val="center"/>
          </w:tcPr>
          <w:p w14:paraId="054A24E2">
            <w:pPr>
              <w:jc w:val="center"/>
              <w:rPr>
                <w:color w:val="000000" w:themeColor="text1"/>
                <w:szCs w:val="21"/>
                <w14:textFill>
                  <w14:solidFill>
                    <w14:schemeClr w14:val="tx1"/>
                  </w14:solidFill>
                </w14:textFill>
              </w:rPr>
            </w:pPr>
            <w:bookmarkStart w:id="86" w:name="_Toc250447529"/>
            <w:r>
              <w:rPr>
                <w:color w:val="000000" w:themeColor="text1"/>
                <w:szCs w:val="21"/>
                <w14:textFill>
                  <w14:solidFill>
                    <w14:schemeClr w14:val="tx1"/>
                  </w14:solidFill>
                </w14:textFill>
              </w:rPr>
              <w:t>影响分析</w:t>
            </w:r>
            <w:bookmarkEnd w:id="86"/>
          </w:p>
        </w:tc>
        <w:tc>
          <w:tcPr>
            <w:tcW w:w="5723" w:type="dxa"/>
            <w:vAlign w:val="center"/>
          </w:tcPr>
          <w:p w14:paraId="253002AB">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r>
              <w:rPr>
                <w:color w:val="000000" w:themeColor="text1"/>
                <w:szCs w:val="21"/>
                <w14:textFill>
                  <w14:solidFill>
                    <w14:schemeClr w14:val="tx1"/>
                  </w14:solidFill>
                </w14:textFill>
              </w:rPr>
              <w:t>总磷、SS等</w:t>
            </w:r>
          </w:p>
        </w:tc>
      </w:tr>
      <w:tr w14:paraId="528B6C2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restart"/>
            <w:vAlign w:val="center"/>
          </w:tcPr>
          <w:p w14:paraId="242E5C25">
            <w:pPr>
              <w:jc w:val="center"/>
              <w:rPr>
                <w:color w:val="000000" w:themeColor="text1"/>
                <w:szCs w:val="21"/>
                <w14:textFill>
                  <w14:solidFill>
                    <w14:schemeClr w14:val="tx1"/>
                  </w14:solidFill>
                </w14:textFill>
              </w:rPr>
            </w:pPr>
            <w:bookmarkStart w:id="87" w:name="_Toc250447530"/>
            <w:r>
              <w:rPr>
                <w:color w:val="000000" w:themeColor="text1"/>
                <w:szCs w:val="21"/>
                <w14:textFill>
                  <w14:solidFill>
                    <w14:schemeClr w14:val="tx1"/>
                  </w14:solidFill>
                </w14:textFill>
              </w:rPr>
              <w:t>声环境</w:t>
            </w:r>
            <w:bookmarkEnd w:id="87"/>
          </w:p>
        </w:tc>
        <w:tc>
          <w:tcPr>
            <w:tcW w:w="1701" w:type="dxa"/>
            <w:vAlign w:val="center"/>
          </w:tcPr>
          <w:p w14:paraId="50F25E39">
            <w:pPr>
              <w:jc w:val="center"/>
              <w:rPr>
                <w:color w:val="000000" w:themeColor="text1"/>
                <w:szCs w:val="21"/>
                <w14:textFill>
                  <w14:solidFill>
                    <w14:schemeClr w14:val="tx1"/>
                  </w14:solidFill>
                </w14:textFill>
              </w:rPr>
            </w:pPr>
            <w:bookmarkStart w:id="88" w:name="_Toc250447531"/>
            <w:r>
              <w:rPr>
                <w:color w:val="000000" w:themeColor="text1"/>
                <w:szCs w:val="21"/>
                <w14:textFill>
                  <w14:solidFill>
                    <w14:schemeClr w14:val="tx1"/>
                  </w14:solidFill>
                </w14:textFill>
              </w:rPr>
              <w:t>现状评价</w:t>
            </w:r>
            <w:bookmarkEnd w:id="88"/>
          </w:p>
        </w:tc>
        <w:tc>
          <w:tcPr>
            <w:tcW w:w="5723" w:type="dxa"/>
            <w:vMerge w:val="restart"/>
            <w:vAlign w:val="center"/>
          </w:tcPr>
          <w:p w14:paraId="75DFEFC9">
            <w:pPr>
              <w:widowControl/>
              <w:ind w:firstLine="420" w:firstLineChars="200"/>
              <w:jc w:val="left"/>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Leq(A)</w:t>
            </w:r>
          </w:p>
        </w:tc>
      </w:tr>
      <w:tr w14:paraId="4766EAF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continue"/>
            <w:vAlign w:val="center"/>
          </w:tcPr>
          <w:p w14:paraId="6DFC7D2D">
            <w:pPr>
              <w:widowControl/>
              <w:jc w:val="center"/>
              <w:rPr>
                <w:color w:val="000000" w:themeColor="text1"/>
                <w:szCs w:val="21"/>
                <w14:textFill>
                  <w14:solidFill>
                    <w14:schemeClr w14:val="tx1"/>
                  </w14:solidFill>
                </w14:textFill>
              </w:rPr>
            </w:pPr>
          </w:p>
        </w:tc>
        <w:tc>
          <w:tcPr>
            <w:tcW w:w="1701" w:type="dxa"/>
            <w:vAlign w:val="center"/>
          </w:tcPr>
          <w:p w14:paraId="28B9AECF">
            <w:pPr>
              <w:jc w:val="center"/>
              <w:rPr>
                <w:color w:val="000000" w:themeColor="text1"/>
                <w:szCs w:val="21"/>
                <w14:textFill>
                  <w14:solidFill>
                    <w14:schemeClr w14:val="tx1"/>
                  </w14:solidFill>
                </w14:textFill>
              </w:rPr>
            </w:pPr>
            <w:bookmarkStart w:id="89" w:name="_Toc250447532"/>
            <w:r>
              <w:rPr>
                <w:color w:val="000000" w:themeColor="text1"/>
                <w:szCs w:val="21"/>
                <w14:textFill>
                  <w14:solidFill>
                    <w14:schemeClr w14:val="tx1"/>
                  </w14:solidFill>
                </w14:textFill>
              </w:rPr>
              <w:t>影响分析</w:t>
            </w:r>
            <w:bookmarkEnd w:id="89"/>
          </w:p>
        </w:tc>
        <w:tc>
          <w:tcPr>
            <w:tcW w:w="5723" w:type="dxa"/>
            <w:vMerge w:val="continue"/>
            <w:vAlign w:val="center"/>
          </w:tcPr>
          <w:p w14:paraId="7E23D0D8">
            <w:pPr>
              <w:widowControl/>
              <w:ind w:firstLine="420" w:firstLineChars="200"/>
              <w:jc w:val="left"/>
              <w:rPr>
                <w:color w:val="000000" w:themeColor="text1"/>
                <w:kern w:val="0"/>
                <w:szCs w:val="21"/>
                <w14:textFill>
                  <w14:solidFill>
                    <w14:schemeClr w14:val="tx1"/>
                  </w14:solidFill>
                </w14:textFill>
              </w:rPr>
            </w:pPr>
          </w:p>
        </w:tc>
      </w:tr>
      <w:tr w14:paraId="74F7FC9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Align w:val="center"/>
          </w:tcPr>
          <w:p w14:paraId="5EF217D2">
            <w:pPr>
              <w:jc w:val="center"/>
              <w:rPr>
                <w:color w:val="000000" w:themeColor="text1"/>
                <w:szCs w:val="21"/>
                <w14:textFill>
                  <w14:solidFill>
                    <w14:schemeClr w14:val="tx1"/>
                  </w14:solidFill>
                </w14:textFill>
              </w:rPr>
            </w:pPr>
            <w:bookmarkStart w:id="90" w:name="_Toc250447533"/>
            <w:r>
              <w:rPr>
                <w:color w:val="000000" w:themeColor="text1"/>
                <w:szCs w:val="21"/>
                <w14:textFill>
                  <w14:solidFill>
                    <w14:schemeClr w14:val="tx1"/>
                  </w14:solidFill>
                </w14:textFill>
              </w:rPr>
              <w:t>固体废弃物</w:t>
            </w:r>
            <w:bookmarkEnd w:id="90"/>
          </w:p>
        </w:tc>
        <w:tc>
          <w:tcPr>
            <w:tcW w:w="1701" w:type="dxa"/>
            <w:vAlign w:val="center"/>
          </w:tcPr>
          <w:p w14:paraId="444D3958">
            <w:pPr>
              <w:jc w:val="center"/>
              <w:rPr>
                <w:color w:val="000000" w:themeColor="text1"/>
                <w:szCs w:val="21"/>
                <w14:textFill>
                  <w14:solidFill>
                    <w14:schemeClr w14:val="tx1"/>
                  </w14:solidFill>
                </w14:textFill>
              </w:rPr>
            </w:pPr>
            <w:bookmarkStart w:id="91" w:name="_Toc250447534"/>
            <w:r>
              <w:rPr>
                <w:color w:val="000000" w:themeColor="text1"/>
                <w:szCs w:val="21"/>
                <w14:textFill>
                  <w14:solidFill>
                    <w14:schemeClr w14:val="tx1"/>
                  </w14:solidFill>
                </w14:textFill>
              </w:rPr>
              <w:t>影响评价</w:t>
            </w:r>
            <w:bookmarkEnd w:id="91"/>
          </w:p>
        </w:tc>
        <w:tc>
          <w:tcPr>
            <w:tcW w:w="5723" w:type="dxa"/>
            <w:vAlign w:val="center"/>
          </w:tcPr>
          <w:p w14:paraId="69550A07">
            <w:pPr>
              <w:widowControl/>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施工期：生活垃圾、建筑垃圾；</w:t>
            </w:r>
          </w:p>
          <w:p w14:paraId="62B0023C">
            <w:pPr>
              <w:widowControl/>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运营期：一般工业固废、生活垃圾、危险废物</w:t>
            </w:r>
          </w:p>
        </w:tc>
      </w:tr>
      <w:tr w14:paraId="4134088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restart"/>
            <w:vAlign w:val="center"/>
          </w:tcPr>
          <w:p w14:paraId="610093BE">
            <w:pPr>
              <w:jc w:val="center"/>
              <w:rPr>
                <w:color w:val="000000" w:themeColor="text1"/>
                <w:szCs w:val="21"/>
                <w14:textFill>
                  <w14:solidFill>
                    <w14:schemeClr w14:val="tx1"/>
                  </w14:solidFill>
                </w14:textFill>
              </w:rPr>
            </w:pPr>
            <w:bookmarkStart w:id="92" w:name="_Toc250447535"/>
            <w:r>
              <w:rPr>
                <w:color w:val="000000" w:themeColor="text1"/>
                <w:szCs w:val="21"/>
                <w14:textFill>
                  <w14:solidFill>
                    <w14:schemeClr w14:val="tx1"/>
                  </w14:solidFill>
                </w14:textFill>
              </w:rPr>
              <w:t>生态</w:t>
            </w:r>
            <w:bookmarkEnd w:id="92"/>
          </w:p>
        </w:tc>
        <w:tc>
          <w:tcPr>
            <w:tcW w:w="1701" w:type="dxa"/>
            <w:vAlign w:val="center"/>
          </w:tcPr>
          <w:p w14:paraId="47E99691">
            <w:pPr>
              <w:jc w:val="center"/>
              <w:rPr>
                <w:color w:val="000000" w:themeColor="text1"/>
                <w:szCs w:val="21"/>
                <w14:textFill>
                  <w14:solidFill>
                    <w14:schemeClr w14:val="tx1"/>
                  </w14:solidFill>
                </w14:textFill>
              </w:rPr>
            </w:pPr>
            <w:bookmarkStart w:id="93" w:name="_Toc250447536"/>
            <w:r>
              <w:rPr>
                <w:color w:val="000000" w:themeColor="text1"/>
                <w:szCs w:val="21"/>
                <w14:textFill>
                  <w14:solidFill>
                    <w14:schemeClr w14:val="tx1"/>
                  </w14:solidFill>
                </w14:textFill>
              </w:rPr>
              <w:t>现状评价</w:t>
            </w:r>
            <w:bookmarkEnd w:id="93"/>
          </w:p>
        </w:tc>
        <w:tc>
          <w:tcPr>
            <w:tcW w:w="5723" w:type="dxa"/>
            <w:vMerge w:val="restart"/>
            <w:vAlign w:val="center"/>
          </w:tcPr>
          <w:p w14:paraId="1E128B89">
            <w:pPr>
              <w:widowControl/>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动植物、土地利用等</w:t>
            </w:r>
          </w:p>
        </w:tc>
      </w:tr>
      <w:tr w14:paraId="421AB65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continue"/>
            <w:vAlign w:val="center"/>
          </w:tcPr>
          <w:p w14:paraId="72C33FCC">
            <w:pPr>
              <w:widowControl/>
              <w:jc w:val="center"/>
              <w:rPr>
                <w:color w:val="000000" w:themeColor="text1"/>
                <w:szCs w:val="21"/>
                <w14:textFill>
                  <w14:solidFill>
                    <w14:schemeClr w14:val="tx1"/>
                  </w14:solidFill>
                </w14:textFill>
              </w:rPr>
            </w:pPr>
          </w:p>
        </w:tc>
        <w:tc>
          <w:tcPr>
            <w:tcW w:w="1701" w:type="dxa"/>
            <w:vAlign w:val="center"/>
          </w:tcPr>
          <w:p w14:paraId="72841799">
            <w:pPr>
              <w:jc w:val="center"/>
              <w:rPr>
                <w:color w:val="000000" w:themeColor="text1"/>
                <w:szCs w:val="21"/>
                <w14:textFill>
                  <w14:solidFill>
                    <w14:schemeClr w14:val="tx1"/>
                  </w14:solidFill>
                </w14:textFill>
              </w:rPr>
            </w:pPr>
            <w:bookmarkStart w:id="94" w:name="_Toc250447537"/>
            <w:r>
              <w:rPr>
                <w:color w:val="000000" w:themeColor="text1"/>
                <w:szCs w:val="21"/>
                <w14:textFill>
                  <w14:solidFill>
                    <w14:schemeClr w14:val="tx1"/>
                  </w14:solidFill>
                </w14:textFill>
              </w:rPr>
              <w:t>影响评价</w:t>
            </w:r>
            <w:bookmarkEnd w:id="94"/>
          </w:p>
        </w:tc>
        <w:tc>
          <w:tcPr>
            <w:tcW w:w="5723" w:type="dxa"/>
            <w:vMerge w:val="continue"/>
            <w:vAlign w:val="center"/>
          </w:tcPr>
          <w:p w14:paraId="648F3AD3">
            <w:pPr>
              <w:widowControl/>
              <w:jc w:val="left"/>
              <w:rPr>
                <w:color w:val="000000" w:themeColor="text1"/>
                <w:kern w:val="0"/>
                <w:szCs w:val="21"/>
                <w14:textFill>
                  <w14:solidFill>
                    <w14:schemeClr w14:val="tx1"/>
                  </w14:solidFill>
                </w14:textFill>
              </w:rPr>
            </w:pPr>
          </w:p>
        </w:tc>
      </w:tr>
      <w:bookmarkEnd w:id="62"/>
      <w:bookmarkEnd w:id="63"/>
      <w:bookmarkEnd w:id="64"/>
      <w:bookmarkEnd w:id="65"/>
      <w:bookmarkEnd w:id="66"/>
      <w:bookmarkEnd w:id="67"/>
    </w:tbl>
    <w:p w14:paraId="6884180A">
      <w:pPr>
        <w:pStyle w:val="4"/>
        <w:rPr>
          <w:rFonts w:ascii="Times New Roman" w:hAnsi="Times New Roman"/>
          <w:color w:val="000000" w:themeColor="text1"/>
          <w14:textFill>
            <w14:solidFill>
              <w14:schemeClr w14:val="tx1"/>
            </w14:solidFill>
          </w14:textFill>
        </w:rPr>
      </w:pPr>
      <w:bookmarkStart w:id="95" w:name="_Toc2773732"/>
      <w:bookmarkStart w:id="96" w:name="_Toc362393090"/>
      <w:bookmarkStart w:id="97" w:name="_Toc362393091"/>
      <w:bookmarkStart w:id="98" w:name="_Toc360004798"/>
      <w:bookmarkStart w:id="99" w:name="_Toc226540123"/>
      <w:bookmarkStart w:id="100" w:name="_Toc362393093"/>
      <w:bookmarkStart w:id="101" w:name="_Toc290295722"/>
      <w:bookmarkStart w:id="102" w:name="_Toc230393131"/>
      <w:bookmarkStart w:id="103" w:name="_Toc280621024"/>
      <w:bookmarkStart w:id="104" w:name="_Toc226861723"/>
      <w:bookmarkStart w:id="105" w:name="_Toc226540392"/>
      <w:r>
        <w:rPr>
          <w:rFonts w:ascii="Times New Roman" w:hAnsi="Times New Roman"/>
          <w:color w:val="000000" w:themeColor="text1"/>
          <w14:textFill>
            <w14:solidFill>
              <w14:schemeClr w14:val="tx1"/>
            </w14:solidFill>
          </w14:textFill>
        </w:rPr>
        <w:t>1.5评价等级、评价重点</w:t>
      </w:r>
      <w:bookmarkEnd w:id="95"/>
      <w:bookmarkEnd w:id="96"/>
    </w:p>
    <w:p w14:paraId="7B5A759F">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1.5.1评价等级</w:t>
      </w:r>
      <w:bookmarkEnd w:id="97"/>
      <w:bookmarkEnd w:id="98"/>
    </w:p>
    <w:p w14:paraId="1E1489A5">
      <w:pPr>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（1）大气环境影响评价等级</w:t>
      </w:r>
    </w:p>
    <w:p w14:paraId="6AAA47DE">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本项目工程情况，本项目其中主要污染物为造粒过程中产生的废气（颗粒物、非甲烷总烃）。根据HJ2.2-2018《环境影响评价技术导则-大气环境》推荐的估算模式（AERSCREEN），估算结果见表1.5-2。最大占标率计算公式如下：</w:t>
      </w:r>
    </w:p>
    <w:p w14:paraId="3CCF00AD">
      <w:pPr>
        <w:spacing w:line="360" w:lineRule="auto"/>
        <w:ind w:firstLine="480"/>
        <w:jc w:val="center"/>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P</w:t>
      </w:r>
      <w:r>
        <w:rPr>
          <w:b/>
          <w:color w:val="000000" w:themeColor="text1"/>
          <w:sz w:val="30"/>
          <w:szCs w:val="30"/>
          <w:vertAlign w:val="subscript"/>
          <w14:textFill>
            <w14:solidFill>
              <w14:schemeClr w14:val="tx1"/>
            </w14:solidFill>
          </w14:textFill>
        </w:rPr>
        <w:t>i</w:t>
      </w:r>
      <w:r>
        <w:rPr>
          <w:b/>
          <w:color w:val="000000" w:themeColor="text1"/>
          <w:sz w:val="30"/>
          <w:szCs w:val="30"/>
          <w14:textFill>
            <w14:solidFill>
              <w14:schemeClr w14:val="tx1"/>
            </w14:solidFill>
          </w14:textFill>
        </w:rPr>
        <w:t>＝(C</w:t>
      </w:r>
      <w:r>
        <w:rPr>
          <w:b/>
          <w:color w:val="000000" w:themeColor="text1"/>
          <w:sz w:val="30"/>
          <w:szCs w:val="30"/>
          <w:vertAlign w:val="subscript"/>
          <w14:textFill>
            <w14:solidFill>
              <w14:schemeClr w14:val="tx1"/>
            </w14:solidFill>
          </w14:textFill>
        </w:rPr>
        <w:t>i</w:t>
      </w:r>
      <w:r>
        <w:rPr>
          <w:b/>
          <w:color w:val="000000" w:themeColor="text1"/>
          <w:sz w:val="30"/>
          <w:szCs w:val="30"/>
          <w14:textFill>
            <w14:solidFill>
              <w14:schemeClr w14:val="tx1"/>
            </w14:solidFill>
          </w14:textFill>
        </w:rPr>
        <w:t>/C</w:t>
      </w:r>
      <w:r>
        <w:rPr>
          <w:b/>
          <w:color w:val="000000" w:themeColor="text1"/>
          <w:sz w:val="30"/>
          <w:szCs w:val="30"/>
          <w:vertAlign w:val="subscript"/>
          <w14:textFill>
            <w14:solidFill>
              <w14:schemeClr w14:val="tx1"/>
            </w14:solidFill>
          </w14:textFill>
        </w:rPr>
        <w:t>0i</w:t>
      </w:r>
      <w:r>
        <w:rPr>
          <w:b/>
          <w:color w:val="000000" w:themeColor="text1"/>
          <w:sz w:val="30"/>
          <w:szCs w:val="30"/>
          <w14:textFill>
            <w14:solidFill>
              <w14:schemeClr w14:val="tx1"/>
            </w14:solidFill>
          </w14:textFill>
        </w:rPr>
        <w:t>)×100%</w:t>
      </w:r>
    </w:p>
    <w:p w14:paraId="0C84CFB5">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式中：P</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 第i个污染物的最大地面质量浓度占标率，%；</w:t>
      </w:r>
    </w:p>
    <w:p w14:paraId="52548047">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 xml:space="preserve"> — 采用估算模式计算出的第i个污染物的最大地面质量浓度，mg/m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7FC5D050">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0i</w:t>
      </w:r>
      <w:r>
        <w:rPr>
          <w:color w:val="000000" w:themeColor="text1"/>
          <w:sz w:val="24"/>
          <w14:textFill>
            <w14:solidFill>
              <w14:schemeClr w14:val="tx1"/>
            </w14:solidFill>
          </w14:textFill>
        </w:rPr>
        <w:t>— 第i个污染物的环境空气质量浓度标准，mg/m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346B4C7A">
      <w:pPr>
        <w:spacing w:line="360" w:lineRule="auto"/>
        <w:ind w:firstLine="600" w:firstLineChars="250"/>
        <w:rPr>
          <w:b/>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根据《环境影响评价技术导则-大气环境》（HJ2.2-2018），占标率确定评价等级，一级评价Pmax≥10%，二级评价1%≤Pmax＜10%，三级Pmax＜1%，大气评价等级划分见表1.5-1。</w:t>
      </w:r>
    </w:p>
    <w:p w14:paraId="26D32E7F">
      <w:pPr>
        <w:autoSpaceDE w:val="0"/>
        <w:autoSpaceDN w:val="0"/>
        <w:jc w:val="center"/>
        <w:rPr>
          <w:b/>
          <w:color w:val="000000" w:themeColor="text1"/>
          <w:sz w:val="24"/>
          <w14:textFill>
            <w14:solidFill>
              <w14:schemeClr w14:val="tx1"/>
            </w14:solidFill>
          </w14:textFill>
        </w:rPr>
      </w:pPr>
    </w:p>
    <w:p w14:paraId="255E8C14">
      <w:pPr>
        <w:autoSpaceDE w:val="0"/>
        <w:autoSpaceDN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表1.5-1  环境空气评价等级划分</w:t>
      </w:r>
    </w:p>
    <w:tbl>
      <w:tblPr>
        <w:tblStyle w:val="42"/>
        <w:tblW w:w="8522"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47"/>
        <w:gridCol w:w="6875"/>
      </w:tblGrid>
      <w:tr w14:paraId="1FB7C6B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47" w:type="dxa"/>
            <w:vAlign w:val="center"/>
          </w:tcPr>
          <w:p w14:paraId="3591FC63">
            <w:pPr>
              <w:ind w:firstLine="422"/>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工作等级</w:t>
            </w:r>
          </w:p>
        </w:tc>
        <w:tc>
          <w:tcPr>
            <w:tcW w:w="6875" w:type="dxa"/>
            <w:vAlign w:val="center"/>
          </w:tcPr>
          <w:p w14:paraId="33DA8BAA">
            <w:pPr>
              <w:ind w:firstLine="422"/>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评价工作分级判据</w:t>
            </w:r>
          </w:p>
        </w:tc>
      </w:tr>
      <w:tr w14:paraId="7F37BDA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47" w:type="dxa"/>
            <w:vAlign w:val="center"/>
          </w:tcPr>
          <w:p w14:paraId="2DCFE8A7">
            <w:pPr>
              <w:ind w:firstLine="422"/>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一级</w:t>
            </w:r>
          </w:p>
        </w:tc>
        <w:tc>
          <w:tcPr>
            <w:tcW w:w="6875" w:type="dxa"/>
          </w:tcPr>
          <w:p w14:paraId="206AFEFB">
            <w:pPr>
              <w:pStyle w:val="281"/>
              <w:ind w:left="105" w:leftChars="5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i/>
                <w:color w:val="000000" w:themeColor="text1"/>
                <w:position w:val="2"/>
                <w:sz w:val="21"/>
                <w14:textFill>
                  <w14:solidFill>
                    <w14:schemeClr w14:val="tx1"/>
                  </w14:solidFill>
                </w14:textFill>
              </w:rPr>
              <w:t>P</w:t>
            </w:r>
            <w:r>
              <w:rPr>
                <w:rFonts w:ascii="Times New Roman" w:hAnsi="Times New Roman" w:cs="Times New Roman"/>
                <w:color w:val="000000" w:themeColor="text1"/>
                <w:sz w:val="14"/>
                <w14:textFill>
                  <w14:solidFill>
                    <w14:schemeClr w14:val="tx1"/>
                  </w14:solidFill>
                </w14:textFill>
              </w:rPr>
              <w:t xml:space="preserve">max  </w:t>
            </w:r>
            <w:r>
              <w:rPr>
                <w:rFonts w:ascii="Times New Roman" w:hAnsi="Times New Roman" w:cs="Times New Roman"/>
                <w:color w:val="000000" w:themeColor="text1"/>
                <w:position w:val="2"/>
                <w:sz w:val="21"/>
                <w14:textFill>
                  <w14:solidFill>
                    <w14:schemeClr w14:val="tx1"/>
                  </w14:solidFill>
                </w14:textFill>
              </w:rPr>
              <w:t>≥ 10%</w:t>
            </w:r>
          </w:p>
        </w:tc>
      </w:tr>
      <w:tr w14:paraId="24E4358F">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47" w:type="dxa"/>
            <w:vAlign w:val="center"/>
          </w:tcPr>
          <w:p w14:paraId="74269529">
            <w:pPr>
              <w:ind w:firstLine="422"/>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二级</w:t>
            </w:r>
          </w:p>
        </w:tc>
        <w:tc>
          <w:tcPr>
            <w:tcW w:w="6875" w:type="dxa"/>
          </w:tcPr>
          <w:p w14:paraId="1FAA5472">
            <w:pPr>
              <w:pStyle w:val="281"/>
              <w:ind w:left="105" w:leftChars="50"/>
              <w:jc w:val="center"/>
              <w:rPr>
                <w:rFonts w:ascii="Times New Roman" w:hAnsi="Times New Roman" w:eastAsia="Times New Roman" w:cs="Times New Roman"/>
                <w:color w:val="000000" w:themeColor="text1"/>
                <w:sz w:val="21"/>
                <w14:textFill>
                  <w14:solidFill>
                    <w14:schemeClr w14:val="tx1"/>
                  </w14:solidFill>
                </w14:textFill>
              </w:rPr>
            </w:pPr>
            <w:r>
              <w:rPr>
                <w:rFonts w:ascii="Times New Roman" w:hAnsi="Times New Roman" w:eastAsia="Times New Roman" w:cs="Times New Roman"/>
                <w:color w:val="000000" w:themeColor="text1"/>
                <w:position w:val="2"/>
                <w:sz w:val="21"/>
                <w14:textFill>
                  <w14:solidFill>
                    <w14:schemeClr w14:val="tx1"/>
                  </w14:solidFill>
                </w14:textFill>
              </w:rPr>
              <w:t xml:space="preserve">1%  </w:t>
            </w:r>
            <w:r>
              <w:rPr>
                <w:rFonts w:ascii="Times New Roman" w:hAnsi="Times New Roman" w:cs="Times New Roman"/>
                <w:color w:val="000000" w:themeColor="text1"/>
                <w:position w:val="2"/>
                <w:sz w:val="21"/>
                <w14:textFill>
                  <w14:solidFill>
                    <w14:schemeClr w14:val="tx1"/>
                  </w14:solidFill>
                </w14:textFill>
              </w:rPr>
              <w:t xml:space="preserve">≤ </w:t>
            </w:r>
            <w:r>
              <w:rPr>
                <w:rFonts w:ascii="Times New Roman" w:hAnsi="Times New Roman" w:eastAsia="Times New Roman" w:cs="Times New Roman"/>
                <w:i/>
                <w:color w:val="000000" w:themeColor="text1"/>
                <w:position w:val="2"/>
                <w:sz w:val="21"/>
                <w14:textFill>
                  <w14:solidFill>
                    <w14:schemeClr w14:val="tx1"/>
                  </w14:solidFill>
                </w14:textFill>
              </w:rPr>
              <w:t>P</w:t>
            </w:r>
            <w:r>
              <w:rPr>
                <w:rFonts w:ascii="Times New Roman" w:hAnsi="Times New Roman" w:eastAsia="Times New Roman" w:cs="Times New Roman"/>
                <w:color w:val="000000" w:themeColor="text1"/>
                <w:sz w:val="14"/>
                <w14:textFill>
                  <w14:solidFill>
                    <w14:schemeClr w14:val="tx1"/>
                  </w14:solidFill>
                </w14:textFill>
              </w:rPr>
              <w:t xml:space="preserve">max   </w:t>
            </w:r>
            <w:r>
              <w:rPr>
                <w:rFonts w:ascii="Times New Roman" w:hAnsi="Times New Roman" w:cs="Times New Roman"/>
                <w:color w:val="000000" w:themeColor="text1"/>
                <w:position w:val="2"/>
                <w:sz w:val="21"/>
                <w14:textFill>
                  <w14:solidFill>
                    <w14:schemeClr w14:val="tx1"/>
                  </w14:solidFill>
                </w14:textFill>
              </w:rPr>
              <w:t xml:space="preserve">＜ </w:t>
            </w:r>
            <w:r>
              <w:rPr>
                <w:rFonts w:ascii="Times New Roman" w:hAnsi="Times New Roman" w:eastAsia="Times New Roman" w:cs="Times New Roman"/>
                <w:color w:val="000000" w:themeColor="text1"/>
                <w:position w:val="2"/>
                <w:sz w:val="21"/>
                <w14:textFill>
                  <w14:solidFill>
                    <w14:schemeClr w14:val="tx1"/>
                  </w14:solidFill>
                </w14:textFill>
              </w:rPr>
              <w:t>10%</w:t>
            </w:r>
          </w:p>
        </w:tc>
      </w:tr>
      <w:tr w14:paraId="345DC71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47" w:type="dxa"/>
            <w:vAlign w:val="center"/>
          </w:tcPr>
          <w:p w14:paraId="5059871F">
            <w:pPr>
              <w:ind w:firstLine="422"/>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三级</w:t>
            </w:r>
          </w:p>
        </w:tc>
        <w:tc>
          <w:tcPr>
            <w:tcW w:w="6875" w:type="dxa"/>
          </w:tcPr>
          <w:p w14:paraId="738BF97A">
            <w:pPr>
              <w:pStyle w:val="281"/>
              <w:ind w:left="105" w:leftChars="50"/>
              <w:jc w:val="center"/>
              <w:rPr>
                <w:rFonts w:ascii="Times New Roman" w:hAnsi="Times New Roman" w:eastAsia="Times New Roman" w:cs="Times New Roman"/>
                <w:color w:val="000000" w:themeColor="text1"/>
                <w:sz w:val="21"/>
                <w14:textFill>
                  <w14:solidFill>
                    <w14:schemeClr w14:val="tx1"/>
                  </w14:solidFill>
                </w14:textFill>
              </w:rPr>
            </w:pPr>
            <w:r>
              <w:rPr>
                <w:rFonts w:ascii="Times New Roman" w:hAnsi="Times New Roman" w:eastAsia="Times New Roman" w:cs="Times New Roman"/>
                <w:i/>
                <w:color w:val="000000" w:themeColor="text1"/>
                <w:position w:val="2"/>
                <w:sz w:val="21"/>
                <w14:textFill>
                  <w14:solidFill>
                    <w14:schemeClr w14:val="tx1"/>
                  </w14:solidFill>
                </w14:textFill>
              </w:rPr>
              <w:t>P</w:t>
            </w:r>
            <w:r>
              <w:rPr>
                <w:rFonts w:ascii="Times New Roman" w:hAnsi="Times New Roman" w:eastAsia="Times New Roman" w:cs="Times New Roman"/>
                <w:color w:val="000000" w:themeColor="text1"/>
                <w:sz w:val="14"/>
                <w14:textFill>
                  <w14:solidFill>
                    <w14:schemeClr w14:val="tx1"/>
                  </w14:solidFill>
                </w14:textFill>
              </w:rPr>
              <w:t xml:space="preserve">max   </w:t>
            </w:r>
            <w:r>
              <w:rPr>
                <w:rFonts w:ascii="Times New Roman" w:hAnsi="Times New Roman" w:cs="Times New Roman"/>
                <w:color w:val="000000" w:themeColor="text1"/>
                <w:position w:val="2"/>
                <w:sz w:val="21"/>
                <w14:textFill>
                  <w14:solidFill>
                    <w14:schemeClr w14:val="tx1"/>
                  </w14:solidFill>
                </w14:textFill>
              </w:rPr>
              <w:t xml:space="preserve">＜ </w:t>
            </w:r>
            <w:r>
              <w:rPr>
                <w:rFonts w:ascii="Times New Roman" w:hAnsi="Times New Roman" w:eastAsia="Times New Roman" w:cs="Times New Roman"/>
                <w:color w:val="000000" w:themeColor="text1"/>
                <w:position w:val="2"/>
                <w:sz w:val="21"/>
                <w14:textFill>
                  <w14:solidFill>
                    <w14:schemeClr w14:val="tx1"/>
                  </w14:solidFill>
                </w14:textFill>
              </w:rPr>
              <w:t>1%</w:t>
            </w:r>
          </w:p>
        </w:tc>
      </w:tr>
    </w:tbl>
    <w:p w14:paraId="48B7FCC0">
      <w:pPr>
        <w:autoSpaceDE w:val="0"/>
        <w:autoSpaceDN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表1.5-2   大气评级等级估算模式计算表</w:t>
      </w:r>
    </w:p>
    <w:tbl>
      <w:tblPr>
        <w:tblStyle w:val="42"/>
        <w:tblW w:w="5000"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3123"/>
        <w:gridCol w:w="2129"/>
        <w:gridCol w:w="1134"/>
        <w:gridCol w:w="1467"/>
      </w:tblGrid>
      <w:tr w14:paraId="4952EFD5">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96" w:type="pct"/>
            <w:vAlign w:val="center"/>
          </w:tcPr>
          <w:p w14:paraId="7BD7E42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831" w:type="pct"/>
            <w:vAlign w:val="center"/>
          </w:tcPr>
          <w:p w14:paraId="62D95BC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污染源</w:t>
            </w:r>
          </w:p>
        </w:tc>
        <w:tc>
          <w:tcPr>
            <w:tcW w:w="1248" w:type="pct"/>
            <w:vAlign w:val="center"/>
          </w:tcPr>
          <w:p w14:paraId="1E41BBE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最大贡献浓度（mg/m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665" w:type="pct"/>
            <w:vAlign w:val="center"/>
          </w:tcPr>
          <w:p w14:paraId="56A2CB5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P</w:t>
            </w:r>
            <w:r>
              <w:rPr>
                <w:b/>
                <w:color w:val="000000" w:themeColor="text1"/>
                <w:szCs w:val="21"/>
                <w:vertAlign w:val="subscript"/>
                <w14:textFill>
                  <w14:solidFill>
                    <w14:schemeClr w14:val="tx1"/>
                  </w14:solidFill>
                </w14:textFill>
              </w:rPr>
              <w:t>max</w:t>
            </w:r>
            <w:r>
              <w:rPr>
                <w:b/>
                <w:color w:val="000000" w:themeColor="text1"/>
                <w:szCs w:val="21"/>
                <w14:textFill>
                  <w14:solidFill>
                    <w14:schemeClr w14:val="tx1"/>
                  </w14:solidFill>
                </w14:textFill>
              </w:rPr>
              <w:t>（%）</w:t>
            </w:r>
          </w:p>
        </w:tc>
        <w:tc>
          <w:tcPr>
            <w:tcW w:w="860" w:type="pct"/>
            <w:vAlign w:val="center"/>
          </w:tcPr>
          <w:p w14:paraId="2402A21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距污染源中心距离(m)</w:t>
            </w:r>
          </w:p>
        </w:tc>
      </w:tr>
      <w:tr w14:paraId="69F1D12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restart"/>
            <w:vAlign w:val="center"/>
          </w:tcPr>
          <w:p w14:paraId="32B665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1831" w:type="pct"/>
            <w:vAlign w:val="center"/>
          </w:tcPr>
          <w:p w14:paraId="48B5F17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颗粒物（TSP）</w:t>
            </w:r>
          </w:p>
        </w:tc>
        <w:tc>
          <w:tcPr>
            <w:tcW w:w="1248" w:type="pct"/>
            <w:vAlign w:val="bottom"/>
          </w:tcPr>
          <w:p w14:paraId="6E9138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0.000108</w:t>
            </w:r>
          </w:p>
        </w:tc>
        <w:tc>
          <w:tcPr>
            <w:tcW w:w="665" w:type="pct"/>
            <w:vAlign w:val="bottom"/>
          </w:tcPr>
          <w:p w14:paraId="19A9BED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860" w:type="pct"/>
            <w:vMerge w:val="restart"/>
            <w:vAlign w:val="center"/>
          </w:tcPr>
          <w:p w14:paraId="26B4E8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196</w:t>
            </w:r>
          </w:p>
        </w:tc>
      </w:tr>
      <w:tr w14:paraId="2F2F8C6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78A661D9">
            <w:pPr>
              <w:jc w:val="center"/>
              <w:rPr>
                <w:color w:val="000000" w:themeColor="text1"/>
                <w:szCs w:val="21"/>
                <w14:textFill>
                  <w14:solidFill>
                    <w14:schemeClr w14:val="tx1"/>
                  </w14:solidFill>
                </w14:textFill>
              </w:rPr>
            </w:pPr>
          </w:p>
        </w:tc>
        <w:tc>
          <w:tcPr>
            <w:tcW w:w="1831" w:type="pct"/>
            <w:vAlign w:val="center"/>
          </w:tcPr>
          <w:p w14:paraId="345845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248" w:type="pct"/>
            <w:vAlign w:val="bottom"/>
          </w:tcPr>
          <w:p w14:paraId="610EEB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0.002261</w:t>
            </w:r>
          </w:p>
        </w:tc>
        <w:tc>
          <w:tcPr>
            <w:tcW w:w="665" w:type="pct"/>
            <w:vAlign w:val="bottom"/>
          </w:tcPr>
          <w:p w14:paraId="47424C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w:t>
            </w:r>
          </w:p>
        </w:tc>
        <w:tc>
          <w:tcPr>
            <w:tcW w:w="860" w:type="pct"/>
            <w:vMerge w:val="continue"/>
            <w:vAlign w:val="center"/>
          </w:tcPr>
          <w:p w14:paraId="628C002A">
            <w:pPr>
              <w:jc w:val="center"/>
              <w:rPr>
                <w:color w:val="000000" w:themeColor="text1"/>
                <w:szCs w:val="21"/>
                <w14:textFill>
                  <w14:solidFill>
                    <w14:schemeClr w14:val="tx1"/>
                  </w14:solidFill>
                </w14:textFill>
              </w:rPr>
            </w:pPr>
          </w:p>
        </w:tc>
      </w:tr>
      <w:tr w14:paraId="727B8C9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restart"/>
            <w:vAlign w:val="center"/>
          </w:tcPr>
          <w:p w14:paraId="24AEE4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1831" w:type="pct"/>
            <w:vAlign w:val="center"/>
          </w:tcPr>
          <w:p w14:paraId="7BD382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颗粒物（TSP）</w:t>
            </w:r>
          </w:p>
        </w:tc>
        <w:tc>
          <w:tcPr>
            <w:tcW w:w="1248" w:type="pct"/>
            <w:vAlign w:val="bottom"/>
          </w:tcPr>
          <w:p w14:paraId="747C2CD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0.018286</w:t>
            </w:r>
          </w:p>
        </w:tc>
        <w:tc>
          <w:tcPr>
            <w:tcW w:w="665" w:type="pct"/>
            <w:vAlign w:val="bottom"/>
          </w:tcPr>
          <w:p w14:paraId="2E9BF5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2.03</w:t>
            </w:r>
          </w:p>
        </w:tc>
        <w:tc>
          <w:tcPr>
            <w:tcW w:w="860" w:type="pct"/>
            <w:vMerge w:val="restart"/>
            <w:vAlign w:val="center"/>
          </w:tcPr>
          <w:p w14:paraId="76AA69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w:t>
            </w:r>
          </w:p>
        </w:tc>
      </w:tr>
      <w:tr w14:paraId="3EE61FD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6F3E005D">
            <w:pPr>
              <w:jc w:val="center"/>
              <w:rPr>
                <w:color w:val="000000" w:themeColor="text1"/>
                <w:szCs w:val="21"/>
                <w14:textFill>
                  <w14:solidFill>
                    <w14:schemeClr w14:val="tx1"/>
                  </w14:solidFill>
                </w14:textFill>
              </w:rPr>
            </w:pPr>
          </w:p>
        </w:tc>
        <w:tc>
          <w:tcPr>
            <w:tcW w:w="1831" w:type="pct"/>
            <w:vAlign w:val="center"/>
          </w:tcPr>
          <w:p w14:paraId="7E38B6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248" w:type="pct"/>
            <w:vAlign w:val="bottom"/>
          </w:tcPr>
          <w:p w14:paraId="2BCF5DA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0.128178</w:t>
            </w:r>
          </w:p>
        </w:tc>
        <w:tc>
          <w:tcPr>
            <w:tcW w:w="665" w:type="pct"/>
            <w:vAlign w:val="bottom"/>
          </w:tcPr>
          <w:p w14:paraId="6F7CDEB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6.41</w:t>
            </w:r>
          </w:p>
        </w:tc>
        <w:tc>
          <w:tcPr>
            <w:tcW w:w="860" w:type="pct"/>
            <w:vMerge w:val="continue"/>
            <w:vAlign w:val="center"/>
          </w:tcPr>
          <w:p w14:paraId="3EDAB78C">
            <w:pPr>
              <w:jc w:val="center"/>
              <w:rPr>
                <w:color w:val="000000" w:themeColor="text1"/>
                <w:szCs w:val="21"/>
                <w14:textFill>
                  <w14:solidFill>
                    <w14:schemeClr w14:val="tx1"/>
                  </w14:solidFill>
                </w14:textFill>
              </w:rPr>
            </w:pPr>
          </w:p>
        </w:tc>
      </w:tr>
    </w:tbl>
    <w:p w14:paraId="0545176D">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由上表可知，项目区占标率1%≤ P</w:t>
      </w:r>
      <w:r>
        <w:rPr>
          <w:color w:val="000000" w:themeColor="text1"/>
          <w:sz w:val="24"/>
          <w:vertAlign w:val="subscript"/>
          <w14:textFill>
            <w14:solidFill>
              <w14:schemeClr w14:val="tx1"/>
            </w14:solidFill>
          </w14:textFill>
        </w:rPr>
        <w:t>max</w:t>
      </w:r>
      <w:r>
        <w:rPr>
          <w:color w:val="000000" w:themeColor="text1"/>
          <w:sz w:val="24"/>
          <w14:textFill>
            <w14:solidFill>
              <w14:schemeClr w14:val="tx1"/>
            </w14:solidFill>
          </w14:textFill>
        </w:rPr>
        <w:t>=6.41%＜10%，根据估算结果及技术导则，本项目环境空气评价工作等级划分为二级。</w:t>
      </w:r>
    </w:p>
    <w:p w14:paraId="354FA10B">
      <w:pPr>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（2）水环境影响评价等级</w:t>
      </w:r>
    </w:p>
    <w:p w14:paraId="2BBFAF1D">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本项目建成后，废水主要为生活污水和生产废水。</w:t>
      </w:r>
    </w:p>
    <w:p w14:paraId="774983FF">
      <w:pPr>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生活污水：</w:t>
      </w:r>
      <w:r>
        <w:rPr>
          <w:color w:val="000000" w:themeColor="text1"/>
          <w:sz w:val="24"/>
          <w14:textFill>
            <w14:solidFill>
              <w14:schemeClr w14:val="tx1"/>
            </w14:solidFill>
          </w14:textFill>
        </w:rPr>
        <w:t>主要来自于员工产生的办公废水、办公区域清洁废水、职工生活废水等；</w:t>
      </w:r>
    </w:p>
    <w:p w14:paraId="09C611D1">
      <w:pPr>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生产废水：</w:t>
      </w:r>
      <w:r>
        <w:rPr>
          <w:color w:val="000000" w:themeColor="text1"/>
          <w:sz w:val="24"/>
          <w14:textFill>
            <w14:solidFill>
              <w14:schemeClr w14:val="tx1"/>
            </w14:solidFill>
          </w14:textFill>
        </w:rPr>
        <w:t>主要来自于塑料破碎清洗产生的废水，废水中主要污染物为COD</w:t>
      </w:r>
      <w:r>
        <w:rPr>
          <w:color w:val="000000" w:themeColor="text1"/>
          <w:sz w:val="24"/>
          <w:vertAlign w:val="subscript"/>
          <w14:textFill>
            <w14:solidFill>
              <w14:schemeClr w14:val="tx1"/>
            </w14:solidFill>
          </w14:textFill>
        </w:rPr>
        <w:t>Cr</w:t>
      </w:r>
      <w:r>
        <w:rPr>
          <w:color w:val="000000" w:themeColor="text1"/>
          <w:sz w:val="24"/>
          <w14:textFill>
            <w14:solidFill>
              <w14:schemeClr w14:val="tx1"/>
            </w14:solidFill>
          </w14:textFill>
        </w:rPr>
        <w:t>、SS、NH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-N、TP和动植物油；</w:t>
      </w:r>
    </w:p>
    <w:p w14:paraId="50300D75">
      <w:pPr>
        <w:spacing w:line="360" w:lineRule="auto"/>
        <w:ind w:firstLine="480"/>
        <w:jc w:val="left"/>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项目最大废水产生量为38.32m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color w:val="000000" w:themeColor="text1"/>
          <w:kern w:val="0"/>
          <w:sz w:val="24"/>
          <w14:textFill>
            <w14:solidFill>
              <w14:schemeClr w14:val="tx1"/>
            </w14:solidFill>
          </w14:textFill>
        </w:rPr>
        <w:t>项目废水水质简单（污染物类型=1，预测浓度水质参数＜7），本项目废水不外排</w:t>
      </w:r>
      <w:r>
        <w:rPr>
          <w:color w:val="000000" w:themeColor="text1"/>
          <w:sz w:val="24"/>
          <w:lang w:val="zh-CN"/>
          <w14:textFill>
            <w14:solidFill>
              <w14:schemeClr w14:val="tx1"/>
            </w14:solidFill>
          </w14:textFill>
        </w:rPr>
        <w:t>。</w:t>
      </w:r>
    </w:p>
    <w:p w14:paraId="0EF46076">
      <w:pPr>
        <w:spacing w:line="360" w:lineRule="auto"/>
        <w:ind w:firstLine="48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w:t>
      </w:r>
      <w:r>
        <w:rPr>
          <w:color w:val="000000" w:themeColor="text1"/>
          <w:sz w:val="24"/>
          <w14:textFill>
            <w14:solidFill>
              <w14:schemeClr w14:val="tx1"/>
            </w14:solidFill>
          </w14:textFill>
        </w:rPr>
        <w:t>《环境影响评价技术导则  地面水环境》（HJ/T2.3-2018）</w:t>
      </w:r>
      <w:r>
        <w:rPr>
          <w:color w:val="000000" w:themeColor="text1"/>
          <w:kern w:val="0"/>
          <w:sz w:val="24"/>
          <w14:textFill>
            <w14:solidFill>
              <w14:schemeClr w14:val="tx1"/>
            </w14:solidFill>
          </w14:textFill>
        </w:rPr>
        <w:t>，“建设项目生产工艺中有废水产生，但作为回用水利用，不外排到外环境的，按三级B评价”；</w:t>
      </w:r>
    </w:p>
    <w:p w14:paraId="6E6DE2E6">
      <w:pPr>
        <w:spacing w:line="360" w:lineRule="auto"/>
        <w:ind w:firstLine="48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综上，本项目</w:t>
      </w:r>
      <w:r>
        <w:rPr>
          <w:color w:val="000000" w:themeColor="text1"/>
          <w:sz w:val="24"/>
          <w14:textFill>
            <w14:solidFill>
              <w14:schemeClr w14:val="tx1"/>
            </w14:solidFill>
          </w14:textFill>
        </w:rPr>
        <w:t>地表水环境评价等级设三级B，</w:t>
      </w:r>
      <w:r>
        <w:rPr>
          <w:color w:val="000000" w:themeColor="text1"/>
          <w:kern w:val="0"/>
          <w:sz w:val="24"/>
          <w14:textFill>
            <w14:solidFill>
              <w14:schemeClr w14:val="tx1"/>
            </w14:solidFill>
          </w14:textFill>
        </w:rPr>
        <w:t>重点是进行废水不外排的可行性进行分析及依托污水处理设施环境可行性分析。</w:t>
      </w:r>
    </w:p>
    <w:p w14:paraId="77AE0D00">
      <w:pPr>
        <w:spacing w:line="360" w:lineRule="auto"/>
        <w:ind w:firstLine="48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（3）地下水评价等级</w:t>
      </w:r>
    </w:p>
    <w:p w14:paraId="69F518F3">
      <w:pPr>
        <w:spacing w:line="360" w:lineRule="auto"/>
        <w:ind w:firstLine="480" w:firstLineChars="200"/>
        <w:rPr>
          <w:rFonts w:eastAsia="新宋体"/>
          <w:b/>
          <w:bCs/>
          <w:color w:val="000000" w:themeColor="text1"/>
          <w:sz w:val="24"/>
          <w:szCs w:val="21"/>
          <w14:textFill>
            <w14:solidFill>
              <w14:schemeClr w14:val="tx1"/>
            </w14:solidFill>
          </w14:textFill>
        </w:rPr>
      </w:pPr>
      <w:r>
        <w:rPr>
          <w:rFonts w:eastAsia="新宋体"/>
          <w:color w:val="000000" w:themeColor="text1"/>
          <w:kern w:val="0"/>
          <w:sz w:val="24"/>
          <w:szCs w:val="21"/>
          <w14:textFill>
            <w14:solidFill>
              <w14:schemeClr w14:val="tx1"/>
            </w14:solidFill>
          </w14:textFill>
        </w:rPr>
        <w:t>《环境影响评价技术导则 地下水环境》（HJ610-2016）中根据建设项目对地下水环境影响的程度，将建设项目分为四类（</w:t>
      </w:r>
      <w:r>
        <w:rPr>
          <w:rFonts w:hint="eastAsia" w:ascii="宋体" w:hAnsi="宋体" w:cs="宋体"/>
          <w:color w:val="000000" w:themeColor="text1"/>
          <w:kern w:val="0"/>
          <w:sz w:val="24"/>
          <w:szCs w:val="21"/>
          <w14:textFill>
            <w14:solidFill>
              <w14:schemeClr w14:val="tx1"/>
            </w14:solidFill>
          </w14:textFill>
        </w:rPr>
        <w:t>Ⅰ</w:t>
      </w:r>
      <w:r>
        <w:rPr>
          <w:rFonts w:eastAsia="新宋体"/>
          <w:color w:val="000000" w:themeColor="text1"/>
          <w:kern w:val="0"/>
          <w:sz w:val="24"/>
          <w:szCs w:val="21"/>
          <w14:textFill>
            <w14:solidFill>
              <w14:schemeClr w14:val="tx1"/>
            </w14:solidFill>
          </w14:textFill>
        </w:rPr>
        <w:t>类、</w:t>
      </w:r>
      <w:r>
        <w:rPr>
          <w:rFonts w:hint="eastAsia" w:ascii="宋体" w:hAnsi="宋体" w:cs="宋体"/>
          <w:color w:val="000000" w:themeColor="text1"/>
          <w:kern w:val="0"/>
          <w:sz w:val="24"/>
          <w:szCs w:val="21"/>
          <w14:textFill>
            <w14:solidFill>
              <w14:schemeClr w14:val="tx1"/>
            </w14:solidFill>
          </w14:textFill>
        </w:rPr>
        <w:t>Ⅱ</w:t>
      </w:r>
      <w:r>
        <w:rPr>
          <w:rFonts w:eastAsia="新宋体"/>
          <w:color w:val="000000" w:themeColor="text1"/>
          <w:kern w:val="0"/>
          <w:sz w:val="24"/>
          <w:szCs w:val="21"/>
          <w14:textFill>
            <w14:solidFill>
              <w14:schemeClr w14:val="tx1"/>
            </w14:solidFill>
          </w14:textFill>
        </w:rPr>
        <w:t>类、</w:t>
      </w:r>
      <w:r>
        <w:rPr>
          <w:rFonts w:hint="eastAsia" w:ascii="宋体" w:hAnsi="宋体" w:cs="宋体"/>
          <w:color w:val="000000" w:themeColor="text1"/>
          <w:kern w:val="0"/>
          <w:sz w:val="24"/>
          <w:szCs w:val="21"/>
          <w14:textFill>
            <w14:solidFill>
              <w14:schemeClr w14:val="tx1"/>
            </w14:solidFill>
          </w14:textFill>
        </w:rPr>
        <w:t>Ⅲ</w:t>
      </w:r>
      <w:r>
        <w:rPr>
          <w:rFonts w:eastAsia="新宋体"/>
          <w:color w:val="000000" w:themeColor="text1"/>
          <w:kern w:val="0"/>
          <w:sz w:val="24"/>
          <w:szCs w:val="21"/>
          <w14:textFill>
            <w14:solidFill>
              <w14:schemeClr w14:val="tx1"/>
            </w14:solidFill>
          </w14:textFill>
        </w:rPr>
        <w:t>类和</w:t>
      </w:r>
      <w:r>
        <w:rPr>
          <w:rFonts w:hint="eastAsia" w:ascii="宋体" w:hAnsi="宋体" w:cs="宋体"/>
          <w:color w:val="000000" w:themeColor="text1"/>
          <w:kern w:val="0"/>
          <w:sz w:val="24"/>
          <w:szCs w:val="21"/>
          <w14:textFill>
            <w14:solidFill>
              <w14:schemeClr w14:val="tx1"/>
            </w14:solidFill>
          </w14:textFill>
        </w:rPr>
        <w:t>Ⅳ</w:t>
      </w:r>
      <w:r>
        <w:rPr>
          <w:rFonts w:eastAsia="新宋体"/>
          <w:color w:val="000000" w:themeColor="text1"/>
          <w:kern w:val="0"/>
          <w:sz w:val="24"/>
          <w:szCs w:val="21"/>
          <w14:textFill>
            <w14:solidFill>
              <w14:schemeClr w14:val="tx1"/>
            </w14:solidFill>
          </w14:textFill>
        </w:rPr>
        <w:t>类），根据HJ610-2016附录A，本项目属于</w:t>
      </w:r>
      <w:r>
        <w:rPr>
          <w:rFonts w:eastAsia="新宋体"/>
          <w:bCs/>
          <w:color w:val="000000" w:themeColor="text1"/>
          <w:kern w:val="0"/>
          <w:sz w:val="24"/>
          <w:szCs w:val="20"/>
          <w14:textFill>
            <w14:solidFill>
              <w14:schemeClr w14:val="tx1"/>
            </w14:solidFill>
          </w14:textFill>
        </w:rPr>
        <w:t>U城镇基础设施及房地产类别中第155项中废塑料再生利用项目，</w:t>
      </w:r>
      <w:r>
        <w:rPr>
          <w:rFonts w:eastAsia="新宋体"/>
          <w:color w:val="000000" w:themeColor="text1"/>
          <w:kern w:val="0"/>
          <w:sz w:val="24"/>
          <w:szCs w:val="21"/>
          <w14:textFill>
            <w14:solidFill>
              <w14:schemeClr w14:val="tx1"/>
            </w14:solidFill>
          </w14:textFill>
        </w:rPr>
        <w:t>地下水环境影响评价项目类别为</w:t>
      </w:r>
      <w:r>
        <w:rPr>
          <w:rFonts w:hint="eastAsia" w:ascii="宋体" w:hAnsi="宋体" w:cs="宋体"/>
          <w:color w:val="000000" w:themeColor="text1"/>
          <w:kern w:val="0"/>
          <w:sz w:val="24"/>
          <w:szCs w:val="21"/>
          <w14:textFill>
            <w14:solidFill>
              <w14:schemeClr w14:val="tx1"/>
            </w14:solidFill>
          </w14:textFill>
        </w:rPr>
        <w:t>Ⅲ</w:t>
      </w:r>
      <w:r>
        <w:rPr>
          <w:rFonts w:eastAsia="新宋体"/>
          <w:color w:val="000000" w:themeColor="text1"/>
          <w:kern w:val="0"/>
          <w:sz w:val="24"/>
          <w:szCs w:val="21"/>
          <w14:textFill>
            <w14:solidFill>
              <w14:schemeClr w14:val="tx1"/>
            </w14:solidFill>
          </w14:textFill>
        </w:rPr>
        <w:t>类（本项目不涉及危废），地下水评价等级判定依据见表1.5-3。</w:t>
      </w:r>
    </w:p>
    <w:p w14:paraId="6F7C2061">
      <w:pPr>
        <w:autoSpaceDE w:val="0"/>
        <w:autoSpaceDN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表1.5-3  地下水环境敏感程度分级表</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7"/>
      </w:tblGrid>
      <w:tr w14:paraId="40156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14:paraId="07EAD52C">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敏感程度</w:t>
            </w:r>
          </w:p>
        </w:tc>
        <w:tc>
          <w:tcPr>
            <w:tcW w:w="7427" w:type="dxa"/>
            <w:vAlign w:val="center"/>
          </w:tcPr>
          <w:p w14:paraId="72100E95">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地下水环境敏感特征</w:t>
            </w:r>
          </w:p>
        </w:tc>
      </w:tr>
      <w:tr w14:paraId="6BEED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14:paraId="2CD98053">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敏感</w:t>
            </w:r>
          </w:p>
        </w:tc>
        <w:tc>
          <w:tcPr>
            <w:tcW w:w="7427" w:type="dxa"/>
            <w:vAlign w:val="center"/>
          </w:tcPr>
          <w:p w14:paraId="6E049A54">
            <w:pPr>
              <w:ind w:firstLine="420" w:firstLineChars="200"/>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集中式饮用水水源地（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6C5E5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14:paraId="70410744">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较敏感</w:t>
            </w:r>
          </w:p>
        </w:tc>
        <w:tc>
          <w:tcPr>
            <w:tcW w:w="7427" w:type="dxa"/>
            <w:vAlign w:val="center"/>
          </w:tcPr>
          <w:p w14:paraId="36E5D8C1">
            <w:pPr>
              <w:ind w:firstLine="420" w:firstLineChars="200"/>
              <w:jc w:val="center"/>
              <w:rPr>
                <w:rFonts w:eastAsia="新宋体"/>
                <w:color w:val="000000" w:themeColor="text1"/>
                <w:kern w:val="0"/>
                <w:szCs w:val="21"/>
                <w14:textFill>
                  <w14:solidFill>
                    <w14:schemeClr w14:val="tx1"/>
                  </w14:solidFill>
                </w14:textFill>
              </w:rPr>
            </w:pPr>
            <w:r>
              <w:rPr>
                <w:rFonts w:eastAsia="新宋体"/>
                <w:color w:val="000000" w:themeColor="text1"/>
                <w:szCs w:val="21"/>
                <w14:textFill>
                  <w14:solidFill>
                    <w14:schemeClr w14:val="tx1"/>
                  </w14:solidFill>
                </w14:textFill>
              </w:rPr>
              <w:t>集中式饮用水水源地</w:t>
            </w:r>
            <w:r>
              <w:rPr>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包括已建成的在用、备用、应急水源地</w:t>
            </w:r>
            <w:r>
              <w:rPr>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在建和规划的饮用水水源）准保护区以外的补给径流区</w:t>
            </w:r>
            <w:r>
              <w:rPr>
                <w:color w:val="000000" w:themeColor="text1"/>
                <w:szCs w:val="21"/>
                <w14:textFill>
                  <w14:solidFill>
                    <w14:schemeClr w14:val="tx1"/>
                  </w14:solidFill>
                </w14:textFill>
              </w:rPr>
              <w:t>；未划定准保护区的集中工饮用水，其保护区以外的补给径流区；分散式饮用水水源地；</w:t>
            </w:r>
            <w:r>
              <w:rPr>
                <w:rFonts w:eastAsia="新宋体"/>
                <w:color w:val="000000" w:themeColor="text1"/>
                <w:szCs w:val="21"/>
                <w14:textFill>
                  <w14:solidFill>
                    <w14:schemeClr w14:val="tx1"/>
                  </w14:solidFill>
                </w14:textFill>
              </w:rPr>
              <w:t>特殊地下水资源</w:t>
            </w:r>
            <w:r>
              <w:rPr>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如矿泉水、温泉等</w:t>
            </w:r>
            <w:r>
              <w:rPr>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保护区以外的分布区等其它未列入上述敏感分级的环境敏感区。</w:t>
            </w:r>
          </w:p>
        </w:tc>
      </w:tr>
      <w:tr w14:paraId="063D2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14:paraId="7CC9F932">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不敏感</w:t>
            </w:r>
          </w:p>
        </w:tc>
        <w:tc>
          <w:tcPr>
            <w:tcW w:w="7427" w:type="dxa"/>
            <w:vAlign w:val="center"/>
          </w:tcPr>
          <w:p w14:paraId="7D285DCD">
            <w:pPr>
              <w:ind w:firstLine="420" w:firstLineChars="200"/>
              <w:jc w:val="left"/>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上述地区之外的其它地区。</w:t>
            </w:r>
          </w:p>
        </w:tc>
      </w:tr>
    </w:tbl>
    <w:p w14:paraId="262AD6BB">
      <w:pPr>
        <w:jc w:val="center"/>
        <w:rPr>
          <w:rFonts w:eastAsia="新宋体"/>
          <w:b/>
          <w:bCs/>
          <w:color w:val="000000" w:themeColor="text1"/>
          <w:szCs w:val="21"/>
          <w14:textFill>
            <w14:solidFill>
              <w14:schemeClr w14:val="tx1"/>
            </w14:solidFill>
          </w14:textFill>
        </w:rPr>
      </w:pPr>
    </w:p>
    <w:p w14:paraId="60D8C42E">
      <w:pPr>
        <w:autoSpaceDE w:val="0"/>
        <w:autoSpaceDN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表1.5-4  地下水环境评价工作等级分级表</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075"/>
        <w:gridCol w:w="1972"/>
        <w:gridCol w:w="1973"/>
      </w:tblGrid>
      <w:tr w14:paraId="605FD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00" w:type="dxa"/>
          </w:tcPr>
          <w:p w14:paraId="210E8F83">
            <w:pPr>
              <w:snapToGrid w:val="0"/>
              <w:rPr>
                <w:rFonts w:eastAsia="新宋体"/>
                <w:color w:val="000000" w:themeColor="text1"/>
                <w:kern w:val="0"/>
                <w:szCs w:val="21"/>
                <w14:textFill>
                  <w14:solidFill>
                    <w14:schemeClr w14:val="tx1"/>
                  </w14:solidFill>
                </w14:textFill>
              </w:rPr>
            </w:pPr>
            <w:r>
              <w:rPr>
                <w:rFonts w:eastAsia="新宋体"/>
                <w:color w:val="000000" w:themeColor="text1"/>
                <w:szCs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10795</wp:posOffset>
                      </wp:positionV>
                      <wp:extent cx="1676400" cy="342900"/>
                      <wp:effectExtent l="0" t="0" r="0" b="0"/>
                      <wp:wrapNone/>
                      <wp:docPr id="7620" name="直接连接符 7620"/>
                      <wp:cNvGraphicFramePr/>
                      <a:graphic xmlns:a="http://schemas.openxmlformats.org/drawingml/2006/main">
                        <a:graphicData uri="http://schemas.microsoft.com/office/word/2010/wordprocessingShape">
                          <wps:wsp>
                            <wps:cNvCnPr>
                              <a:cxnSpLocks noChangeShapeType="1"/>
                            </wps:cNvCnPr>
                            <wps:spPr bwMode="auto">
                              <a:xfrm>
                                <a:off x="0" y="0"/>
                                <a:ext cx="1676400" cy="342900"/>
                              </a:xfrm>
                              <a:prstGeom prst="line">
                                <a:avLst/>
                              </a:prstGeom>
                              <a:noFill/>
                              <a:ln w="9525" cmpd="sng">
                                <a:solidFill>
                                  <a:srgbClr val="000000"/>
                                </a:solidFill>
                                <a:round/>
                              </a:ln>
                              <a:effectLst/>
                            </wps:spPr>
                            <wps:bodyPr/>
                          </wps:wsp>
                        </a:graphicData>
                      </a:graphic>
                    </wp:anchor>
                  </w:drawing>
                </mc:Choice>
                <mc:Fallback>
                  <w:pict>
                    <v:line id="_x0000_s1026" o:spid="_x0000_s1026" o:spt="20" style="position:absolute;left:0pt;margin-left:-2.85pt;margin-top:0.85pt;height:27pt;width:132pt;z-index:251661312;mso-width-relative:page;mso-height-relative:page;" filled="f" stroked="t" coordsize="21600,21600" o:gfxdata="UEsDBAoAAAAAAIdO4kAAAAAAAAAAAAAAAAAEAAAAZHJzL1BLAwQUAAAACACHTuJAh5XVGNQAAAAH&#10;AQAADwAAAGRycy9kb3ducmV2LnhtbE2OPU/DMBCGdyT+g3VILFVrN1WgCnE6ANlYKCDWa3wkEfE5&#10;jd0P+PUcE0yn90PvPeXm7Ad1pCn2gS0sFwYUcRNcz62F15d6vgYVE7LDITBZ+KIIm+ryosTChRM/&#10;03GbWiUjHAu00KU0FlrHpiOPcRFGYsk+wuQxiZxa7SY8ybgfdGbMjfbYs3zocKT7jprP7cFbiPUb&#10;7evvWTMz76s2ULZ/eHpEa6+vluYOVKJz+ivDL76gQyVMu3BgF9VgYZ7fSlN8ORJn+XoFamchF19X&#10;pf7PX/0AUEsDBBQAAAAIAIdO4kB0+/Zu+AEAAM4DAAAOAAAAZHJzL2Uyb0RvYy54bWytU81uEzEQ&#10;viPxDpbvZJPQpnSVTQ+JyqVApJYHcLzeXQvbY3mcbPISvAASNzhx5M7bUB6DsfMDLZce2INlz3zz&#10;zcw3s9OrrTVsowJqcBUfDYacKSeh1q6t+Pu76xevOMMoXC0MOFXxnUJ+NXv+bNr7Uo2hA1OrwIjE&#10;Ydn7incx+rIoUHbKChyAV46cDQQrIj1DW9RB9MRuTTEeDidFD6H2AaRCJOti7+QHxvAUQmgaLdUC&#10;5NoqF/esQRkRqSXstEc+y9U2jZLxXdOgisxUnDqN+aQkdF+ls5hNRdkG4TstDyWIp5TwqCcrtKOk&#10;J6qFiIKtg/6HymoZAKGJAwm22DeSFaEuRsNH2tx2wqvcC0mN/iQ6/j9a+XazDEzXFb+YjEkUJyzN&#10;/P7T958fv/z68ZnO+29fWfaRVL3HkiLmbhlSs3Lrbv0NyA/IHMw74VqVS77beSIZJXGLByHpgZ4S&#10;rvo3UBNGrCNk3bZNsImSFGHbPJ7daTxqG5kk42hyMTkbUpGSfC/Pxpd0TylEeYz2AeNrBZalS8WN&#10;dkk+UYrNDcY99AhJZgfX2hiyi9I41lf88nx8TvTWkx7o2hyLYHSdcAmGoV3NTWAbkfYpf4cSHsAC&#10;rF29z2dcilN5FQ9FHFXY67mCercMCZzsNObc0WEl0x79/c6oP7/h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ldUY1AAAAAcBAAAPAAAAAAAAAAEAIAAAACIAAABkcnMvZG93bnJldi54bWxQSwEC&#10;FAAUAAAACACHTuJAdPv2bvgBAADOAwAADgAAAAAAAAABACAAAAAjAQAAZHJzL2Uyb0RvYy54bWxQ&#10;SwUGAAAAAAYABgBZAQAAjQUAAAAA&#10;">
                      <v:fill on="f" focussize="0,0"/>
                      <v:stroke color="#000000" joinstyle="round"/>
                      <v:imagedata o:title=""/>
                      <o:lock v:ext="edit" aspectratio="f"/>
                    </v:line>
                  </w:pict>
                </mc:Fallback>
              </mc:AlternateContent>
            </w:r>
            <w:r>
              <w:rPr>
                <w:rFonts w:eastAsia="新宋体"/>
                <w:color w:val="000000" w:themeColor="text1"/>
                <w:kern w:val="0"/>
                <w:szCs w:val="21"/>
                <w14:textFill>
                  <w14:solidFill>
                    <w14:schemeClr w14:val="tx1"/>
                  </w14:solidFill>
                </w14:textFill>
              </w:rPr>
              <w:t xml:space="preserve">             项目类别</w:t>
            </w:r>
          </w:p>
          <w:p w14:paraId="5AC9A4C6">
            <w:pPr>
              <w:snapToGrid w:val="0"/>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 xml:space="preserve">环境敏感程度       </w:t>
            </w:r>
          </w:p>
        </w:tc>
        <w:tc>
          <w:tcPr>
            <w:tcW w:w="2075" w:type="dxa"/>
            <w:vAlign w:val="center"/>
          </w:tcPr>
          <w:p w14:paraId="6FA34F28">
            <w:pPr>
              <w:spacing w:line="360" w:lineRule="auto"/>
              <w:jc w:val="center"/>
              <w:rPr>
                <w:rFonts w:eastAsia="新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Ⅰ</w:t>
            </w:r>
            <w:r>
              <w:rPr>
                <w:rFonts w:eastAsia="新宋体"/>
                <w:color w:val="000000" w:themeColor="text1"/>
                <w:kern w:val="0"/>
                <w:szCs w:val="21"/>
                <w14:textFill>
                  <w14:solidFill>
                    <w14:schemeClr w14:val="tx1"/>
                  </w14:solidFill>
                </w14:textFill>
              </w:rPr>
              <w:t>类项目</w:t>
            </w:r>
          </w:p>
        </w:tc>
        <w:tc>
          <w:tcPr>
            <w:tcW w:w="1972" w:type="dxa"/>
            <w:vAlign w:val="center"/>
          </w:tcPr>
          <w:p w14:paraId="47EE3217">
            <w:pPr>
              <w:spacing w:line="360" w:lineRule="auto"/>
              <w:jc w:val="center"/>
              <w:rPr>
                <w:rFonts w:eastAsia="新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Ⅱ</w:t>
            </w:r>
            <w:r>
              <w:rPr>
                <w:rFonts w:eastAsia="新宋体"/>
                <w:color w:val="000000" w:themeColor="text1"/>
                <w:kern w:val="0"/>
                <w:szCs w:val="21"/>
                <w14:textFill>
                  <w14:solidFill>
                    <w14:schemeClr w14:val="tx1"/>
                  </w14:solidFill>
                </w14:textFill>
              </w:rPr>
              <w:t>类项目</w:t>
            </w:r>
          </w:p>
        </w:tc>
        <w:tc>
          <w:tcPr>
            <w:tcW w:w="1973" w:type="dxa"/>
            <w:vAlign w:val="center"/>
          </w:tcPr>
          <w:p w14:paraId="37364BA1">
            <w:pPr>
              <w:spacing w:line="360" w:lineRule="auto"/>
              <w:jc w:val="center"/>
              <w:rPr>
                <w:rFonts w:eastAsia="新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Ⅲ</w:t>
            </w:r>
            <w:r>
              <w:rPr>
                <w:rFonts w:eastAsia="新宋体"/>
                <w:color w:val="000000" w:themeColor="text1"/>
                <w:kern w:val="0"/>
                <w:szCs w:val="21"/>
                <w14:textFill>
                  <w14:solidFill>
                    <w14:schemeClr w14:val="tx1"/>
                  </w14:solidFill>
                </w14:textFill>
              </w:rPr>
              <w:t>类项目</w:t>
            </w:r>
          </w:p>
        </w:tc>
      </w:tr>
      <w:tr w14:paraId="44C1A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00" w:type="dxa"/>
            <w:vAlign w:val="center"/>
          </w:tcPr>
          <w:p w14:paraId="5E9A56E7">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敏感</w:t>
            </w:r>
          </w:p>
        </w:tc>
        <w:tc>
          <w:tcPr>
            <w:tcW w:w="2075" w:type="dxa"/>
            <w:vAlign w:val="center"/>
          </w:tcPr>
          <w:p w14:paraId="6ABDE29D">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一</w:t>
            </w:r>
          </w:p>
        </w:tc>
        <w:tc>
          <w:tcPr>
            <w:tcW w:w="1972" w:type="dxa"/>
            <w:vAlign w:val="center"/>
          </w:tcPr>
          <w:p w14:paraId="17358FA3">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一</w:t>
            </w:r>
          </w:p>
        </w:tc>
        <w:tc>
          <w:tcPr>
            <w:tcW w:w="1973" w:type="dxa"/>
            <w:vAlign w:val="center"/>
          </w:tcPr>
          <w:p w14:paraId="3A55E8E6">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二</w:t>
            </w:r>
          </w:p>
        </w:tc>
      </w:tr>
      <w:tr w14:paraId="54259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00" w:type="dxa"/>
            <w:vAlign w:val="center"/>
          </w:tcPr>
          <w:p w14:paraId="05FD50B0">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较敏感</w:t>
            </w:r>
          </w:p>
        </w:tc>
        <w:tc>
          <w:tcPr>
            <w:tcW w:w="2075" w:type="dxa"/>
            <w:vAlign w:val="center"/>
          </w:tcPr>
          <w:p w14:paraId="35D6628D">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一</w:t>
            </w:r>
          </w:p>
        </w:tc>
        <w:tc>
          <w:tcPr>
            <w:tcW w:w="1972" w:type="dxa"/>
            <w:vAlign w:val="center"/>
          </w:tcPr>
          <w:p w14:paraId="23B43B68">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二</w:t>
            </w:r>
          </w:p>
        </w:tc>
        <w:tc>
          <w:tcPr>
            <w:tcW w:w="1973" w:type="dxa"/>
            <w:vAlign w:val="center"/>
          </w:tcPr>
          <w:p w14:paraId="040668F1">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三</w:t>
            </w:r>
          </w:p>
        </w:tc>
      </w:tr>
      <w:tr w14:paraId="04E4E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00" w:type="dxa"/>
            <w:vAlign w:val="center"/>
          </w:tcPr>
          <w:p w14:paraId="587AAFAE">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不敏感</w:t>
            </w:r>
          </w:p>
        </w:tc>
        <w:tc>
          <w:tcPr>
            <w:tcW w:w="2075" w:type="dxa"/>
            <w:vAlign w:val="center"/>
          </w:tcPr>
          <w:p w14:paraId="38DD24CA">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二</w:t>
            </w:r>
          </w:p>
        </w:tc>
        <w:tc>
          <w:tcPr>
            <w:tcW w:w="1972" w:type="dxa"/>
            <w:vAlign w:val="center"/>
          </w:tcPr>
          <w:p w14:paraId="6DC7A8FB">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三</w:t>
            </w:r>
          </w:p>
        </w:tc>
        <w:tc>
          <w:tcPr>
            <w:tcW w:w="1973" w:type="dxa"/>
            <w:vAlign w:val="center"/>
          </w:tcPr>
          <w:p w14:paraId="76FD6ED3">
            <w:pPr>
              <w:jc w:val="center"/>
              <w:rPr>
                <w:rFonts w:eastAsia="新宋体"/>
                <w:color w:val="000000" w:themeColor="text1"/>
                <w:kern w:val="0"/>
                <w:szCs w:val="21"/>
                <w14:textFill>
                  <w14:solidFill>
                    <w14:schemeClr w14:val="tx1"/>
                  </w14:solidFill>
                </w14:textFill>
              </w:rPr>
            </w:pPr>
            <w:r>
              <w:rPr>
                <w:rFonts w:eastAsia="新宋体"/>
                <w:color w:val="000000" w:themeColor="text1"/>
                <w:kern w:val="0"/>
                <w:szCs w:val="21"/>
                <w14:textFill>
                  <w14:solidFill>
                    <w14:schemeClr w14:val="tx1"/>
                  </w14:solidFill>
                </w14:textFill>
              </w:rPr>
              <w:t>三</w:t>
            </w:r>
          </w:p>
        </w:tc>
      </w:tr>
    </w:tbl>
    <w:p w14:paraId="1D8935BA">
      <w:pPr>
        <w:spacing w:line="360" w:lineRule="auto"/>
        <w:ind w:firstLine="480" w:firstLineChars="200"/>
        <w:rPr>
          <w:rFonts w:eastAsia="新宋体"/>
          <w:snapToGrid w:val="0"/>
          <w:color w:val="000000" w:themeColor="text1"/>
          <w:kern w:val="0"/>
          <w:sz w:val="24"/>
          <w:szCs w:val="21"/>
          <w14:textFill>
            <w14:solidFill>
              <w14:schemeClr w14:val="tx1"/>
            </w14:solidFill>
          </w14:textFill>
        </w:rPr>
      </w:pPr>
      <w:r>
        <w:rPr>
          <w:rFonts w:eastAsia="新宋体"/>
          <w:color w:val="000000" w:themeColor="text1"/>
          <w:kern w:val="0"/>
          <w:sz w:val="24"/>
          <w:szCs w:val="21"/>
          <w14:textFill>
            <w14:solidFill>
              <w14:schemeClr w14:val="tx1"/>
            </w14:solidFill>
          </w14:textFill>
        </w:rPr>
        <w:t>根据水文地质资料，区域地下水流向为北-南向。经现场调查，项目区域无特殊地下水资源保护区，项目区域周边四分场四队、芒捧、户焕等村饮用水为山箐沟，</w:t>
      </w:r>
      <w:r>
        <w:rPr>
          <w:rFonts w:eastAsia="新宋体"/>
          <w:color w:val="000000" w:themeColor="text1"/>
          <w:sz w:val="24"/>
          <w:szCs w:val="21"/>
          <w14:textFill>
            <w14:solidFill>
              <w14:schemeClr w14:val="tx1"/>
            </w14:solidFill>
          </w14:textFill>
        </w:rPr>
        <w:t>本项目位于其下游</w:t>
      </w:r>
      <w:r>
        <w:rPr>
          <w:rFonts w:eastAsia="新宋体"/>
          <w:snapToGrid w:val="0"/>
          <w:color w:val="000000" w:themeColor="text1"/>
          <w:kern w:val="0"/>
          <w:sz w:val="24"/>
          <w:szCs w:val="21"/>
          <w14:textFill>
            <w14:solidFill>
              <w14:schemeClr w14:val="tx1"/>
            </w14:solidFill>
          </w14:textFill>
        </w:rPr>
        <w:t>，以此为判定依据评价区域为不敏感。</w:t>
      </w:r>
    </w:p>
    <w:p w14:paraId="27FB8A1A">
      <w:pPr>
        <w:spacing w:line="360" w:lineRule="auto"/>
        <w:ind w:firstLine="48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（4）声环境影响评价等级</w:t>
      </w:r>
    </w:p>
    <w:p w14:paraId="176AC809">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根据HJ2.4－2009《环境影响评价技术导则  声环境》，“建设项目所处的声环境功能区为 GB 3096 规定的 1 类、2 类地区，或建设项目建设前后评价范围内敏感目标噪声级增高量达 3～5 dB(A) [含 5 dB(A)]，或受噪声影响人口数量增加较多时，按二级评价。”</w:t>
      </w:r>
    </w:p>
    <w:p w14:paraId="6BEA69C1">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bCs/>
          <w:color w:val="000000" w:themeColor="text1"/>
          <w:sz w:val="24"/>
          <w14:textFill>
            <w14:solidFill>
              <w14:schemeClr w14:val="tx1"/>
            </w14:solidFill>
          </w14:textFill>
        </w:rPr>
        <w:t>德宏傣族景颇族自治州芒市遮放镇弄坎村芒捧村民小组</w:t>
      </w:r>
      <w:r>
        <w:rPr>
          <w:color w:val="000000" w:themeColor="text1"/>
          <w:sz w:val="24"/>
          <w14:textFill>
            <w14:solidFill>
              <w14:schemeClr w14:val="tx1"/>
            </w14:solidFill>
          </w14:textFill>
        </w:rPr>
        <w:t>，为居住、商业、工业混杂区，属于2类声环境功能区；</w:t>
      </w:r>
    </w:p>
    <w:p w14:paraId="26DD56E0">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距离项目区最近的保护目标为项目区北侧130m的四分场四队，根据HJ2.4－2009《环境影响评价技术导则  声环境》，本次声环境影响评价的工作等级定为二级。</w:t>
      </w:r>
    </w:p>
    <w:p w14:paraId="07D1CD94">
      <w:pPr>
        <w:spacing w:line="360" w:lineRule="auto"/>
        <w:ind w:firstLine="352" w:firstLineChars="147"/>
        <w:rPr>
          <w:b/>
          <w:color w:val="000000" w:themeColor="text1"/>
          <w:sz w:val="24"/>
          <w14:textFill>
            <w14:solidFill>
              <w14:schemeClr w14:val="tx1"/>
            </w14:solidFill>
          </w14:textFill>
        </w:rPr>
      </w:pPr>
      <w:r>
        <w:rPr>
          <w:b/>
          <w:color w:val="000000" w:themeColor="text1"/>
          <w:sz w:val="24"/>
          <w14:textFill>
            <w14:solidFill>
              <w14:schemeClr w14:val="tx1"/>
            </w14:solidFill>
          </w14:textFill>
        </w:rPr>
        <w:t>（5）生态环境影响评价</w:t>
      </w:r>
    </w:p>
    <w:p w14:paraId="2823BAD5">
      <w:pPr>
        <w:pStyle w:val="166"/>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项目选址位于芒市遮放镇弄坎村芒捧村民小组，占地面积0.0025km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≤2km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。目前项目</w:t>
      </w:r>
      <w:r>
        <w:rPr>
          <w:rFonts w:eastAsiaTheme="minorEastAsia"/>
          <w:color w:val="000000" w:themeColor="text1"/>
          <w14:textFill>
            <w14:solidFill>
              <w14:schemeClr w14:val="tx1"/>
            </w14:solidFill>
          </w14:textFill>
        </w:rPr>
        <w:t>租用</w:t>
      </w:r>
      <w:r>
        <w:rPr>
          <w:bCs/>
          <w:color w:val="000000" w:themeColor="text1"/>
          <w14:textFill>
            <w14:solidFill>
              <w14:schemeClr w14:val="tx1"/>
            </w14:solidFill>
          </w14:textFill>
        </w:rPr>
        <w:t>村民李进的土地和已建厂房</w:t>
      </w:r>
      <w:r>
        <w:rPr>
          <w:color w:val="000000" w:themeColor="text1"/>
          <w14:textFill>
            <w14:solidFill>
              <w14:schemeClr w14:val="tx1"/>
            </w14:solidFill>
          </w14:textFill>
        </w:rPr>
        <w:t>，本次不新增用地。评价区域内无野生动物分布，无珍稀动植物分布，项目建设影响区域的生态敏感性为一般区域，根据HJ19-2011《环境影响评价技术导则 生态影响》的有关规定，生态环境影响进行一般性分析。</w:t>
      </w:r>
    </w:p>
    <w:p w14:paraId="3D6D538A">
      <w:pPr>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（6）环境风险评价</w:t>
      </w:r>
    </w:p>
    <w:p w14:paraId="7FB503BB">
      <w:pPr>
        <w:pStyle w:val="11"/>
        <w:adjustRightInd w:val="0"/>
        <w:snapToGrid w:val="0"/>
        <w:spacing w:line="360" w:lineRule="auto"/>
        <w:ind w:firstLine="480"/>
        <w:rPr>
          <w:color w:val="000000" w:themeColor="text1"/>
          <w:sz w:val="24"/>
          <w14:textFill>
            <w14:solidFill>
              <w14:schemeClr w14:val="tx1"/>
            </w14:solidFill>
          </w14:textFill>
        </w:rPr>
      </w:pPr>
      <w:bookmarkStart w:id="106" w:name="_Toc362393092"/>
      <w:bookmarkStart w:id="107" w:name="_Toc360004800"/>
      <w:r>
        <w:rPr>
          <w:color w:val="000000" w:themeColor="text1"/>
          <w:sz w:val="24"/>
          <w14:textFill>
            <w14:solidFill>
              <w14:schemeClr w14:val="tx1"/>
            </w14:solidFill>
          </w14:textFill>
        </w:rPr>
        <w:t>根据HJ/T169-2018《建设项目环境风险评价技术导则》，具体等级划分依据见表1.5-5。</w:t>
      </w:r>
    </w:p>
    <w:p w14:paraId="69450D01">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表1.5-5  环境风险评价工作等级</w:t>
      </w:r>
    </w:p>
    <w:tbl>
      <w:tblPr>
        <w:tblStyle w:val="280"/>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58"/>
        <w:gridCol w:w="1468"/>
        <w:gridCol w:w="1689"/>
        <w:gridCol w:w="1689"/>
        <w:gridCol w:w="1908"/>
      </w:tblGrid>
      <w:tr w14:paraId="57DFB7F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20" w:hRule="atLeast"/>
          <w:jc w:val="center"/>
        </w:trPr>
        <w:tc>
          <w:tcPr>
            <w:tcW w:w="937" w:type="pct"/>
            <w:vAlign w:val="center"/>
          </w:tcPr>
          <w:p w14:paraId="15906FEE">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环境风险潜势</w:t>
            </w:r>
          </w:p>
        </w:tc>
        <w:tc>
          <w:tcPr>
            <w:tcW w:w="883" w:type="pct"/>
            <w:vAlign w:val="center"/>
          </w:tcPr>
          <w:p w14:paraId="4CAD3A95">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Ⅳ</w:t>
            </w:r>
            <w:r>
              <w:rPr>
                <w:rFonts w:ascii="Times New Roman" w:hAnsi="Times New Roman" w:eastAsia="宋体" w:cs="Times New Roman"/>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eastAsia="zh-CN"/>
                <w14:textFill>
                  <w14:solidFill>
                    <w14:schemeClr w14:val="tx1"/>
                  </w14:solidFill>
                </w14:textFill>
              </w:rPr>
              <w:t>Ⅳ</w:t>
            </w:r>
          </w:p>
        </w:tc>
        <w:tc>
          <w:tcPr>
            <w:tcW w:w="1016" w:type="pct"/>
            <w:vAlign w:val="center"/>
          </w:tcPr>
          <w:p w14:paraId="4E93ED92">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Ⅲ</w:t>
            </w:r>
          </w:p>
        </w:tc>
        <w:tc>
          <w:tcPr>
            <w:tcW w:w="1016" w:type="pct"/>
            <w:vAlign w:val="center"/>
          </w:tcPr>
          <w:p w14:paraId="1A96758E">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Ⅱ</w:t>
            </w:r>
          </w:p>
        </w:tc>
        <w:tc>
          <w:tcPr>
            <w:tcW w:w="1148" w:type="pct"/>
            <w:vAlign w:val="center"/>
          </w:tcPr>
          <w:p w14:paraId="7DC70580">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Ⅰ</w:t>
            </w:r>
          </w:p>
        </w:tc>
      </w:tr>
      <w:tr w14:paraId="5829EFD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37" w:type="pct"/>
            <w:vAlign w:val="center"/>
          </w:tcPr>
          <w:p w14:paraId="01222576">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评价工作等级</w:t>
            </w:r>
          </w:p>
        </w:tc>
        <w:tc>
          <w:tcPr>
            <w:tcW w:w="883" w:type="pct"/>
            <w:vAlign w:val="center"/>
          </w:tcPr>
          <w:p w14:paraId="2638C882">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一</w:t>
            </w:r>
          </w:p>
        </w:tc>
        <w:tc>
          <w:tcPr>
            <w:tcW w:w="1016" w:type="pct"/>
            <w:vAlign w:val="center"/>
          </w:tcPr>
          <w:p w14:paraId="085E11DB">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二</w:t>
            </w:r>
          </w:p>
        </w:tc>
        <w:tc>
          <w:tcPr>
            <w:tcW w:w="1016" w:type="pct"/>
            <w:vAlign w:val="center"/>
          </w:tcPr>
          <w:p w14:paraId="2E4F2732">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三</w:t>
            </w:r>
          </w:p>
        </w:tc>
        <w:tc>
          <w:tcPr>
            <w:tcW w:w="1148" w:type="pct"/>
            <w:vAlign w:val="center"/>
          </w:tcPr>
          <w:p w14:paraId="00BE19D5">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简单分析</w:t>
            </w:r>
          </w:p>
        </w:tc>
      </w:tr>
      <w:tr w14:paraId="2562A1C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000" w:type="pct"/>
            <w:gridSpan w:val="5"/>
            <w:vAlign w:val="center"/>
          </w:tcPr>
          <w:p w14:paraId="71E91111">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a 是相对于详细评价工作内容而言，在描述危险物质、环境影响途径、环境危害后果、风险防范措施等方面给出定性的说明。见附录A。</w:t>
            </w:r>
          </w:p>
        </w:tc>
      </w:tr>
    </w:tbl>
    <w:p w14:paraId="7EFA1513">
      <w:pPr>
        <w:adjustRightInd w:val="0"/>
        <w:snapToGrid w:val="0"/>
        <w:spacing w:line="360" w:lineRule="auto"/>
        <w:ind w:firstLine="480" w:firstLineChars="200"/>
        <w:rPr>
          <w:b/>
          <w:color w:val="000000" w:themeColor="text1"/>
          <w:sz w:val="24"/>
          <w14:textFill>
            <w14:solidFill>
              <w14:schemeClr w14:val="tx1"/>
            </w14:solidFill>
          </w14:textFill>
        </w:rPr>
      </w:pPr>
    </w:p>
    <w:p w14:paraId="75149D79">
      <w:pPr>
        <w:adjustRightInd w:val="0"/>
        <w:snapToGrid w:val="0"/>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评价等级：</w:t>
      </w:r>
      <w:r>
        <w:rPr>
          <w:color w:val="000000" w:themeColor="text1"/>
          <w:sz w:val="24"/>
          <w14:textFill>
            <w14:solidFill>
              <w14:schemeClr w14:val="tx1"/>
            </w14:solidFill>
          </w14:textFill>
        </w:rPr>
        <w:t>本项目在生产过程中使用的主要原材料为废PE、PP塑料，产品为PE、PP再生颗粒，未被列入</w:t>
      </w:r>
      <w:r>
        <w:rPr>
          <w:rFonts w:eastAsia="新宋体"/>
          <w:color w:val="000000" w:themeColor="text1"/>
          <w:sz w:val="24"/>
          <w:szCs w:val="21"/>
          <w14:textFill>
            <w14:solidFill>
              <w14:schemeClr w14:val="tx1"/>
            </w14:solidFill>
          </w14:textFill>
        </w:rPr>
        <w:t>HJ/T169-2018《建设项目环境风险评价技术导则》</w:t>
      </w:r>
      <w:r>
        <w:rPr>
          <w:color w:val="000000" w:themeColor="text1"/>
          <w:sz w:val="24"/>
          <w14:textFill>
            <w14:solidFill>
              <w14:schemeClr w14:val="tx1"/>
            </w14:solidFill>
          </w14:textFill>
        </w:rPr>
        <w:t>附录B，本项目不涉及危险物质，</w:t>
      </w:r>
      <w:r>
        <w:rPr>
          <w:i/>
          <w:color w:val="000000" w:themeColor="text1"/>
          <w:sz w:val="24"/>
          <w14:textFill>
            <w14:solidFill>
              <w14:schemeClr w14:val="tx1"/>
            </w14:solidFill>
          </w14:textFill>
        </w:rPr>
        <w:t>Q</w:t>
      </w:r>
      <w:r>
        <w:rPr>
          <w:color w:val="000000" w:themeColor="text1"/>
          <w:sz w:val="24"/>
          <w14:textFill>
            <w14:solidFill>
              <w14:schemeClr w14:val="tx1"/>
            </w14:solidFill>
          </w14:textFill>
        </w:rPr>
        <w:t>＜1，因此判定本项目环境风险潜势为I。因此，环境风险评价工作等级为简单分析。</w:t>
      </w:r>
    </w:p>
    <w:p w14:paraId="0AE3A0B8">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1.5.2评价重点</w:t>
      </w:r>
      <w:bookmarkEnd w:id="106"/>
      <w:bookmarkEnd w:id="107"/>
    </w:p>
    <w:p w14:paraId="78AC5F7F">
      <w:pPr>
        <w:spacing w:line="360" w:lineRule="auto"/>
        <w:ind w:firstLine="480" w:firstLineChars="200"/>
        <w:jc w:val="left"/>
        <w:rPr>
          <w:rFonts w:eastAsiaTheme="minorEastAsia"/>
          <w:color w:val="000000" w:themeColor="text1"/>
          <w:kern w:val="0"/>
          <w:sz w:val="24"/>
          <w:szCs w:val="22"/>
          <w14:textFill>
            <w14:solidFill>
              <w14:schemeClr w14:val="tx1"/>
            </w14:solidFill>
          </w14:textFill>
        </w:rPr>
      </w:pPr>
      <w:r>
        <w:rPr>
          <w:rFonts w:eastAsiaTheme="minorEastAsia"/>
          <w:color w:val="000000" w:themeColor="text1"/>
          <w:kern w:val="0"/>
          <w:sz w:val="24"/>
          <w:szCs w:val="22"/>
          <w14:textFill>
            <w14:solidFill>
              <w14:schemeClr w14:val="tx1"/>
            </w14:solidFill>
          </w14:textFill>
        </w:rPr>
        <w:t>本次评价主要工作重点为：</w:t>
      </w:r>
    </w:p>
    <w:p w14:paraId="1891B76B">
      <w:pPr>
        <w:spacing w:line="360" w:lineRule="auto"/>
        <w:ind w:firstLine="480" w:firstLineChars="200"/>
        <w:jc w:val="left"/>
        <w:rPr>
          <w:rFonts w:eastAsiaTheme="minorEastAsia"/>
          <w:color w:val="000000" w:themeColor="text1"/>
          <w:kern w:val="0"/>
          <w:sz w:val="24"/>
          <w:szCs w:val="22"/>
          <w14:textFill>
            <w14:solidFill>
              <w14:schemeClr w14:val="tx1"/>
            </w14:solidFill>
          </w14:textFill>
        </w:rPr>
      </w:pPr>
      <w:r>
        <w:rPr>
          <w:rFonts w:eastAsiaTheme="minorEastAsia"/>
          <w:color w:val="000000" w:themeColor="text1"/>
          <w:kern w:val="0"/>
          <w:sz w:val="24"/>
          <w:szCs w:val="22"/>
          <w14:textFill>
            <w14:solidFill>
              <w14:schemeClr w14:val="tx1"/>
            </w14:solidFill>
          </w14:textFill>
        </w:rPr>
        <w:t>（1）分析项目建设与行业准入及产业政策的符合性；</w:t>
      </w:r>
    </w:p>
    <w:p w14:paraId="04D3D427">
      <w:pPr>
        <w:spacing w:line="360" w:lineRule="auto"/>
        <w:ind w:firstLine="480" w:firstLineChars="200"/>
        <w:jc w:val="left"/>
        <w:rPr>
          <w:rFonts w:eastAsiaTheme="minorEastAsia"/>
          <w:color w:val="000000" w:themeColor="text1"/>
          <w:kern w:val="0"/>
          <w:sz w:val="24"/>
          <w:szCs w:val="22"/>
          <w14:textFill>
            <w14:solidFill>
              <w14:schemeClr w14:val="tx1"/>
            </w14:solidFill>
          </w14:textFill>
        </w:rPr>
      </w:pPr>
      <w:r>
        <w:rPr>
          <w:rFonts w:eastAsiaTheme="minorEastAsia"/>
          <w:color w:val="000000" w:themeColor="text1"/>
          <w:kern w:val="0"/>
          <w:sz w:val="24"/>
          <w:szCs w:val="22"/>
          <w14:textFill>
            <w14:solidFill>
              <w14:schemeClr w14:val="tx1"/>
            </w14:solidFill>
          </w14:textFill>
        </w:rPr>
        <w:t>（2）对拟建项目进行工程分析，确定产污节点和污染源源强；</w:t>
      </w:r>
    </w:p>
    <w:p w14:paraId="5D85F123">
      <w:pPr>
        <w:spacing w:line="360" w:lineRule="auto"/>
        <w:ind w:firstLine="480" w:firstLineChars="200"/>
        <w:jc w:val="left"/>
        <w:rPr>
          <w:rFonts w:eastAsiaTheme="minorEastAsia"/>
          <w:color w:val="000000" w:themeColor="text1"/>
          <w:kern w:val="0"/>
          <w:sz w:val="24"/>
          <w:szCs w:val="22"/>
          <w14:textFill>
            <w14:solidFill>
              <w14:schemeClr w14:val="tx1"/>
            </w14:solidFill>
          </w14:textFill>
        </w:rPr>
      </w:pPr>
      <w:r>
        <w:rPr>
          <w:rFonts w:eastAsiaTheme="minorEastAsia"/>
          <w:color w:val="000000" w:themeColor="text1"/>
          <w:kern w:val="0"/>
          <w:sz w:val="24"/>
          <w:szCs w:val="22"/>
          <w14:textFill>
            <w14:solidFill>
              <w14:schemeClr w14:val="tx1"/>
            </w14:solidFill>
          </w14:textFill>
        </w:rPr>
        <w:t>（3）评价项目排放的污染物对周围环境的影响是否处于可接受水平；</w:t>
      </w:r>
    </w:p>
    <w:p w14:paraId="4662D4A4">
      <w:pPr>
        <w:spacing w:line="360" w:lineRule="auto"/>
        <w:ind w:firstLine="480" w:firstLineChars="200"/>
        <w:jc w:val="left"/>
        <w:rPr>
          <w:rFonts w:eastAsiaTheme="minorEastAsia"/>
          <w:color w:val="000000" w:themeColor="text1"/>
          <w:kern w:val="0"/>
          <w:sz w:val="24"/>
          <w:szCs w:val="22"/>
          <w14:textFill>
            <w14:solidFill>
              <w14:schemeClr w14:val="tx1"/>
            </w14:solidFill>
          </w14:textFill>
        </w:rPr>
      </w:pPr>
      <w:r>
        <w:rPr>
          <w:rFonts w:eastAsiaTheme="minorEastAsia"/>
          <w:color w:val="000000" w:themeColor="text1"/>
          <w:kern w:val="0"/>
          <w:sz w:val="24"/>
          <w:szCs w:val="22"/>
          <w14:textFill>
            <w14:solidFill>
              <w14:schemeClr w14:val="tx1"/>
            </w14:solidFill>
          </w14:textFill>
        </w:rPr>
        <w:t>（4）论证污染防治措施的技术可行性和经济合理性。</w:t>
      </w:r>
    </w:p>
    <w:p w14:paraId="570B9B87">
      <w:pPr>
        <w:pStyle w:val="4"/>
        <w:rPr>
          <w:rFonts w:ascii="Times New Roman" w:hAnsi="Times New Roman"/>
          <w:color w:val="000000" w:themeColor="text1"/>
          <w14:textFill>
            <w14:solidFill>
              <w14:schemeClr w14:val="tx1"/>
            </w14:solidFill>
          </w14:textFill>
        </w:rPr>
      </w:pPr>
      <w:bookmarkStart w:id="108" w:name="_Toc2773733"/>
      <w:r>
        <w:rPr>
          <w:rFonts w:ascii="Times New Roman" w:hAnsi="Times New Roman"/>
          <w:color w:val="000000" w:themeColor="text1"/>
          <w14:textFill>
            <w14:solidFill>
              <w14:schemeClr w14:val="tx1"/>
            </w14:solidFill>
          </w14:textFill>
        </w:rPr>
        <w:t>1.6评价范围和评价时段</w:t>
      </w:r>
      <w:bookmarkEnd w:id="108"/>
    </w:p>
    <w:p w14:paraId="0328C977">
      <w:pPr>
        <w:pStyle w:val="105"/>
        <w:rPr>
          <w:rFonts w:cs="Times New Roman"/>
          <w:color w:val="000000" w:themeColor="text1"/>
          <w14:textFill>
            <w14:solidFill>
              <w14:schemeClr w14:val="tx1"/>
            </w14:solidFill>
          </w14:textFill>
        </w:rPr>
      </w:pPr>
      <w:bookmarkStart w:id="109" w:name="_Toc362393094"/>
      <w:r>
        <w:rPr>
          <w:rFonts w:cs="Times New Roman"/>
          <w:color w:val="000000" w:themeColor="text1"/>
          <w14:textFill>
            <w14:solidFill>
              <w14:schemeClr w14:val="tx1"/>
            </w14:solidFill>
          </w14:textFill>
        </w:rPr>
        <w:t>1.6.1评价范围</w:t>
      </w:r>
      <w:bookmarkEnd w:id="109"/>
    </w:p>
    <w:p w14:paraId="625A25BE">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1、大气环境影响评价范围</w:t>
      </w:r>
    </w:p>
    <w:p w14:paraId="2D4EC31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根据《环境影响评价的技术导则-大气环境》(HJ2.2-2018)，大气环境影响评价范围以项目排放污染物的最远影响范围确定，</w:t>
      </w:r>
      <w:r>
        <w:rPr>
          <w:color w:val="000000" w:themeColor="text1"/>
          <w:kern w:val="0"/>
          <w:sz w:val="24"/>
          <w14:textFill>
            <w14:solidFill>
              <w14:schemeClr w14:val="tx1"/>
            </w14:solidFill>
          </w14:textFill>
        </w:rPr>
        <w:t>边长为5km 为矩形区域</w:t>
      </w:r>
      <w:r>
        <w:rPr>
          <w:color w:val="000000" w:themeColor="text1"/>
          <w:sz w:val="24"/>
          <w14:textFill>
            <w14:solidFill>
              <w14:schemeClr w14:val="tx1"/>
            </w14:solidFill>
          </w14:textFill>
        </w:rPr>
        <w:t>。</w:t>
      </w:r>
    </w:p>
    <w:p w14:paraId="1D04DA3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由前面表1.5-1 的估算结果可知，本项目大气环境影响评价工作等级为二级，根据上面的大气环境评价范围确定原则，本评价大气环境影响评价范围拟定为以生产区为中心，边长为5km 的矩形范围。</w:t>
      </w:r>
    </w:p>
    <w:p w14:paraId="752223F7">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2、地表水环境影响评价范围</w:t>
      </w:r>
    </w:p>
    <w:p w14:paraId="72A1F33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项目废水不外排，因此本评价主要对生产废水依托污水处理设施处理后回用不外排可行性进行分析。</w:t>
      </w:r>
    </w:p>
    <w:p w14:paraId="3C48D6B4">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3、地下水环境影响评价范围</w:t>
      </w:r>
    </w:p>
    <w:p w14:paraId="2FBFE1B4">
      <w:pPr>
        <w:spacing w:line="360" w:lineRule="auto"/>
        <w:ind w:firstLine="480" w:firstLineChars="200"/>
        <w:jc w:val="left"/>
        <w:rPr>
          <w:color w:val="000000" w:themeColor="text1"/>
          <w:sz w:val="24"/>
          <w:lang w:bidi="en-US"/>
          <w14:textFill>
            <w14:solidFill>
              <w14:schemeClr w14:val="tx1"/>
            </w14:solidFill>
          </w14:textFill>
        </w:rPr>
      </w:pPr>
      <w:r>
        <w:rPr>
          <w:color w:val="000000" w:themeColor="text1"/>
          <w:sz w:val="24"/>
          <w:lang w:bidi="en-US"/>
          <w14:textFill>
            <w14:solidFill>
              <w14:schemeClr w14:val="tx1"/>
            </w14:solidFill>
          </w14:textFill>
        </w:rPr>
        <w:t>根据《环境影响评价技术导则 地下水环境》（HJ610-2016），地下水评价范围应包括与建设项目相关地下水环境保护目标，以能说明地下水环境现状，反映评价区地下水基本流场特征，满足地下水环境影响预测和评价为基本原则。评价范围可采用公式计算法、查表法和自定义法确定。</w:t>
      </w:r>
    </w:p>
    <w:p w14:paraId="5E0DCACA">
      <w:pPr>
        <w:spacing w:line="360" w:lineRule="auto"/>
        <w:ind w:firstLine="480" w:firstLineChars="200"/>
        <w:jc w:val="left"/>
        <w:rPr>
          <w:color w:val="000000" w:themeColor="text1"/>
          <w:lang w:bidi="en-US"/>
          <w14:textFill>
            <w14:solidFill>
              <w14:schemeClr w14:val="tx1"/>
            </w14:solidFill>
          </w14:textFill>
        </w:rPr>
      </w:pPr>
      <w:r>
        <w:rPr>
          <w:color w:val="000000" w:themeColor="text1"/>
          <w:sz w:val="24"/>
          <w:lang w:bidi="en-US"/>
          <w14:textFill>
            <w14:solidFill>
              <w14:schemeClr w14:val="tx1"/>
            </w14:solidFill>
          </w14:textFill>
        </w:rPr>
        <w:t>由于区域地下水含水层连续性较差，故本次评价范围采用自定义法进行确定，根据项目的开采特点及项目所在地水文地质条件评价范围为：</w:t>
      </w:r>
    </w:p>
    <w:p w14:paraId="5617217F">
      <w:pPr>
        <w:spacing w:line="360" w:lineRule="auto"/>
        <w:ind w:firstLine="480" w:firstLineChars="200"/>
        <w:jc w:val="left"/>
        <w:rPr>
          <w:color w:val="000000" w:themeColor="text1"/>
          <w:lang w:bidi="en-US"/>
          <w14:textFill>
            <w14:solidFill>
              <w14:schemeClr w14:val="tx1"/>
            </w14:solidFill>
          </w14:textFill>
        </w:rPr>
      </w:pPr>
      <w:r>
        <w:rPr>
          <w:color w:val="000000" w:themeColor="text1"/>
          <w:sz w:val="24"/>
          <w:lang w:bidi="en-US"/>
          <w14:textFill>
            <w14:solidFill>
              <w14:schemeClr w14:val="tx1"/>
            </w14:solidFill>
          </w14:textFill>
        </w:rPr>
        <w:t>南侧以瑞丽江为界，西侧、北侧以低洼或箐沟为界，东侧以山脊为界，</w:t>
      </w:r>
      <w:r>
        <w:rPr>
          <w:rFonts w:hint="eastAsia"/>
          <w:color w:val="000000" w:themeColor="text1"/>
          <w:sz w:val="24"/>
          <w:lang w:bidi="en-US"/>
          <w14:textFill>
            <w14:solidFill>
              <w14:schemeClr w14:val="tx1"/>
            </w14:solidFill>
          </w14:textFill>
        </w:rPr>
        <w:t>总面积约为1.383km</w:t>
      </w:r>
      <w:r>
        <w:rPr>
          <w:rFonts w:hint="eastAsia"/>
          <w:color w:val="000000" w:themeColor="text1"/>
          <w:sz w:val="24"/>
          <w:vertAlign w:val="superscript"/>
          <w:lang w:bidi="en-US"/>
          <w14:textFill>
            <w14:solidFill>
              <w14:schemeClr w14:val="tx1"/>
            </w14:solidFill>
          </w14:textFill>
        </w:rPr>
        <w:t>2</w:t>
      </w:r>
      <w:r>
        <w:rPr>
          <w:rFonts w:hint="eastAsia"/>
          <w:color w:val="000000" w:themeColor="text1"/>
          <w:sz w:val="24"/>
          <w:lang w:bidi="en-US"/>
          <w14:textFill>
            <w14:solidFill>
              <w14:schemeClr w14:val="tx1"/>
            </w14:solidFill>
          </w14:textFill>
        </w:rPr>
        <w:t>，</w:t>
      </w:r>
      <w:r>
        <w:rPr>
          <w:color w:val="000000" w:themeColor="text1"/>
          <w:sz w:val="24"/>
          <w:lang w:bidi="en-US"/>
          <w14:textFill>
            <w14:solidFill>
              <w14:schemeClr w14:val="tx1"/>
            </w14:solidFill>
          </w14:textFill>
        </w:rPr>
        <w:t>详见附图6</w:t>
      </w:r>
      <w:r>
        <w:rPr>
          <w:color w:val="000000" w:themeColor="text1"/>
          <w:lang w:bidi="en-US"/>
          <w14:textFill>
            <w14:solidFill>
              <w14:schemeClr w14:val="tx1"/>
            </w14:solidFill>
          </w14:textFill>
        </w:rPr>
        <w:t>。</w:t>
      </w:r>
    </w:p>
    <w:p w14:paraId="0A890577">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4、声环境影响评价范围</w:t>
      </w:r>
    </w:p>
    <w:p w14:paraId="1E86174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本评价声环境评价等级为二级，根据HJ2.4-2009《环境影响评价技术导则－声环境》，结合项目的主要噪声源分布和周边声环境敏感点情况，声环境影响评价范围拟定为厂界外延200m 范围。</w:t>
      </w:r>
    </w:p>
    <w:p w14:paraId="070576E6">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5、生态环境影响评价范围</w:t>
      </w:r>
    </w:p>
    <w:p w14:paraId="470CA70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项目选址位于芒市遮放镇弄坎村芒捧村民小组，生态环境影响评价工作等级为三级，生态环境影响评价范围拟定为厂界外延200m 范围。</w:t>
      </w:r>
    </w:p>
    <w:p w14:paraId="2165BC39">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6、环境风险评价范围</w:t>
      </w:r>
    </w:p>
    <w:p w14:paraId="2AD5CD4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T169-2018），本项目环境风险评价工作等级为简单分析，不设评价范围；按照风险评价技术导则进行风险识别、源项分析和对事故影响进行简要分析，提出防范、减缓和应急措施。</w:t>
      </w:r>
    </w:p>
    <w:p w14:paraId="494D464E">
      <w:pPr>
        <w:pStyle w:val="105"/>
        <w:rPr>
          <w:rFonts w:cs="Times New Roman"/>
          <w:color w:val="000000" w:themeColor="text1"/>
          <w14:textFill>
            <w14:solidFill>
              <w14:schemeClr w14:val="tx1"/>
            </w14:solidFill>
          </w14:textFill>
        </w:rPr>
      </w:pPr>
      <w:bookmarkStart w:id="110" w:name="_Toc362393095"/>
      <w:r>
        <w:rPr>
          <w:rFonts w:cs="Times New Roman"/>
          <w:color w:val="000000" w:themeColor="text1"/>
          <w14:textFill>
            <w14:solidFill>
              <w14:schemeClr w14:val="tx1"/>
            </w14:solidFill>
          </w14:textFill>
        </w:rPr>
        <w:t>1.6.2评价时段</w:t>
      </w:r>
      <w:bookmarkEnd w:id="110"/>
    </w:p>
    <w:p w14:paraId="08BBBE63">
      <w:pPr>
        <w:pStyle w:val="57"/>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本项目评价时段分为施工期及运营期，评价时段重点为运营期。</w:t>
      </w:r>
    </w:p>
    <w:bookmarkEnd w:id="99"/>
    <w:bookmarkEnd w:id="100"/>
    <w:bookmarkEnd w:id="101"/>
    <w:bookmarkEnd w:id="102"/>
    <w:bookmarkEnd w:id="103"/>
    <w:bookmarkEnd w:id="104"/>
    <w:bookmarkEnd w:id="105"/>
    <w:p w14:paraId="17CDCB9E">
      <w:pPr>
        <w:pStyle w:val="4"/>
        <w:rPr>
          <w:rFonts w:ascii="Times New Roman" w:hAnsi="Times New Roman"/>
          <w:color w:val="000000" w:themeColor="text1"/>
          <w14:textFill>
            <w14:solidFill>
              <w14:schemeClr w14:val="tx1"/>
            </w14:solidFill>
          </w14:textFill>
        </w:rPr>
      </w:pPr>
      <w:bookmarkStart w:id="111" w:name="_Toc2773734"/>
      <w:r>
        <w:rPr>
          <w:rFonts w:ascii="Times New Roman" w:hAnsi="Times New Roman"/>
          <w:color w:val="000000" w:themeColor="text1"/>
          <w14:textFill>
            <w14:solidFill>
              <w14:schemeClr w14:val="tx1"/>
            </w14:solidFill>
          </w14:textFill>
        </w:rPr>
        <w:t>1.7环境保护目标</w:t>
      </w:r>
      <w:bookmarkEnd w:id="111"/>
    </w:p>
    <w:p w14:paraId="6F8E5A4E">
      <w:pPr>
        <w:spacing w:line="500" w:lineRule="exact"/>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主要的环境保护目标为区域周边的居住区等敏感目标，执行GB3095-2012《环境空气质量标准》二级标准，GB3096-2008《声环境质量标准》2类区标准。</w:t>
      </w:r>
    </w:p>
    <w:p w14:paraId="77328051">
      <w:pPr>
        <w:tabs>
          <w:tab w:val="left" w:pos="8160"/>
        </w:tabs>
        <w:spacing w:line="50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环境保护目标分布见图1，表1.7-1。</w:t>
      </w:r>
    </w:p>
    <w:p w14:paraId="2BB8A9E0">
      <w:pPr>
        <w:tabs>
          <w:tab w:val="left" w:pos="8160"/>
        </w:tabs>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表1.7-1   大气、声、地表水环境保护目标一览表</w:t>
      </w:r>
    </w:p>
    <w:tbl>
      <w:tblPr>
        <w:tblStyle w:val="42"/>
        <w:tblW w:w="5000" w:type="pct"/>
        <w:tblInd w:w="0" w:type="dxa"/>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276"/>
        <w:gridCol w:w="993"/>
        <w:gridCol w:w="851"/>
        <w:gridCol w:w="1559"/>
        <w:gridCol w:w="2608"/>
      </w:tblGrid>
      <w:tr w14:paraId="11288DC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vAlign w:val="center"/>
          </w:tcPr>
          <w:p w14:paraId="18B41BA6">
            <w:pPr>
              <w:jc w:val="center"/>
              <w:rPr>
                <w:rFonts w:eastAsiaTheme="minorEastAsia"/>
                <w:b/>
                <w:color w:val="000000" w:themeColor="text1"/>
                <w:szCs w:val="22"/>
                <w:lang w:val="zh-CN"/>
                <w14:textFill>
                  <w14:solidFill>
                    <w14:schemeClr w14:val="tx1"/>
                  </w14:solidFill>
                </w14:textFill>
              </w:rPr>
            </w:pPr>
            <w:r>
              <w:rPr>
                <w:rFonts w:eastAsiaTheme="minorEastAsia"/>
                <w:b/>
                <w:color w:val="000000" w:themeColor="text1"/>
                <w:szCs w:val="22"/>
                <w:lang w:val="zh-CN"/>
                <w14:textFill>
                  <w14:solidFill>
                    <w14:schemeClr w14:val="tx1"/>
                  </w14:solidFill>
                </w14:textFill>
              </w:rPr>
              <w:t>环境要素</w:t>
            </w:r>
          </w:p>
        </w:tc>
        <w:tc>
          <w:tcPr>
            <w:tcW w:w="748" w:type="pct"/>
            <w:shd w:val="clear" w:color="auto" w:fill="auto"/>
            <w:vAlign w:val="center"/>
          </w:tcPr>
          <w:p w14:paraId="660C80EF">
            <w:pPr>
              <w:jc w:val="center"/>
              <w:rPr>
                <w:rFonts w:eastAsiaTheme="minorEastAsia"/>
                <w:b/>
                <w:color w:val="000000" w:themeColor="text1"/>
                <w:szCs w:val="22"/>
                <w:lang w:val="zh-CN"/>
                <w14:textFill>
                  <w14:solidFill>
                    <w14:schemeClr w14:val="tx1"/>
                  </w14:solidFill>
                </w14:textFill>
              </w:rPr>
            </w:pPr>
            <w:r>
              <w:rPr>
                <w:rFonts w:eastAsiaTheme="minorEastAsia"/>
                <w:b/>
                <w:color w:val="000000" w:themeColor="text1"/>
                <w:szCs w:val="22"/>
                <w:lang w:val="zh-CN"/>
                <w14:textFill>
                  <w14:solidFill>
                    <w14:schemeClr w14:val="tx1"/>
                  </w14:solidFill>
                </w14:textFill>
              </w:rPr>
              <w:t>保护目标</w:t>
            </w:r>
          </w:p>
        </w:tc>
        <w:tc>
          <w:tcPr>
            <w:tcW w:w="582" w:type="pct"/>
            <w:shd w:val="clear" w:color="auto" w:fill="auto"/>
            <w:vAlign w:val="center"/>
          </w:tcPr>
          <w:p w14:paraId="23DAB19F">
            <w:pPr>
              <w:jc w:val="center"/>
              <w:rPr>
                <w:rFonts w:eastAsiaTheme="minorEastAsia"/>
                <w:b/>
                <w:color w:val="000000" w:themeColor="text1"/>
                <w:szCs w:val="22"/>
                <w:lang w:val="zh-CN"/>
                <w14:textFill>
                  <w14:solidFill>
                    <w14:schemeClr w14:val="tx1"/>
                  </w14:solidFill>
                </w14:textFill>
              </w:rPr>
            </w:pPr>
            <w:r>
              <w:rPr>
                <w:rFonts w:eastAsiaTheme="minorEastAsia"/>
                <w:b/>
                <w:color w:val="000000" w:themeColor="text1"/>
                <w:szCs w:val="22"/>
                <w:lang w:val="zh-CN"/>
                <w14:textFill>
                  <w14:solidFill>
                    <w14:schemeClr w14:val="tx1"/>
                  </w14:solidFill>
                </w14:textFill>
              </w:rPr>
              <w:t>方位</w:t>
            </w:r>
          </w:p>
        </w:tc>
        <w:tc>
          <w:tcPr>
            <w:tcW w:w="499" w:type="pct"/>
            <w:shd w:val="clear" w:color="auto" w:fill="auto"/>
            <w:vAlign w:val="center"/>
          </w:tcPr>
          <w:p w14:paraId="1D8F1265">
            <w:pPr>
              <w:jc w:val="center"/>
              <w:rPr>
                <w:rFonts w:eastAsiaTheme="minorEastAsia"/>
                <w:b/>
                <w:color w:val="000000" w:themeColor="text1"/>
                <w:szCs w:val="22"/>
                <w:lang w:val="zh-CN"/>
                <w14:textFill>
                  <w14:solidFill>
                    <w14:schemeClr w14:val="tx1"/>
                  </w14:solidFill>
                </w14:textFill>
              </w:rPr>
            </w:pPr>
            <w:r>
              <w:rPr>
                <w:rFonts w:eastAsiaTheme="minorEastAsia"/>
                <w:b/>
                <w:color w:val="000000" w:themeColor="text1"/>
                <w:szCs w:val="22"/>
                <w:lang w:val="zh-CN"/>
                <w14:textFill>
                  <w14:solidFill>
                    <w14:schemeClr w14:val="tx1"/>
                  </w14:solidFill>
                </w14:textFill>
              </w:rPr>
              <w:t>距离</w:t>
            </w:r>
          </w:p>
        </w:tc>
        <w:tc>
          <w:tcPr>
            <w:tcW w:w="914" w:type="pct"/>
            <w:vAlign w:val="center"/>
          </w:tcPr>
          <w:p w14:paraId="66E9F8F9">
            <w:pPr>
              <w:jc w:val="center"/>
              <w:rPr>
                <w:rFonts w:eastAsiaTheme="minorEastAsia"/>
                <w:color w:val="000000" w:themeColor="text1"/>
                <w:szCs w:val="22"/>
                <w:lang w:val="zh-CN"/>
                <w14:textFill>
                  <w14:solidFill>
                    <w14:schemeClr w14:val="tx1"/>
                  </w14:solidFill>
                </w14:textFill>
              </w:rPr>
            </w:pPr>
            <w:r>
              <w:rPr>
                <w:b/>
                <w:color w:val="000000" w:themeColor="text1"/>
                <w:szCs w:val="21"/>
                <w14:textFill>
                  <w14:solidFill>
                    <w14:schemeClr w14:val="tx1"/>
                  </w14:solidFill>
                </w14:textFill>
              </w:rPr>
              <w:t>基本特征</w:t>
            </w:r>
          </w:p>
        </w:tc>
        <w:tc>
          <w:tcPr>
            <w:tcW w:w="1529" w:type="pct"/>
            <w:vAlign w:val="center"/>
          </w:tcPr>
          <w:p w14:paraId="2321723A">
            <w:pPr>
              <w:jc w:val="center"/>
              <w:rPr>
                <w:rFonts w:eastAsiaTheme="minorEastAsia"/>
                <w:color w:val="000000" w:themeColor="text1"/>
                <w:szCs w:val="22"/>
                <w:lang w:val="zh-CN"/>
                <w14:textFill>
                  <w14:solidFill>
                    <w14:schemeClr w14:val="tx1"/>
                  </w14:solidFill>
                </w14:textFill>
              </w:rPr>
            </w:pPr>
            <w:r>
              <w:rPr>
                <w:b/>
                <w:color w:val="000000" w:themeColor="text1"/>
                <w:szCs w:val="21"/>
                <w14:textFill>
                  <w14:solidFill>
                    <w14:schemeClr w14:val="tx1"/>
                  </w14:solidFill>
                </w14:textFill>
              </w:rPr>
              <w:t>执行环境标准</w:t>
            </w:r>
          </w:p>
        </w:tc>
      </w:tr>
      <w:tr w14:paraId="1F665D9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vAlign w:val="center"/>
          </w:tcPr>
          <w:p w14:paraId="48BE0C70">
            <w:pPr>
              <w:jc w:val="center"/>
              <w:rPr>
                <w:rFonts w:eastAsiaTheme="minorEastAsia"/>
                <w:b/>
                <w:color w:val="000000" w:themeColor="text1"/>
                <w:szCs w:val="22"/>
                <w:lang w:val="zh-CN"/>
                <w14:textFill>
                  <w14:solidFill>
                    <w14:schemeClr w14:val="tx1"/>
                  </w14:solidFill>
                </w14:textFill>
              </w:rPr>
            </w:pPr>
            <w:r>
              <w:rPr>
                <w:rFonts w:eastAsiaTheme="minorEastAsia"/>
                <w:b/>
                <w:color w:val="000000" w:themeColor="text1"/>
                <w:szCs w:val="22"/>
                <w:lang w:val="zh-CN"/>
                <w14:textFill>
                  <w14:solidFill>
                    <w14:schemeClr w14:val="tx1"/>
                  </w14:solidFill>
                </w14:textFill>
              </w:rPr>
              <w:t>大气、声环境</w:t>
            </w:r>
          </w:p>
        </w:tc>
        <w:tc>
          <w:tcPr>
            <w:tcW w:w="748" w:type="pct"/>
            <w:shd w:val="clear" w:color="auto" w:fill="auto"/>
            <w:vAlign w:val="center"/>
          </w:tcPr>
          <w:p w14:paraId="244A1425">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四分场四队</w:t>
            </w:r>
          </w:p>
        </w:tc>
        <w:tc>
          <w:tcPr>
            <w:tcW w:w="582" w:type="pct"/>
            <w:shd w:val="clear" w:color="auto" w:fill="auto"/>
            <w:vAlign w:val="center"/>
          </w:tcPr>
          <w:p w14:paraId="25374B71">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北侧</w:t>
            </w:r>
          </w:p>
        </w:tc>
        <w:tc>
          <w:tcPr>
            <w:tcW w:w="499" w:type="pct"/>
            <w:shd w:val="clear" w:color="auto" w:fill="auto"/>
            <w:vAlign w:val="center"/>
          </w:tcPr>
          <w:p w14:paraId="4958843D">
            <w:pPr>
              <w:widowControl/>
              <w:jc w:val="center"/>
              <w:rPr>
                <w:rFonts w:eastAsiaTheme="minorEastAsia"/>
                <w:color w:val="000000" w:themeColor="text1"/>
                <w:szCs w:val="22"/>
                <w:lang w:val="zh-CN"/>
                <w14:textFill>
                  <w14:solidFill>
                    <w14:schemeClr w14:val="tx1"/>
                  </w14:solidFill>
                </w14:textFill>
              </w:rPr>
            </w:pPr>
            <w:r>
              <w:rPr>
                <w:rFonts w:eastAsiaTheme="minorEastAsia"/>
                <w:color w:val="000000" w:themeColor="text1"/>
                <w:kern w:val="0"/>
                <w:szCs w:val="21"/>
                <w14:textFill>
                  <w14:solidFill>
                    <w14:schemeClr w14:val="tx1"/>
                  </w14:solidFill>
                </w14:textFill>
              </w:rPr>
              <w:t>130m</w:t>
            </w:r>
          </w:p>
        </w:tc>
        <w:tc>
          <w:tcPr>
            <w:tcW w:w="914" w:type="pct"/>
            <w:vAlign w:val="center"/>
          </w:tcPr>
          <w:p w14:paraId="03556804">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46户，147人</w:t>
            </w:r>
          </w:p>
        </w:tc>
        <w:tc>
          <w:tcPr>
            <w:tcW w:w="1529" w:type="pct"/>
            <w:vAlign w:val="center"/>
          </w:tcPr>
          <w:p w14:paraId="77A48B17">
            <w:pPr>
              <w:widowControl/>
              <w:jc w:val="center"/>
              <w:rPr>
                <w:rFonts w:eastAsiaTheme="minorEastAsia"/>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GB3095-2012《环境空气质量标准》二级；GB3096-2008《声环境质量标准》2类</w:t>
            </w:r>
          </w:p>
        </w:tc>
      </w:tr>
      <w:tr w14:paraId="2735DAA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vMerge w:val="restart"/>
            <w:vAlign w:val="center"/>
          </w:tcPr>
          <w:p w14:paraId="2C11F52E">
            <w:pPr>
              <w:jc w:val="center"/>
              <w:rPr>
                <w:rFonts w:eastAsiaTheme="minorEastAsia"/>
                <w:b/>
                <w:color w:val="000000" w:themeColor="text1"/>
                <w:szCs w:val="22"/>
                <w:lang w:val="zh-CN"/>
                <w14:textFill>
                  <w14:solidFill>
                    <w14:schemeClr w14:val="tx1"/>
                  </w14:solidFill>
                </w14:textFill>
              </w:rPr>
            </w:pPr>
            <w:r>
              <w:rPr>
                <w:rFonts w:eastAsiaTheme="minorEastAsia"/>
                <w:b/>
                <w:color w:val="000000" w:themeColor="text1"/>
                <w:szCs w:val="22"/>
                <w:lang w:val="zh-CN"/>
                <w14:textFill>
                  <w14:solidFill>
                    <w14:schemeClr w14:val="tx1"/>
                  </w14:solidFill>
                </w14:textFill>
              </w:rPr>
              <w:t>大气环境</w:t>
            </w:r>
          </w:p>
        </w:tc>
        <w:tc>
          <w:tcPr>
            <w:tcW w:w="748" w:type="pct"/>
            <w:shd w:val="clear" w:color="auto" w:fill="auto"/>
            <w:vAlign w:val="center"/>
          </w:tcPr>
          <w:p w14:paraId="1CA534B8">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四分场五队</w:t>
            </w:r>
          </w:p>
        </w:tc>
        <w:tc>
          <w:tcPr>
            <w:tcW w:w="582" w:type="pct"/>
            <w:shd w:val="clear" w:color="auto" w:fill="auto"/>
            <w:vAlign w:val="center"/>
          </w:tcPr>
          <w:p w14:paraId="6578B833">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东北侧</w:t>
            </w:r>
          </w:p>
        </w:tc>
        <w:tc>
          <w:tcPr>
            <w:tcW w:w="499" w:type="pct"/>
            <w:shd w:val="clear" w:color="auto" w:fill="auto"/>
            <w:vAlign w:val="center"/>
          </w:tcPr>
          <w:p w14:paraId="7406A098">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1460m</w:t>
            </w:r>
          </w:p>
        </w:tc>
        <w:tc>
          <w:tcPr>
            <w:tcW w:w="914" w:type="pct"/>
            <w:vAlign w:val="center"/>
          </w:tcPr>
          <w:p w14:paraId="36D3C19C">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50户，162人</w:t>
            </w:r>
          </w:p>
        </w:tc>
        <w:tc>
          <w:tcPr>
            <w:tcW w:w="1529" w:type="pct"/>
            <w:vMerge w:val="restart"/>
            <w:vAlign w:val="center"/>
          </w:tcPr>
          <w:p w14:paraId="409484D1">
            <w:pPr>
              <w:widowControl/>
              <w:jc w:val="center"/>
              <w:rPr>
                <w:rFonts w:eastAsiaTheme="minorEastAsia"/>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GB3095-2012《环境空气质量标准》二级</w:t>
            </w:r>
          </w:p>
        </w:tc>
      </w:tr>
      <w:tr w14:paraId="6F7B605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vMerge w:val="continue"/>
            <w:vAlign w:val="center"/>
          </w:tcPr>
          <w:p w14:paraId="24CE08C0">
            <w:pPr>
              <w:jc w:val="center"/>
              <w:rPr>
                <w:rFonts w:eastAsiaTheme="minorEastAsia"/>
                <w:b/>
                <w:color w:val="000000" w:themeColor="text1"/>
                <w:szCs w:val="22"/>
                <w:lang w:val="zh-CN"/>
                <w14:textFill>
                  <w14:solidFill>
                    <w14:schemeClr w14:val="tx1"/>
                  </w14:solidFill>
                </w14:textFill>
              </w:rPr>
            </w:pPr>
          </w:p>
        </w:tc>
        <w:tc>
          <w:tcPr>
            <w:tcW w:w="748" w:type="pct"/>
            <w:shd w:val="clear" w:color="auto" w:fill="auto"/>
            <w:vAlign w:val="center"/>
          </w:tcPr>
          <w:p w14:paraId="5564DDDF">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芒捧</w:t>
            </w:r>
          </w:p>
        </w:tc>
        <w:tc>
          <w:tcPr>
            <w:tcW w:w="582" w:type="pct"/>
            <w:shd w:val="clear" w:color="auto" w:fill="auto"/>
            <w:vAlign w:val="center"/>
          </w:tcPr>
          <w:p w14:paraId="45F8ADC5">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西北侧</w:t>
            </w:r>
          </w:p>
        </w:tc>
        <w:tc>
          <w:tcPr>
            <w:tcW w:w="499" w:type="pct"/>
            <w:shd w:val="clear" w:color="auto" w:fill="auto"/>
            <w:vAlign w:val="center"/>
          </w:tcPr>
          <w:p w14:paraId="56409673">
            <w:pPr>
              <w:widowControl/>
              <w:jc w:val="center"/>
              <w:rPr>
                <w:rFonts w:eastAsiaTheme="minorEastAsia"/>
                <w:color w:val="000000" w:themeColor="text1"/>
                <w:kern w:val="0"/>
                <w:szCs w:val="21"/>
                <w:lang w:val="zh-CN"/>
                <w14:textFill>
                  <w14:solidFill>
                    <w14:schemeClr w14:val="tx1"/>
                  </w14:solidFill>
                </w14:textFill>
              </w:rPr>
            </w:pPr>
            <w:r>
              <w:rPr>
                <w:rFonts w:eastAsiaTheme="minorEastAsia"/>
                <w:color w:val="000000" w:themeColor="text1"/>
                <w:kern w:val="0"/>
                <w:szCs w:val="21"/>
                <w14:textFill>
                  <w14:solidFill>
                    <w14:schemeClr w14:val="tx1"/>
                  </w14:solidFill>
                </w14:textFill>
              </w:rPr>
              <w:t>880m</w:t>
            </w:r>
          </w:p>
        </w:tc>
        <w:tc>
          <w:tcPr>
            <w:tcW w:w="914" w:type="pct"/>
            <w:vAlign w:val="center"/>
          </w:tcPr>
          <w:p w14:paraId="789EF977">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76户，243人</w:t>
            </w:r>
          </w:p>
        </w:tc>
        <w:tc>
          <w:tcPr>
            <w:tcW w:w="1529" w:type="pct"/>
            <w:vMerge w:val="continue"/>
            <w:vAlign w:val="center"/>
          </w:tcPr>
          <w:p w14:paraId="2B35E348">
            <w:pPr>
              <w:widowControl/>
              <w:jc w:val="center"/>
              <w:rPr>
                <w:rFonts w:eastAsiaTheme="minorEastAsia"/>
                <w:color w:val="000000" w:themeColor="text1"/>
                <w:kern w:val="0"/>
                <w:szCs w:val="21"/>
                <w14:textFill>
                  <w14:solidFill>
                    <w14:schemeClr w14:val="tx1"/>
                  </w14:solidFill>
                </w14:textFill>
              </w:rPr>
            </w:pPr>
          </w:p>
        </w:tc>
      </w:tr>
      <w:tr w14:paraId="1D819EB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vMerge w:val="continue"/>
            <w:vAlign w:val="center"/>
          </w:tcPr>
          <w:p w14:paraId="362EF375">
            <w:pPr>
              <w:jc w:val="center"/>
              <w:rPr>
                <w:rFonts w:eastAsiaTheme="minorEastAsia"/>
                <w:b/>
                <w:color w:val="000000" w:themeColor="text1"/>
                <w:szCs w:val="22"/>
                <w:lang w:val="zh-CN"/>
                <w14:textFill>
                  <w14:solidFill>
                    <w14:schemeClr w14:val="tx1"/>
                  </w14:solidFill>
                </w14:textFill>
              </w:rPr>
            </w:pPr>
          </w:p>
        </w:tc>
        <w:tc>
          <w:tcPr>
            <w:tcW w:w="748" w:type="pct"/>
            <w:shd w:val="clear" w:color="auto" w:fill="auto"/>
            <w:vAlign w:val="center"/>
          </w:tcPr>
          <w:p w14:paraId="7D68EA4E">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户焕</w:t>
            </w:r>
          </w:p>
        </w:tc>
        <w:tc>
          <w:tcPr>
            <w:tcW w:w="582" w:type="pct"/>
            <w:shd w:val="clear" w:color="auto" w:fill="auto"/>
            <w:vAlign w:val="center"/>
          </w:tcPr>
          <w:p w14:paraId="1A7F92CA">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西侧</w:t>
            </w:r>
          </w:p>
        </w:tc>
        <w:tc>
          <w:tcPr>
            <w:tcW w:w="499" w:type="pct"/>
            <w:shd w:val="clear" w:color="auto" w:fill="auto"/>
            <w:vAlign w:val="center"/>
          </w:tcPr>
          <w:p w14:paraId="174D963F">
            <w:pPr>
              <w:widowControl/>
              <w:jc w:val="center"/>
              <w:rPr>
                <w:rFonts w:eastAsiaTheme="minorEastAsia"/>
                <w:color w:val="000000" w:themeColor="text1"/>
                <w:kern w:val="0"/>
                <w:szCs w:val="21"/>
                <w:lang w:val="zh-CN"/>
                <w14:textFill>
                  <w14:solidFill>
                    <w14:schemeClr w14:val="tx1"/>
                  </w14:solidFill>
                </w14:textFill>
              </w:rPr>
            </w:pPr>
            <w:r>
              <w:rPr>
                <w:rFonts w:eastAsiaTheme="minorEastAsia"/>
                <w:color w:val="000000" w:themeColor="text1"/>
                <w:kern w:val="0"/>
                <w:szCs w:val="21"/>
                <w14:textFill>
                  <w14:solidFill>
                    <w14:schemeClr w14:val="tx1"/>
                  </w14:solidFill>
                </w14:textFill>
              </w:rPr>
              <w:t>480m</w:t>
            </w:r>
          </w:p>
        </w:tc>
        <w:tc>
          <w:tcPr>
            <w:tcW w:w="914" w:type="pct"/>
            <w:vAlign w:val="center"/>
          </w:tcPr>
          <w:p w14:paraId="1F69A66E">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120户，384人</w:t>
            </w:r>
          </w:p>
        </w:tc>
        <w:tc>
          <w:tcPr>
            <w:tcW w:w="1529" w:type="pct"/>
            <w:vMerge w:val="continue"/>
            <w:vAlign w:val="center"/>
          </w:tcPr>
          <w:p w14:paraId="72282DB9">
            <w:pPr>
              <w:widowControl/>
              <w:jc w:val="center"/>
              <w:rPr>
                <w:rFonts w:eastAsiaTheme="minorEastAsia"/>
                <w:color w:val="000000" w:themeColor="text1"/>
                <w:kern w:val="0"/>
                <w:szCs w:val="21"/>
                <w14:textFill>
                  <w14:solidFill>
                    <w14:schemeClr w14:val="tx1"/>
                  </w14:solidFill>
                </w14:textFill>
              </w:rPr>
            </w:pPr>
          </w:p>
        </w:tc>
      </w:tr>
      <w:tr w14:paraId="16B164E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vMerge w:val="continue"/>
            <w:vAlign w:val="center"/>
          </w:tcPr>
          <w:p w14:paraId="600FB371">
            <w:pPr>
              <w:jc w:val="center"/>
              <w:rPr>
                <w:rFonts w:eastAsiaTheme="minorEastAsia"/>
                <w:b/>
                <w:color w:val="000000" w:themeColor="text1"/>
                <w:szCs w:val="22"/>
                <w:lang w:val="zh-CN"/>
                <w14:textFill>
                  <w14:solidFill>
                    <w14:schemeClr w14:val="tx1"/>
                  </w14:solidFill>
                </w14:textFill>
              </w:rPr>
            </w:pPr>
          </w:p>
        </w:tc>
        <w:tc>
          <w:tcPr>
            <w:tcW w:w="748" w:type="pct"/>
            <w:shd w:val="clear" w:color="auto" w:fill="auto"/>
            <w:vAlign w:val="center"/>
          </w:tcPr>
          <w:p w14:paraId="6F1380AB">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回环傣寨</w:t>
            </w:r>
          </w:p>
        </w:tc>
        <w:tc>
          <w:tcPr>
            <w:tcW w:w="582" w:type="pct"/>
            <w:shd w:val="clear" w:color="auto" w:fill="auto"/>
            <w:vAlign w:val="center"/>
          </w:tcPr>
          <w:p w14:paraId="4D2DB47B">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西南侧</w:t>
            </w:r>
          </w:p>
        </w:tc>
        <w:tc>
          <w:tcPr>
            <w:tcW w:w="499" w:type="pct"/>
            <w:shd w:val="clear" w:color="auto" w:fill="auto"/>
            <w:vAlign w:val="center"/>
          </w:tcPr>
          <w:p w14:paraId="5C9EB36E">
            <w:pPr>
              <w:widowControl/>
              <w:jc w:val="center"/>
              <w:rPr>
                <w:rFonts w:eastAsiaTheme="minorEastAsia"/>
                <w:color w:val="000000" w:themeColor="text1"/>
                <w:kern w:val="0"/>
                <w:szCs w:val="21"/>
                <w:lang w:val="zh-CN"/>
                <w14:textFill>
                  <w14:solidFill>
                    <w14:schemeClr w14:val="tx1"/>
                  </w14:solidFill>
                </w14:textFill>
              </w:rPr>
            </w:pPr>
            <w:r>
              <w:rPr>
                <w:rFonts w:eastAsiaTheme="minorEastAsia"/>
                <w:color w:val="000000" w:themeColor="text1"/>
                <w:kern w:val="0"/>
                <w:szCs w:val="21"/>
                <w:lang w:val="zh-CN"/>
                <w14:textFill>
                  <w14:solidFill>
                    <w14:schemeClr w14:val="tx1"/>
                  </w14:solidFill>
                </w14:textFill>
              </w:rPr>
              <w:t>2410m</w:t>
            </w:r>
          </w:p>
        </w:tc>
        <w:tc>
          <w:tcPr>
            <w:tcW w:w="914" w:type="pct"/>
            <w:vAlign w:val="center"/>
          </w:tcPr>
          <w:p w14:paraId="67E842E6">
            <w:pPr>
              <w:widowControl/>
              <w:jc w:val="center"/>
              <w:rPr>
                <w:rFonts w:eastAsiaTheme="minorEastAsia"/>
                <w:color w:val="000000" w:themeColor="text1"/>
                <w:kern w:val="0"/>
                <w:szCs w:val="21"/>
                <w:lang w:val="zh-CN"/>
                <w14:textFill>
                  <w14:solidFill>
                    <w14:schemeClr w14:val="tx1"/>
                  </w14:solidFill>
                </w14:textFill>
              </w:rPr>
            </w:pPr>
            <w:r>
              <w:rPr>
                <w:rFonts w:eastAsiaTheme="minorEastAsia"/>
                <w:color w:val="000000" w:themeColor="text1"/>
                <w:kern w:val="0"/>
                <w:szCs w:val="21"/>
                <w:lang w:val="zh-CN"/>
                <w14:textFill>
                  <w14:solidFill>
                    <w14:schemeClr w14:val="tx1"/>
                  </w14:solidFill>
                </w14:textFill>
              </w:rPr>
              <w:t>110户，356人</w:t>
            </w:r>
          </w:p>
        </w:tc>
        <w:tc>
          <w:tcPr>
            <w:tcW w:w="1529" w:type="pct"/>
            <w:vMerge w:val="continue"/>
            <w:vAlign w:val="center"/>
          </w:tcPr>
          <w:p w14:paraId="5C44B5E6">
            <w:pPr>
              <w:widowControl/>
              <w:jc w:val="center"/>
              <w:rPr>
                <w:rFonts w:eastAsiaTheme="minorEastAsia"/>
                <w:color w:val="000000" w:themeColor="text1"/>
                <w:kern w:val="0"/>
                <w:szCs w:val="21"/>
                <w:lang w:val="zh-CN"/>
                <w14:textFill>
                  <w14:solidFill>
                    <w14:schemeClr w14:val="tx1"/>
                  </w14:solidFill>
                </w14:textFill>
              </w:rPr>
            </w:pPr>
          </w:p>
        </w:tc>
      </w:tr>
      <w:tr w14:paraId="560682C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vAlign w:val="center"/>
          </w:tcPr>
          <w:p w14:paraId="56DB4DBD">
            <w:pPr>
              <w:jc w:val="center"/>
              <w:rPr>
                <w:rFonts w:eastAsiaTheme="minorEastAsia"/>
                <w:b/>
                <w:color w:val="000000" w:themeColor="text1"/>
                <w:szCs w:val="22"/>
                <w:lang w:val="zh-CN"/>
                <w14:textFill>
                  <w14:solidFill>
                    <w14:schemeClr w14:val="tx1"/>
                  </w14:solidFill>
                </w14:textFill>
              </w:rPr>
            </w:pPr>
            <w:r>
              <w:rPr>
                <w:rFonts w:eastAsiaTheme="minorEastAsia"/>
                <w:b/>
                <w:color w:val="000000" w:themeColor="text1"/>
                <w:szCs w:val="22"/>
                <w:lang w:val="zh-CN"/>
                <w14:textFill>
                  <w14:solidFill>
                    <w14:schemeClr w14:val="tx1"/>
                  </w14:solidFill>
                </w14:textFill>
              </w:rPr>
              <w:t>地表水</w:t>
            </w:r>
          </w:p>
        </w:tc>
        <w:tc>
          <w:tcPr>
            <w:tcW w:w="748" w:type="pct"/>
            <w:shd w:val="clear" w:color="auto" w:fill="auto"/>
            <w:vAlign w:val="center"/>
          </w:tcPr>
          <w:p w14:paraId="088DECA6">
            <w:pPr>
              <w:widowControl/>
              <w:jc w:val="center"/>
              <w:rPr>
                <w:rFonts w:eastAsiaTheme="minorEastAsia"/>
                <w:color w:val="000000" w:themeColor="text1"/>
                <w:szCs w:val="22"/>
                <w:lang w:val="zh-CN"/>
                <w14:textFill>
                  <w14:solidFill>
                    <w14:schemeClr w14:val="tx1"/>
                  </w14:solidFill>
                </w14:textFill>
              </w:rPr>
            </w:pPr>
            <w:r>
              <w:rPr>
                <w:rFonts w:eastAsiaTheme="minorEastAsia"/>
                <w:color w:val="000000" w:themeColor="text1"/>
                <w:kern w:val="0"/>
                <w:szCs w:val="21"/>
                <w14:textFill>
                  <w14:solidFill>
                    <w14:schemeClr w14:val="tx1"/>
                  </w14:solidFill>
                </w14:textFill>
              </w:rPr>
              <w:t>瑞丽江</w:t>
            </w:r>
          </w:p>
        </w:tc>
        <w:tc>
          <w:tcPr>
            <w:tcW w:w="582" w:type="pct"/>
            <w:shd w:val="clear" w:color="auto" w:fill="auto"/>
            <w:vAlign w:val="center"/>
          </w:tcPr>
          <w:p w14:paraId="5D8DA2C0">
            <w:pPr>
              <w:widowControl/>
              <w:jc w:val="center"/>
              <w:rPr>
                <w:rFonts w:eastAsiaTheme="minorEastAsia"/>
                <w:color w:val="000000" w:themeColor="text1"/>
                <w:szCs w:val="22"/>
                <w:lang w:val="zh-CN"/>
                <w14:textFill>
                  <w14:solidFill>
                    <w14:schemeClr w14:val="tx1"/>
                  </w14:solidFill>
                </w14:textFill>
              </w:rPr>
            </w:pPr>
            <w:r>
              <w:rPr>
                <w:rFonts w:eastAsiaTheme="minorEastAsia"/>
                <w:color w:val="000000" w:themeColor="text1"/>
                <w:kern w:val="0"/>
                <w:szCs w:val="21"/>
                <w14:textFill>
                  <w14:solidFill>
                    <w14:schemeClr w14:val="tx1"/>
                  </w14:solidFill>
                </w14:textFill>
              </w:rPr>
              <w:t>南侧</w:t>
            </w:r>
          </w:p>
        </w:tc>
        <w:tc>
          <w:tcPr>
            <w:tcW w:w="499" w:type="pct"/>
            <w:shd w:val="clear" w:color="auto" w:fill="auto"/>
            <w:vAlign w:val="center"/>
          </w:tcPr>
          <w:p w14:paraId="5E62D424">
            <w:pPr>
              <w:widowControl/>
              <w:jc w:val="center"/>
              <w:rPr>
                <w:rFonts w:eastAsiaTheme="minorEastAsia"/>
                <w:color w:val="000000" w:themeColor="text1"/>
                <w:szCs w:val="22"/>
                <w:lang w:val="zh-CN"/>
                <w14:textFill>
                  <w14:solidFill>
                    <w14:schemeClr w14:val="tx1"/>
                  </w14:solidFill>
                </w14:textFill>
              </w:rPr>
            </w:pPr>
            <w:r>
              <w:rPr>
                <w:rFonts w:eastAsiaTheme="minorEastAsia"/>
                <w:color w:val="000000" w:themeColor="text1"/>
                <w:kern w:val="0"/>
                <w:szCs w:val="21"/>
                <w14:textFill>
                  <w14:solidFill>
                    <w14:schemeClr w14:val="tx1"/>
                  </w14:solidFill>
                </w14:textFill>
              </w:rPr>
              <w:t>65m</w:t>
            </w:r>
          </w:p>
        </w:tc>
        <w:tc>
          <w:tcPr>
            <w:tcW w:w="914" w:type="pct"/>
            <w:vAlign w:val="center"/>
          </w:tcPr>
          <w:p w14:paraId="07F53006">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满足III类</w:t>
            </w:r>
          </w:p>
        </w:tc>
        <w:tc>
          <w:tcPr>
            <w:tcW w:w="1529" w:type="pct"/>
            <w:vAlign w:val="center"/>
          </w:tcPr>
          <w:p w14:paraId="7A9EC4B2">
            <w:pPr>
              <w:jc w:val="center"/>
              <w:rPr>
                <w:rFonts w:eastAsiaTheme="minorEastAsia"/>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GB3838-2002《地表水环境质量标准》3类</w:t>
            </w:r>
          </w:p>
        </w:tc>
      </w:tr>
      <w:tr w14:paraId="172C061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vAlign w:val="center"/>
          </w:tcPr>
          <w:p w14:paraId="15B3C5C0">
            <w:pPr>
              <w:jc w:val="center"/>
              <w:rPr>
                <w:rFonts w:eastAsiaTheme="minorEastAsia"/>
                <w:b/>
                <w:color w:val="000000" w:themeColor="text1"/>
                <w:szCs w:val="22"/>
                <w:lang w:val="zh-CN"/>
                <w14:textFill>
                  <w14:solidFill>
                    <w14:schemeClr w14:val="tx1"/>
                  </w14:solidFill>
                </w14:textFill>
              </w:rPr>
            </w:pPr>
            <w:r>
              <w:rPr>
                <w:rFonts w:eastAsiaTheme="minorEastAsia"/>
                <w:b/>
                <w:color w:val="000000" w:themeColor="text1"/>
                <w:szCs w:val="22"/>
                <w:lang w:val="zh-CN"/>
                <w14:textFill>
                  <w14:solidFill>
                    <w14:schemeClr w14:val="tx1"/>
                  </w14:solidFill>
                </w14:textFill>
              </w:rPr>
              <w:t>地下水</w:t>
            </w:r>
          </w:p>
        </w:tc>
        <w:tc>
          <w:tcPr>
            <w:tcW w:w="2743" w:type="pct"/>
            <w:gridSpan w:val="4"/>
            <w:shd w:val="clear" w:color="auto" w:fill="auto"/>
            <w:vAlign w:val="center"/>
          </w:tcPr>
          <w:p w14:paraId="7B736378">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区域地下水（</w:t>
            </w:r>
            <w:r>
              <w:rPr>
                <w:rFonts w:eastAsiaTheme="minorEastAsia"/>
                <w:color w:val="000000" w:themeColor="text1"/>
                <w:kern w:val="0"/>
                <w:szCs w:val="21"/>
                <w:lang w:bidi="en-US"/>
                <w14:textFill>
                  <w14:solidFill>
                    <w14:schemeClr w14:val="tx1"/>
                  </w14:solidFill>
                </w14:textFill>
              </w:rPr>
              <w:t>南侧以瑞丽江为界，西侧、北侧以低洼或箐沟为界，东侧以山脊为界，详见附图6</w:t>
            </w:r>
            <w:r>
              <w:rPr>
                <w:rFonts w:eastAsiaTheme="minorEastAsia"/>
                <w:color w:val="000000" w:themeColor="text1"/>
                <w:kern w:val="0"/>
                <w:szCs w:val="21"/>
                <w14:textFill>
                  <w14:solidFill>
                    <w14:schemeClr w14:val="tx1"/>
                  </w14:solidFill>
                </w14:textFill>
              </w:rPr>
              <w:t>）</w:t>
            </w:r>
          </w:p>
        </w:tc>
        <w:tc>
          <w:tcPr>
            <w:tcW w:w="1529" w:type="pct"/>
            <w:vAlign w:val="center"/>
          </w:tcPr>
          <w:p w14:paraId="00B61E8E">
            <w:pPr>
              <w:widowControl/>
              <w:jc w:val="center"/>
              <w:rPr>
                <w:rFonts w:eastAsiaTheme="minorEastAsia"/>
                <w:color w:val="000000" w:themeColor="text1"/>
                <w:kern w:val="0"/>
                <w:szCs w:val="21"/>
                <w14:textFill>
                  <w14:solidFill>
                    <w14:schemeClr w14:val="tx1"/>
                  </w14:solidFill>
                </w14:textFill>
              </w:rPr>
            </w:pPr>
            <w:r>
              <w:rPr>
                <w:color w:val="000000" w:themeColor="text1"/>
                <w14:textFill>
                  <w14:solidFill>
                    <w14:schemeClr w14:val="tx1"/>
                  </w14:solidFill>
                </w14:textFill>
              </w:rPr>
              <w:t>《地下水质量标准》（GB/T14848-2017）中</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类标准</w:t>
            </w:r>
          </w:p>
        </w:tc>
      </w:tr>
    </w:tbl>
    <w:p w14:paraId="3F5CDDD8">
      <w:pPr>
        <w:tabs>
          <w:tab w:val="left" w:pos="8160"/>
        </w:tabs>
        <w:jc w:val="center"/>
        <w:rPr>
          <w:b/>
          <w:color w:val="000000" w:themeColor="text1"/>
          <w:sz w:val="24"/>
          <w14:textFill>
            <w14:solidFill>
              <w14:schemeClr w14:val="tx1"/>
            </w14:solidFill>
          </w14:textFill>
        </w:rPr>
      </w:pPr>
    </w:p>
    <w:p w14:paraId="78D3AA94">
      <w:pPr>
        <w:pStyle w:val="4"/>
        <w:rPr>
          <w:rFonts w:ascii="Times New Roman" w:hAnsi="Times New Roman"/>
          <w:color w:val="000000" w:themeColor="text1"/>
          <w14:textFill>
            <w14:solidFill>
              <w14:schemeClr w14:val="tx1"/>
            </w14:solidFill>
          </w14:textFill>
        </w:rPr>
      </w:pPr>
      <w:bookmarkStart w:id="112" w:name="_Toc290295726"/>
      <w:bookmarkStart w:id="113" w:name="_Toc280621028"/>
      <w:bookmarkStart w:id="114" w:name="_Toc2773735"/>
      <w:bookmarkStart w:id="115" w:name="_Toc226540127"/>
      <w:bookmarkStart w:id="116" w:name="_Toc230393135"/>
      <w:bookmarkStart w:id="117" w:name="_Toc226861727"/>
      <w:bookmarkStart w:id="118" w:name="_Toc226540396"/>
      <w:r>
        <w:rPr>
          <w:rFonts w:ascii="Times New Roman" w:hAnsi="Times New Roman"/>
          <w:color w:val="000000" w:themeColor="text1"/>
          <w14:textFill>
            <w14:solidFill>
              <w14:schemeClr w14:val="tx1"/>
            </w14:solidFill>
          </w14:textFill>
        </w:rPr>
        <w:t>1.8评价工作程序</w:t>
      </w:r>
      <w:bookmarkEnd w:id="112"/>
      <w:bookmarkEnd w:id="113"/>
      <w:bookmarkEnd w:id="114"/>
    </w:p>
    <w:bookmarkEnd w:id="115"/>
    <w:bookmarkEnd w:id="116"/>
    <w:bookmarkEnd w:id="117"/>
    <w:bookmarkEnd w:id="118"/>
    <w:p w14:paraId="525D7160">
      <w:pP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评价工作程序见图1.8-1。</w:t>
      </w:r>
    </w:p>
    <w:p w14:paraId="5167F90A">
      <w:pPr>
        <w:jc w:val="center"/>
        <w:rPr>
          <w:b/>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5571490" cy="538226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cstate="print"/>
                    <a:stretch>
                      <a:fillRect/>
                    </a:stretch>
                  </pic:blipFill>
                  <pic:spPr>
                    <a:xfrm>
                      <a:off x="0" y="0"/>
                      <a:ext cx="5572837" cy="5383850"/>
                    </a:xfrm>
                    <a:prstGeom prst="rect">
                      <a:avLst/>
                    </a:prstGeom>
                  </pic:spPr>
                </pic:pic>
              </a:graphicData>
            </a:graphic>
          </wp:inline>
        </w:drawing>
      </w:r>
      <w:r>
        <w:rPr>
          <w:b/>
          <w:color w:val="000000" w:themeColor="text1"/>
          <w:sz w:val="24"/>
          <w14:textFill>
            <w14:solidFill>
              <w14:schemeClr w14:val="tx1"/>
            </w14:solidFill>
          </w14:textFill>
        </w:rPr>
        <w:t>图1.8-1  环评工作程序图</w:t>
      </w:r>
    </w:p>
    <w:p w14:paraId="2FA0FB9E">
      <w:pPr>
        <w:spacing w:line="360" w:lineRule="auto"/>
        <w:rPr>
          <w:b/>
          <w:color w:val="000000" w:themeColor="text1"/>
          <w:sz w:val="32"/>
          <w:szCs w:val="32"/>
          <w14:textFill>
            <w14:solidFill>
              <w14:schemeClr w14:val="tx1"/>
            </w14:solidFill>
          </w14:textFill>
        </w:rPr>
        <w:sectPr>
          <w:headerReference r:id="rId7" w:type="default"/>
          <w:footerReference r:id="rId8" w:type="default"/>
          <w:pgSz w:w="11906" w:h="16838"/>
          <w:pgMar w:top="1304" w:right="1797" w:bottom="1304" w:left="1797" w:header="851" w:footer="992" w:gutter="0"/>
          <w:cols w:space="425" w:num="1"/>
          <w:docGrid w:type="linesAndChars" w:linePitch="312" w:charSpace="0"/>
        </w:sectPr>
      </w:pPr>
    </w:p>
    <w:p w14:paraId="2AF67215">
      <w:pPr>
        <w:pStyle w:val="3"/>
        <w:rPr>
          <w:color w:val="000000" w:themeColor="text1"/>
          <w14:textFill>
            <w14:solidFill>
              <w14:schemeClr w14:val="tx1"/>
            </w14:solidFill>
          </w14:textFill>
        </w:rPr>
      </w:pPr>
      <w:bookmarkStart w:id="119" w:name="_Toc290295732"/>
      <w:bookmarkStart w:id="120" w:name="_Toc280621031"/>
      <w:r>
        <w:rPr>
          <w:color w:val="000000" w:themeColor="text1"/>
          <w14:textFill>
            <w14:solidFill>
              <w14:schemeClr w14:val="tx1"/>
            </w14:solidFill>
          </w14:textFill>
        </w:rPr>
        <w:br w:type="page"/>
      </w:r>
      <w:bookmarkStart w:id="121" w:name="_Toc2773736"/>
      <w:r>
        <w:rPr>
          <w:color w:val="000000" w:themeColor="text1"/>
          <w14:textFill>
            <w14:solidFill>
              <w14:schemeClr w14:val="tx1"/>
            </w14:solidFill>
          </w14:textFill>
        </w:rPr>
        <w:t>2拟建项目概况</w:t>
      </w:r>
      <w:bookmarkEnd w:id="121"/>
    </w:p>
    <w:p w14:paraId="4088CCC3">
      <w:pPr>
        <w:pStyle w:val="4"/>
        <w:rPr>
          <w:rFonts w:ascii="Times New Roman" w:hAnsi="Times New Roman"/>
          <w:color w:val="000000" w:themeColor="text1"/>
          <w14:textFill>
            <w14:solidFill>
              <w14:schemeClr w14:val="tx1"/>
            </w14:solidFill>
          </w14:textFill>
        </w:rPr>
      </w:pPr>
      <w:bookmarkStart w:id="122" w:name="_Toc2773737"/>
      <w:r>
        <w:rPr>
          <w:rFonts w:ascii="Times New Roman" w:hAnsi="Times New Roman"/>
          <w:color w:val="000000" w:themeColor="text1"/>
          <w14:textFill>
            <w14:solidFill>
              <w14:schemeClr w14:val="tx1"/>
            </w14:solidFill>
          </w14:textFill>
        </w:rPr>
        <w:t>2.1拟建项目基本情况</w:t>
      </w:r>
      <w:bookmarkEnd w:id="119"/>
      <w:bookmarkEnd w:id="120"/>
      <w:bookmarkEnd w:id="122"/>
    </w:p>
    <w:p w14:paraId="69B3BEF3">
      <w:pPr>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1、项目名称：</w:t>
      </w:r>
      <w:r>
        <w:rPr>
          <w:color w:val="000000" w:themeColor="text1"/>
          <w:sz w:val="24"/>
          <w14:textFill>
            <w14:solidFill>
              <w14:schemeClr w14:val="tx1"/>
            </w14:solidFill>
          </w14:textFill>
        </w:rPr>
        <w:t>芒市创亿塑料加工项目</w:t>
      </w:r>
    </w:p>
    <w:p w14:paraId="76D87A82">
      <w:pPr>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2、建设单位</w:t>
      </w:r>
      <w:r>
        <w:rPr>
          <w:color w:val="000000" w:themeColor="text1"/>
          <w:sz w:val="24"/>
          <w14:textFill>
            <w14:solidFill>
              <w14:schemeClr w14:val="tx1"/>
            </w14:solidFill>
          </w14:textFill>
        </w:rPr>
        <w:t>：德宏创亿塑料加工有限责任公司</w:t>
      </w:r>
    </w:p>
    <w:p w14:paraId="1DF3DB1F">
      <w:pPr>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3、建设地点：</w:t>
      </w:r>
      <w:r>
        <w:rPr>
          <w:color w:val="000000" w:themeColor="text1"/>
          <w:sz w:val="24"/>
          <w14:textFill>
            <w14:solidFill>
              <w14:schemeClr w14:val="tx1"/>
            </w14:solidFill>
          </w14:textFill>
        </w:rPr>
        <w:t>芒市遮放镇弄坎村芒捧村民小组</w:t>
      </w:r>
    </w:p>
    <w:p w14:paraId="7A2EAFDA">
      <w:pPr>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4、建设性质：</w:t>
      </w:r>
      <w:r>
        <w:rPr>
          <w:color w:val="000000" w:themeColor="text1"/>
          <w:sz w:val="24"/>
          <w14:textFill>
            <w14:solidFill>
              <w14:schemeClr w14:val="tx1"/>
            </w14:solidFill>
          </w14:textFill>
        </w:rPr>
        <w:t>新建</w:t>
      </w:r>
    </w:p>
    <w:p w14:paraId="7DF1B737">
      <w:pPr>
        <w:pStyle w:val="289"/>
        <w:spacing w:line="360" w:lineRule="auto"/>
        <w:ind w:left="51" w:right="51" w:firstLine="480"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5、工程内容：</w:t>
      </w:r>
      <w:r>
        <w:rPr>
          <w:color w:val="000000" w:themeColor="text1"/>
          <w:sz w:val="24"/>
          <w14:textFill>
            <w14:solidFill>
              <w14:schemeClr w14:val="tx1"/>
            </w14:solidFill>
          </w14:textFill>
        </w:rPr>
        <w:t>项目用地面积2500m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，总建筑面积127430m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本项目直接对租用房屋进行改造、装修、安装设备即可</w:t>
      </w:r>
      <w:r>
        <w:rPr>
          <w:rFonts w:hint="eastAsia"/>
          <w:bCs/>
          <w:color w:val="000000" w:themeColor="text1"/>
          <w:sz w:val="24"/>
          <w14:textFill>
            <w14:solidFill>
              <w14:schemeClr w14:val="tx1"/>
            </w14:solidFill>
          </w14:textFill>
        </w:rPr>
        <w:t>（房屋不涉及拆除）</w:t>
      </w:r>
      <w:r>
        <w:rPr>
          <w:bCs/>
          <w:color w:val="000000" w:themeColor="text1"/>
          <w:sz w:val="24"/>
          <w14:textFill>
            <w14:solidFill>
              <w14:schemeClr w14:val="tx1"/>
            </w14:solidFill>
          </w14:textFill>
        </w:rPr>
        <w:t>，建成后，新建一条塑料颗粒生产线及相应配套设施，年生产塑料颗粒5000t，采用工艺为直接再生利用，将回收的废旧塑料经过分类、清洗、破碎、直接加工成型造粒。</w:t>
      </w:r>
    </w:p>
    <w:p w14:paraId="372D8F6A">
      <w:pPr>
        <w:tabs>
          <w:tab w:val="left" w:pos="1936"/>
        </w:tabs>
        <w:spacing w:line="360" w:lineRule="auto"/>
        <w:ind w:firstLine="560" w:firstLineChars="200"/>
        <w:jc w:val="left"/>
        <w:rPr>
          <w:color w:val="000000" w:themeColor="text1"/>
          <w:sz w:val="24"/>
          <w14:textFill>
            <w14:solidFill>
              <w14:schemeClr w14:val="tx1"/>
            </w14:solidFill>
          </w14:textFill>
        </w:rPr>
      </w:pPr>
      <w:r>
        <w:rPr>
          <w:bCs/>
          <w:color w:val="000000" w:themeColor="text1"/>
          <w:spacing w:val="20"/>
          <w:kern w:val="0"/>
          <w:sz w:val="24"/>
          <w:szCs w:val="28"/>
          <w14:textFill>
            <w14:solidFill>
              <w14:schemeClr w14:val="tx1"/>
            </w14:solidFill>
          </w14:textFill>
        </w:rPr>
        <w:t>截止2019年2月</w:t>
      </w:r>
      <w:r>
        <w:rPr>
          <w:rFonts w:hint="eastAsia"/>
          <w:bCs/>
          <w:color w:val="000000" w:themeColor="text1"/>
          <w:spacing w:val="20"/>
          <w:kern w:val="0"/>
          <w:sz w:val="24"/>
          <w:szCs w:val="28"/>
          <w14:textFill>
            <w14:solidFill>
              <w14:schemeClr w14:val="tx1"/>
            </w14:solidFill>
          </w14:textFill>
        </w:rPr>
        <w:t>现场踏勘</w:t>
      </w:r>
      <w:r>
        <w:rPr>
          <w:bCs/>
          <w:color w:val="000000" w:themeColor="text1"/>
          <w:spacing w:val="20"/>
          <w:kern w:val="0"/>
          <w:sz w:val="24"/>
          <w:szCs w:val="28"/>
          <w14:textFill>
            <w14:solidFill>
              <w14:schemeClr w14:val="tx1"/>
            </w14:solidFill>
          </w14:textFill>
        </w:rPr>
        <w:t>，项目区</w:t>
      </w:r>
      <w:r>
        <w:rPr>
          <w:color w:val="000000" w:themeColor="text1"/>
          <w:sz w:val="24"/>
          <w14:textFill>
            <w14:solidFill>
              <w14:schemeClr w14:val="tx1"/>
            </w14:solidFill>
          </w14:textFill>
        </w:rPr>
        <w:t>尚未开工建设。</w:t>
      </w:r>
    </w:p>
    <w:p w14:paraId="2536FEE9">
      <w:pPr>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6、项目投资额：</w:t>
      </w:r>
      <w:r>
        <w:rPr>
          <w:color w:val="000000" w:themeColor="text1"/>
          <w:sz w:val="24"/>
          <w14:textFill>
            <w14:solidFill>
              <w14:schemeClr w14:val="tx1"/>
            </w14:solidFill>
          </w14:textFill>
        </w:rPr>
        <w:t>总投资100万元，其中环保投资28.2万元，占比28.2%。</w:t>
      </w:r>
    </w:p>
    <w:p w14:paraId="5E60AF50">
      <w:pPr>
        <w:pStyle w:val="4"/>
        <w:rPr>
          <w:rFonts w:ascii="Times New Roman" w:hAnsi="Times New Roman"/>
          <w:color w:val="000000" w:themeColor="text1"/>
          <w14:textFill>
            <w14:solidFill>
              <w14:schemeClr w14:val="tx1"/>
            </w14:solidFill>
          </w14:textFill>
        </w:rPr>
      </w:pPr>
      <w:bookmarkStart w:id="123" w:name="_Toc2773738"/>
      <w:r>
        <w:rPr>
          <w:rFonts w:ascii="Times New Roman" w:hAnsi="Times New Roman"/>
          <w:color w:val="000000" w:themeColor="text1"/>
          <w14:textFill>
            <w14:solidFill>
              <w14:schemeClr w14:val="tx1"/>
            </w14:solidFill>
          </w14:textFill>
        </w:rPr>
        <w:t>2.2项目建设规模和建设内容</w:t>
      </w:r>
      <w:bookmarkEnd w:id="123"/>
    </w:p>
    <w:p w14:paraId="66EC0DE4">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1、建设内容</w:t>
      </w:r>
    </w:p>
    <w:p w14:paraId="66BBAB0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详见附图2总平面布置图。</w:t>
      </w:r>
    </w:p>
    <w:p w14:paraId="138F4E0C">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表2.2-1 拟建项目建设内容一览表</w:t>
      </w:r>
    </w:p>
    <w:tbl>
      <w:tblPr>
        <w:tblStyle w:val="42"/>
        <w:tblW w:w="5000"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3"/>
        <w:gridCol w:w="631"/>
        <w:gridCol w:w="1135"/>
        <w:gridCol w:w="6003"/>
      </w:tblGrid>
      <w:tr w14:paraId="2548FFB6">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tblHeader/>
          <w:jc w:val="center"/>
        </w:trPr>
        <w:tc>
          <w:tcPr>
            <w:tcW w:w="442" w:type="pct"/>
            <w:vAlign w:val="center"/>
          </w:tcPr>
          <w:p w14:paraId="3D0C293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工程组成</w:t>
            </w:r>
          </w:p>
        </w:tc>
        <w:tc>
          <w:tcPr>
            <w:tcW w:w="1036" w:type="pct"/>
            <w:gridSpan w:val="2"/>
            <w:vAlign w:val="center"/>
          </w:tcPr>
          <w:p w14:paraId="7DD95B3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工程名称</w:t>
            </w:r>
          </w:p>
        </w:tc>
        <w:tc>
          <w:tcPr>
            <w:tcW w:w="3523" w:type="pct"/>
            <w:vAlign w:val="center"/>
          </w:tcPr>
          <w:p w14:paraId="72023BF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主要建设内容</w:t>
            </w:r>
          </w:p>
        </w:tc>
      </w:tr>
      <w:tr w14:paraId="4C1B3F2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restart"/>
            <w:vAlign w:val="center"/>
          </w:tcPr>
          <w:p w14:paraId="4C08017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主体</w:t>
            </w:r>
          </w:p>
          <w:p w14:paraId="75A9227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w:t>
            </w:r>
          </w:p>
        </w:tc>
        <w:tc>
          <w:tcPr>
            <w:tcW w:w="370" w:type="pct"/>
            <w:vMerge w:val="restart"/>
            <w:vAlign w:val="center"/>
          </w:tcPr>
          <w:p w14:paraId="13B0FE3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生产区</w:t>
            </w:r>
          </w:p>
        </w:tc>
        <w:tc>
          <w:tcPr>
            <w:tcW w:w="665" w:type="pct"/>
            <w:vAlign w:val="center"/>
          </w:tcPr>
          <w:p w14:paraId="1B6FAE4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破碎清洗区</w:t>
            </w:r>
          </w:p>
        </w:tc>
        <w:tc>
          <w:tcPr>
            <w:tcW w:w="3523" w:type="pct"/>
            <w:vAlign w:val="center"/>
          </w:tcPr>
          <w:p w14:paraId="0267D94C">
            <w:pPr>
              <w:ind w:firstLine="420" w:firstLineChars="200"/>
              <w:jc w:val="left"/>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位于项目区西侧，建筑面积170m</w:t>
            </w:r>
            <w:r>
              <w:rPr>
                <w:rFonts w:eastAsiaTheme="minorEastAsia"/>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，1F ，用于塑料破碎、清洗生产，层高4m，年处理5005.3t废塑料。</w:t>
            </w:r>
          </w:p>
        </w:tc>
      </w:tr>
      <w:tr w14:paraId="4D775A3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25F14DF7">
            <w:pPr>
              <w:jc w:val="center"/>
              <w:rPr>
                <w:b/>
                <w:color w:val="000000" w:themeColor="text1"/>
                <w:szCs w:val="21"/>
                <w14:textFill>
                  <w14:solidFill>
                    <w14:schemeClr w14:val="tx1"/>
                  </w14:solidFill>
                </w14:textFill>
              </w:rPr>
            </w:pPr>
          </w:p>
        </w:tc>
        <w:tc>
          <w:tcPr>
            <w:tcW w:w="370" w:type="pct"/>
            <w:vMerge w:val="continue"/>
            <w:vAlign w:val="center"/>
          </w:tcPr>
          <w:p w14:paraId="0499EB30">
            <w:pPr>
              <w:jc w:val="center"/>
              <w:rPr>
                <w:b/>
                <w:color w:val="000000" w:themeColor="text1"/>
                <w:szCs w:val="21"/>
                <w14:textFill>
                  <w14:solidFill>
                    <w14:schemeClr w14:val="tx1"/>
                  </w14:solidFill>
                </w14:textFill>
              </w:rPr>
            </w:pPr>
          </w:p>
        </w:tc>
        <w:tc>
          <w:tcPr>
            <w:tcW w:w="665" w:type="pct"/>
            <w:vAlign w:val="center"/>
          </w:tcPr>
          <w:p w14:paraId="0F106B6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造粒生产区</w:t>
            </w:r>
          </w:p>
        </w:tc>
        <w:tc>
          <w:tcPr>
            <w:tcW w:w="3523" w:type="pct"/>
            <w:vAlign w:val="center"/>
          </w:tcPr>
          <w:p w14:paraId="6D7B1F78">
            <w:pPr>
              <w:ind w:firstLine="420" w:firstLineChars="200"/>
              <w:jc w:val="left"/>
              <w:rPr>
                <w:b/>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位于项目区西侧，建筑面积160m</w:t>
            </w:r>
            <w:r>
              <w:rPr>
                <w:rFonts w:eastAsiaTheme="minorEastAsia"/>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，1F ，用于塑料造粒生产，层高4m，年生产塑料颗粒5000t。</w:t>
            </w:r>
          </w:p>
        </w:tc>
      </w:tr>
      <w:tr w14:paraId="1A66E3C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5C9F99B7">
            <w:pPr>
              <w:jc w:val="center"/>
              <w:rPr>
                <w:b/>
                <w:color w:val="000000" w:themeColor="text1"/>
                <w:szCs w:val="21"/>
                <w14:textFill>
                  <w14:solidFill>
                    <w14:schemeClr w14:val="tx1"/>
                  </w14:solidFill>
                </w14:textFill>
              </w:rPr>
            </w:pPr>
          </w:p>
        </w:tc>
        <w:tc>
          <w:tcPr>
            <w:tcW w:w="1036" w:type="pct"/>
            <w:gridSpan w:val="2"/>
            <w:vAlign w:val="center"/>
          </w:tcPr>
          <w:p w14:paraId="0BE3F38F">
            <w:pPr>
              <w:jc w:val="center"/>
              <w:rPr>
                <w:b/>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成品库</w:t>
            </w:r>
          </w:p>
        </w:tc>
        <w:tc>
          <w:tcPr>
            <w:tcW w:w="3523" w:type="pct"/>
            <w:vAlign w:val="center"/>
          </w:tcPr>
          <w:p w14:paraId="58D8314D">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位于项目区生产区南侧，</w:t>
            </w:r>
            <w:r>
              <w:rPr>
                <w:rFonts w:eastAsiaTheme="minorEastAsia"/>
                <w:color w:val="000000" w:themeColor="text1"/>
                <w:szCs w:val="21"/>
                <w14:textFill>
                  <w14:solidFill>
                    <w14:schemeClr w14:val="tx1"/>
                  </w14:solidFill>
                </w14:textFill>
              </w:rPr>
              <w:t>建筑面积170m</w:t>
            </w:r>
            <w:r>
              <w:rPr>
                <w:rFonts w:eastAsiaTheme="minorEastAsia"/>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1F，主要用于成品存放。</w:t>
            </w:r>
          </w:p>
        </w:tc>
      </w:tr>
      <w:tr w14:paraId="3E26DC9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7E0E24F4">
            <w:pPr>
              <w:jc w:val="center"/>
              <w:rPr>
                <w:b/>
                <w:color w:val="000000" w:themeColor="text1"/>
                <w:szCs w:val="21"/>
                <w14:textFill>
                  <w14:solidFill>
                    <w14:schemeClr w14:val="tx1"/>
                  </w14:solidFill>
                </w14:textFill>
              </w:rPr>
            </w:pPr>
          </w:p>
        </w:tc>
        <w:tc>
          <w:tcPr>
            <w:tcW w:w="1036" w:type="pct"/>
            <w:gridSpan w:val="2"/>
            <w:vAlign w:val="center"/>
          </w:tcPr>
          <w:p w14:paraId="10CBD69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原料仓库</w:t>
            </w:r>
          </w:p>
        </w:tc>
        <w:tc>
          <w:tcPr>
            <w:tcW w:w="3523" w:type="pct"/>
            <w:vAlign w:val="center"/>
          </w:tcPr>
          <w:p w14:paraId="2D19C840">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位于项目区生产区北侧，</w:t>
            </w:r>
            <w:r>
              <w:rPr>
                <w:rFonts w:eastAsiaTheme="minorEastAsia"/>
                <w:color w:val="000000" w:themeColor="text1"/>
                <w:szCs w:val="21"/>
                <w14:textFill>
                  <w14:solidFill>
                    <w14:schemeClr w14:val="tx1"/>
                  </w14:solidFill>
                </w14:textFill>
              </w:rPr>
              <w:t>建筑面积300m</w:t>
            </w:r>
            <w:r>
              <w:rPr>
                <w:rFonts w:eastAsiaTheme="minorEastAsia"/>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1F，主要用于原料存放。</w:t>
            </w:r>
          </w:p>
        </w:tc>
      </w:tr>
      <w:tr w14:paraId="1C20E6C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6D492057">
            <w:pPr>
              <w:jc w:val="center"/>
              <w:rPr>
                <w:b/>
                <w:color w:val="000000" w:themeColor="text1"/>
                <w:szCs w:val="21"/>
                <w14:textFill>
                  <w14:solidFill>
                    <w14:schemeClr w14:val="tx1"/>
                  </w14:solidFill>
                </w14:textFill>
              </w:rPr>
            </w:pPr>
          </w:p>
        </w:tc>
        <w:tc>
          <w:tcPr>
            <w:tcW w:w="1036" w:type="pct"/>
            <w:gridSpan w:val="2"/>
            <w:vAlign w:val="center"/>
          </w:tcPr>
          <w:p w14:paraId="17F3B368">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住宿及办公区</w:t>
            </w:r>
          </w:p>
        </w:tc>
        <w:tc>
          <w:tcPr>
            <w:tcW w:w="3523" w:type="pct"/>
            <w:vAlign w:val="center"/>
          </w:tcPr>
          <w:p w14:paraId="15DB0164">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位于项目区东侧，</w:t>
            </w:r>
            <w:r>
              <w:rPr>
                <w:rFonts w:eastAsiaTheme="minorEastAsia"/>
                <w:color w:val="000000" w:themeColor="text1"/>
                <w:szCs w:val="21"/>
                <w14:textFill>
                  <w14:solidFill>
                    <w14:schemeClr w14:val="tx1"/>
                  </w14:solidFill>
                </w14:textFill>
              </w:rPr>
              <w:t>建筑面积306m</w:t>
            </w:r>
            <w:r>
              <w:rPr>
                <w:rFonts w:eastAsiaTheme="minorEastAsia"/>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1栋1F，作为员工住宿及办公区。</w:t>
            </w:r>
          </w:p>
        </w:tc>
      </w:tr>
      <w:tr w14:paraId="259494D9">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6110ECF4">
            <w:pPr>
              <w:jc w:val="center"/>
              <w:rPr>
                <w:b/>
                <w:color w:val="000000" w:themeColor="text1"/>
                <w:szCs w:val="21"/>
                <w14:textFill>
                  <w14:solidFill>
                    <w14:schemeClr w14:val="tx1"/>
                  </w14:solidFill>
                </w14:textFill>
              </w:rPr>
            </w:pPr>
          </w:p>
        </w:tc>
        <w:tc>
          <w:tcPr>
            <w:tcW w:w="1036" w:type="pct"/>
            <w:gridSpan w:val="2"/>
            <w:vAlign w:val="center"/>
          </w:tcPr>
          <w:p w14:paraId="698B190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厨房</w:t>
            </w:r>
          </w:p>
        </w:tc>
        <w:tc>
          <w:tcPr>
            <w:tcW w:w="3523" w:type="pct"/>
            <w:vAlign w:val="center"/>
          </w:tcPr>
          <w:p w14:paraId="206EA457">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位于项目区南侧，</w:t>
            </w:r>
            <w:r>
              <w:rPr>
                <w:rFonts w:eastAsiaTheme="minorEastAsia"/>
                <w:color w:val="000000" w:themeColor="text1"/>
                <w:szCs w:val="21"/>
                <w14:textFill>
                  <w14:solidFill>
                    <w14:schemeClr w14:val="tx1"/>
                  </w14:solidFill>
                </w14:textFill>
              </w:rPr>
              <w:t>建筑面积18m</w:t>
            </w:r>
            <w:r>
              <w:rPr>
                <w:rFonts w:eastAsiaTheme="minorEastAsia"/>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1栋1F，作为员工食堂。</w:t>
            </w:r>
          </w:p>
        </w:tc>
      </w:tr>
      <w:tr w14:paraId="2BEB5742">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3A7F518E">
            <w:pPr>
              <w:jc w:val="center"/>
              <w:rPr>
                <w:b/>
                <w:color w:val="000000" w:themeColor="text1"/>
                <w:szCs w:val="21"/>
                <w14:textFill>
                  <w14:solidFill>
                    <w14:schemeClr w14:val="tx1"/>
                  </w14:solidFill>
                </w14:textFill>
              </w:rPr>
            </w:pPr>
          </w:p>
        </w:tc>
        <w:tc>
          <w:tcPr>
            <w:tcW w:w="1036" w:type="pct"/>
            <w:gridSpan w:val="2"/>
            <w:vAlign w:val="center"/>
          </w:tcPr>
          <w:p w14:paraId="19BCD76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卫生间</w:t>
            </w:r>
          </w:p>
        </w:tc>
        <w:tc>
          <w:tcPr>
            <w:tcW w:w="3523" w:type="pct"/>
            <w:vAlign w:val="center"/>
          </w:tcPr>
          <w:p w14:paraId="445C5FA0">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位于项目区东北侧，</w:t>
            </w:r>
            <w:r>
              <w:rPr>
                <w:rFonts w:eastAsiaTheme="minorEastAsia"/>
                <w:color w:val="000000" w:themeColor="text1"/>
                <w:szCs w:val="21"/>
                <w14:textFill>
                  <w14:solidFill>
                    <w14:schemeClr w14:val="tx1"/>
                  </w14:solidFill>
                </w14:textFill>
              </w:rPr>
              <w:t>建筑面积20m</w:t>
            </w:r>
            <w:r>
              <w:rPr>
                <w:rFonts w:eastAsiaTheme="minorEastAsia"/>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1栋1F。</w:t>
            </w:r>
          </w:p>
        </w:tc>
      </w:tr>
      <w:tr w14:paraId="68A193B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restart"/>
            <w:vAlign w:val="center"/>
          </w:tcPr>
          <w:p w14:paraId="116BFD6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公用</w:t>
            </w:r>
          </w:p>
          <w:p w14:paraId="4048141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w:t>
            </w:r>
          </w:p>
        </w:tc>
        <w:tc>
          <w:tcPr>
            <w:tcW w:w="1036" w:type="pct"/>
            <w:gridSpan w:val="2"/>
            <w:vAlign w:val="center"/>
          </w:tcPr>
          <w:p w14:paraId="45FAAA45">
            <w:pPr>
              <w:pStyle w:val="55"/>
              <w:rPr>
                <w:b/>
                <w:color w:val="000000" w:themeColor="text1"/>
                <w:sz w:val="21"/>
                <w14:textFill>
                  <w14:solidFill>
                    <w14:schemeClr w14:val="tx1"/>
                  </w14:solidFill>
                </w14:textFill>
              </w:rPr>
            </w:pPr>
            <w:r>
              <w:rPr>
                <w:b/>
                <w:color w:val="000000" w:themeColor="text1"/>
                <w:sz w:val="21"/>
                <w14:textFill>
                  <w14:solidFill>
                    <w14:schemeClr w14:val="tx1"/>
                  </w14:solidFill>
                </w14:textFill>
              </w:rPr>
              <w:t>供水</w:t>
            </w:r>
          </w:p>
        </w:tc>
        <w:tc>
          <w:tcPr>
            <w:tcW w:w="3523" w:type="pct"/>
            <w:vAlign w:val="center"/>
          </w:tcPr>
          <w:p w14:paraId="29D319C0">
            <w:pPr>
              <w:pStyle w:val="289"/>
              <w:ind w:left="51" w:right="51"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由自来水管网供给；</w:t>
            </w:r>
          </w:p>
        </w:tc>
      </w:tr>
      <w:tr w14:paraId="2DE927F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022789BC">
            <w:pPr>
              <w:jc w:val="center"/>
              <w:rPr>
                <w:b/>
                <w:color w:val="000000" w:themeColor="text1"/>
                <w:szCs w:val="21"/>
                <w14:textFill>
                  <w14:solidFill>
                    <w14:schemeClr w14:val="tx1"/>
                  </w14:solidFill>
                </w14:textFill>
              </w:rPr>
            </w:pPr>
          </w:p>
        </w:tc>
        <w:tc>
          <w:tcPr>
            <w:tcW w:w="1036" w:type="pct"/>
            <w:gridSpan w:val="2"/>
            <w:vAlign w:val="center"/>
          </w:tcPr>
          <w:p w14:paraId="00C4B64E">
            <w:pPr>
              <w:pStyle w:val="55"/>
              <w:rPr>
                <w:b/>
                <w:color w:val="000000" w:themeColor="text1"/>
                <w:sz w:val="21"/>
                <w14:textFill>
                  <w14:solidFill>
                    <w14:schemeClr w14:val="tx1"/>
                  </w14:solidFill>
                </w14:textFill>
              </w:rPr>
            </w:pPr>
            <w:r>
              <w:rPr>
                <w:b/>
                <w:color w:val="000000" w:themeColor="text1"/>
                <w:sz w:val="21"/>
                <w14:textFill>
                  <w14:solidFill>
                    <w14:schemeClr w14:val="tx1"/>
                  </w14:solidFill>
                </w14:textFill>
              </w:rPr>
              <w:t>排水</w:t>
            </w:r>
          </w:p>
        </w:tc>
        <w:tc>
          <w:tcPr>
            <w:tcW w:w="3523" w:type="pct"/>
            <w:vAlign w:val="center"/>
          </w:tcPr>
          <w:p w14:paraId="0793943A">
            <w:pPr>
              <w:pStyle w:val="289"/>
              <w:ind w:left="51" w:right="51"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项目实行雨污分流。</w:t>
            </w:r>
          </w:p>
          <w:p w14:paraId="18642621">
            <w:pPr>
              <w:pStyle w:val="289"/>
              <w:ind w:left="51" w:right="51"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设置雨污分流；</w:t>
            </w:r>
          </w:p>
          <w:p w14:paraId="0132E614">
            <w:pPr>
              <w:pStyle w:val="289"/>
              <w:ind w:left="51" w:right="51" w:firstLine="420" w:firstLineChars="200"/>
              <w:jc w:val="left"/>
              <w:rPr>
                <w:rFonts w:eastAsiaTheme="minorEastAsia"/>
                <w:b/>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一个雨水收集池（1m</w:t>
            </w:r>
            <w:r>
              <w:rPr>
                <w:rFonts w:eastAsiaTheme="minorEastAsia"/>
                <w:color w:val="000000" w:themeColor="text1"/>
                <w:szCs w:val="21"/>
                <w:vertAlign w:val="superscript"/>
                <w14:textFill>
                  <w14:solidFill>
                    <w14:schemeClr w14:val="tx1"/>
                  </w14:solidFill>
                </w14:textFill>
              </w:rPr>
              <w:t>3</w:t>
            </w:r>
            <w:r>
              <w:rPr>
                <w:rFonts w:eastAsiaTheme="minorEastAsia"/>
                <w:color w:val="000000" w:themeColor="text1"/>
                <w:szCs w:val="21"/>
                <w14:textFill>
                  <w14:solidFill>
                    <w14:schemeClr w14:val="tx1"/>
                  </w14:solidFill>
                </w14:textFill>
              </w:rPr>
              <w:t>）；建设具有防雨、防风、防渗等功能的厂房或加盖雨棚的原料、生产仓库。</w:t>
            </w:r>
          </w:p>
        </w:tc>
      </w:tr>
      <w:tr w14:paraId="6633026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09F9E179">
            <w:pPr>
              <w:jc w:val="center"/>
              <w:rPr>
                <w:b/>
                <w:color w:val="000000" w:themeColor="text1"/>
                <w:szCs w:val="21"/>
                <w14:textFill>
                  <w14:solidFill>
                    <w14:schemeClr w14:val="tx1"/>
                  </w14:solidFill>
                </w14:textFill>
              </w:rPr>
            </w:pPr>
          </w:p>
        </w:tc>
        <w:tc>
          <w:tcPr>
            <w:tcW w:w="1036" w:type="pct"/>
            <w:gridSpan w:val="2"/>
            <w:vAlign w:val="center"/>
          </w:tcPr>
          <w:p w14:paraId="3C1AECBE">
            <w:pPr>
              <w:pStyle w:val="55"/>
              <w:rPr>
                <w:b/>
                <w:color w:val="000000" w:themeColor="text1"/>
                <w:sz w:val="21"/>
                <w14:textFill>
                  <w14:solidFill>
                    <w14:schemeClr w14:val="tx1"/>
                  </w14:solidFill>
                </w14:textFill>
              </w:rPr>
            </w:pPr>
            <w:r>
              <w:rPr>
                <w:b/>
                <w:color w:val="000000" w:themeColor="text1"/>
                <w:sz w:val="21"/>
                <w14:textFill>
                  <w14:solidFill>
                    <w14:schemeClr w14:val="tx1"/>
                  </w14:solidFill>
                </w14:textFill>
              </w:rPr>
              <w:t>供电</w:t>
            </w:r>
          </w:p>
        </w:tc>
        <w:tc>
          <w:tcPr>
            <w:tcW w:w="3523" w:type="pct"/>
            <w:vAlign w:val="center"/>
          </w:tcPr>
          <w:p w14:paraId="03269DBE">
            <w:pPr>
              <w:pStyle w:val="289"/>
              <w:ind w:left="51" w:right="51"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市政供电电网供应。</w:t>
            </w:r>
          </w:p>
        </w:tc>
      </w:tr>
      <w:tr w14:paraId="50CD868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restart"/>
            <w:vAlign w:val="center"/>
          </w:tcPr>
          <w:p w14:paraId="4BBF7F7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环保工程</w:t>
            </w:r>
          </w:p>
        </w:tc>
        <w:tc>
          <w:tcPr>
            <w:tcW w:w="1036" w:type="pct"/>
            <w:gridSpan w:val="2"/>
            <w:vAlign w:val="center"/>
          </w:tcPr>
          <w:p w14:paraId="2D1B40AF">
            <w:pPr>
              <w:pStyle w:val="55"/>
              <w:rPr>
                <w:b/>
                <w:color w:val="000000" w:themeColor="text1"/>
                <w:sz w:val="21"/>
                <w14:textFill>
                  <w14:solidFill>
                    <w14:schemeClr w14:val="tx1"/>
                  </w14:solidFill>
                </w14:textFill>
              </w:rPr>
            </w:pPr>
            <w:r>
              <w:rPr>
                <w:b/>
                <w:color w:val="000000" w:themeColor="text1"/>
                <w:sz w:val="21"/>
                <w14:textFill>
                  <w14:solidFill>
                    <w14:schemeClr w14:val="tx1"/>
                  </w14:solidFill>
                </w14:textFill>
              </w:rPr>
              <w:t>废气</w:t>
            </w:r>
          </w:p>
        </w:tc>
        <w:tc>
          <w:tcPr>
            <w:tcW w:w="3523" w:type="pct"/>
            <w:vAlign w:val="center"/>
          </w:tcPr>
          <w:p w14:paraId="6B6C35A7">
            <w:pPr>
              <w:ind w:firstLine="420" w:firstLineChars="200"/>
              <w:jc w:val="left"/>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生产废气：</w:t>
            </w:r>
            <w:r>
              <w:rPr>
                <w:color w:val="000000" w:themeColor="text1"/>
                <w:szCs w:val="21"/>
                <w14:textFill>
                  <w14:solidFill>
                    <w14:schemeClr w14:val="tx1"/>
                  </w14:solidFill>
                </w14:textFill>
              </w:rPr>
              <w:t>造粒工序热熔挤出废气（颗粒物、非甲烷总烃），</w:t>
            </w:r>
            <w:r>
              <w:rPr>
                <w:bCs/>
                <w:color w:val="000000" w:themeColor="text1"/>
                <w:szCs w:val="21"/>
                <w14:textFill>
                  <w14:solidFill>
                    <w14:schemeClr w14:val="tx1"/>
                  </w14:solidFill>
                </w14:textFill>
              </w:rPr>
              <w:t>拟在两台塑料挤出机上方设置集气罩（风量为6000m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/h，集气效率90%），将颗粒物及非甲烷总烃引至过滤棉+活性炭吸附装置处理达标后（颗粒物处置效率95%，非甲烷总烃处置效率85%），通过管道引至15m的排气筒排放。</w:t>
            </w:r>
          </w:p>
          <w:p w14:paraId="5A4349D1">
            <w:pPr>
              <w:ind w:firstLine="420" w:firstLineChars="200"/>
              <w:jc w:val="left"/>
              <w:rPr>
                <w:color w:val="000000" w:themeColor="text1"/>
                <w:szCs w:val="21"/>
                <w14:textFill>
                  <w14:solidFill>
                    <w14:schemeClr w14:val="tx1"/>
                  </w14:solidFill>
                </w14:textFill>
              </w:rPr>
            </w:pPr>
            <w:r>
              <w:rPr>
                <w:b/>
                <w:color w:val="000000" w:themeColor="text1"/>
                <w:szCs w:val="21"/>
                <w14:textFill>
                  <w14:solidFill>
                    <w14:schemeClr w14:val="tx1"/>
                  </w14:solidFill>
                </w14:textFill>
              </w:rPr>
              <w:t>食堂油烟：</w:t>
            </w:r>
            <w:r>
              <w:rPr>
                <w:color w:val="000000" w:themeColor="text1"/>
                <w:szCs w:val="21"/>
                <w14:textFill>
                  <w14:solidFill>
                    <w14:schemeClr w14:val="tx1"/>
                  </w14:solidFill>
                </w14:textFill>
              </w:rPr>
              <w:t>建设小型油烟净化装置（净化效率60%）。</w:t>
            </w:r>
          </w:p>
        </w:tc>
      </w:tr>
      <w:tr w14:paraId="2EF56D8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6ABBCD8F">
            <w:pPr>
              <w:jc w:val="center"/>
              <w:rPr>
                <w:b/>
                <w:color w:val="000000" w:themeColor="text1"/>
                <w:szCs w:val="21"/>
                <w14:textFill>
                  <w14:solidFill>
                    <w14:schemeClr w14:val="tx1"/>
                  </w14:solidFill>
                </w14:textFill>
              </w:rPr>
            </w:pPr>
          </w:p>
        </w:tc>
        <w:tc>
          <w:tcPr>
            <w:tcW w:w="1036" w:type="pct"/>
            <w:gridSpan w:val="2"/>
            <w:vAlign w:val="center"/>
          </w:tcPr>
          <w:p w14:paraId="7BAFB881">
            <w:pPr>
              <w:pStyle w:val="55"/>
              <w:rPr>
                <w:b/>
                <w:color w:val="000000" w:themeColor="text1"/>
                <w:sz w:val="21"/>
                <w14:textFill>
                  <w14:solidFill>
                    <w14:schemeClr w14:val="tx1"/>
                  </w14:solidFill>
                </w14:textFill>
              </w:rPr>
            </w:pPr>
            <w:r>
              <w:rPr>
                <w:b/>
                <w:color w:val="000000" w:themeColor="text1"/>
                <w:sz w:val="21"/>
                <w14:textFill>
                  <w14:solidFill>
                    <w14:schemeClr w14:val="tx1"/>
                  </w14:solidFill>
                </w14:textFill>
              </w:rPr>
              <w:t>废水</w:t>
            </w:r>
          </w:p>
        </w:tc>
        <w:tc>
          <w:tcPr>
            <w:tcW w:w="3523" w:type="pct"/>
            <w:vAlign w:val="center"/>
          </w:tcPr>
          <w:p w14:paraId="48723121">
            <w:pPr>
              <w:pStyle w:val="289"/>
              <w:ind w:left="51" w:right="51" w:firstLine="420" w:firstLineChars="200"/>
              <w:jc w:val="left"/>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（1）雨水</w:t>
            </w:r>
          </w:p>
          <w:p w14:paraId="003DA62E">
            <w:pPr>
              <w:pStyle w:val="289"/>
              <w:ind w:left="51" w:right="51"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项目实行雨污分流；</w:t>
            </w:r>
            <w:r>
              <w:rPr>
                <w:color w:val="000000" w:themeColor="text1"/>
                <w14:textFill>
                  <w14:solidFill>
                    <w14:schemeClr w14:val="tx1"/>
                  </w14:solidFill>
                </w14:textFill>
              </w:rPr>
              <w:t>一个雨水收集池（1m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）；建设</w:t>
            </w:r>
            <w:r>
              <w:rPr>
                <w:color w:val="000000" w:themeColor="text1"/>
                <w:szCs w:val="21"/>
                <w14:textFill>
                  <w14:solidFill>
                    <w14:schemeClr w14:val="tx1"/>
                  </w14:solidFill>
                </w14:textFill>
              </w:rPr>
              <w:t>具有防雨、防风、防渗等功能的厂房或加盖雨棚的原料、生产仓库</w:t>
            </w:r>
          </w:p>
          <w:p w14:paraId="308005AE">
            <w:pPr>
              <w:pStyle w:val="289"/>
              <w:ind w:left="51" w:right="51" w:firstLine="420" w:firstLineChars="200"/>
              <w:jc w:val="left"/>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（2）生活废水处置措施</w:t>
            </w:r>
          </w:p>
          <w:p w14:paraId="0FB818AF">
            <w:pPr>
              <w:pStyle w:val="289"/>
              <w:ind w:left="51" w:right="51" w:firstLine="420" w:firstLineChars="200"/>
              <w:jc w:val="left"/>
              <w:rPr>
                <w:color w:val="000000" w:themeColor="text1"/>
                <w:szCs w:val="22"/>
                <w14:textFill>
                  <w14:solidFill>
                    <w14:schemeClr w14:val="tx1"/>
                  </w14:solidFill>
                </w14:textFill>
              </w:rPr>
            </w:pPr>
            <w:r>
              <w:rPr>
                <w:color w:val="000000" w:themeColor="text1"/>
                <w:szCs w:val="22"/>
                <w14:textFill>
                  <w14:solidFill>
                    <w14:schemeClr w14:val="tx1"/>
                  </w14:solidFill>
                </w14:textFill>
              </w:rPr>
              <w:t>厨房废水经1个隔油池（0.2m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）处理后，与其它生活废水排入化粪池（2个，1个卫生间化粪池15m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，1个厨房化粪池15m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）处理，定期委托周边村民清运，用于农作物施肥。</w:t>
            </w:r>
          </w:p>
          <w:p w14:paraId="28A1AC10">
            <w:pPr>
              <w:pStyle w:val="289"/>
              <w:ind w:left="51" w:right="51" w:firstLine="420" w:firstLineChars="200"/>
              <w:jc w:val="left"/>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（3）生产废水</w:t>
            </w:r>
          </w:p>
          <w:p w14:paraId="69CDD51F">
            <w:pPr>
              <w:pStyle w:val="289"/>
              <w:ind w:left="51" w:right="51" w:firstLine="420" w:firstLineChars="200"/>
              <w:jc w:val="left"/>
              <w:rPr>
                <w:rFonts w:eastAsiaTheme="minorEastAsia"/>
                <w:color w:val="000000" w:themeColor="text1"/>
                <w:szCs w:val="21"/>
                <w14:textFill>
                  <w14:solidFill>
                    <w14:schemeClr w14:val="tx1"/>
                  </w14:solidFill>
                </w14:textFill>
              </w:rPr>
            </w:pPr>
            <w:r>
              <w:rPr>
                <w:color w:val="000000" w:themeColor="text1"/>
                <w:szCs w:val="21"/>
                <w14:textFill>
                  <w14:solidFill>
                    <w14:schemeClr w14:val="tx1"/>
                  </w14:solidFill>
                </w14:textFill>
              </w:rPr>
              <w:t>生产废水通过自建的隔油池（</w:t>
            </w:r>
            <w:r>
              <w:rPr>
                <w:snapToGrid w:val="0"/>
                <w:color w:val="000000" w:themeColor="text1"/>
                <w:kern w:val="0"/>
                <w:szCs w:val="21"/>
                <w14:textFill>
                  <w14:solidFill>
                    <w14:schemeClr w14:val="tx1"/>
                  </w14:solidFill>
                </w14:textFill>
              </w:rPr>
              <w:t>2.5m</w:t>
            </w:r>
            <w:r>
              <w:rPr>
                <w:snapToGrid w:val="0"/>
                <w:color w:val="000000" w:themeColor="text1"/>
                <w:kern w:val="0"/>
                <w:szCs w:val="21"/>
                <w:vertAlign w:val="superscript"/>
                <w14:textFill>
                  <w14:solidFill>
                    <w14:schemeClr w14:val="tx1"/>
                  </w14:solidFill>
                </w14:textFill>
              </w:rPr>
              <w:t>3</w:t>
            </w:r>
            <w:r>
              <w:rPr>
                <w:color w:val="000000" w:themeColor="text1"/>
                <w:szCs w:val="21"/>
                <w14:textFill>
                  <w14:solidFill>
                    <w14:schemeClr w14:val="tx1"/>
                  </w14:solidFill>
                </w14:textFill>
              </w:rPr>
              <w:t>）+</w:t>
            </w:r>
            <w:r>
              <w:rPr>
                <w:color w:val="FF0000"/>
                <w:szCs w:val="21"/>
              </w:rPr>
              <w:t>沉淀池（100</w:t>
            </w:r>
            <w:r>
              <w:rPr>
                <w:snapToGrid w:val="0"/>
                <w:color w:val="FF0000"/>
                <w:kern w:val="0"/>
                <w:szCs w:val="21"/>
              </w:rPr>
              <w:t>m</w:t>
            </w:r>
            <w:r>
              <w:rPr>
                <w:snapToGrid w:val="0"/>
                <w:color w:val="FF0000"/>
                <w:kern w:val="0"/>
                <w:szCs w:val="21"/>
                <w:vertAlign w:val="superscript"/>
              </w:rPr>
              <w:t>3</w:t>
            </w:r>
            <w:r>
              <w:rPr>
                <w:color w:val="FF0000"/>
                <w:szCs w:val="21"/>
              </w:rPr>
              <w:t>）</w:t>
            </w:r>
            <w:r>
              <w:rPr>
                <w:color w:val="000000" w:themeColor="text1"/>
                <w:szCs w:val="21"/>
                <w14:textFill>
                  <w14:solidFill>
                    <w14:schemeClr w14:val="tx1"/>
                  </w14:solidFill>
                </w14:textFill>
              </w:rPr>
              <w:t>处理后，储存于供水池回用于生产。</w:t>
            </w:r>
          </w:p>
        </w:tc>
      </w:tr>
      <w:tr w14:paraId="01ECD80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383" w:hRule="atLeast"/>
          <w:jc w:val="center"/>
        </w:trPr>
        <w:tc>
          <w:tcPr>
            <w:tcW w:w="442" w:type="pct"/>
            <w:vMerge w:val="continue"/>
            <w:vAlign w:val="center"/>
          </w:tcPr>
          <w:p w14:paraId="691747C1">
            <w:pPr>
              <w:jc w:val="center"/>
              <w:rPr>
                <w:b/>
                <w:color w:val="000000" w:themeColor="text1"/>
                <w:szCs w:val="21"/>
                <w14:textFill>
                  <w14:solidFill>
                    <w14:schemeClr w14:val="tx1"/>
                  </w14:solidFill>
                </w14:textFill>
              </w:rPr>
            </w:pPr>
          </w:p>
        </w:tc>
        <w:tc>
          <w:tcPr>
            <w:tcW w:w="1036" w:type="pct"/>
            <w:gridSpan w:val="2"/>
            <w:vAlign w:val="center"/>
          </w:tcPr>
          <w:p w14:paraId="5951F59E">
            <w:pPr>
              <w:pStyle w:val="55"/>
              <w:rPr>
                <w:b/>
                <w:color w:val="000000" w:themeColor="text1"/>
                <w:sz w:val="21"/>
                <w14:textFill>
                  <w14:solidFill>
                    <w14:schemeClr w14:val="tx1"/>
                  </w14:solidFill>
                </w14:textFill>
              </w:rPr>
            </w:pPr>
            <w:r>
              <w:rPr>
                <w:b/>
                <w:color w:val="000000" w:themeColor="text1"/>
                <w:sz w:val="21"/>
                <w14:textFill>
                  <w14:solidFill>
                    <w14:schemeClr w14:val="tx1"/>
                  </w14:solidFill>
                </w14:textFill>
              </w:rPr>
              <w:t>固废</w:t>
            </w:r>
          </w:p>
        </w:tc>
        <w:tc>
          <w:tcPr>
            <w:tcW w:w="3523" w:type="pct"/>
            <w:vAlign w:val="center"/>
          </w:tcPr>
          <w:p w14:paraId="7CD99068">
            <w:pPr>
              <w:pStyle w:val="289"/>
              <w:ind w:left="51" w:right="51" w:firstLine="420" w:firstLineChars="200"/>
              <w:jc w:val="left"/>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（1）一般工业固体废物</w:t>
            </w:r>
          </w:p>
          <w:p w14:paraId="6006AF41">
            <w:pPr>
              <w:pStyle w:val="289"/>
              <w:ind w:left="51" w:right="51" w:firstLine="420" w:firstLineChars="200"/>
              <w:jc w:val="left"/>
              <w:rPr>
                <w:rFonts w:eastAsiaTheme="minorEastAsia"/>
                <w:color w:val="000000" w:themeColor="text1"/>
                <w:szCs w:val="21"/>
                <w14:textFill>
                  <w14:solidFill>
                    <w14:schemeClr w14:val="tx1"/>
                  </w14:solidFill>
                </w14:textFill>
              </w:rPr>
            </w:pPr>
            <w:r>
              <w:rPr>
                <w:color w:val="000000" w:themeColor="text1"/>
                <w:szCs w:val="21"/>
                <w14:textFill>
                  <w14:solidFill>
                    <w14:schemeClr w14:val="tx1"/>
                  </w14:solidFill>
                </w14:textFill>
              </w:rPr>
              <w:t>项目区原料仓库北侧设置一般固废堆放间（占地18m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w:t>
            </w:r>
          </w:p>
          <w:p w14:paraId="219002C8">
            <w:pPr>
              <w:pStyle w:val="289"/>
              <w:ind w:left="51" w:right="51" w:firstLine="420" w:firstLineChars="200"/>
              <w:jc w:val="left"/>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（2）生活垃圾</w:t>
            </w:r>
          </w:p>
          <w:p w14:paraId="765E3870">
            <w:pPr>
              <w:pStyle w:val="289"/>
              <w:ind w:left="51" w:right="51"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设置垃圾桶，经分类收集后运至最近垃圾收集点。</w:t>
            </w:r>
          </w:p>
          <w:p w14:paraId="483651A1">
            <w:pPr>
              <w:pStyle w:val="289"/>
              <w:ind w:left="51" w:right="51" w:firstLine="420" w:firstLineChars="200"/>
              <w:jc w:val="left"/>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（3）危废暂存间</w:t>
            </w:r>
          </w:p>
          <w:p w14:paraId="12E372A7">
            <w:pPr>
              <w:pStyle w:val="296"/>
              <w:spacing w:line="240" w:lineRule="auto"/>
              <w:ind w:firstLine="420"/>
              <w:rPr>
                <w:rFonts w:eastAsiaTheme="minorEastAsia"/>
                <w:color w:val="000000" w:themeColor="text1"/>
                <w:sz w:val="21"/>
                <w:szCs w:val="21"/>
                <w14:textFill>
                  <w14:solidFill>
                    <w14:schemeClr w14:val="tx1"/>
                  </w14:solidFill>
                </w14:textFill>
              </w:rPr>
            </w:pPr>
            <w:r>
              <w:rPr>
                <w:color w:val="FF0000"/>
                <w:sz w:val="21"/>
                <w:szCs w:val="21"/>
              </w:rPr>
              <w:t>项目区原料仓库北侧设置</w:t>
            </w:r>
            <w:r>
              <w:rPr>
                <w:rFonts w:hint="eastAsia"/>
                <w:color w:val="FF0000"/>
                <w:sz w:val="21"/>
                <w:szCs w:val="21"/>
              </w:rPr>
              <w:t>危废暂存间</w:t>
            </w:r>
            <w:r>
              <w:rPr>
                <w:color w:val="FF0000"/>
                <w:sz w:val="21"/>
                <w:szCs w:val="21"/>
              </w:rPr>
              <w:t>（占地</w:t>
            </w:r>
            <w:r>
              <w:rPr>
                <w:rFonts w:hint="eastAsia"/>
                <w:color w:val="FF0000"/>
                <w:sz w:val="21"/>
                <w:szCs w:val="21"/>
              </w:rPr>
              <w:t>5</w:t>
            </w:r>
            <w:r>
              <w:rPr>
                <w:color w:val="FF0000"/>
                <w:sz w:val="21"/>
                <w:szCs w:val="21"/>
              </w:rPr>
              <w:t>m</w:t>
            </w:r>
            <w:r>
              <w:rPr>
                <w:color w:val="FF0000"/>
                <w:sz w:val="21"/>
                <w:szCs w:val="21"/>
                <w:vertAlign w:val="superscript"/>
              </w:rPr>
              <w:t>2</w:t>
            </w:r>
            <w:r>
              <w:rPr>
                <w:color w:val="FF0000"/>
                <w:sz w:val="21"/>
                <w:szCs w:val="21"/>
              </w:rPr>
              <w:t>）</w:t>
            </w:r>
            <w:r>
              <w:rPr>
                <w:rFonts w:hint="eastAsia"/>
                <w:color w:val="FF0000"/>
                <w:sz w:val="21"/>
                <w:szCs w:val="21"/>
              </w:rPr>
              <w:t>。</w:t>
            </w:r>
          </w:p>
        </w:tc>
      </w:tr>
      <w:tr w14:paraId="4A919B7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64E47477">
            <w:pPr>
              <w:jc w:val="center"/>
              <w:rPr>
                <w:b/>
                <w:color w:val="000000" w:themeColor="text1"/>
                <w:szCs w:val="21"/>
                <w14:textFill>
                  <w14:solidFill>
                    <w14:schemeClr w14:val="tx1"/>
                  </w14:solidFill>
                </w14:textFill>
              </w:rPr>
            </w:pPr>
          </w:p>
        </w:tc>
        <w:tc>
          <w:tcPr>
            <w:tcW w:w="1036" w:type="pct"/>
            <w:gridSpan w:val="2"/>
            <w:vAlign w:val="center"/>
          </w:tcPr>
          <w:p w14:paraId="0F27C378">
            <w:pPr>
              <w:pStyle w:val="55"/>
              <w:rPr>
                <w:b/>
                <w:color w:val="000000" w:themeColor="text1"/>
                <w:sz w:val="21"/>
                <w14:textFill>
                  <w14:solidFill>
                    <w14:schemeClr w14:val="tx1"/>
                  </w14:solidFill>
                </w14:textFill>
              </w:rPr>
            </w:pPr>
            <w:r>
              <w:rPr>
                <w:b/>
                <w:color w:val="000000" w:themeColor="text1"/>
                <w:sz w:val="21"/>
                <w14:textFill>
                  <w14:solidFill>
                    <w14:schemeClr w14:val="tx1"/>
                  </w14:solidFill>
                </w14:textFill>
              </w:rPr>
              <w:t>噪声</w:t>
            </w:r>
          </w:p>
        </w:tc>
        <w:tc>
          <w:tcPr>
            <w:tcW w:w="3523" w:type="pct"/>
            <w:vAlign w:val="center"/>
          </w:tcPr>
          <w:p w14:paraId="05F524FB">
            <w:pPr>
              <w:pStyle w:val="289"/>
              <w:ind w:left="51" w:right="51"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房屋隔声、设备减振。</w:t>
            </w:r>
          </w:p>
        </w:tc>
      </w:tr>
      <w:tr w14:paraId="15825AE9">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442" w:type="pct"/>
            <w:vMerge w:val="continue"/>
            <w:vAlign w:val="center"/>
          </w:tcPr>
          <w:p w14:paraId="715A38D4">
            <w:pPr>
              <w:jc w:val="center"/>
              <w:rPr>
                <w:b/>
                <w:color w:val="000000" w:themeColor="text1"/>
                <w:szCs w:val="21"/>
                <w14:textFill>
                  <w14:solidFill>
                    <w14:schemeClr w14:val="tx1"/>
                  </w14:solidFill>
                </w14:textFill>
              </w:rPr>
            </w:pPr>
          </w:p>
        </w:tc>
        <w:tc>
          <w:tcPr>
            <w:tcW w:w="1036" w:type="pct"/>
            <w:gridSpan w:val="2"/>
            <w:vAlign w:val="center"/>
          </w:tcPr>
          <w:p w14:paraId="0A0854B6">
            <w:pPr>
              <w:pStyle w:val="55"/>
              <w:rPr>
                <w:b/>
                <w:color w:val="000000" w:themeColor="text1"/>
                <w:sz w:val="21"/>
                <w14:textFill>
                  <w14:solidFill>
                    <w14:schemeClr w14:val="tx1"/>
                  </w14:solidFill>
                </w14:textFill>
              </w:rPr>
            </w:pPr>
            <w:r>
              <w:rPr>
                <w:b/>
                <w:color w:val="000000" w:themeColor="text1"/>
                <w:sz w:val="21"/>
                <w14:textFill>
                  <w14:solidFill>
                    <w14:schemeClr w14:val="tx1"/>
                  </w14:solidFill>
                </w14:textFill>
              </w:rPr>
              <w:t>地下水</w:t>
            </w:r>
          </w:p>
        </w:tc>
        <w:tc>
          <w:tcPr>
            <w:tcW w:w="3523" w:type="pct"/>
            <w:vAlign w:val="center"/>
          </w:tcPr>
          <w:p w14:paraId="7490E6C9">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1、源头控制措施</w:t>
            </w:r>
          </w:p>
          <w:p w14:paraId="393CF84E">
            <w:pPr>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加强对</w:t>
            </w:r>
            <w:r>
              <w:rPr>
                <w:color w:val="000000" w:themeColor="text1"/>
                <w:szCs w:val="21"/>
                <w14:textFill>
                  <w14:solidFill>
                    <w14:schemeClr w14:val="tx1"/>
                  </w14:solidFill>
                </w14:textFill>
              </w:rPr>
              <w:t>生产废水、生活污水处理与处置的管理</w:t>
            </w:r>
          </w:p>
          <w:p w14:paraId="43064568">
            <w:pPr>
              <w:widowControl/>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2、分区防控措施</w:t>
            </w:r>
          </w:p>
          <w:p w14:paraId="0E172A33">
            <w:pPr>
              <w:widowControl/>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根据《环境影响评价技术导则 地下水环境》（HJ610-2016），将项目区分为重点防渗区、一般防渗区和简单防渗区。</w:t>
            </w:r>
          </w:p>
          <w:p w14:paraId="2DA9B564">
            <w:pPr>
              <w:pStyle w:val="296"/>
              <w:spacing w:line="240" w:lineRule="auto"/>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重点防渗区：主要为危废间，基础采用6m厚压实粘土防渗，上面再用混凝土进行硬化。防渗性能应等效于厚度≥6m，渗透系数K≤1.0×10</w:t>
            </w:r>
            <w:r>
              <w:rPr>
                <w:rFonts w:cs="Times New Roman"/>
                <w:color w:val="000000" w:themeColor="text1"/>
                <w:sz w:val="21"/>
                <w:szCs w:val="21"/>
                <w:vertAlign w:val="superscript"/>
                <w14:textFill>
                  <w14:solidFill>
                    <w14:schemeClr w14:val="tx1"/>
                  </w14:solidFill>
                </w14:textFill>
              </w:rPr>
              <w:t>-7</w:t>
            </w:r>
            <w:r>
              <w:rPr>
                <w:rFonts w:cs="Times New Roman"/>
                <w:color w:val="000000" w:themeColor="text1"/>
                <w:sz w:val="21"/>
                <w:szCs w:val="21"/>
                <w14:textFill>
                  <w14:solidFill>
                    <w14:schemeClr w14:val="tx1"/>
                  </w14:solidFill>
                </w14:textFill>
              </w:rPr>
              <w:t>cm/s的黏土层的防渗性能。</w:t>
            </w:r>
          </w:p>
          <w:p w14:paraId="63811711">
            <w:pPr>
              <w:pStyle w:val="295"/>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一般防渗区：污水处理设施（隔油池、沉淀池等）、原料仓库、破碎清洗生产区、造粒生产区等，基础采用1.5cm厚压实粘土防渗，上面再用混凝土进行硬化，防渗性能应等效于厚度≥1.5m，渗透系数K≤1.0×10</w:t>
            </w:r>
            <w:r>
              <w:rPr>
                <w:color w:val="000000" w:themeColor="text1"/>
                <w:sz w:val="21"/>
                <w:szCs w:val="21"/>
                <w:vertAlign w:val="superscript"/>
                <w14:textFill>
                  <w14:solidFill>
                    <w14:schemeClr w14:val="tx1"/>
                  </w14:solidFill>
                </w14:textFill>
              </w:rPr>
              <w:t>-7</w:t>
            </w:r>
            <w:r>
              <w:rPr>
                <w:color w:val="000000" w:themeColor="text1"/>
                <w:sz w:val="21"/>
                <w:szCs w:val="21"/>
                <w14:textFill>
                  <w14:solidFill>
                    <w14:schemeClr w14:val="tx1"/>
                  </w14:solidFill>
                </w14:textFill>
              </w:rPr>
              <w:t>cm/s 的黏土层的防渗性能。</w:t>
            </w:r>
          </w:p>
          <w:p w14:paraId="193552B0">
            <w:pPr>
              <w:pStyle w:val="15"/>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简单防渗区：住宿及办公区、厨房等，采用混凝土硬化。</w:t>
            </w:r>
          </w:p>
          <w:p w14:paraId="59391F2E">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3、建立地下水环境跟踪监测制度</w:t>
            </w:r>
          </w:p>
          <w:p w14:paraId="76C38C88">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本项目在项目区下游30m处设置1个污染源监测井，监测因子：pH、CODcr、BOD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、氨氮，建立地下水环境跟踪监测制度。</w:t>
            </w:r>
          </w:p>
        </w:tc>
      </w:tr>
    </w:tbl>
    <w:p w14:paraId="71C7D587">
      <w:pPr>
        <w:rPr>
          <w:b/>
          <w:color w:val="000000" w:themeColor="text1"/>
          <w:sz w:val="24"/>
          <w14:textFill>
            <w14:solidFill>
              <w14:schemeClr w14:val="tx1"/>
            </w14:solidFill>
          </w14:textFill>
        </w:rPr>
      </w:pPr>
      <w:r>
        <w:rPr>
          <w:b/>
          <w:color w:val="000000" w:themeColor="text1"/>
          <w:sz w:val="24"/>
          <w14:textFill>
            <w14:solidFill>
              <w14:schemeClr w14:val="tx1"/>
            </w14:solidFill>
          </w14:textFill>
        </w:rPr>
        <w:t>2、建设项目主要经济技术指标</w:t>
      </w:r>
    </w:p>
    <w:p w14:paraId="47074AAB">
      <w:pPr>
        <w:jc w:val="center"/>
        <w:rPr>
          <w:b/>
          <w:color w:val="000000" w:themeColor="text1"/>
          <w:sz w:val="24"/>
          <w14:textFill>
            <w14:solidFill>
              <w14:schemeClr w14:val="tx1"/>
            </w14:solidFill>
          </w14:textFill>
        </w:rPr>
      </w:pPr>
    </w:p>
    <w:p w14:paraId="67503A0D">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表2.2-2 拟建项目主要经济技术指标</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16"/>
        <w:gridCol w:w="2127"/>
        <w:gridCol w:w="2695"/>
        <w:gridCol w:w="2884"/>
      </w:tblGrid>
      <w:tr w14:paraId="4DB5FDAA">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1C841058">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项目</w:t>
            </w:r>
          </w:p>
        </w:tc>
        <w:tc>
          <w:tcPr>
            <w:tcW w:w="1581" w:type="pct"/>
            <w:shd w:val="clear" w:color="auto" w:fill="auto"/>
            <w:vAlign w:val="center"/>
          </w:tcPr>
          <w:p w14:paraId="674F2598">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单位</w:t>
            </w:r>
          </w:p>
        </w:tc>
        <w:tc>
          <w:tcPr>
            <w:tcW w:w="1693" w:type="pct"/>
            <w:shd w:val="clear" w:color="auto" w:fill="auto"/>
            <w:vAlign w:val="center"/>
          </w:tcPr>
          <w:p w14:paraId="7FC69C0C">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指标</w:t>
            </w:r>
          </w:p>
        </w:tc>
      </w:tr>
      <w:tr w14:paraId="504A0462">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1F56564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总占地面积</w:t>
            </w:r>
          </w:p>
        </w:tc>
        <w:tc>
          <w:tcPr>
            <w:tcW w:w="1581" w:type="pct"/>
            <w:shd w:val="clear" w:color="auto" w:fill="auto"/>
            <w:vAlign w:val="center"/>
          </w:tcPr>
          <w:p w14:paraId="6D6EC26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693" w:type="pct"/>
            <w:shd w:val="clear" w:color="auto" w:fill="auto"/>
            <w:vAlign w:val="center"/>
          </w:tcPr>
          <w:p w14:paraId="4906883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2500</w:t>
            </w:r>
          </w:p>
        </w:tc>
      </w:tr>
      <w:tr w14:paraId="25C7290C">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1F757BA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建筑面积</w:t>
            </w:r>
          </w:p>
        </w:tc>
        <w:tc>
          <w:tcPr>
            <w:tcW w:w="1581" w:type="pct"/>
            <w:shd w:val="clear" w:color="auto" w:fill="auto"/>
            <w:vAlign w:val="center"/>
          </w:tcPr>
          <w:p w14:paraId="6E9B30B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693" w:type="pct"/>
            <w:shd w:val="clear" w:color="auto" w:fill="auto"/>
            <w:vAlign w:val="center"/>
          </w:tcPr>
          <w:p w14:paraId="5229016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1144</w:t>
            </w:r>
          </w:p>
        </w:tc>
      </w:tr>
      <w:tr w14:paraId="242B1314">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restart"/>
            <w:shd w:val="clear" w:color="auto" w:fill="auto"/>
            <w:vAlign w:val="center"/>
          </w:tcPr>
          <w:p w14:paraId="69E6F5C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其中</w:t>
            </w:r>
          </w:p>
        </w:tc>
        <w:tc>
          <w:tcPr>
            <w:tcW w:w="1248" w:type="pct"/>
            <w:shd w:val="clear" w:color="auto" w:fill="auto"/>
            <w:vAlign w:val="center"/>
          </w:tcPr>
          <w:p w14:paraId="00CE491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生产区</w:t>
            </w:r>
          </w:p>
        </w:tc>
        <w:tc>
          <w:tcPr>
            <w:tcW w:w="1581" w:type="pct"/>
            <w:shd w:val="clear" w:color="auto" w:fill="auto"/>
            <w:vAlign w:val="center"/>
          </w:tcPr>
          <w:p w14:paraId="6C2803C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693" w:type="pct"/>
            <w:shd w:val="clear" w:color="auto" w:fill="auto"/>
            <w:vAlign w:val="center"/>
          </w:tcPr>
          <w:p w14:paraId="1AD914B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330</w:t>
            </w:r>
          </w:p>
        </w:tc>
      </w:tr>
      <w:tr w14:paraId="5EDDBF62">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continue"/>
            <w:vAlign w:val="center"/>
          </w:tcPr>
          <w:p w14:paraId="16EEB591">
            <w:pPr>
              <w:widowControl/>
              <w:jc w:val="left"/>
              <w:rPr>
                <w:color w:val="000000" w:themeColor="text1"/>
                <w:kern w:val="0"/>
                <w:szCs w:val="21"/>
                <w14:textFill>
                  <w14:solidFill>
                    <w14:schemeClr w14:val="tx1"/>
                  </w14:solidFill>
                </w14:textFill>
              </w:rPr>
            </w:pPr>
          </w:p>
        </w:tc>
        <w:tc>
          <w:tcPr>
            <w:tcW w:w="1248" w:type="pct"/>
            <w:shd w:val="clear" w:color="auto" w:fill="auto"/>
            <w:vAlign w:val="center"/>
          </w:tcPr>
          <w:p w14:paraId="1115C0E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原料仓库</w:t>
            </w:r>
          </w:p>
        </w:tc>
        <w:tc>
          <w:tcPr>
            <w:tcW w:w="1581" w:type="pct"/>
            <w:shd w:val="clear" w:color="auto" w:fill="auto"/>
            <w:vAlign w:val="center"/>
          </w:tcPr>
          <w:p w14:paraId="17020EF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693" w:type="pct"/>
            <w:shd w:val="clear" w:color="auto" w:fill="auto"/>
            <w:vAlign w:val="center"/>
          </w:tcPr>
          <w:p w14:paraId="7D3B7AA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300</w:t>
            </w:r>
          </w:p>
        </w:tc>
      </w:tr>
      <w:tr w14:paraId="61E59103">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continue"/>
            <w:vAlign w:val="center"/>
          </w:tcPr>
          <w:p w14:paraId="5A5C19F0">
            <w:pPr>
              <w:widowControl/>
              <w:jc w:val="left"/>
              <w:rPr>
                <w:color w:val="000000" w:themeColor="text1"/>
                <w:kern w:val="0"/>
                <w:szCs w:val="21"/>
                <w14:textFill>
                  <w14:solidFill>
                    <w14:schemeClr w14:val="tx1"/>
                  </w14:solidFill>
                </w14:textFill>
              </w:rPr>
            </w:pPr>
          </w:p>
        </w:tc>
        <w:tc>
          <w:tcPr>
            <w:tcW w:w="1248" w:type="pct"/>
            <w:shd w:val="clear" w:color="auto" w:fill="auto"/>
            <w:vAlign w:val="center"/>
          </w:tcPr>
          <w:p w14:paraId="7304F68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成品库</w:t>
            </w:r>
          </w:p>
        </w:tc>
        <w:tc>
          <w:tcPr>
            <w:tcW w:w="1581" w:type="pct"/>
            <w:shd w:val="clear" w:color="auto" w:fill="auto"/>
            <w:vAlign w:val="center"/>
          </w:tcPr>
          <w:p w14:paraId="7A46E58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693" w:type="pct"/>
            <w:shd w:val="clear" w:color="auto" w:fill="auto"/>
            <w:vAlign w:val="center"/>
          </w:tcPr>
          <w:p w14:paraId="0F927A9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170</w:t>
            </w:r>
          </w:p>
        </w:tc>
      </w:tr>
      <w:tr w14:paraId="5EDAF8A5">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continue"/>
            <w:vAlign w:val="center"/>
          </w:tcPr>
          <w:p w14:paraId="62B160F3">
            <w:pPr>
              <w:widowControl/>
              <w:jc w:val="left"/>
              <w:rPr>
                <w:color w:val="000000" w:themeColor="text1"/>
                <w:kern w:val="0"/>
                <w:szCs w:val="21"/>
                <w14:textFill>
                  <w14:solidFill>
                    <w14:schemeClr w14:val="tx1"/>
                  </w14:solidFill>
                </w14:textFill>
              </w:rPr>
            </w:pPr>
          </w:p>
        </w:tc>
        <w:tc>
          <w:tcPr>
            <w:tcW w:w="1248" w:type="pct"/>
            <w:shd w:val="clear" w:color="auto" w:fill="auto"/>
            <w:vAlign w:val="center"/>
          </w:tcPr>
          <w:p w14:paraId="5EF57BC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住宿及办公区</w:t>
            </w:r>
          </w:p>
        </w:tc>
        <w:tc>
          <w:tcPr>
            <w:tcW w:w="1581" w:type="pct"/>
            <w:shd w:val="clear" w:color="auto" w:fill="auto"/>
            <w:vAlign w:val="center"/>
          </w:tcPr>
          <w:p w14:paraId="05F2EC3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693" w:type="pct"/>
            <w:shd w:val="clear" w:color="auto" w:fill="auto"/>
            <w:vAlign w:val="center"/>
          </w:tcPr>
          <w:p w14:paraId="4012C92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306</w:t>
            </w:r>
          </w:p>
        </w:tc>
      </w:tr>
      <w:tr w14:paraId="06E2CD78">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continue"/>
            <w:vAlign w:val="center"/>
          </w:tcPr>
          <w:p w14:paraId="119A1BEA">
            <w:pPr>
              <w:widowControl/>
              <w:jc w:val="left"/>
              <w:rPr>
                <w:color w:val="000000" w:themeColor="text1"/>
                <w:kern w:val="0"/>
                <w:szCs w:val="21"/>
                <w14:textFill>
                  <w14:solidFill>
                    <w14:schemeClr w14:val="tx1"/>
                  </w14:solidFill>
                </w14:textFill>
              </w:rPr>
            </w:pPr>
          </w:p>
        </w:tc>
        <w:tc>
          <w:tcPr>
            <w:tcW w:w="1248" w:type="pct"/>
            <w:shd w:val="clear" w:color="auto" w:fill="auto"/>
            <w:vAlign w:val="center"/>
          </w:tcPr>
          <w:p w14:paraId="70123D2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厨房</w:t>
            </w:r>
          </w:p>
        </w:tc>
        <w:tc>
          <w:tcPr>
            <w:tcW w:w="1581" w:type="pct"/>
            <w:shd w:val="clear" w:color="auto" w:fill="auto"/>
            <w:vAlign w:val="center"/>
          </w:tcPr>
          <w:p w14:paraId="647068E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693" w:type="pct"/>
            <w:shd w:val="clear" w:color="auto" w:fill="auto"/>
            <w:vAlign w:val="center"/>
          </w:tcPr>
          <w:p w14:paraId="5E1E072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r>
      <w:tr w14:paraId="14F71E16">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continue"/>
            <w:vAlign w:val="center"/>
          </w:tcPr>
          <w:p w14:paraId="133830FE">
            <w:pPr>
              <w:widowControl/>
              <w:jc w:val="left"/>
              <w:rPr>
                <w:color w:val="000000" w:themeColor="text1"/>
                <w:kern w:val="0"/>
                <w:szCs w:val="21"/>
                <w14:textFill>
                  <w14:solidFill>
                    <w14:schemeClr w14:val="tx1"/>
                  </w14:solidFill>
                </w14:textFill>
              </w:rPr>
            </w:pPr>
          </w:p>
        </w:tc>
        <w:tc>
          <w:tcPr>
            <w:tcW w:w="1248" w:type="pct"/>
            <w:shd w:val="clear" w:color="auto" w:fill="auto"/>
            <w:vAlign w:val="center"/>
          </w:tcPr>
          <w:p w14:paraId="34DCE67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卫生间</w:t>
            </w:r>
          </w:p>
        </w:tc>
        <w:tc>
          <w:tcPr>
            <w:tcW w:w="1581" w:type="pct"/>
            <w:shd w:val="clear" w:color="auto" w:fill="auto"/>
            <w:vAlign w:val="center"/>
          </w:tcPr>
          <w:p w14:paraId="67D0C54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693" w:type="pct"/>
            <w:shd w:val="clear" w:color="auto" w:fill="auto"/>
            <w:vAlign w:val="center"/>
          </w:tcPr>
          <w:p w14:paraId="0BF4744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r>
      <w:tr w14:paraId="2D906961">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75DBCB9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其它（过道、硬地等）</w:t>
            </w:r>
          </w:p>
        </w:tc>
        <w:tc>
          <w:tcPr>
            <w:tcW w:w="1581" w:type="pct"/>
            <w:shd w:val="clear" w:color="auto" w:fill="auto"/>
            <w:vAlign w:val="center"/>
          </w:tcPr>
          <w:p w14:paraId="77E3AFD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693" w:type="pct"/>
            <w:shd w:val="clear" w:color="auto" w:fill="auto"/>
            <w:vAlign w:val="center"/>
          </w:tcPr>
          <w:p w14:paraId="03700CA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1356</w:t>
            </w:r>
          </w:p>
        </w:tc>
      </w:tr>
    </w:tbl>
    <w:p w14:paraId="457AF2D7">
      <w:pPr>
        <w:rPr>
          <w:color w:val="000000" w:themeColor="text1"/>
          <w14:textFill>
            <w14:solidFill>
              <w14:schemeClr w14:val="tx1"/>
            </w14:solidFill>
          </w14:textFill>
        </w:rPr>
      </w:pPr>
      <w:bookmarkStart w:id="124" w:name="_Toc362393125"/>
    </w:p>
    <w:p w14:paraId="26EDC107">
      <w:pPr>
        <w:pStyle w:val="4"/>
        <w:rPr>
          <w:rFonts w:ascii="Times New Roman" w:hAnsi="Times New Roman"/>
          <w:color w:val="000000" w:themeColor="text1"/>
          <w14:textFill>
            <w14:solidFill>
              <w14:schemeClr w14:val="tx1"/>
            </w14:solidFill>
          </w14:textFill>
        </w:rPr>
      </w:pPr>
      <w:bookmarkStart w:id="125" w:name="_Toc2773739"/>
      <w:r>
        <w:rPr>
          <w:rFonts w:ascii="Times New Roman" w:hAnsi="Times New Roman"/>
          <w:color w:val="000000" w:themeColor="text1"/>
          <w14:textFill>
            <w14:solidFill>
              <w14:schemeClr w14:val="tx1"/>
            </w14:solidFill>
          </w14:textFill>
        </w:rPr>
        <w:t>2.3拟建项目产品方案</w:t>
      </w:r>
      <w:bookmarkEnd w:id="124"/>
      <w:bookmarkEnd w:id="125"/>
    </w:p>
    <w:p w14:paraId="79CE6F3A">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表2.3-1  </w:t>
      </w:r>
      <w:r>
        <w:rPr>
          <w:b/>
          <w:color w:val="000000" w:themeColor="text1"/>
          <w:sz w:val="24"/>
          <w14:textFill>
            <w14:solidFill>
              <w14:schemeClr w14:val="tx1"/>
            </w14:solidFill>
          </w14:textFill>
        </w:rPr>
        <w:t>拟建</w:t>
      </w:r>
      <w:r>
        <w:rPr>
          <w:b/>
          <w:bCs/>
          <w:color w:val="000000" w:themeColor="text1"/>
          <w:sz w:val="24"/>
          <w14:textFill>
            <w14:solidFill>
              <w14:schemeClr w14:val="tx1"/>
            </w14:solidFill>
          </w14:textFill>
        </w:rPr>
        <w:t>项目产品方案</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24"/>
        <w:gridCol w:w="2349"/>
        <w:gridCol w:w="2349"/>
      </w:tblGrid>
      <w:tr w14:paraId="29586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4" w:type="pct"/>
            <w:vAlign w:val="center"/>
          </w:tcPr>
          <w:p w14:paraId="0007274A">
            <w:pPr>
              <w:pStyle w:val="291"/>
              <w:adjustRightInd w:val="0"/>
              <w:snapToGrid w:val="0"/>
              <w:spacing w:line="240" w:lineRule="auto"/>
              <w:ind w:firstLine="0"/>
              <w:jc w:val="center"/>
              <w:rPr>
                <w:rFonts w:eastAsia="新宋体"/>
                <w:color w:val="000000" w:themeColor="text1"/>
                <w:sz w:val="21"/>
                <w:szCs w:val="21"/>
                <w14:textFill>
                  <w14:solidFill>
                    <w14:schemeClr w14:val="tx1"/>
                  </w14:solidFill>
                </w14:textFill>
              </w:rPr>
            </w:pPr>
            <w:r>
              <w:rPr>
                <w:rFonts w:eastAsia="新宋体"/>
                <w:color w:val="000000" w:themeColor="text1"/>
                <w:sz w:val="21"/>
                <w:szCs w:val="21"/>
                <w14:textFill>
                  <w14:solidFill>
                    <w14:schemeClr w14:val="tx1"/>
                  </w14:solidFill>
                </w14:textFill>
              </w:rPr>
              <w:t>产品名称</w:t>
            </w:r>
          </w:p>
        </w:tc>
        <w:tc>
          <w:tcPr>
            <w:tcW w:w="1378" w:type="pct"/>
            <w:vAlign w:val="center"/>
          </w:tcPr>
          <w:p w14:paraId="68049945">
            <w:pPr>
              <w:pStyle w:val="291"/>
              <w:adjustRightInd w:val="0"/>
              <w:snapToGrid w:val="0"/>
              <w:spacing w:line="240" w:lineRule="auto"/>
              <w:ind w:firstLine="0"/>
              <w:jc w:val="center"/>
              <w:rPr>
                <w:rFonts w:eastAsia="新宋体"/>
                <w:color w:val="000000" w:themeColor="text1"/>
                <w:sz w:val="21"/>
                <w:szCs w:val="21"/>
                <w14:textFill>
                  <w14:solidFill>
                    <w14:schemeClr w14:val="tx1"/>
                  </w14:solidFill>
                </w14:textFill>
              </w:rPr>
            </w:pPr>
            <w:r>
              <w:rPr>
                <w:rFonts w:eastAsia="新宋体"/>
                <w:color w:val="000000" w:themeColor="text1"/>
                <w:sz w:val="21"/>
                <w:szCs w:val="21"/>
                <w14:textFill>
                  <w14:solidFill>
                    <w14:schemeClr w14:val="tx1"/>
                  </w14:solidFill>
                </w14:textFill>
              </w:rPr>
              <w:t>单位</w:t>
            </w:r>
          </w:p>
        </w:tc>
        <w:tc>
          <w:tcPr>
            <w:tcW w:w="1378" w:type="pct"/>
            <w:vAlign w:val="center"/>
          </w:tcPr>
          <w:p w14:paraId="0944734D">
            <w:pPr>
              <w:pStyle w:val="291"/>
              <w:adjustRightInd w:val="0"/>
              <w:snapToGrid w:val="0"/>
              <w:spacing w:line="240" w:lineRule="auto"/>
              <w:ind w:firstLine="0"/>
              <w:jc w:val="center"/>
              <w:rPr>
                <w:rFonts w:eastAsia="新宋体"/>
                <w:color w:val="000000" w:themeColor="text1"/>
                <w:sz w:val="21"/>
                <w:szCs w:val="21"/>
                <w14:textFill>
                  <w14:solidFill>
                    <w14:schemeClr w14:val="tx1"/>
                  </w14:solidFill>
                </w14:textFill>
              </w:rPr>
            </w:pPr>
            <w:r>
              <w:rPr>
                <w:rFonts w:eastAsia="新宋体"/>
                <w:color w:val="000000" w:themeColor="text1"/>
                <w:sz w:val="21"/>
                <w:szCs w:val="21"/>
                <w14:textFill>
                  <w14:solidFill>
                    <w14:schemeClr w14:val="tx1"/>
                  </w14:solidFill>
                </w14:textFill>
              </w:rPr>
              <w:t>数量</w:t>
            </w:r>
          </w:p>
        </w:tc>
      </w:tr>
      <w:tr w14:paraId="3F958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4" w:type="pct"/>
            <w:vAlign w:val="center"/>
          </w:tcPr>
          <w:p w14:paraId="6B1FED20">
            <w:pPr>
              <w:jc w:val="center"/>
              <w:rPr>
                <w:color w:val="000000" w:themeColor="text1"/>
                <w14:textFill>
                  <w14:solidFill>
                    <w14:schemeClr w14:val="tx1"/>
                  </w14:solidFill>
                </w14:textFill>
              </w:rPr>
            </w:pPr>
            <w:r>
              <w:rPr>
                <w:color w:val="000000" w:themeColor="text1"/>
                <w14:textFill>
                  <w14:solidFill>
                    <w14:schemeClr w14:val="tx1"/>
                  </w14:solidFill>
                </w14:textFill>
              </w:rPr>
              <w:t>再生塑料颗粒（PE、PP）</w:t>
            </w:r>
          </w:p>
        </w:tc>
        <w:tc>
          <w:tcPr>
            <w:tcW w:w="1378" w:type="pct"/>
            <w:vAlign w:val="center"/>
          </w:tcPr>
          <w:p w14:paraId="6E2363FB">
            <w:pPr>
              <w:jc w:val="center"/>
              <w:rPr>
                <w:color w:val="000000" w:themeColor="text1"/>
                <w14:textFill>
                  <w14:solidFill>
                    <w14:schemeClr w14:val="tx1"/>
                  </w14:solidFill>
                </w14:textFill>
              </w:rPr>
            </w:pPr>
            <w:r>
              <w:rPr>
                <w:color w:val="000000" w:themeColor="text1"/>
                <w14:textFill>
                  <w14:solidFill>
                    <w14:schemeClr w14:val="tx1"/>
                  </w14:solidFill>
                </w14:textFill>
              </w:rPr>
              <w:t>吨</w:t>
            </w:r>
          </w:p>
        </w:tc>
        <w:tc>
          <w:tcPr>
            <w:tcW w:w="1378" w:type="pct"/>
            <w:vAlign w:val="center"/>
          </w:tcPr>
          <w:p w14:paraId="7E400781">
            <w:pPr>
              <w:jc w:val="center"/>
              <w:rPr>
                <w:color w:val="000000" w:themeColor="text1"/>
                <w14:textFill>
                  <w14:solidFill>
                    <w14:schemeClr w14:val="tx1"/>
                  </w14:solidFill>
                </w14:textFill>
              </w:rPr>
            </w:pPr>
            <w:r>
              <w:rPr>
                <w:color w:val="000000" w:themeColor="text1"/>
                <w14:textFill>
                  <w14:solidFill>
                    <w14:schemeClr w14:val="tx1"/>
                  </w14:solidFill>
                </w14:textFill>
              </w:rPr>
              <w:t>5000</w:t>
            </w:r>
          </w:p>
        </w:tc>
      </w:tr>
    </w:tbl>
    <w:p w14:paraId="7B5C4F9A">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  </w:t>
      </w:r>
    </w:p>
    <w:p w14:paraId="35DCFFC4">
      <w:pPr>
        <w:pStyle w:val="4"/>
        <w:ind w:firstLine="150" w:firstLineChars="50"/>
        <w:rPr>
          <w:rFonts w:ascii="Times New Roman" w:hAnsi="Times New Roman"/>
          <w:color w:val="000000" w:themeColor="text1"/>
          <w14:textFill>
            <w14:solidFill>
              <w14:schemeClr w14:val="tx1"/>
            </w14:solidFill>
          </w14:textFill>
        </w:rPr>
      </w:pPr>
      <w:bookmarkStart w:id="126" w:name="_Toc2773740"/>
      <w:r>
        <w:rPr>
          <w:rFonts w:ascii="Times New Roman" w:hAnsi="Times New Roman"/>
          <w:color w:val="000000" w:themeColor="text1"/>
          <w14:textFill>
            <w14:solidFill>
              <w14:schemeClr w14:val="tx1"/>
            </w14:solidFill>
          </w14:textFill>
        </w:rPr>
        <w:t>2.4项目主要生产设备及装置</w:t>
      </w:r>
      <w:bookmarkEnd w:id="126"/>
    </w:p>
    <w:p w14:paraId="0E90CE4A">
      <w:pPr>
        <w:jc w:val="center"/>
        <w:rPr>
          <w:color w:val="000000" w:themeColor="text1"/>
          <w14:textFill>
            <w14:solidFill>
              <w14:schemeClr w14:val="tx1"/>
            </w14:solidFill>
          </w14:textFill>
        </w:rPr>
      </w:pPr>
      <w:r>
        <w:rPr>
          <w:b/>
          <w:bCs/>
          <w:color w:val="000000" w:themeColor="text1"/>
          <w:sz w:val="24"/>
          <w14:textFill>
            <w14:solidFill>
              <w14:schemeClr w14:val="tx1"/>
            </w14:solidFill>
          </w14:textFill>
        </w:rPr>
        <w:t xml:space="preserve">表2.4 -1  </w:t>
      </w:r>
      <w:r>
        <w:rPr>
          <w:b/>
          <w:color w:val="000000" w:themeColor="text1"/>
          <w:sz w:val="24"/>
          <w14:textFill>
            <w14:solidFill>
              <w14:schemeClr w14:val="tx1"/>
            </w14:solidFill>
          </w14:textFill>
        </w:rPr>
        <w:t>拟建</w:t>
      </w:r>
      <w:r>
        <w:rPr>
          <w:b/>
          <w:bCs/>
          <w:color w:val="000000" w:themeColor="text1"/>
          <w:sz w:val="24"/>
          <w14:textFill>
            <w14:solidFill>
              <w14:schemeClr w14:val="tx1"/>
            </w14:solidFill>
          </w14:textFill>
        </w:rPr>
        <w:t>项目产品方案</w:t>
      </w:r>
    </w:p>
    <w:tbl>
      <w:tblPr>
        <w:tblStyle w:val="42"/>
        <w:tblW w:w="87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483"/>
        <w:gridCol w:w="1109"/>
        <w:gridCol w:w="2835"/>
        <w:gridCol w:w="1597"/>
      </w:tblGrid>
      <w:tr w14:paraId="64361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756" w:type="dxa"/>
            <w:vAlign w:val="center"/>
          </w:tcPr>
          <w:p w14:paraId="227535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2483" w:type="dxa"/>
            <w:vAlign w:val="center"/>
          </w:tcPr>
          <w:p w14:paraId="0915D0E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设备名称</w:t>
            </w:r>
          </w:p>
        </w:tc>
        <w:tc>
          <w:tcPr>
            <w:tcW w:w="1109" w:type="dxa"/>
            <w:vAlign w:val="center"/>
          </w:tcPr>
          <w:p w14:paraId="067BBA0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数量</w:t>
            </w:r>
          </w:p>
        </w:tc>
        <w:tc>
          <w:tcPr>
            <w:tcW w:w="2835" w:type="dxa"/>
            <w:vAlign w:val="center"/>
          </w:tcPr>
          <w:p w14:paraId="6679B2E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规格型号</w:t>
            </w:r>
          </w:p>
        </w:tc>
        <w:tc>
          <w:tcPr>
            <w:tcW w:w="1597" w:type="dxa"/>
            <w:vAlign w:val="center"/>
          </w:tcPr>
          <w:p w14:paraId="35A59E7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备注</w:t>
            </w:r>
          </w:p>
        </w:tc>
      </w:tr>
      <w:tr w14:paraId="2A799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651D11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483" w:type="dxa"/>
            <w:vAlign w:val="center"/>
          </w:tcPr>
          <w:p w14:paraId="04B529A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破碎清洗一体机</w:t>
            </w:r>
          </w:p>
        </w:tc>
        <w:tc>
          <w:tcPr>
            <w:tcW w:w="1109" w:type="dxa"/>
            <w:vAlign w:val="center"/>
          </w:tcPr>
          <w:p w14:paraId="37299E0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2台</w:t>
            </w:r>
          </w:p>
        </w:tc>
        <w:tc>
          <w:tcPr>
            <w:tcW w:w="2835" w:type="dxa"/>
            <w:vAlign w:val="center"/>
          </w:tcPr>
          <w:p w14:paraId="02FFD72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YLT-400B，1.2t/h，功率11kw</w:t>
            </w:r>
          </w:p>
        </w:tc>
        <w:tc>
          <w:tcPr>
            <w:tcW w:w="1597" w:type="dxa"/>
            <w:vMerge w:val="restart"/>
            <w:vAlign w:val="center"/>
          </w:tcPr>
          <w:p w14:paraId="4649B6F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破碎清洗区</w:t>
            </w:r>
          </w:p>
        </w:tc>
      </w:tr>
      <w:tr w14:paraId="7B3A5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12730E8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2483" w:type="dxa"/>
            <w:vAlign w:val="center"/>
          </w:tcPr>
          <w:p w14:paraId="4E45AC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剥标机</w:t>
            </w:r>
          </w:p>
        </w:tc>
        <w:tc>
          <w:tcPr>
            <w:tcW w:w="1109" w:type="dxa"/>
            <w:vAlign w:val="center"/>
          </w:tcPr>
          <w:p w14:paraId="07FF7D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2835" w:type="dxa"/>
            <w:vAlign w:val="center"/>
          </w:tcPr>
          <w:p w14:paraId="58AC9E4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597" w:type="dxa"/>
            <w:vMerge w:val="continue"/>
            <w:vAlign w:val="center"/>
          </w:tcPr>
          <w:p w14:paraId="3606EFA4">
            <w:pPr>
              <w:widowControl/>
              <w:jc w:val="center"/>
              <w:rPr>
                <w:color w:val="000000" w:themeColor="text1"/>
                <w:kern w:val="0"/>
                <w:szCs w:val="21"/>
                <w14:textFill>
                  <w14:solidFill>
                    <w14:schemeClr w14:val="tx1"/>
                  </w14:solidFill>
                </w14:textFill>
              </w:rPr>
            </w:pPr>
          </w:p>
        </w:tc>
      </w:tr>
      <w:tr w14:paraId="6727F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7F9A89A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2483" w:type="dxa"/>
            <w:vAlign w:val="center"/>
          </w:tcPr>
          <w:p w14:paraId="44F727C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甩干机</w:t>
            </w:r>
          </w:p>
        </w:tc>
        <w:tc>
          <w:tcPr>
            <w:tcW w:w="1109" w:type="dxa"/>
            <w:vAlign w:val="center"/>
          </w:tcPr>
          <w:p w14:paraId="143D320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1台</w:t>
            </w:r>
          </w:p>
        </w:tc>
        <w:tc>
          <w:tcPr>
            <w:tcW w:w="2835" w:type="dxa"/>
            <w:vAlign w:val="center"/>
          </w:tcPr>
          <w:p w14:paraId="63C7EC0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LT-400，功率7.5kw</w:t>
            </w:r>
          </w:p>
        </w:tc>
        <w:tc>
          <w:tcPr>
            <w:tcW w:w="1597" w:type="dxa"/>
            <w:vMerge w:val="continue"/>
            <w:vAlign w:val="center"/>
          </w:tcPr>
          <w:p w14:paraId="088CBB61">
            <w:pPr>
              <w:widowControl/>
              <w:jc w:val="center"/>
              <w:rPr>
                <w:color w:val="000000" w:themeColor="text1"/>
                <w:kern w:val="0"/>
                <w:szCs w:val="21"/>
                <w14:textFill>
                  <w14:solidFill>
                    <w14:schemeClr w14:val="tx1"/>
                  </w14:solidFill>
                </w14:textFill>
              </w:rPr>
            </w:pPr>
          </w:p>
        </w:tc>
      </w:tr>
      <w:tr w14:paraId="0DE0F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62E20E1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2483" w:type="dxa"/>
            <w:vAlign w:val="center"/>
          </w:tcPr>
          <w:p w14:paraId="6A7049D6">
            <w:pPr>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分选机</w:t>
            </w:r>
          </w:p>
        </w:tc>
        <w:tc>
          <w:tcPr>
            <w:tcW w:w="1109" w:type="dxa"/>
            <w:vAlign w:val="center"/>
          </w:tcPr>
          <w:p w14:paraId="72AA6F00">
            <w:pPr>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2835" w:type="dxa"/>
            <w:vAlign w:val="center"/>
          </w:tcPr>
          <w:p w14:paraId="2003544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XB-006</w:t>
            </w:r>
          </w:p>
        </w:tc>
        <w:tc>
          <w:tcPr>
            <w:tcW w:w="1597" w:type="dxa"/>
            <w:vMerge w:val="continue"/>
            <w:tcBorders>
              <w:bottom w:val="single" w:color="auto" w:sz="18" w:space="0"/>
            </w:tcBorders>
            <w:vAlign w:val="center"/>
          </w:tcPr>
          <w:p w14:paraId="6F95EFE0">
            <w:pPr>
              <w:widowControl/>
              <w:jc w:val="center"/>
              <w:rPr>
                <w:color w:val="000000" w:themeColor="text1"/>
                <w:kern w:val="0"/>
                <w:szCs w:val="21"/>
                <w14:textFill>
                  <w14:solidFill>
                    <w14:schemeClr w14:val="tx1"/>
                  </w14:solidFill>
                </w14:textFill>
              </w:rPr>
            </w:pPr>
          </w:p>
        </w:tc>
      </w:tr>
      <w:tr w14:paraId="00F2F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3C9C2E3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2483" w:type="dxa"/>
            <w:vAlign w:val="center"/>
          </w:tcPr>
          <w:p w14:paraId="3D818D8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塑料挤出机</w:t>
            </w:r>
          </w:p>
        </w:tc>
        <w:tc>
          <w:tcPr>
            <w:tcW w:w="1109" w:type="dxa"/>
            <w:vAlign w:val="center"/>
          </w:tcPr>
          <w:p w14:paraId="0542633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2台</w:t>
            </w:r>
          </w:p>
        </w:tc>
        <w:tc>
          <w:tcPr>
            <w:tcW w:w="2835" w:type="dxa"/>
            <w:vAlign w:val="center"/>
          </w:tcPr>
          <w:p w14:paraId="17BD9F1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SJ4525</w:t>
            </w:r>
          </w:p>
        </w:tc>
        <w:tc>
          <w:tcPr>
            <w:tcW w:w="1597" w:type="dxa"/>
            <w:vMerge w:val="restart"/>
            <w:tcBorders>
              <w:top w:val="single" w:color="auto" w:sz="18" w:space="0"/>
            </w:tcBorders>
            <w:vAlign w:val="center"/>
          </w:tcPr>
          <w:p w14:paraId="4B7D001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塑料造粒区</w:t>
            </w:r>
          </w:p>
        </w:tc>
      </w:tr>
      <w:tr w14:paraId="2B706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08F24AB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2483" w:type="dxa"/>
            <w:vAlign w:val="center"/>
          </w:tcPr>
          <w:p w14:paraId="715469B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冷却水槽</w:t>
            </w:r>
          </w:p>
        </w:tc>
        <w:tc>
          <w:tcPr>
            <w:tcW w:w="1109" w:type="dxa"/>
            <w:vAlign w:val="center"/>
          </w:tcPr>
          <w:p w14:paraId="6231BCB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2个</w:t>
            </w:r>
          </w:p>
        </w:tc>
        <w:tc>
          <w:tcPr>
            <w:tcW w:w="2835" w:type="dxa"/>
            <w:vAlign w:val="center"/>
          </w:tcPr>
          <w:p w14:paraId="40C0C05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1.500m×1.2m×0.5m/个</w:t>
            </w:r>
          </w:p>
        </w:tc>
        <w:tc>
          <w:tcPr>
            <w:tcW w:w="1597" w:type="dxa"/>
            <w:vMerge w:val="continue"/>
            <w:vAlign w:val="center"/>
          </w:tcPr>
          <w:p w14:paraId="2D3FD7CD">
            <w:pPr>
              <w:widowControl/>
              <w:jc w:val="center"/>
              <w:rPr>
                <w:color w:val="000000" w:themeColor="text1"/>
                <w:kern w:val="0"/>
                <w:szCs w:val="21"/>
                <w14:textFill>
                  <w14:solidFill>
                    <w14:schemeClr w14:val="tx1"/>
                  </w14:solidFill>
                </w14:textFill>
              </w:rPr>
            </w:pPr>
          </w:p>
        </w:tc>
      </w:tr>
      <w:tr w14:paraId="3E48E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33DD8D8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2483" w:type="dxa"/>
            <w:vAlign w:val="center"/>
          </w:tcPr>
          <w:p w14:paraId="0364CE9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冷却循环水池</w:t>
            </w:r>
          </w:p>
        </w:tc>
        <w:tc>
          <w:tcPr>
            <w:tcW w:w="1109" w:type="dxa"/>
            <w:vAlign w:val="center"/>
          </w:tcPr>
          <w:p w14:paraId="62365DC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1个</w:t>
            </w:r>
          </w:p>
        </w:tc>
        <w:tc>
          <w:tcPr>
            <w:tcW w:w="2835" w:type="dxa"/>
            <w:vAlign w:val="center"/>
          </w:tcPr>
          <w:p w14:paraId="16BC390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1.2m</w:t>
            </w:r>
            <w:r>
              <w:rPr>
                <w:color w:val="000000" w:themeColor="text1"/>
                <w:kern w:val="0"/>
                <w:szCs w:val="21"/>
                <w:vertAlign w:val="superscript"/>
                <w14:textFill>
                  <w14:solidFill>
                    <w14:schemeClr w14:val="tx1"/>
                  </w14:solidFill>
                </w14:textFill>
              </w:rPr>
              <w:t>3</w:t>
            </w:r>
          </w:p>
        </w:tc>
        <w:tc>
          <w:tcPr>
            <w:tcW w:w="1597" w:type="dxa"/>
            <w:vMerge w:val="continue"/>
            <w:vAlign w:val="center"/>
          </w:tcPr>
          <w:p w14:paraId="1ED82A8A">
            <w:pPr>
              <w:widowControl/>
              <w:jc w:val="center"/>
              <w:rPr>
                <w:color w:val="000000" w:themeColor="text1"/>
                <w:kern w:val="0"/>
                <w:szCs w:val="21"/>
                <w14:textFill>
                  <w14:solidFill>
                    <w14:schemeClr w14:val="tx1"/>
                  </w14:solidFill>
                </w14:textFill>
              </w:rPr>
            </w:pPr>
          </w:p>
        </w:tc>
      </w:tr>
      <w:tr w14:paraId="021F2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738840A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2483" w:type="dxa"/>
            <w:vAlign w:val="center"/>
          </w:tcPr>
          <w:p w14:paraId="3BB6547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循环水泵</w:t>
            </w:r>
          </w:p>
        </w:tc>
        <w:tc>
          <w:tcPr>
            <w:tcW w:w="1109" w:type="dxa"/>
            <w:vAlign w:val="center"/>
          </w:tcPr>
          <w:p w14:paraId="7956B20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2台</w:t>
            </w:r>
          </w:p>
        </w:tc>
        <w:tc>
          <w:tcPr>
            <w:tcW w:w="2835" w:type="dxa"/>
            <w:vAlign w:val="center"/>
          </w:tcPr>
          <w:p w14:paraId="24FD11E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597" w:type="dxa"/>
            <w:vMerge w:val="continue"/>
            <w:vAlign w:val="center"/>
          </w:tcPr>
          <w:p w14:paraId="489120AF">
            <w:pPr>
              <w:widowControl/>
              <w:jc w:val="center"/>
              <w:rPr>
                <w:color w:val="000000" w:themeColor="text1"/>
                <w:kern w:val="0"/>
                <w:szCs w:val="21"/>
                <w14:textFill>
                  <w14:solidFill>
                    <w14:schemeClr w14:val="tx1"/>
                  </w14:solidFill>
                </w14:textFill>
              </w:rPr>
            </w:pPr>
          </w:p>
        </w:tc>
      </w:tr>
      <w:tr w14:paraId="4FD52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4BE8C3D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2483" w:type="dxa"/>
            <w:vAlign w:val="center"/>
          </w:tcPr>
          <w:p w14:paraId="2BE29FA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切粒机</w:t>
            </w:r>
          </w:p>
        </w:tc>
        <w:tc>
          <w:tcPr>
            <w:tcW w:w="1109" w:type="dxa"/>
            <w:vAlign w:val="center"/>
          </w:tcPr>
          <w:p w14:paraId="346AD8C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2台</w:t>
            </w:r>
          </w:p>
        </w:tc>
        <w:tc>
          <w:tcPr>
            <w:tcW w:w="2835" w:type="dxa"/>
            <w:vAlign w:val="center"/>
          </w:tcPr>
          <w:p w14:paraId="1C8AC2D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LQ-500</w:t>
            </w:r>
          </w:p>
        </w:tc>
        <w:tc>
          <w:tcPr>
            <w:tcW w:w="1597" w:type="dxa"/>
            <w:vMerge w:val="continue"/>
            <w:vAlign w:val="center"/>
          </w:tcPr>
          <w:p w14:paraId="51B26E21">
            <w:pPr>
              <w:widowControl/>
              <w:jc w:val="center"/>
              <w:rPr>
                <w:color w:val="000000" w:themeColor="text1"/>
                <w:kern w:val="0"/>
                <w:szCs w:val="21"/>
                <w14:textFill>
                  <w14:solidFill>
                    <w14:schemeClr w14:val="tx1"/>
                  </w14:solidFill>
                </w14:textFill>
              </w:rPr>
            </w:pPr>
          </w:p>
        </w:tc>
      </w:tr>
      <w:tr w14:paraId="6909A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7DBDEE9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c>
          <w:tcPr>
            <w:tcW w:w="2483" w:type="dxa"/>
            <w:vAlign w:val="center"/>
          </w:tcPr>
          <w:p w14:paraId="2099963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过滤棉+活性炭净化装置</w:t>
            </w:r>
          </w:p>
        </w:tc>
        <w:tc>
          <w:tcPr>
            <w:tcW w:w="1109" w:type="dxa"/>
            <w:vAlign w:val="center"/>
          </w:tcPr>
          <w:p w14:paraId="60CB01B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1套</w:t>
            </w:r>
          </w:p>
        </w:tc>
        <w:tc>
          <w:tcPr>
            <w:tcW w:w="2835" w:type="dxa"/>
            <w:vAlign w:val="center"/>
          </w:tcPr>
          <w:p w14:paraId="3812F3E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597" w:type="dxa"/>
            <w:vAlign w:val="center"/>
          </w:tcPr>
          <w:p w14:paraId="72AAA10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废气处置装置</w:t>
            </w:r>
          </w:p>
        </w:tc>
      </w:tr>
    </w:tbl>
    <w:p w14:paraId="5AD04778">
      <w:pPr>
        <w:jc w:val="center"/>
        <w:rPr>
          <w:b/>
          <w:color w:val="000000" w:themeColor="text1"/>
          <w:sz w:val="24"/>
          <w14:textFill>
            <w14:solidFill>
              <w14:schemeClr w14:val="tx1"/>
            </w14:solidFill>
          </w14:textFill>
        </w:rPr>
      </w:pPr>
    </w:p>
    <w:p w14:paraId="0447D9B4">
      <w:pPr>
        <w:pStyle w:val="4"/>
        <w:rPr>
          <w:rFonts w:ascii="Times New Roman" w:hAnsi="Times New Roman"/>
          <w:color w:val="000000" w:themeColor="text1"/>
          <w14:textFill>
            <w14:solidFill>
              <w14:schemeClr w14:val="tx1"/>
            </w14:solidFill>
          </w14:textFill>
        </w:rPr>
      </w:pPr>
      <w:bookmarkStart w:id="127" w:name="_Toc2773741"/>
      <w:bookmarkStart w:id="128" w:name="_Toc362393128"/>
      <w:bookmarkStart w:id="129" w:name="_Toc26232"/>
      <w:bookmarkStart w:id="130" w:name="_Toc17635"/>
      <w:bookmarkStart w:id="131" w:name="_Toc23043"/>
      <w:bookmarkStart w:id="132" w:name="_Toc3860"/>
      <w:bookmarkStart w:id="133" w:name="_Toc19459"/>
      <w:bookmarkStart w:id="134" w:name="_Toc4832"/>
      <w:bookmarkStart w:id="135" w:name="_Toc5155"/>
      <w:bookmarkStart w:id="136" w:name="_Toc22712"/>
      <w:bookmarkStart w:id="137" w:name="_Toc359505244"/>
      <w:bookmarkStart w:id="138" w:name="_Toc25422"/>
      <w:bookmarkStart w:id="139" w:name="_Toc3745"/>
      <w:bookmarkStart w:id="140" w:name="_Toc30965"/>
      <w:bookmarkStart w:id="141" w:name="_Toc15548"/>
      <w:bookmarkStart w:id="142" w:name="_Toc3698"/>
      <w:bookmarkStart w:id="143" w:name="_Toc4050"/>
      <w:bookmarkStart w:id="144" w:name="_Toc362393134"/>
      <w:bookmarkStart w:id="145" w:name="_Toc197245422"/>
      <w:bookmarkStart w:id="146" w:name="_Toc72861893"/>
      <w:bookmarkStart w:id="147" w:name="_Toc224206023"/>
      <w:bookmarkStart w:id="148" w:name="_Toc197245702"/>
      <w:bookmarkStart w:id="149" w:name="_Toc229190378"/>
      <w:bookmarkStart w:id="150" w:name="_Toc208199616"/>
      <w:bookmarkStart w:id="151" w:name="_Toc77525064"/>
      <w:bookmarkStart w:id="152" w:name="_Toc163289885"/>
      <w:bookmarkStart w:id="153" w:name="_Toc83316056"/>
      <w:bookmarkStart w:id="154" w:name="_Toc72862033"/>
      <w:bookmarkStart w:id="155" w:name="_Toc83314928"/>
      <w:bookmarkStart w:id="156" w:name="_Toc197246048"/>
      <w:bookmarkStart w:id="157" w:name="_Toc160299124"/>
      <w:bookmarkStart w:id="158" w:name="_Toc160364076"/>
      <w:bookmarkStart w:id="159" w:name="_Toc131567200"/>
      <w:bookmarkStart w:id="160" w:name="_Toc167524480"/>
      <w:bookmarkStart w:id="161" w:name="_Toc72862197"/>
      <w:bookmarkStart w:id="162" w:name="_Toc246836462"/>
      <w:bookmarkStart w:id="163" w:name="_Toc77524926"/>
      <w:bookmarkStart w:id="164" w:name="_Toc246836463"/>
      <w:r>
        <w:rPr>
          <w:rFonts w:ascii="Times New Roman" w:hAnsi="Times New Roman"/>
          <w:color w:val="000000" w:themeColor="text1"/>
          <w14:textFill>
            <w14:solidFill>
              <w14:schemeClr w14:val="tx1"/>
            </w14:solidFill>
          </w14:textFill>
        </w:rPr>
        <w:t>2.5项目原辅料及能源消耗情况</w:t>
      </w:r>
      <w:bookmarkEnd w:id="127"/>
    </w:p>
    <w:p w14:paraId="42AF56BF">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1、原辅料消耗情况</w:t>
      </w:r>
    </w:p>
    <w:p w14:paraId="04CFBFC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本项目以国内回收的废旧塑料如塑料瓶、塑料</w:t>
      </w:r>
      <w:r>
        <w:rPr>
          <w:rFonts w:hint="eastAsia"/>
          <w:color w:val="000000" w:themeColor="text1"/>
          <w:sz w:val="24"/>
          <w:lang w:eastAsia="zh-CN"/>
          <w14:textFill>
            <w14:solidFill>
              <w14:schemeClr w14:val="tx1"/>
            </w14:solidFill>
          </w14:textFill>
        </w:rPr>
        <w:t>编织袋</w:t>
      </w:r>
      <w:r>
        <w:rPr>
          <w:color w:val="000000" w:themeColor="text1"/>
          <w:sz w:val="24"/>
          <w14:textFill>
            <w14:solidFill>
              <w14:schemeClr w14:val="tx1"/>
            </w14:solidFill>
          </w14:textFill>
        </w:rPr>
        <w:t>为主的废料为原料。本项目使用的废塑料仅为废聚乙烯（PE）和聚丙烯塑料（PP），进厂原料为已分拣好的废塑料，按照种类在原料库内分开存放。</w:t>
      </w:r>
    </w:p>
    <w:p w14:paraId="67538AF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原料来源符合《废塑料回收与再生利用污染控制技术规范（试行）》（HJ/T364-2007）及《禁止洋垃圾入境推进固体废物进口管理制度改革实施方案》（国办发[2017]70号）规定，见下表。</w:t>
      </w:r>
    </w:p>
    <w:p w14:paraId="77194274">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表2.5-1  原辅料一览表</w:t>
      </w:r>
    </w:p>
    <w:tbl>
      <w:tblPr>
        <w:tblStyle w:val="42"/>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596"/>
        <w:gridCol w:w="1277"/>
        <w:gridCol w:w="958"/>
        <w:gridCol w:w="3253"/>
      </w:tblGrid>
      <w:tr w14:paraId="0D91BF5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4" w:type="pct"/>
            <w:vAlign w:val="center"/>
          </w:tcPr>
          <w:p w14:paraId="3861C4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原料名称</w:t>
            </w:r>
          </w:p>
        </w:tc>
        <w:tc>
          <w:tcPr>
            <w:tcW w:w="936" w:type="pct"/>
            <w:vAlign w:val="center"/>
          </w:tcPr>
          <w:p w14:paraId="78C999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规格</w:t>
            </w:r>
          </w:p>
        </w:tc>
        <w:tc>
          <w:tcPr>
            <w:tcW w:w="749" w:type="pct"/>
            <w:vAlign w:val="center"/>
          </w:tcPr>
          <w:p w14:paraId="3FDEB73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年消耗量</w:t>
            </w:r>
          </w:p>
        </w:tc>
        <w:tc>
          <w:tcPr>
            <w:tcW w:w="562" w:type="pct"/>
            <w:vAlign w:val="center"/>
          </w:tcPr>
          <w:p w14:paraId="002BEF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来源</w:t>
            </w:r>
          </w:p>
        </w:tc>
        <w:tc>
          <w:tcPr>
            <w:tcW w:w="1908" w:type="pct"/>
            <w:vAlign w:val="center"/>
          </w:tcPr>
          <w:p w14:paraId="61B48D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14:paraId="79AE97C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4" w:type="pct"/>
            <w:vAlign w:val="center"/>
          </w:tcPr>
          <w:p w14:paraId="724C9A3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废塑料瓶、塑料编织袋</w:t>
            </w:r>
          </w:p>
        </w:tc>
        <w:tc>
          <w:tcPr>
            <w:tcW w:w="936" w:type="pct"/>
            <w:vAlign w:val="center"/>
          </w:tcPr>
          <w:p w14:paraId="2120CE3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200~800kg/包</w:t>
            </w:r>
          </w:p>
        </w:tc>
        <w:tc>
          <w:tcPr>
            <w:tcW w:w="749" w:type="pct"/>
            <w:vAlign w:val="center"/>
          </w:tcPr>
          <w:p w14:paraId="64F5B6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5005.3t/a</w:t>
            </w:r>
          </w:p>
        </w:tc>
        <w:tc>
          <w:tcPr>
            <w:tcW w:w="562" w:type="pct"/>
            <w:vAlign w:val="center"/>
          </w:tcPr>
          <w:p w14:paraId="4B4505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外购</w:t>
            </w:r>
          </w:p>
        </w:tc>
        <w:tc>
          <w:tcPr>
            <w:tcW w:w="1908" w:type="pct"/>
            <w:vAlign w:val="center"/>
          </w:tcPr>
          <w:p w14:paraId="293695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国内原瓶，主要为</w:t>
            </w:r>
            <w:r>
              <w:rPr>
                <w:bCs/>
                <w:color w:val="000000" w:themeColor="text1"/>
                <w:szCs w:val="21"/>
                <w14:textFill>
                  <w14:solidFill>
                    <w14:schemeClr w14:val="tx1"/>
                  </w14:solidFill>
                </w14:textFill>
              </w:rPr>
              <w:t>矿泉水瓶、饮料瓶、废旧食用油、酱油塑料瓶、废弃编织袋等</w:t>
            </w:r>
          </w:p>
        </w:tc>
      </w:tr>
    </w:tbl>
    <w:p w14:paraId="25CA5603">
      <w:pPr>
        <w:ind w:left="51" w:right="51"/>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表2.5-2   原辅材料负面清单一览表（本厂不涉及）</w:t>
      </w:r>
    </w:p>
    <w:tbl>
      <w:tblPr>
        <w:tblStyle w:val="42"/>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7562"/>
      </w:tblGrid>
      <w:tr w14:paraId="35D170A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tcPr>
          <w:p w14:paraId="7EF4603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4437" w:type="pct"/>
            <w:vAlign w:val="center"/>
          </w:tcPr>
          <w:p w14:paraId="784CC4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r>
      <w:tr w14:paraId="72B1865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vAlign w:val="center"/>
          </w:tcPr>
          <w:p w14:paraId="6865E0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437" w:type="pct"/>
            <w:vAlign w:val="center"/>
          </w:tcPr>
          <w:p w14:paraId="6D4A0E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进口废塑料</w:t>
            </w:r>
          </w:p>
        </w:tc>
      </w:tr>
      <w:tr w14:paraId="0D5024C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tcPr>
          <w:p w14:paraId="47BC26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437" w:type="pct"/>
            <w:vAlign w:val="center"/>
          </w:tcPr>
          <w:p w14:paraId="1FC121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含有或沾染医疗废物的废塑料</w:t>
            </w:r>
          </w:p>
        </w:tc>
      </w:tr>
      <w:tr w14:paraId="7D80238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tcPr>
          <w:p w14:paraId="1CC947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437" w:type="pct"/>
            <w:vAlign w:val="center"/>
          </w:tcPr>
          <w:p w14:paraId="1D7EE2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含有或沾染毒性、感染性危险废物的废塑料</w:t>
            </w:r>
          </w:p>
        </w:tc>
      </w:tr>
      <w:tr w14:paraId="4049C8F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tcPr>
          <w:p w14:paraId="1157A79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437" w:type="pct"/>
            <w:vAlign w:val="center"/>
          </w:tcPr>
          <w:p w14:paraId="7FE770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其他《国家危险废物名录》中规定的危险废物</w:t>
            </w:r>
          </w:p>
        </w:tc>
      </w:tr>
    </w:tbl>
    <w:p w14:paraId="187296E0">
      <w:pPr>
        <w:tabs>
          <w:tab w:val="left" w:pos="1680"/>
        </w:tabs>
        <w:spacing w:line="360" w:lineRule="auto"/>
        <w:ind w:right="210" w:firstLine="540"/>
        <w:rPr>
          <w:rFonts w:eastAsia="新宋体"/>
          <w:b/>
          <w:color w:val="000000" w:themeColor="text1"/>
          <w:sz w:val="24"/>
          <w:szCs w:val="21"/>
          <w14:textFill>
            <w14:solidFill>
              <w14:schemeClr w14:val="tx1"/>
            </w14:solidFill>
          </w14:textFill>
        </w:rPr>
      </w:pPr>
      <w:r>
        <w:rPr>
          <w:rFonts w:eastAsia="新宋体"/>
          <w:b/>
          <w:color w:val="000000" w:themeColor="text1"/>
          <w:sz w:val="24"/>
          <w:szCs w:val="21"/>
          <w14:textFill>
            <w14:solidFill>
              <w14:schemeClr w14:val="tx1"/>
            </w14:solidFill>
          </w14:textFill>
        </w:rPr>
        <w:t>原料物理化学性质</w:t>
      </w:r>
    </w:p>
    <w:p w14:paraId="33B15897">
      <w:pPr>
        <w:tabs>
          <w:tab w:val="left" w:pos="1680"/>
        </w:tabs>
        <w:spacing w:line="360" w:lineRule="auto"/>
        <w:ind w:right="210" w:firstLine="54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本项目原料为</w:t>
      </w:r>
      <w:r>
        <w:rPr>
          <w:color w:val="000000" w:themeColor="text1"/>
          <w:sz w:val="24"/>
          <w14:textFill>
            <w14:solidFill>
              <w14:schemeClr w14:val="tx1"/>
            </w14:solidFill>
          </w14:textFill>
        </w:rPr>
        <w:t>塑料瓶、塑料</w:t>
      </w:r>
      <w:r>
        <w:rPr>
          <w:rFonts w:hint="eastAsia"/>
          <w:color w:val="000000" w:themeColor="text1"/>
          <w:sz w:val="24"/>
          <w:lang w:eastAsia="zh-CN"/>
          <w14:textFill>
            <w14:solidFill>
              <w14:schemeClr w14:val="tx1"/>
            </w14:solidFill>
          </w14:textFill>
        </w:rPr>
        <w:t>编织袋</w:t>
      </w:r>
      <w:r>
        <w:rPr>
          <w:color w:val="000000" w:themeColor="text1"/>
          <w:sz w:val="24"/>
          <w14:textFill>
            <w14:solidFill>
              <w14:schemeClr w14:val="tx1"/>
            </w14:solidFill>
          </w14:textFill>
        </w:rPr>
        <w:t>等，主要成分为</w:t>
      </w:r>
      <w:r>
        <w:rPr>
          <w:rFonts w:eastAsia="新宋体"/>
          <w:color w:val="000000" w:themeColor="text1"/>
          <w:sz w:val="24"/>
          <w:szCs w:val="21"/>
          <w14:textFill>
            <w14:solidFill>
              <w14:schemeClr w14:val="tx1"/>
            </w14:solidFill>
          </w14:textFill>
        </w:rPr>
        <w:t>聚丙烯、聚乙烯。</w:t>
      </w:r>
    </w:p>
    <w:p w14:paraId="34A19081">
      <w:pPr>
        <w:tabs>
          <w:tab w:val="left" w:pos="1680"/>
        </w:tabs>
        <w:spacing w:line="360" w:lineRule="auto"/>
        <w:ind w:right="210" w:firstLine="540"/>
        <w:rPr>
          <w:rFonts w:eastAsia="新宋体"/>
          <w:color w:val="000000" w:themeColor="text1"/>
          <w:sz w:val="24"/>
          <w:szCs w:val="21"/>
          <w14:textFill>
            <w14:solidFill>
              <w14:schemeClr w14:val="tx1"/>
            </w14:solidFill>
          </w14:textFill>
        </w:rPr>
      </w:pPr>
      <w:r>
        <w:rPr>
          <w:rFonts w:eastAsia="新宋体"/>
          <w:b/>
          <w:color w:val="000000" w:themeColor="text1"/>
          <w:sz w:val="24"/>
          <w:szCs w:val="21"/>
          <w14:textFill>
            <w14:solidFill>
              <w14:schemeClr w14:val="tx1"/>
            </w14:solidFill>
          </w14:textFill>
        </w:rPr>
        <w:t>聚乙烯（polyethylene）</w:t>
      </w:r>
      <w:r>
        <w:rPr>
          <w:rFonts w:eastAsia="新宋体"/>
          <w:color w:val="000000" w:themeColor="text1"/>
          <w:sz w:val="24"/>
          <w:szCs w:val="21"/>
          <w14:textFill>
            <w14:solidFill>
              <w14:schemeClr w14:val="tx1"/>
            </w14:solidFill>
          </w14:textFill>
        </w:rPr>
        <w:t>，简称PE，是乙烯经聚合制得的一种热塑性树脂，是结构最简单的高分子，也是应用最广泛的高分子材料。聚乙烯是通过乙烯（CH</w:t>
      </w:r>
      <w:r>
        <w:rPr>
          <w:rFonts w:eastAsia="新宋体"/>
          <w:color w:val="000000" w:themeColor="text1"/>
          <w:sz w:val="24"/>
          <w:szCs w:val="21"/>
          <w:vertAlign w:val="subscript"/>
          <w14:textFill>
            <w14:solidFill>
              <w14:schemeClr w14:val="tx1"/>
            </w14:solidFill>
          </w14:textFill>
        </w:rPr>
        <w:t>2</w:t>
      </w:r>
      <w:r>
        <w:rPr>
          <w:rFonts w:eastAsia="新宋体"/>
          <w:color w:val="000000" w:themeColor="text1"/>
          <w:sz w:val="24"/>
          <w:szCs w:val="21"/>
          <w14:textFill>
            <w14:solidFill>
              <w14:schemeClr w14:val="tx1"/>
            </w14:solidFill>
          </w14:textFill>
        </w:rPr>
        <w:t>=CH</w:t>
      </w:r>
      <w:r>
        <w:rPr>
          <w:rFonts w:eastAsia="新宋体"/>
          <w:color w:val="000000" w:themeColor="text1"/>
          <w:sz w:val="24"/>
          <w:szCs w:val="21"/>
          <w:vertAlign w:val="subscript"/>
          <w14:textFill>
            <w14:solidFill>
              <w14:schemeClr w14:val="tx1"/>
            </w14:solidFill>
          </w14:textFill>
        </w:rPr>
        <w:t>2</w:t>
      </w:r>
      <w:r>
        <w:rPr>
          <w:rFonts w:eastAsia="新宋体"/>
          <w:color w:val="000000" w:themeColor="text1"/>
          <w:sz w:val="24"/>
          <w:szCs w:val="21"/>
          <w14:textFill>
            <w14:solidFill>
              <w14:schemeClr w14:val="tx1"/>
            </w14:solidFill>
          </w14:textFill>
        </w:rPr>
        <w:t>）的发生加成聚合反应而成的，分子结构是由重复的–CH</w:t>
      </w:r>
      <w:r>
        <w:rPr>
          <w:rFonts w:eastAsia="新宋体"/>
          <w:color w:val="000000" w:themeColor="text1"/>
          <w:sz w:val="24"/>
          <w:szCs w:val="21"/>
          <w:vertAlign w:val="subscript"/>
          <w14:textFill>
            <w14:solidFill>
              <w14:schemeClr w14:val="tx1"/>
            </w14:solidFill>
          </w14:textFill>
        </w:rPr>
        <w:t>2</w:t>
      </w:r>
      <w:r>
        <w:rPr>
          <w:rFonts w:eastAsia="新宋体"/>
          <w:color w:val="000000" w:themeColor="text1"/>
          <w:sz w:val="24"/>
          <w:szCs w:val="21"/>
          <w14:textFill>
            <w14:solidFill>
              <w14:schemeClr w14:val="tx1"/>
            </w14:solidFill>
          </w14:textFill>
        </w:rPr>
        <w:t>–单元连接而成的。聚乙烯无臭，无毒，手感似蜡，具有优良的耐低温性能（最低使用温度可达-70～-100</w:t>
      </w:r>
      <w:r>
        <w:rPr>
          <w:rFonts w:hint="eastAsia" w:ascii="宋体" w:hAnsi="宋体" w:cs="宋体"/>
          <w:color w:val="000000" w:themeColor="text1"/>
          <w:sz w:val="24"/>
          <w:szCs w:val="21"/>
          <w14:textFill>
            <w14:solidFill>
              <w14:schemeClr w14:val="tx1"/>
            </w14:solidFill>
          </w14:textFill>
        </w:rPr>
        <w:t>℃</w:t>
      </w:r>
      <w:r>
        <w:rPr>
          <w:rFonts w:eastAsia="新宋体"/>
          <w:color w:val="000000" w:themeColor="text1"/>
          <w:sz w:val="24"/>
          <w:szCs w:val="21"/>
          <w14:textFill>
            <w14:solidFill>
              <w14:schemeClr w14:val="tx1"/>
            </w14:solidFill>
          </w14:textFill>
        </w:rPr>
        <w:t>），化学稳定性好，能耐大多数酸碱的侵蚀（不耐具有氧化性质的酸），常温下不溶于一般溶剂，吸水性小，电绝缘性能优良。</w:t>
      </w:r>
    </w:p>
    <w:p w14:paraId="4586D8C5">
      <w:pPr>
        <w:tabs>
          <w:tab w:val="left" w:pos="1680"/>
        </w:tabs>
        <w:spacing w:line="360" w:lineRule="auto"/>
        <w:ind w:right="210" w:firstLine="540"/>
        <w:rPr>
          <w:rFonts w:eastAsia="新宋体"/>
          <w:color w:val="000000" w:themeColor="text1"/>
          <w:sz w:val="24"/>
          <w:szCs w:val="21"/>
          <w14:textFill>
            <w14:solidFill>
              <w14:schemeClr w14:val="tx1"/>
            </w14:solidFill>
          </w14:textFill>
        </w:rPr>
      </w:pPr>
      <w:r>
        <w:rPr>
          <w:rFonts w:eastAsia="新宋体"/>
          <w:b/>
          <w:color w:val="000000" w:themeColor="text1"/>
          <w:sz w:val="24"/>
          <w:szCs w:val="21"/>
          <w14:textFill>
            <w14:solidFill>
              <w14:schemeClr w14:val="tx1"/>
            </w14:solidFill>
          </w14:textFill>
        </w:rPr>
        <w:t>聚丙烯（Polypropylene）</w:t>
      </w:r>
      <w:r>
        <w:rPr>
          <w:rFonts w:eastAsia="新宋体"/>
          <w:color w:val="000000" w:themeColor="text1"/>
          <w:sz w:val="24"/>
          <w:szCs w:val="21"/>
          <w14:textFill>
            <w14:solidFill>
              <w14:schemeClr w14:val="tx1"/>
            </w14:solidFill>
          </w14:textFill>
        </w:rPr>
        <w:t>，简称：PP，分子式：(C</w:t>
      </w:r>
      <w:r>
        <w:rPr>
          <w:rFonts w:eastAsia="新宋体"/>
          <w:color w:val="000000" w:themeColor="text1"/>
          <w:sz w:val="24"/>
          <w:szCs w:val="21"/>
          <w:vertAlign w:val="subscript"/>
          <w14:textFill>
            <w14:solidFill>
              <w14:schemeClr w14:val="tx1"/>
            </w14:solidFill>
          </w14:textFill>
        </w:rPr>
        <w:t>3</w:t>
      </w:r>
      <w:r>
        <w:rPr>
          <w:rFonts w:eastAsia="新宋体"/>
          <w:color w:val="000000" w:themeColor="text1"/>
          <w:sz w:val="24"/>
          <w:szCs w:val="21"/>
          <w14:textFill>
            <w14:solidFill>
              <w14:schemeClr w14:val="tx1"/>
            </w14:solidFill>
          </w14:textFill>
        </w:rPr>
        <w:t>H</w:t>
      </w:r>
      <w:r>
        <w:rPr>
          <w:rFonts w:eastAsia="新宋体"/>
          <w:color w:val="000000" w:themeColor="text1"/>
          <w:sz w:val="24"/>
          <w:szCs w:val="21"/>
          <w:vertAlign w:val="subscript"/>
          <w14:textFill>
            <w14:solidFill>
              <w14:schemeClr w14:val="tx1"/>
            </w14:solidFill>
          </w14:textFill>
        </w:rPr>
        <w:t>6</w:t>
      </w:r>
      <w:r>
        <w:rPr>
          <w:rFonts w:eastAsia="新宋体"/>
          <w:color w:val="000000" w:themeColor="text1"/>
          <w:sz w:val="24"/>
          <w:szCs w:val="21"/>
          <w14:textFill>
            <w14:solidFill>
              <w14:schemeClr w14:val="tx1"/>
            </w14:solidFill>
          </w14:textFill>
        </w:rPr>
        <w:t>)n，是由丙烯聚合而制得的一种热塑性树脂。聚丙烯为无毒、无臭、无味的乳白色高结晶的聚合物，密度只有0.90-0.91g/m</w:t>
      </w:r>
      <w:r>
        <w:rPr>
          <w:rFonts w:eastAsia="新宋体"/>
          <w:color w:val="000000" w:themeColor="text1"/>
          <w:sz w:val="24"/>
          <w:szCs w:val="21"/>
          <w:vertAlign w:val="superscript"/>
          <w14:textFill>
            <w14:solidFill>
              <w14:schemeClr w14:val="tx1"/>
            </w14:solidFill>
          </w14:textFill>
        </w:rPr>
        <w:t>3</w:t>
      </w:r>
      <w:r>
        <w:rPr>
          <w:rFonts w:eastAsia="新宋体"/>
          <w:color w:val="000000" w:themeColor="text1"/>
          <w:sz w:val="24"/>
          <w:szCs w:val="21"/>
          <w14:textFill>
            <w14:solidFill>
              <w14:schemeClr w14:val="tx1"/>
            </w14:solidFill>
          </w14:textFill>
        </w:rPr>
        <w:t>，是目前所有塑料中最轻的品种之一。它对水特别稳定，在水中的吸水率仅为0.01%，分子量约8万到15万。成型性好，但因收缩率大（为1%-2.5%），厚壁制品易凹陷，对一些尺寸精度较高零件，还难于达到要求，制品表面光泽好，易于着色。聚丙烯的化学稳定性很好，除能被浓硫酸、浓硝酸侵蚀外，对其它各种化学试剂都比较稳定，但低分子量的脂肪烃、芳香烃和氯化烃等能使聚丙烯软化和溶胀，同时它的化学稳定性随结晶度的增加还有所提高，所以聚丙烯适合制作各种化工管道和配件，防腐蚀效果良好。</w:t>
      </w:r>
    </w:p>
    <w:p w14:paraId="31D03B16">
      <w:pPr>
        <w:ind w:left="51" w:right="51"/>
        <w:jc w:val="center"/>
        <w:rPr>
          <w:b/>
          <w:bCs/>
          <w:color w:val="000000" w:themeColor="text1"/>
          <w:sz w:val="24"/>
          <w:szCs w:val="28"/>
          <w14:textFill>
            <w14:solidFill>
              <w14:schemeClr w14:val="tx1"/>
            </w14:solidFill>
          </w14:textFill>
        </w:rPr>
      </w:pPr>
    </w:p>
    <w:p w14:paraId="1E6886A5">
      <w:pPr>
        <w:ind w:left="51" w:right="51"/>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表2.5-3  理化特性表</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320"/>
        <w:gridCol w:w="3474"/>
      </w:tblGrid>
      <w:tr w14:paraId="23838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586153EF">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原料</w:t>
            </w:r>
          </w:p>
        </w:tc>
        <w:tc>
          <w:tcPr>
            <w:tcW w:w="4320" w:type="dxa"/>
            <w:vAlign w:val="center"/>
          </w:tcPr>
          <w:p w14:paraId="3BBFF2E6">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聚丙烯（PP）</w:t>
            </w:r>
          </w:p>
        </w:tc>
        <w:tc>
          <w:tcPr>
            <w:tcW w:w="3474" w:type="dxa"/>
            <w:vAlign w:val="center"/>
          </w:tcPr>
          <w:p w14:paraId="0C88F2A5">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聚乙烯（PE）</w:t>
            </w:r>
          </w:p>
        </w:tc>
      </w:tr>
      <w:tr w14:paraId="1EE1E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0D7E5602">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物理</w:t>
            </w:r>
          </w:p>
          <w:p w14:paraId="42CEA180">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性能</w:t>
            </w:r>
          </w:p>
        </w:tc>
        <w:tc>
          <w:tcPr>
            <w:tcW w:w="4320" w:type="dxa"/>
            <w:vAlign w:val="center"/>
          </w:tcPr>
          <w:p w14:paraId="48EA3A8E">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无毒、无臭、无味的乳白色高结晶的聚合物，密度只有0.90--0.91g/m</w:t>
            </w:r>
            <w:r>
              <w:rPr>
                <w:rFonts w:eastAsia="新宋体"/>
                <w:color w:val="000000" w:themeColor="text1"/>
                <w:szCs w:val="21"/>
                <w:vertAlign w:val="superscript"/>
                <w14:textFill>
                  <w14:solidFill>
                    <w14:schemeClr w14:val="tx1"/>
                  </w14:solidFill>
                </w14:textFill>
              </w:rPr>
              <w:t>3</w:t>
            </w:r>
            <w:r>
              <w:rPr>
                <w:rFonts w:eastAsia="新宋体"/>
                <w:color w:val="000000" w:themeColor="text1"/>
                <w:szCs w:val="21"/>
                <w14:textFill>
                  <w14:solidFill>
                    <w14:schemeClr w14:val="tx1"/>
                  </w14:solidFill>
                </w14:textFill>
              </w:rPr>
              <w:t>，是目前所有塑料中最轻的品种之一。它对水特别稳定，在水中的吸水率仅为0.01%，分子量约8万到15万。成型性好，但因收缩率大(为1%-2.5%），厚壁制品易凹陷，对一些尺寸精度较高零件，还难于达到要求，制品表面光泽好，易于着色。</w:t>
            </w:r>
          </w:p>
        </w:tc>
        <w:tc>
          <w:tcPr>
            <w:tcW w:w="3474" w:type="dxa"/>
            <w:vAlign w:val="center"/>
          </w:tcPr>
          <w:p w14:paraId="0F8DD3FE">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是乙烯经聚合制得的一种热塑性树脂，是结构最简单的高分子，也是应用最广泛的高分子材料。聚乙烯是通过乙烯（CH</w:t>
            </w:r>
            <w:r>
              <w:rPr>
                <w:rFonts w:eastAsia="新宋体"/>
                <w:color w:val="000000" w:themeColor="text1"/>
                <w:szCs w:val="21"/>
                <w:vertAlign w:val="subscript"/>
                <w14:textFill>
                  <w14:solidFill>
                    <w14:schemeClr w14:val="tx1"/>
                  </w14:solidFill>
                </w14:textFill>
              </w:rPr>
              <w:t>2</w:t>
            </w:r>
            <w:r>
              <w:rPr>
                <w:rFonts w:eastAsia="新宋体"/>
                <w:color w:val="000000" w:themeColor="text1"/>
                <w:szCs w:val="21"/>
                <w14:textFill>
                  <w14:solidFill>
                    <w14:schemeClr w14:val="tx1"/>
                  </w14:solidFill>
                </w14:textFill>
              </w:rPr>
              <w:t>=CH</w:t>
            </w:r>
            <w:r>
              <w:rPr>
                <w:rFonts w:eastAsia="新宋体"/>
                <w:color w:val="000000" w:themeColor="text1"/>
                <w:szCs w:val="21"/>
                <w:vertAlign w:val="subscript"/>
                <w14:textFill>
                  <w14:solidFill>
                    <w14:schemeClr w14:val="tx1"/>
                  </w14:solidFill>
                </w14:textFill>
              </w:rPr>
              <w:t>2</w:t>
            </w:r>
            <w:r>
              <w:rPr>
                <w:rFonts w:eastAsia="新宋体"/>
                <w:color w:val="000000" w:themeColor="text1"/>
                <w:szCs w:val="21"/>
                <w14:textFill>
                  <w14:solidFill>
                    <w14:schemeClr w14:val="tx1"/>
                  </w14:solidFill>
                </w14:textFill>
              </w:rPr>
              <w:t>）的发生加成聚合反应而成的，分子结构是由重复的–CH</w:t>
            </w:r>
            <w:r>
              <w:rPr>
                <w:rFonts w:eastAsia="新宋体"/>
                <w:color w:val="000000" w:themeColor="text1"/>
                <w:szCs w:val="21"/>
                <w:vertAlign w:val="subscript"/>
                <w14:textFill>
                  <w14:solidFill>
                    <w14:schemeClr w14:val="tx1"/>
                  </w14:solidFill>
                </w14:textFill>
              </w:rPr>
              <w:t>2</w:t>
            </w:r>
            <w:r>
              <w:rPr>
                <w:rFonts w:eastAsia="新宋体"/>
                <w:color w:val="000000" w:themeColor="text1"/>
                <w:szCs w:val="21"/>
                <w14:textFill>
                  <w14:solidFill>
                    <w14:schemeClr w14:val="tx1"/>
                  </w14:solidFill>
                </w14:textFill>
              </w:rPr>
              <w:t>–单元连接而成的。聚乙烯无臭，无毒，手感似蜡。</w:t>
            </w:r>
          </w:p>
        </w:tc>
      </w:tr>
      <w:tr w14:paraId="65CC7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152589ED">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力学</w:t>
            </w:r>
          </w:p>
          <w:p w14:paraId="5593ABDB">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性能</w:t>
            </w:r>
          </w:p>
        </w:tc>
        <w:tc>
          <w:tcPr>
            <w:tcW w:w="4320" w:type="dxa"/>
            <w:vAlign w:val="center"/>
          </w:tcPr>
          <w:p w14:paraId="4C3EDAC1">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结晶度高，结构规整，具有良好的力学性能，其强度和硬度、弹性都比较好，但在室温和低温下冲击强度较差，分子量增加的时候，冲击强度也增大，但成型加工性能变差。</w:t>
            </w:r>
          </w:p>
        </w:tc>
        <w:tc>
          <w:tcPr>
            <w:tcW w:w="3474" w:type="dxa"/>
            <w:vAlign w:val="center"/>
          </w:tcPr>
          <w:p w14:paraId="477DB531">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从其拉伸时的应力－应变曲线来看，聚乙烯属于一种典型的软而韧的聚合物材料。聚乙烯拉伸强度比较低，表面硬度也不高，抗蠕变性差，只有抗冲击性能好。</w:t>
            </w:r>
          </w:p>
        </w:tc>
      </w:tr>
      <w:tr w14:paraId="1BABE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0F855BED">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热性能</w:t>
            </w:r>
          </w:p>
        </w:tc>
        <w:tc>
          <w:tcPr>
            <w:tcW w:w="4320" w:type="dxa"/>
            <w:vAlign w:val="center"/>
          </w:tcPr>
          <w:p w14:paraId="35224FAB">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具有良好的耐热性，熔点在164-170</w:t>
            </w:r>
            <w:r>
              <w:rPr>
                <w:rFonts w:hint="eastAsia" w:ascii="宋体" w:hAnsi="宋体" w:cs="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，裂解温度≥350</w:t>
            </w:r>
            <w:r>
              <w:rPr>
                <w:rFonts w:hint="eastAsia" w:ascii="宋体" w:hAnsi="宋体" w:cs="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，制成的制品可在100</w:t>
            </w:r>
            <w:r>
              <w:rPr>
                <w:rFonts w:hint="eastAsia" w:ascii="宋体" w:hAnsi="宋体" w:cs="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以上温度进行消毒灭菌，在不收外力的情况下150</w:t>
            </w:r>
            <w:r>
              <w:rPr>
                <w:rFonts w:hint="eastAsia" w:ascii="宋体" w:hAnsi="宋体" w:cs="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也不变形，裂解温度≥350</w:t>
            </w:r>
            <w:r>
              <w:rPr>
                <w:rFonts w:hint="eastAsia" w:ascii="宋体" w:hAnsi="宋体" w:cs="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，脆化温度为-35</w:t>
            </w:r>
            <w:r>
              <w:rPr>
                <w:rFonts w:hint="eastAsia" w:ascii="宋体" w:hAnsi="宋体" w:cs="宋体"/>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3474" w:type="dxa"/>
            <w:vAlign w:val="center"/>
          </w:tcPr>
          <w:p w14:paraId="7188E026">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具有优良的耐低温性能(最低使用温度可达-70～-100</w:t>
            </w:r>
            <w:r>
              <w:rPr>
                <w:rFonts w:hint="eastAsia" w:ascii="宋体" w:hAnsi="宋体" w:cs="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)，熔点在132-135</w:t>
            </w:r>
            <w:r>
              <w:rPr>
                <w:rFonts w:hint="eastAsia" w:ascii="宋体" w:hAnsi="宋体" w:cs="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，裂解温度≥380</w:t>
            </w:r>
            <w:r>
              <w:rPr>
                <w:rFonts w:hint="eastAsia" w:ascii="宋体" w:hAnsi="宋体" w:cs="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，脆裂温度-70</w:t>
            </w:r>
            <w:r>
              <w:rPr>
                <w:rFonts w:hint="eastAsia" w:ascii="宋体" w:hAnsi="宋体" w:cs="宋体"/>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r>
      <w:tr w14:paraId="7747F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520F0E52">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燃烧性</w:t>
            </w:r>
          </w:p>
        </w:tc>
        <w:tc>
          <w:tcPr>
            <w:tcW w:w="4320" w:type="dxa"/>
            <w:vAlign w:val="center"/>
          </w:tcPr>
          <w:p w14:paraId="14995B65">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丙烯具有燃烧性，易燃。其燃烧一般是由于受到外来的热而分解出可燃性气体，并与空气中的氧气相混合而着火，离火后继续燃烧，火焰上端呈黄色，下端呈蓝色，有少量黑烟产生，燃烧时发出石油味。</w:t>
            </w:r>
          </w:p>
        </w:tc>
        <w:tc>
          <w:tcPr>
            <w:tcW w:w="3474" w:type="dxa"/>
            <w:vAlign w:val="center"/>
          </w:tcPr>
          <w:p w14:paraId="48555CE4">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易燃，离火后继续燃烧，并放出与石蜡燃烧时相同的气味；燃烧时，火焰尖部呈黄色，底部呈蓝色；烟少。</w:t>
            </w:r>
          </w:p>
        </w:tc>
      </w:tr>
      <w:tr w14:paraId="34224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0122A713">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化学稳定性</w:t>
            </w:r>
          </w:p>
        </w:tc>
        <w:tc>
          <w:tcPr>
            <w:tcW w:w="4320" w:type="dxa"/>
            <w:vAlign w:val="center"/>
          </w:tcPr>
          <w:p w14:paraId="283C7083">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化学稳定性很好，除能被浓硫酸、浓硝酸侵蚀外，对其它各种化学试剂都比较稳定，但低分子量的脂肪烃、芳香烃和氯化烃等能使聚丙烯软化和溶胀。</w:t>
            </w:r>
          </w:p>
        </w:tc>
        <w:tc>
          <w:tcPr>
            <w:tcW w:w="3474" w:type="dxa"/>
            <w:vAlign w:val="center"/>
          </w:tcPr>
          <w:p w14:paraId="150D083F">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化学稳定性好，能耐大多数酸碱的侵蚀（不耐具有氧化性质的酸），常温下不溶于一般溶剂。</w:t>
            </w:r>
          </w:p>
        </w:tc>
      </w:tr>
      <w:tr w14:paraId="4F0DE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45D06CB6">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电性能</w:t>
            </w:r>
          </w:p>
        </w:tc>
        <w:tc>
          <w:tcPr>
            <w:tcW w:w="4320" w:type="dxa"/>
            <w:vAlign w:val="center"/>
          </w:tcPr>
          <w:p w14:paraId="1B5E67F7">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高频绝缘性能优良，几乎不吸水，绝缘性能不受湿度的影响，具有较高的介电系数，其抗电压、耐电弧性很好，但静电度高，与铜接触易老化。</w:t>
            </w:r>
          </w:p>
        </w:tc>
        <w:tc>
          <w:tcPr>
            <w:tcW w:w="3474" w:type="dxa"/>
            <w:vAlign w:val="center"/>
          </w:tcPr>
          <w:p w14:paraId="4422129E">
            <w:pPr>
              <w:ind w:firstLine="420" w:firstLineChars="20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吸水性小，电绝缘性能优良。</w:t>
            </w:r>
          </w:p>
        </w:tc>
      </w:tr>
    </w:tbl>
    <w:p w14:paraId="559E2800">
      <w:pPr>
        <w:jc w:val="left"/>
        <w:rPr>
          <w:b/>
          <w:color w:val="000000" w:themeColor="text1"/>
          <w:kern w:val="0"/>
          <w:sz w:val="24"/>
          <w14:textFill>
            <w14:solidFill>
              <w14:schemeClr w14:val="tx1"/>
            </w14:solidFill>
          </w14:textFill>
        </w:rPr>
      </w:pPr>
    </w:p>
    <w:p w14:paraId="6C27D8ED">
      <w:pPr>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2、能源消耗情况</w:t>
      </w:r>
    </w:p>
    <w:p w14:paraId="52D7D5D3">
      <w:pPr>
        <w:jc w:val="center"/>
        <w:rPr>
          <w:b/>
          <w:color w:val="000000" w:themeColor="text1"/>
          <w:kern w:val="0"/>
          <w:sz w:val="24"/>
          <w14:textFill>
            <w14:solidFill>
              <w14:schemeClr w14:val="tx1"/>
            </w14:solidFill>
          </w14:textFill>
        </w:rPr>
      </w:pPr>
    </w:p>
    <w:p w14:paraId="554D6408">
      <w:pPr>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表2.5-4   项目能源消耗一览表</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2408"/>
        <w:gridCol w:w="1561"/>
        <w:gridCol w:w="2600"/>
      </w:tblGrid>
      <w:tr w14:paraId="10CC676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46" w:type="pct"/>
            <w:vAlign w:val="center"/>
          </w:tcPr>
          <w:p w14:paraId="154E5C6B">
            <w:pPr>
              <w:jc w:val="center"/>
              <w:rPr>
                <w:color w:val="000000" w:themeColor="text1"/>
                <w14:textFill>
                  <w14:solidFill>
                    <w14:schemeClr w14:val="tx1"/>
                  </w14:solidFill>
                </w14:textFill>
              </w:rPr>
            </w:pPr>
            <w:r>
              <w:rPr>
                <w:color w:val="000000" w:themeColor="text1"/>
                <w14:textFill>
                  <w14:solidFill>
                    <w14:schemeClr w14:val="tx1"/>
                  </w14:solidFill>
                </w14:textFill>
              </w:rPr>
              <w:t>公用工程项目</w:t>
            </w:r>
          </w:p>
        </w:tc>
        <w:tc>
          <w:tcPr>
            <w:tcW w:w="1413" w:type="pct"/>
            <w:vAlign w:val="center"/>
          </w:tcPr>
          <w:p w14:paraId="65BD443A">
            <w:pPr>
              <w:jc w:val="center"/>
              <w:rPr>
                <w:color w:val="000000" w:themeColor="text1"/>
                <w14:textFill>
                  <w14:solidFill>
                    <w14:schemeClr w14:val="tx1"/>
                  </w14:solidFill>
                </w14:textFill>
              </w:rPr>
            </w:pPr>
            <w:r>
              <w:rPr>
                <w:color w:val="000000" w:themeColor="text1"/>
                <w14:textFill>
                  <w14:solidFill>
                    <w14:schemeClr w14:val="tx1"/>
                  </w14:solidFill>
                </w14:textFill>
              </w:rPr>
              <w:t>规格</w:t>
            </w:r>
          </w:p>
        </w:tc>
        <w:tc>
          <w:tcPr>
            <w:tcW w:w="916" w:type="pct"/>
            <w:vAlign w:val="center"/>
          </w:tcPr>
          <w:p w14:paraId="2446F184">
            <w:pPr>
              <w:jc w:val="center"/>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525" w:type="pct"/>
            <w:vAlign w:val="center"/>
          </w:tcPr>
          <w:p w14:paraId="282C0341">
            <w:pPr>
              <w:jc w:val="center"/>
              <w:rPr>
                <w:color w:val="000000" w:themeColor="text1"/>
                <w14:textFill>
                  <w14:solidFill>
                    <w14:schemeClr w14:val="tx1"/>
                  </w14:solidFill>
                </w14:textFill>
              </w:rPr>
            </w:pPr>
            <w:r>
              <w:rPr>
                <w:color w:val="000000" w:themeColor="text1"/>
                <w14:textFill>
                  <w14:solidFill>
                    <w14:schemeClr w14:val="tx1"/>
                  </w14:solidFill>
                </w14:textFill>
              </w:rPr>
              <w:t>年用量</w:t>
            </w:r>
          </w:p>
        </w:tc>
      </w:tr>
      <w:tr w14:paraId="0CAB287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46" w:type="pct"/>
            <w:vAlign w:val="center"/>
          </w:tcPr>
          <w:p w14:paraId="22A7057E">
            <w:pPr>
              <w:jc w:val="center"/>
              <w:rPr>
                <w:color w:val="000000" w:themeColor="text1"/>
                <w14:textFill>
                  <w14:solidFill>
                    <w14:schemeClr w14:val="tx1"/>
                  </w14:solidFill>
                </w14:textFill>
              </w:rPr>
            </w:pPr>
            <w:r>
              <w:rPr>
                <w:color w:val="000000" w:themeColor="text1"/>
                <w14:textFill>
                  <w14:solidFill>
                    <w14:schemeClr w14:val="tx1"/>
                  </w14:solidFill>
                </w14:textFill>
              </w:rPr>
              <w:t>水</w:t>
            </w:r>
          </w:p>
        </w:tc>
        <w:tc>
          <w:tcPr>
            <w:tcW w:w="1413" w:type="pct"/>
            <w:vAlign w:val="center"/>
          </w:tcPr>
          <w:p w14:paraId="2EF00D3C">
            <w:pPr>
              <w:jc w:val="center"/>
              <w:rPr>
                <w:color w:val="000000" w:themeColor="text1"/>
                <w14:textFill>
                  <w14:solidFill>
                    <w14:schemeClr w14:val="tx1"/>
                  </w14:solidFill>
                </w14:textFill>
              </w:rPr>
            </w:pPr>
            <w:r>
              <w:rPr>
                <w:color w:val="000000" w:themeColor="text1"/>
                <w14:textFill>
                  <w14:solidFill>
                    <w14:schemeClr w14:val="tx1"/>
                  </w14:solidFill>
                </w14:textFill>
              </w:rPr>
              <w:t>0.3Mpa</w:t>
            </w:r>
          </w:p>
        </w:tc>
        <w:tc>
          <w:tcPr>
            <w:tcW w:w="916" w:type="pct"/>
            <w:vAlign w:val="center"/>
          </w:tcPr>
          <w:p w14:paraId="210F9C87">
            <w:pPr>
              <w:jc w:val="center"/>
              <w:rPr>
                <w:color w:val="000000" w:themeColor="text1"/>
                <w14:textFill>
                  <w14:solidFill>
                    <w14:schemeClr w14:val="tx1"/>
                  </w14:solidFill>
                </w14:textFill>
              </w:rPr>
            </w:pPr>
            <w:r>
              <w:rPr>
                <w:color w:val="000000" w:themeColor="text1"/>
                <w14:textFill>
                  <w14:solidFill>
                    <w14:schemeClr w14:val="tx1"/>
                  </w14:solidFill>
                </w14:textFill>
              </w:rPr>
              <w:t>万t/a</w:t>
            </w:r>
          </w:p>
        </w:tc>
        <w:tc>
          <w:tcPr>
            <w:tcW w:w="1525" w:type="pct"/>
            <w:vAlign w:val="center"/>
          </w:tcPr>
          <w:p w14:paraId="61F09A16">
            <w:pPr>
              <w:jc w:val="center"/>
              <w:rPr>
                <w:color w:val="000000" w:themeColor="text1"/>
                <w14:textFill>
                  <w14:solidFill>
                    <w14:schemeClr w14:val="tx1"/>
                  </w14:solidFill>
                </w14:textFill>
              </w:rPr>
            </w:pPr>
            <w:r>
              <w:rPr>
                <w:color w:val="000000" w:themeColor="text1"/>
                <w14:textFill>
                  <w14:solidFill>
                    <w14:schemeClr w14:val="tx1"/>
                  </w14:solidFill>
                </w14:textFill>
              </w:rPr>
              <w:t>0.6</w:t>
            </w:r>
          </w:p>
        </w:tc>
      </w:tr>
      <w:tr w14:paraId="70E7D07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46" w:type="pct"/>
            <w:vAlign w:val="center"/>
          </w:tcPr>
          <w:p w14:paraId="1008AFC6">
            <w:pPr>
              <w:jc w:val="center"/>
              <w:rPr>
                <w:color w:val="000000" w:themeColor="text1"/>
                <w14:textFill>
                  <w14:solidFill>
                    <w14:schemeClr w14:val="tx1"/>
                  </w14:solidFill>
                </w14:textFill>
              </w:rPr>
            </w:pPr>
            <w:r>
              <w:rPr>
                <w:color w:val="000000" w:themeColor="text1"/>
                <w14:textFill>
                  <w14:solidFill>
                    <w14:schemeClr w14:val="tx1"/>
                  </w14:solidFill>
                </w14:textFill>
              </w:rPr>
              <w:t>电</w:t>
            </w:r>
          </w:p>
        </w:tc>
        <w:tc>
          <w:tcPr>
            <w:tcW w:w="1413" w:type="pct"/>
            <w:vAlign w:val="center"/>
          </w:tcPr>
          <w:p w14:paraId="5A84798F">
            <w:pPr>
              <w:jc w:val="center"/>
              <w:rPr>
                <w:color w:val="000000" w:themeColor="text1"/>
                <w14:textFill>
                  <w14:solidFill>
                    <w14:schemeClr w14:val="tx1"/>
                  </w14:solidFill>
                </w14:textFill>
              </w:rPr>
            </w:pPr>
            <w:r>
              <w:rPr>
                <w:color w:val="000000" w:themeColor="text1"/>
                <w14:textFill>
                  <w14:solidFill>
                    <w14:schemeClr w14:val="tx1"/>
                  </w14:solidFill>
                </w14:textFill>
              </w:rPr>
              <w:t>10KV</w:t>
            </w:r>
          </w:p>
        </w:tc>
        <w:tc>
          <w:tcPr>
            <w:tcW w:w="916" w:type="pct"/>
            <w:vAlign w:val="center"/>
          </w:tcPr>
          <w:p w14:paraId="5D9A42C1">
            <w:pPr>
              <w:jc w:val="center"/>
              <w:rPr>
                <w:color w:val="000000" w:themeColor="text1"/>
                <w14:textFill>
                  <w14:solidFill>
                    <w14:schemeClr w14:val="tx1"/>
                  </w14:solidFill>
                </w14:textFill>
              </w:rPr>
            </w:pPr>
            <w:r>
              <w:rPr>
                <w:color w:val="000000" w:themeColor="text1"/>
                <w14:textFill>
                  <w14:solidFill>
                    <w14:schemeClr w14:val="tx1"/>
                  </w14:solidFill>
                </w14:textFill>
              </w:rPr>
              <w:t>万KWh/a</w:t>
            </w:r>
          </w:p>
        </w:tc>
        <w:tc>
          <w:tcPr>
            <w:tcW w:w="1525" w:type="pct"/>
            <w:vAlign w:val="center"/>
          </w:tcPr>
          <w:p w14:paraId="46F7F810">
            <w:pPr>
              <w:jc w:val="center"/>
              <w:rPr>
                <w:color w:val="000000" w:themeColor="text1"/>
                <w14:textFill>
                  <w14:solidFill>
                    <w14:schemeClr w14:val="tx1"/>
                  </w14:solidFill>
                </w14:textFill>
              </w:rPr>
            </w:pPr>
            <w:r>
              <w:rPr>
                <w:color w:val="000000" w:themeColor="text1"/>
                <w14:textFill>
                  <w14:solidFill>
                    <w14:schemeClr w14:val="tx1"/>
                  </w14:solidFill>
                </w14:textFill>
              </w:rPr>
              <w:t>0.536</w:t>
            </w:r>
          </w:p>
        </w:tc>
      </w:tr>
    </w:tbl>
    <w:p w14:paraId="512FEAB7">
      <w:pPr>
        <w:rPr>
          <w:color w:val="000000" w:themeColor="text1"/>
          <w14:textFill>
            <w14:solidFill>
              <w14:schemeClr w14:val="tx1"/>
            </w14:solidFill>
          </w14:textFill>
        </w:rPr>
      </w:pPr>
    </w:p>
    <w:p w14:paraId="60D25DCC">
      <w:pPr>
        <w:pStyle w:val="4"/>
        <w:rPr>
          <w:rFonts w:ascii="Times New Roman" w:hAnsi="Times New Roman"/>
          <w:color w:val="000000" w:themeColor="text1"/>
          <w14:textFill>
            <w14:solidFill>
              <w14:schemeClr w14:val="tx1"/>
            </w14:solidFill>
          </w14:textFill>
        </w:rPr>
      </w:pPr>
      <w:bookmarkStart w:id="165" w:name="_Toc2773742"/>
      <w:r>
        <w:rPr>
          <w:rFonts w:ascii="Times New Roman" w:hAnsi="Times New Roman"/>
          <w:color w:val="000000" w:themeColor="text1"/>
          <w14:textFill>
            <w14:solidFill>
              <w14:schemeClr w14:val="tx1"/>
            </w14:solidFill>
          </w14:textFill>
        </w:rPr>
        <w:t>2.6 项目总平面布置</w:t>
      </w:r>
      <w:bookmarkEnd w:id="165"/>
    </w:p>
    <w:p w14:paraId="73FCC8E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废塑料回收与再生利用污染控制技术规范》HJ/T364-2007中规定，再生利用项目必须建有围墙并按功能划分厂区，本项目产区呈矩形，将厂区划分为生产区、成品仓库、原料仓库及办公区，各功能区有明显的界限和标志。</w:t>
      </w:r>
    </w:p>
    <w:p w14:paraId="201CFAB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生产区：本项目设一座生产车间，位于厂区中西部，利用原有厂房建设。</w:t>
      </w:r>
    </w:p>
    <w:p w14:paraId="388E03D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成品贮存区：本项目成品库位于生产车间南侧，便于产品运输。</w:t>
      </w:r>
    </w:p>
    <w:p w14:paraId="36935A5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原料区：本项目设1座原料库房，不同原料分区储存。原料库位于生产车间北侧，便于原料使用。</w:t>
      </w:r>
    </w:p>
    <w:p w14:paraId="2664122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办公生活区：设办公室（含员工休息室），位于生产区东侧，全年主导风向的侧风向，可有效减小生产车间废气对办公室的影响。</w:t>
      </w:r>
    </w:p>
    <w:p w14:paraId="6E3EC998">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本项目按功能区划分厂区，总图布局符合《废塑料回收与再生利用污染控制技术规范》HJ/T364-2007中相关要求，总图布置合理。</w:t>
      </w:r>
    </w:p>
    <w:p w14:paraId="6D6C6ADC">
      <w:pPr>
        <w:pStyle w:val="4"/>
        <w:rPr>
          <w:rFonts w:ascii="Times New Roman" w:hAnsi="Times New Roman"/>
          <w:color w:val="000000" w:themeColor="text1"/>
          <w14:textFill>
            <w14:solidFill>
              <w14:schemeClr w14:val="tx1"/>
            </w14:solidFill>
          </w14:textFill>
        </w:rPr>
      </w:pPr>
      <w:bookmarkStart w:id="166" w:name="_Toc2773743"/>
      <w:r>
        <w:rPr>
          <w:rFonts w:ascii="Times New Roman" w:hAnsi="Times New Roman"/>
          <w:color w:val="000000" w:themeColor="text1"/>
          <w14:textFill>
            <w14:solidFill>
              <w14:schemeClr w14:val="tx1"/>
            </w14:solidFill>
          </w14:textFill>
        </w:rPr>
        <w:t>2.7 公用辅助设施</w:t>
      </w:r>
      <w:bookmarkEnd w:id="128"/>
      <w:bookmarkEnd w:id="166"/>
    </w:p>
    <w:p w14:paraId="038347E1">
      <w:pPr>
        <w:pStyle w:val="105"/>
        <w:rPr>
          <w:rFonts w:cs="Times New Roman"/>
          <w:color w:val="000000" w:themeColor="text1"/>
          <w14:textFill>
            <w14:solidFill>
              <w14:schemeClr w14:val="tx1"/>
            </w14:solidFill>
          </w14:textFill>
        </w:rPr>
      </w:pPr>
      <w:bookmarkStart w:id="167" w:name="_Toc297"/>
      <w:bookmarkStart w:id="168" w:name="_Toc18468"/>
      <w:bookmarkStart w:id="169" w:name="_Toc24263"/>
      <w:bookmarkStart w:id="170" w:name="_Toc17908"/>
      <w:bookmarkStart w:id="171" w:name="_Toc12234"/>
      <w:bookmarkStart w:id="172" w:name="_Toc25163"/>
      <w:bookmarkStart w:id="173" w:name="_Toc4064"/>
      <w:bookmarkStart w:id="174" w:name="_Toc5854"/>
      <w:bookmarkStart w:id="175" w:name="_Toc24542"/>
      <w:bookmarkStart w:id="176" w:name="_Toc10884"/>
      <w:bookmarkStart w:id="177" w:name="_Toc18289"/>
      <w:bookmarkStart w:id="178" w:name="_Toc16348"/>
      <w:bookmarkStart w:id="179" w:name="_Toc362393129"/>
      <w:bookmarkStart w:id="180" w:name="_Toc1217"/>
      <w:bookmarkStart w:id="181" w:name="_Toc359505240"/>
      <w:bookmarkStart w:id="182" w:name="_Toc7117"/>
      <w:r>
        <w:rPr>
          <w:rFonts w:cs="Times New Roman"/>
          <w:color w:val="000000" w:themeColor="text1"/>
          <w14:textFill>
            <w14:solidFill>
              <w14:schemeClr w14:val="tx1"/>
            </w14:solidFill>
          </w14:textFill>
        </w:rPr>
        <w:t>2.7.1给水系统</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921BAF2">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供水：由</w:t>
      </w:r>
      <w:r>
        <w:rPr>
          <w:bCs/>
          <w:color w:val="000000" w:themeColor="text1"/>
          <w:sz w:val="24"/>
          <w14:textFill>
            <w14:solidFill>
              <w14:schemeClr w14:val="tx1"/>
            </w14:solidFill>
          </w14:textFill>
        </w:rPr>
        <w:t>市政</w:t>
      </w:r>
      <w:r>
        <w:rPr>
          <w:color w:val="000000" w:themeColor="text1"/>
          <w:sz w:val="24"/>
          <w14:textFill>
            <w14:solidFill>
              <w14:schemeClr w14:val="tx1"/>
            </w14:solidFill>
          </w14:textFill>
        </w:rPr>
        <w:t>自来水管网供给。</w:t>
      </w:r>
    </w:p>
    <w:p w14:paraId="793999EA">
      <w:pPr>
        <w:pStyle w:val="105"/>
        <w:rPr>
          <w:rFonts w:cs="Times New Roman"/>
          <w:color w:val="000000" w:themeColor="text1"/>
          <w14:textFill>
            <w14:solidFill>
              <w14:schemeClr w14:val="tx1"/>
            </w14:solidFill>
          </w14:textFill>
        </w:rPr>
      </w:pPr>
      <w:bookmarkStart w:id="183" w:name="_Toc19218"/>
      <w:bookmarkStart w:id="184" w:name="_Toc23135"/>
      <w:bookmarkStart w:id="185" w:name="_Toc22063"/>
      <w:bookmarkStart w:id="186" w:name="_Toc362393130"/>
      <w:bookmarkStart w:id="187" w:name="_Toc657"/>
      <w:bookmarkStart w:id="188" w:name="_Toc662"/>
      <w:bookmarkStart w:id="189" w:name="_Toc29327"/>
      <w:bookmarkStart w:id="190" w:name="_Toc14856"/>
      <w:bookmarkStart w:id="191" w:name="_Toc15575"/>
      <w:bookmarkStart w:id="192" w:name="_Toc1645"/>
      <w:bookmarkStart w:id="193" w:name="_Toc22212"/>
      <w:bookmarkStart w:id="194" w:name="_Toc359505241"/>
      <w:bookmarkStart w:id="195" w:name="_Toc23227"/>
      <w:bookmarkStart w:id="196" w:name="_Toc24357"/>
      <w:bookmarkStart w:id="197" w:name="_Toc18531"/>
      <w:bookmarkStart w:id="198" w:name="_Toc18488"/>
      <w:r>
        <w:rPr>
          <w:rFonts w:cs="Times New Roman"/>
          <w:color w:val="000000" w:themeColor="text1"/>
          <w14:textFill>
            <w14:solidFill>
              <w14:schemeClr w14:val="tx1"/>
            </w14:solidFill>
          </w14:textFill>
        </w:rPr>
        <w:t>2.7.2排水系统</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55628C62">
      <w:pPr>
        <w:adjustRightInd w:val="0"/>
        <w:snapToGrid w:val="0"/>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1、雨水</w:t>
      </w:r>
    </w:p>
    <w:p w14:paraId="0D35333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一个雨水收集池（1m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）；建设具有防雨、防风、防渗等功能的厂房或加盖雨棚的原料、生产仓库。</w:t>
      </w:r>
    </w:p>
    <w:p w14:paraId="1F48F241">
      <w:pPr>
        <w:adjustRightInd w:val="0"/>
        <w:snapToGrid w:val="0"/>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2、污水</w:t>
      </w:r>
    </w:p>
    <w:p w14:paraId="139256FA">
      <w:pPr>
        <w:spacing w:line="360" w:lineRule="auto"/>
        <w:ind w:left="105" w:leftChars="50" w:right="105" w:rightChars="5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项目区实行雨污分流。</w:t>
      </w:r>
    </w:p>
    <w:p w14:paraId="53A0C731">
      <w:pPr>
        <w:spacing w:line="360" w:lineRule="auto"/>
        <w:ind w:left="105" w:leftChars="50" w:right="105" w:rightChars="50"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生活废水：</w:t>
      </w:r>
      <w:r>
        <w:rPr>
          <w:color w:val="000000" w:themeColor="text1"/>
          <w:sz w:val="24"/>
          <w14:textFill>
            <w14:solidFill>
              <w14:schemeClr w14:val="tx1"/>
            </w14:solidFill>
          </w14:textFill>
        </w:rPr>
        <w:t>厨房废水经隔油池处理后，与其它生活废水经化粪池处理，定期委托周边村民清运，用于农作物施肥。</w:t>
      </w:r>
    </w:p>
    <w:p w14:paraId="7E27EA05">
      <w:pPr>
        <w:spacing w:line="360" w:lineRule="auto"/>
        <w:ind w:left="105" w:leftChars="50" w:right="105" w:rightChars="50"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生产废水：</w:t>
      </w:r>
      <w:r>
        <w:rPr>
          <w:color w:val="000000" w:themeColor="text1"/>
          <w:sz w:val="24"/>
          <w14:textFill>
            <w14:solidFill>
              <w14:schemeClr w14:val="tx1"/>
            </w14:solidFill>
          </w14:textFill>
        </w:rPr>
        <w:t>主要为塑料清洗废水，生产废水均通过自建的隔油池+沉淀池处理后，回用于生产。</w:t>
      </w:r>
    </w:p>
    <w:p w14:paraId="6C94176A">
      <w:pPr>
        <w:pStyle w:val="105"/>
        <w:rPr>
          <w:rFonts w:cs="Times New Roman"/>
          <w:color w:val="000000" w:themeColor="text1"/>
          <w14:textFill>
            <w14:solidFill>
              <w14:schemeClr w14:val="tx1"/>
            </w14:solidFill>
          </w14:textFill>
        </w:rPr>
      </w:pPr>
      <w:bookmarkStart w:id="199" w:name="_Toc362393131"/>
      <w:bookmarkStart w:id="200" w:name="_Toc359505242"/>
      <w:r>
        <w:rPr>
          <w:rFonts w:cs="Times New Roman"/>
          <w:color w:val="000000" w:themeColor="text1"/>
          <w14:textFill>
            <w14:solidFill>
              <w14:schemeClr w14:val="tx1"/>
            </w14:solidFill>
          </w14:textFill>
        </w:rPr>
        <w:t>2.7.3供电系统</w:t>
      </w:r>
      <w:bookmarkEnd w:id="199"/>
      <w:bookmarkEnd w:id="200"/>
    </w:p>
    <w:p w14:paraId="5BB7600C">
      <w:pPr>
        <w:spacing w:line="360" w:lineRule="auto"/>
        <w:ind w:firstLine="480"/>
        <w:rPr>
          <w:color w:val="000000" w:themeColor="text1"/>
          <w:sz w:val="24"/>
          <w14:textFill>
            <w14:solidFill>
              <w14:schemeClr w14:val="tx1"/>
            </w14:solidFill>
          </w14:textFill>
        </w:rPr>
      </w:pPr>
      <w:bookmarkStart w:id="201" w:name="_Toc362393132"/>
      <w:bookmarkStart w:id="202" w:name="_Toc359505243"/>
      <w:r>
        <w:rPr>
          <w:color w:val="000000" w:themeColor="text1"/>
          <w:sz w:val="24"/>
          <w14:textFill>
            <w14:solidFill>
              <w14:schemeClr w14:val="tx1"/>
            </w14:solidFill>
          </w14:textFill>
        </w:rPr>
        <w:t>由</w:t>
      </w:r>
      <w:r>
        <w:rPr>
          <w:bCs/>
          <w:color w:val="000000" w:themeColor="text1"/>
          <w:sz w:val="24"/>
          <w14:textFill>
            <w14:solidFill>
              <w14:schemeClr w14:val="tx1"/>
            </w14:solidFill>
          </w14:textFill>
        </w:rPr>
        <w:t>市政电网供给</w:t>
      </w:r>
      <w:r>
        <w:rPr>
          <w:color w:val="000000" w:themeColor="text1"/>
          <w:sz w:val="24"/>
          <w14:textFill>
            <w14:solidFill>
              <w14:schemeClr w14:val="tx1"/>
            </w14:solidFill>
          </w14:textFill>
        </w:rPr>
        <w:t>，完全满足企业新增生产经营的需要。</w:t>
      </w:r>
    </w:p>
    <w:bookmarkEnd w:id="201"/>
    <w:bookmarkEnd w:id="202"/>
    <w:p w14:paraId="463D0D92">
      <w:pPr>
        <w:pStyle w:val="4"/>
        <w:rPr>
          <w:rFonts w:ascii="Times New Roman" w:hAnsi="Times New Roman"/>
          <w:color w:val="000000" w:themeColor="text1"/>
          <w14:textFill>
            <w14:solidFill>
              <w14:schemeClr w14:val="tx1"/>
            </w14:solidFill>
          </w14:textFill>
        </w:rPr>
      </w:pPr>
      <w:bookmarkStart w:id="203" w:name="_Toc2773744"/>
      <w:r>
        <w:rPr>
          <w:rFonts w:ascii="Times New Roman" w:hAnsi="Times New Roman"/>
          <w:color w:val="000000" w:themeColor="text1"/>
          <w14:textFill>
            <w14:solidFill>
              <w14:schemeClr w14:val="tx1"/>
            </w14:solidFill>
          </w14:textFill>
        </w:rPr>
        <w:t>2.8工作制度及劳动定员</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203"/>
    </w:p>
    <w:p w14:paraId="41EE4B60">
      <w:pPr>
        <w:pStyle w:val="105"/>
        <w:rPr>
          <w:rFonts w:cs="Times New Roman"/>
          <w:color w:val="000000" w:themeColor="text1"/>
          <w14:textFill>
            <w14:solidFill>
              <w14:schemeClr w14:val="tx1"/>
            </w14:solidFill>
          </w14:textFill>
        </w:rPr>
      </w:pPr>
      <w:bookmarkStart w:id="204" w:name="_Toc183592461"/>
      <w:bookmarkStart w:id="205" w:name="_Toc5415"/>
      <w:bookmarkStart w:id="206" w:name="_Toc23974"/>
      <w:bookmarkStart w:id="207" w:name="_Toc19065"/>
      <w:bookmarkStart w:id="208" w:name="_Toc25597"/>
      <w:bookmarkStart w:id="209" w:name="_Toc183494068"/>
      <w:bookmarkStart w:id="210" w:name="_Toc32113"/>
      <w:bookmarkStart w:id="211" w:name="_Toc359505245"/>
      <w:bookmarkStart w:id="212" w:name="_Toc122231917"/>
      <w:bookmarkStart w:id="213" w:name="_Toc11303"/>
      <w:bookmarkStart w:id="214" w:name="_Toc3758"/>
      <w:bookmarkStart w:id="215" w:name="_Toc30041"/>
      <w:bookmarkStart w:id="216" w:name="_Toc340759481"/>
      <w:bookmarkStart w:id="217" w:name="_Toc6006"/>
      <w:bookmarkStart w:id="218" w:name="_Toc6896"/>
      <w:bookmarkStart w:id="219" w:name="_Toc267041411"/>
      <w:bookmarkStart w:id="220" w:name="_Toc120002435"/>
      <w:bookmarkStart w:id="221" w:name="_Toc183592565"/>
      <w:bookmarkStart w:id="222" w:name="_Toc21135"/>
      <w:bookmarkStart w:id="223" w:name="_Toc251786619"/>
      <w:bookmarkStart w:id="224" w:name="_Toc227642043"/>
      <w:bookmarkStart w:id="225" w:name="_Toc362393135"/>
      <w:bookmarkStart w:id="226" w:name="_Toc251932457"/>
      <w:bookmarkStart w:id="227" w:name="_Toc176689435"/>
      <w:bookmarkStart w:id="228" w:name="_Toc21748"/>
      <w:bookmarkStart w:id="229" w:name="_Toc16192"/>
      <w:bookmarkStart w:id="230" w:name="_Toc227642165"/>
      <w:bookmarkStart w:id="231" w:name="_Toc20779"/>
      <w:bookmarkStart w:id="232" w:name="_Toc332029422"/>
      <w:bookmarkStart w:id="233" w:name="_Toc323204932"/>
      <w:bookmarkStart w:id="234" w:name="_Toc331865107"/>
      <w:bookmarkStart w:id="235" w:name="_Toc331866064"/>
      <w:r>
        <w:rPr>
          <w:rFonts w:cs="Times New Roman"/>
          <w:color w:val="000000" w:themeColor="text1"/>
          <w14:textFill>
            <w14:solidFill>
              <w14:schemeClr w14:val="tx1"/>
            </w14:solidFill>
          </w14:textFill>
        </w:rPr>
        <w:t>2.8.1</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cs="Times New Roman"/>
          <w:color w:val="000000" w:themeColor="text1"/>
          <w14:textFill>
            <w14:solidFill>
              <w14:schemeClr w14:val="tx1"/>
            </w14:solidFill>
          </w14:textFill>
        </w:rPr>
        <w:t>工作制度</w:t>
      </w:r>
    </w:p>
    <w:p w14:paraId="391869E3">
      <w:pPr>
        <w:spacing w:line="360" w:lineRule="auto"/>
        <w:ind w:firstLine="480"/>
        <w:rPr>
          <w:color w:val="000000" w:themeColor="text1"/>
          <w:sz w:val="24"/>
          <w14:textFill>
            <w14:solidFill>
              <w14:schemeClr w14:val="tx1"/>
            </w14:solidFill>
          </w14:textFill>
        </w:rPr>
      </w:pPr>
      <w:bookmarkStart w:id="236" w:name="_Toc30580"/>
      <w:bookmarkStart w:id="237" w:name="_Toc3497"/>
      <w:bookmarkStart w:id="238" w:name="_Toc183592462"/>
      <w:bookmarkStart w:id="239" w:name="_Toc251932458"/>
      <w:bookmarkStart w:id="240" w:name="_Toc267041412"/>
      <w:bookmarkStart w:id="241" w:name="_Toc11806"/>
      <w:bookmarkStart w:id="242" w:name="_Toc359505246"/>
      <w:bookmarkStart w:id="243" w:name="_Toc227642166"/>
      <w:bookmarkStart w:id="244" w:name="_Toc5665"/>
      <w:bookmarkStart w:id="245" w:name="_Toc183494069"/>
      <w:bookmarkStart w:id="246" w:name="_Toc32494"/>
      <w:bookmarkStart w:id="247" w:name="_Toc251786620"/>
      <w:bookmarkStart w:id="248" w:name="_Toc21784"/>
      <w:bookmarkStart w:id="249" w:name="_Toc25651"/>
      <w:bookmarkStart w:id="250" w:name="_Toc6878"/>
      <w:bookmarkStart w:id="251" w:name="_Toc120002436"/>
      <w:bookmarkStart w:id="252" w:name="_Toc28243"/>
      <w:bookmarkStart w:id="253" w:name="_Toc122231918"/>
      <w:bookmarkStart w:id="254" w:name="_Toc31737"/>
      <w:bookmarkStart w:id="255" w:name="_Toc176689436"/>
      <w:bookmarkStart w:id="256" w:name="_Toc24035"/>
      <w:bookmarkStart w:id="257" w:name="_Toc183592566"/>
      <w:bookmarkStart w:id="258" w:name="_Toc23095"/>
      <w:bookmarkStart w:id="259" w:name="_Toc227642044"/>
      <w:bookmarkStart w:id="260" w:name="_Toc32451"/>
      <w:bookmarkStart w:id="261" w:name="_Toc12508"/>
      <w:bookmarkStart w:id="262" w:name="_Toc362393136"/>
      <w:bookmarkStart w:id="263" w:name="_Toc340759482"/>
      <w:r>
        <w:rPr>
          <w:color w:val="000000" w:themeColor="text1"/>
          <w:sz w:val="24"/>
          <w14:textFill>
            <w14:solidFill>
              <w14:schemeClr w14:val="tx1"/>
            </w14:solidFill>
          </w14:textFill>
        </w:rPr>
        <w:t>（1）年工作日：300天</w:t>
      </w:r>
    </w:p>
    <w:p w14:paraId="653C241C">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（2）生产班制：一班制，8小时/天生产。</w:t>
      </w:r>
    </w:p>
    <w:p w14:paraId="25FEBCA4">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2.8.2劳动定员</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14:paraId="0546DB0D">
      <w:pPr>
        <w:tabs>
          <w:tab w:val="left" w:pos="2395"/>
        </w:tabs>
        <w:spacing w:line="360" w:lineRule="auto"/>
        <w:ind w:left="50" w:right="50" w:firstLine="493"/>
        <w:jc w:val="left"/>
        <w:rPr>
          <w:color w:val="000000" w:themeColor="text1"/>
          <w:sz w:val="24"/>
          <w14:textFill>
            <w14:solidFill>
              <w14:schemeClr w14:val="tx1"/>
            </w14:solidFill>
          </w14:textFill>
        </w:rPr>
      </w:pPr>
      <w:bookmarkStart w:id="264" w:name="_Toc13832"/>
      <w:bookmarkStart w:id="265" w:name="_Toc14336"/>
      <w:bookmarkStart w:id="266" w:name="_Toc27371"/>
      <w:bookmarkStart w:id="267" w:name="_Toc30438"/>
      <w:bookmarkStart w:id="268" w:name="_Toc15665"/>
      <w:bookmarkStart w:id="269" w:name="_Toc359505249"/>
      <w:bookmarkStart w:id="270" w:name="_Toc7862"/>
      <w:bookmarkStart w:id="271" w:name="_Toc14742"/>
      <w:bookmarkStart w:id="272" w:name="_Toc5897"/>
      <w:bookmarkStart w:id="273" w:name="_Toc26084"/>
      <w:bookmarkStart w:id="274" w:name="_Toc13480"/>
      <w:bookmarkStart w:id="275" w:name="_Toc20418"/>
      <w:bookmarkStart w:id="276" w:name="_Toc362393137"/>
      <w:bookmarkStart w:id="277" w:name="_Toc26509"/>
      <w:bookmarkStart w:id="278" w:name="_Toc29629"/>
      <w:bookmarkStart w:id="279" w:name="_Toc11408"/>
      <w:r>
        <w:rPr>
          <w:color w:val="000000" w:themeColor="text1"/>
          <w:sz w:val="24"/>
          <w14:textFill>
            <w14:solidFill>
              <w14:schemeClr w14:val="tx1"/>
            </w14:solidFill>
          </w14:textFill>
        </w:rPr>
        <w:t>本项目劳动定员15人，其中管理与技术人员2人，工人13人，</w:t>
      </w:r>
      <w:r>
        <w:rPr>
          <w:bCs/>
          <w:color w:val="000000" w:themeColor="text1"/>
          <w:sz w:val="24"/>
          <w14:textFill>
            <w14:solidFill>
              <w14:schemeClr w14:val="tx1"/>
            </w14:solidFill>
          </w14:textFill>
        </w:rPr>
        <w:t>全部15名员工在住宿项目饮食</w:t>
      </w:r>
      <w:r>
        <w:rPr>
          <w:color w:val="000000" w:themeColor="text1"/>
          <w:sz w:val="24"/>
          <w14:textFill>
            <w14:solidFill>
              <w14:schemeClr w14:val="tx1"/>
            </w14:solidFill>
          </w14:textFill>
        </w:rPr>
        <w:t>。</w:t>
      </w:r>
    </w:p>
    <w:p w14:paraId="05283CFA">
      <w:pPr>
        <w:pStyle w:val="4"/>
        <w:rPr>
          <w:rFonts w:ascii="Times New Roman" w:hAnsi="Times New Roman"/>
          <w:color w:val="000000" w:themeColor="text1"/>
          <w14:textFill>
            <w14:solidFill>
              <w14:schemeClr w14:val="tx1"/>
            </w14:solidFill>
          </w14:textFill>
        </w:rPr>
      </w:pPr>
      <w:bookmarkStart w:id="280" w:name="_Toc2773745"/>
      <w:r>
        <w:rPr>
          <w:rFonts w:ascii="Times New Roman" w:hAnsi="Times New Roman"/>
          <w:color w:val="000000" w:themeColor="text1"/>
          <w14:textFill>
            <w14:solidFill>
              <w14:schemeClr w14:val="tx1"/>
            </w14:solidFill>
          </w14:textFill>
        </w:rPr>
        <w:t>2.9项目实施进度计划安排</w:t>
      </w:r>
      <w:bookmarkEnd w:id="232"/>
      <w:bookmarkEnd w:id="233"/>
      <w:bookmarkEnd w:id="234"/>
      <w:bookmarkEnd w:id="23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A601BB6">
      <w:pPr>
        <w:tabs>
          <w:tab w:val="left" w:pos="1936"/>
        </w:tabs>
        <w:spacing w:line="360" w:lineRule="auto"/>
        <w:ind w:firstLine="560" w:firstLineChars="200"/>
        <w:jc w:val="left"/>
        <w:rPr>
          <w:bCs/>
          <w:color w:val="000000" w:themeColor="text1"/>
          <w:spacing w:val="20"/>
          <w:kern w:val="0"/>
          <w:sz w:val="24"/>
          <w:szCs w:val="28"/>
          <w14:textFill>
            <w14:solidFill>
              <w14:schemeClr w14:val="tx1"/>
            </w14:solidFill>
          </w14:textFill>
        </w:rPr>
      </w:pPr>
      <w:r>
        <w:rPr>
          <w:bCs/>
          <w:color w:val="000000" w:themeColor="text1"/>
          <w:spacing w:val="20"/>
          <w:kern w:val="0"/>
          <w:sz w:val="24"/>
          <w:szCs w:val="28"/>
          <w14:textFill>
            <w14:solidFill>
              <w14:schemeClr w14:val="tx1"/>
            </w14:solidFill>
          </w14:textFill>
        </w:rPr>
        <w:t>本项目预计建设周期为2个月，计划2019年3月开工建设，2019年5月投入使用。</w:t>
      </w:r>
    </w:p>
    <w:p w14:paraId="223ACF67">
      <w:pPr>
        <w:tabs>
          <w:tab w:val="left" w:pos="1936"/>
        </w:tabs>
        <w:spacing w:line="360" w:lineRule="auto"/>
        <w:ind w:firstLine="480" w:firstLineChars="200"/>
        <w:jc w:val="left"/>
        <w:rPr>
          <w:color w:val="000000" w:themeColor="text1"/>
          <w:sz w:val="24"/>
          <w14:textFill>
            <w14:solidFill>
              <w14:schemeClr w14:val="tx1"/>
            </w14:solidFill>
          </w14:textFill>
        </w:rPr>
      </w:pPr>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14:paraId="49E436AE">
      <w:pPr>
        <w:widowControl/>
        <w:jc w:val="left"/>
        <w:rPr>
          <w:rFonts w:eastAsia="黑体"/>
          <w:b/>
          <w:bCs/>
          <w:color w:val="000000" w:themeColor="text1"/>
          <w:kern w:val="44"/>
          <w:sz w:val="36"/>
          <w:szCs w:val="36"/>
          <w14:textFill>
            <w14:solidFill>
              <w14:schemeClr w14:val="tx1"/>
            </w14:solidFill>
          </w14:textFill>
        </w:rPr>
      </w:pPr>
      <w:bookmarkStart w:id="281" w:name="_Toc290295758"/>
      <w:r>
        <w:rPr>
          <w:color w:val="000000" w:themeColor="text1"/>
          <w14:textFill>
            <w14:solidFill>
              <w14:schemeClr w14:val="tx1"/>
            </w14:solidFill>
          </w14:textFill>
        </w:rPr>
        <w:br w:type="page"/>
      </w:r>
    </w:p>
    <w:p w14:paraId="7FD11297">
      <w:pPr>
        <w:pStyle w:val="3"/>
        <w:rPr>
          <w:color w:val="000000" w:themeColor="text1"/>
          <w14:textFill>
            <w14:solidFill>
              <w14:schemeClr w14:val="tx1"/>
            </w14:solidFill>
          </w14:textFill>
        </w:rPr>
      </w:pPr>
      <w:bookmarkStart w:id="282" w:name="_Toc2773746"/>
      <w:r>
        <w:rPr>
          <w:color w:val="000000" w:themeColor="text1"/>
          <w14:textFill>
            <w14:solidFill>
              <w14:schemeClr w14:val="tx1"/>
            </w14:solidFill>
          </w14:textFill>
        </w:rPr>
        <w:t>3工程分析</w:t>
      </w:r>
      <w:bookmarkEnd w:id="164"/>
      <w:bookmarkEnd w:id="281"/>
      <w:bookmarkEnd w:id="282"/>
    </w:p>
    <w:p w14:paraId="279DDAB2">
      <w:pPr>
        <w:pStyle w:val="4"/>
        <w:rPr>
          <w:rFonts w:ascii="Times New Roman" w:hAnsi="Times New Roman"/>
          <w:color w:val="000000" w:themeColor="text1"/>
          <w14:textFill>
            <w14:solidFill>
              <w14:schemeClr w14:val="tx1"/>
            </w14:solidFill>
          </w14:textFill>
        </w:rPr>
      </w:pPr>
      <w:bookmarkStart w:id="283" w:name="_Toc362393140"/>
      <w:bookmarkStart w:id="284" w:name="_Toc2773747"/>
      <w:r>
        <w:rPr>
          <w:rFonts w:ascii="Times New Roman" w:hAnsi="Times New Roman"/>
          <w:color w:val="000000" w:themeColor="text1"/>
          <w14:textFill>
            <w14:solidFill>
              <w14:schemeClr w14:val="tx1"/>
            </w14:solidFill>
          </w14:textFill>
        </w:rPr>
        <w:t>3.1</w:t>
      </w:r>
      <w:bookmarkEnd w:id="283"/>
      <w:r>
        <w:rPr>
          <w:rFonts w:ascii="Times New Roman" w:hAnsi="Times New Roman"/>
          <w:color w:val="000000" w:themeColor="text1"/>
          <w14:textFill>
            <w14:solidFill>
              <w14:schemeClr w14:val="tx1"/>
            </w14:solidFill>
          </w14:textFill>
        </w:rPr>
        <w:t xml:space="preserve"> 生产工艺分析</w:t>
      </w:r>
      <w:bookmarkEnd w:id="284"/>
    </w:p>
    <w:p w14:paraId="4924363D">
      <w:pPr>
        <w:pStyle w:val="289"/>
        <w:spacing w:line="360" w:lineRule="auto"/>
        <w:ind w:left="51" w:right="51" w:firstLine="480" w:firstLineChars="200"/>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工艺流程简述：</w:t>
      </w:r>
      <w:r>
        <w:rPr>
          <w:bCs/>
          <w:color w:val="000000" w:themeColor="text1"/>
          <w:sz w:val="24"/>
          <w14:textFill>
            <w14:solidFill>
              <w14:schemeClr w14:val="tx1"/>
            </w14:solidFill>
          </w14:textFill>
        </w:rPr>
        <w:t>本项目新建一条塑料颗粒生产线及相应配套设施，年生产塑料颗粒5000t，采用工艺为直接再生利用，将回收的废旧塑料经过分类、清洗、破碎、直接加工成型造粒。</w:t>
      </w:r>
    </w:p>
    <w:p w14:paraId="5D8077BE">
      <w:pPr>
        <w:pStyle w:val="289"/>
        <w:spacing w:line="360" w:lineRule="auto"/>
        <w:ind w:left="51" w:right="51"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生产工艺可分为塑料清洗破碎工序和塑料造粒工序。</w:t>
      </w:r>
    </w:p>
    <w:p w14:paraId="160A0457">
      <w:pPr>
        <w:spacing w:line="360" w:lineRule="auto"/>
        <w:jc w:val="center"/>
        <w:rPr>
          <w:bCs/>
          <w:color w:val="000000" w:themeColor="text1"/>
          <w:szCs w:val="28"/>
          <w14:textFill>
            <w14:solidFill>
              <w14:schemeClr w14:val="tx1"/>
            </w14:solidFill>
          </w14:textFill>
        </w:rPr>
      </w:pPr>
      <w:bookmarkStart w:id="285" w:name="OLE_LINK2"/>
      <w:bookmarkStart w:id="286" w:name="OLE_LINK4"/>
      <w:bookmarkStart w:id="287" w:name="OLE_LINK3"/>
      <w:bookmarkStart w:id="288" w:name="_Toc363901311"/>
      <w:bookmarkStart w:id="289" w:name="_Toc348861032"/>
      <w:r>
        <w:rPr>
          <w:bCs/>
          <w:color w:val="000000" w:themeColor="text1"/>
          <w:szCs w:val="28"/>
          <w14:textFill>
            <w14:solidFill>
              <w14:schemeClr w14:val="tx1"/>
            </w14:solidFill>
          </w14:textFill>
        </w:rPr>
        <w:object>
          <v:shape id="_x0000_i1025" o:spt="75" type="#_x0000_t75" style="height:629.25pt;width:311.2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bookmarkEnd w:id="285"/>
      <w:bookmarkEnd w:id="286"/>
      <w:bookmarkEnd w:id="287"/>
    </w:p>
    <w:p w14:paraId="7BE49DE9">
      <w:pPr>
        <w:ind w:left="50" w:right="105" w:rightChars="5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图3.1-1   工艺流程、产污环节图</w:t>
      </w:r>
    </w:p>
    <w:p w14:paraId="4977CE6D">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3.1.1塑料破碎清洗工序</w:t>
      </w:r>
    </w:p>
    <w:p w14:paraId="4B9CB589">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（1）拆包</w:t>
      </w:r>
    </w:p>
    <w:p w14:paraId="4C4F2BA8">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将外购回来的废塑料瓶砖拆包，此过程会产生铁丝等固体废物。</w:t>
      </w:r>
    </w:p>
    <w:p w14:paraId="64629D81">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（2）人工分拣</w:t>
      </w:r>
    </w:p>
    <w:p w14:paraId="1FE7ACC5">
      <w:pPr>
        <w:spacing w:line="360" w:lineRule="auto"/>
        <w:ind w:left="105" w:leftChars="50" w:right="105" w:rightChars="50"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外购来的废塑料瓶进行人工分拣，分选出瓶盖及商标，同时分拣出不容易去除商标的瓶子（油瓶、酱油瓶等），进入</w:t>
      </w:r>
      <w:r>
        <w:rPr>
          <w:color w:val="000000" w:themeColor="text1"/>
          <w:sz w:val="24"/>
          <w14:textFill>
            <w14:solidFill>
              <w14:schemeClr w14:val="tx1"/>
            </w14:solidFill>
          </w14:textFill>
        </w:rPr>
        <w:t>剥</w:t>
      </w:r>
      <w:r>
        <w:rPr>
          <w:color w:val="000000" w:themeColor="text1"/>
          <w:kern w:val="0"/>
          <w:sz w:val="24"/>
          <w14:textFill>
            <w14:solidFill>
              <w14:schemeClr w14:val="tx1"/>
            </w14:solidFill>
          </w14:textFill>
        </w:rPr>
        <w:t>标机。</w:t>
      </w:r>
    </w:p>
    <w:p w14:paraId="19D45E14">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（3）剥标</w:t>
      </w:r>
    </w:p>
    <w:p w14:paraId="16233C0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利用剥标机脱去瓶子上的标签纸，此过程会有标签纸产生。</w:t>
      </w:r>
    </w:p>
    <w:p w14:paraId="0566C209">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（4）清洗</w:t>
      </w:r>
    </w:p>
    <w:p w14:paraId="795F7DF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将塑料瓶送入清洗机自动清洗，清洗过程清洗机自带加热功能，直接将冷水加热至70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)蒸煮约10s，清洗后的废水排入隔油池+沉淀池，处理后返回至蓄水池，回用清洗工序。</w:t>
      </w:r>
    </w:p>
    <w:p w14:paraId="1768B4FF">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（5）分选</w:t>
      </w:r>
    </w:p>
    <w:p w14:paraId="5120077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该工序利用分选机自动识别塑料瓶各种颜色，分别进行破碎。</w:t>
      </w:r>
    </w:p>
    <w:p w14:paraId="0EBD92D3">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（6）破碎</w:t>
      </w:r>
    </w:p>
    <w:p w14:paraId="6F0C920B">
      <w:pPr>
        <w:spacing w:line="360" w:lineRule="auto"/>
        <w:ind w:firstLine="480" w:firstLineChars="200"/>
        <w:rPr>
          <w:color w:val="FF0000"/>
          <w:sz w:val="24"/>
        </w:rPr>
      </w:pPr>
      <w:r>
        <w:rPr>
          <w:color w:val="FF0000"/>
          <w:sz w:val="24"/>
        </w:rPr>
        <w:t>废塑料瓶破碎采用湿式破碎，破碎系统密闭化，同时由于采用湿式破碎，因此破碎过程无粉尘产生。破碎后塑料片为直径1~2cm不规则片料。此过程会有废水和噪声产生。</w:t>
      </w:r>
    </w:p>
    <w:p w14:paraId="44EDD700">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（7）脱水</w:t>
      </w:r>
    </w:p>
    <w:p w14:paraId="55A79B1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由于采用湿式破碎，片料带有约20%的</w:t>
      </w:r>
      <w:r>
        <w:rPr>
          <w:rFonts w:hint="eastAsia"/>
          <w:color w:val="000000" w:themeColor="text1"/>
          <w:sz w:val="24"/>
          <w:lang w:eastAsia="zh-CN"/>
          <w14:textFill>
            <w14:solidFill>
              <w14:schemeClr w14:val="tx1"/>
            </w14:solidFill>
          </w14:textFill>
        </w:rPr>
        <w:t>水分</w:t>
      </w:r>
      <w:r>
        <w:rPr>
          <w:color w:val="000000" w:themeColor="text1"/>
          <w:sz w:val="24"/>
          <w14:textFill>
            <w14:solidFill>
              <w14:schemeClr w14:val="tx1"/>
            </w14:solidFill>
          </w14:textFill>
        </w:rPr>
        <w:t>，此工序将带水片料送入脱水机内，通过离心力将片料与水分离。此过程会有废水和噪声产生。</w:t>
      </w:r>
    </w:p>
    <w:p w14:paraId="787BD874">
      <w:pPr>
        <w:spacing w:line="360" w:lineRule="auto"/>
        <w:ind w:firstLine="480"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（8）半成品</w:t>
      </w:r>
    </w:p>
    <w:p w14:paraId="2CD1F457">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半成品—塑料片，进入造粒工序。</w:t>
      </w:r>
    </w:p>
    <w:p w14:paraId="3F9054AB">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3.1.2造粒工序工序</w:t>
      </w:r>
    </w:p>
    <w:p w14:paraId="500C303A">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（1）热熔挤出</w:t>
      </w:r>
    </w:p>
    <w:p w14:paraId="1CDFD8D0">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将前述工序所得塑料碎片作为塑料颗粒生产的原料，送入挤出机内，在挤出机中塑料在料筒中经电加热融化后利用螺杆的推力连续不断地将熔融料从模口挤出，此过程有噪声（N4）和废气（G1）产生。</w:t>
      </w:r>
    </w:p>
    <w:p w14:paraId="516E9ED9">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热熔挤出工序不添加任何阻燃剂、增塑剂等添加剂，采用直接再生方式，挤出造粒过程为单纯物理熔融变化过程。</w:t>
      </w:r>
    </w:p>
    <w:p w14:paraId="191712FB">
      <w:pPr>
        <w:spacing w:line="360" w:lineRule="auto"/>
        <w:ind w:firstLine="480" w:firstLineChars="20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废气产排分析：</w:t>
      </w:r>
      <w:r>
        <w:rPr>
          <w:color w:val="000000" w:themeColor="text1"/>
          <w:sz w:val="24"/>
          <w14:textFill>
            <w14:solidFill>
              <w14:schemeClr w14:val="tx1"/>
            </w14:solidFill>
          </w14:textFill>
        </w:rPr>
        <w:t>聚乙烯、聚丙烯加热温度控制在180-200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左右，聚乙烯和聚丙烯裂解温度分别为≥380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和350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，故无裂解废气产生，但在实际操作过程中，因料筒局部过热等其它原因，会有少量废气产生（G1），主要为乙烯、丙烯单体（以非甲烷总烃计）、少量颗粒物和异味。</w:t>
      </w:r>
    </w:p>
    <w:p w14:paraId="13865F71">
      <w:pPr>
        <w:spacing w:line="360" w:lineRule="auto"/>
        <w:ind w:firstLine="480" w:firstLineChars="20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废气处置措施：</w:t>
      </w:r>
      <w:r>
        <w:rPr>
          <w:color w:val="000000" w:themeColor="text1"/>
          <w:sz w:val="24"/>
          <w14:textFill>
            <w14:solidFill>
              <w14:schemeClr w14:val="tx1"/>
            </w14:solidFill>
          </w14:textFill>
        </w:rPr>
        <w:t>在此工序设置集气罩对废气进行收集，收集后的气体经“过滤棉+活性炭净化装置”处理后（收集效率80%，非甲烷总烃处理效率90%，颗粒物处理效率99%），通过15m高排气筒排放。</w:t>
      </w:r>
    </w:p>
    <w:p w14:paraId="4D5E6158">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（2）冷却</w:t>
      </w:r>
    </w:p>
    <w:p w14:paraId="1008C11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被挤出的塑料失去塑性变为条状，再经过冷却水槽冷却（与水直接接触），以免发生变形，冷却水排入循环水池冷却后，循环使用。</w:t>
      </w:r>
    </w:p>
    <w:p w14:paraId="46C13B8C">
      <w:pPr>
        <w:spacing w:line="360" w:lineRule="auto"/>
        <w:ind w:firstLine="480" w:firstLineChars="20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原理：</w:t>
      </w:r>
      <w:r>
        <w:rPr>
          <w:color w:val="000000" w:themeColor="text1"/>
          <w:sz w:val="24"/>
          <w14:textFill>
            <w14:solidFill>
              <w14:schemeClr w14:val="tx1"/>
            </w14:solidFill>
          </w14:textFill>
        </w:rPr>
        <w:t>塑料挤包层在离开机头后，应立即进行冷却，否则会在重力作用下发生变形，产品冷却是确保制品几何形状和内部结构的重要措施。</w:t>
      </w:r>
    </w:p>
    <w:p w14:paraId="6723F38B">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（3）切粒</w:t>
      </w:r>
    </w:p>
    <w:p w14:paraId="4421C37F">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冷却后的塑料进入切粒机切成圆柱状颗粒，即得到塑料颗粒成品。若产生部分不合格产品，可直接回用于热熔工序。此过程中切粒机会产生噪声（N5）。</w:t>
      </w:r>
    </w:p>
    <w:p w14:paraId="74E6C132">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（4）包装入库</w:t>
      </w:r>
    </w:p>
    <w:p w14:paraId="312EF25A">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塑料颗粒经人工包装后入库待售。</w:t>
      </w:r>
    </w:p>
    <w:p w14:paraId="56530536">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3.1.3工艺污染物及处置措施统计</w:t>
      </w:r>
    </w:p>
    <w:p w14:paraId="5478100B">
      <w:pPr>
        <w:jc w:val="center"/>
        <w:rPr>
          <w:b/>
          <w:color w:val="000000" w:themeColor="text1"/>
          <w14:textFill>
            <w14:solidFill>
              <w14:schemeClr w14:val="tx1"/>
            </w14:solidFill>
          </w14:textFill>
        </w:rPr>
      </w:pPr>
      <w:r>
        <w:rPr>
          <w:b/>
          <w:color w:val="000000" w:themeColor="text1"/>
          <w:sz w:val="24"/>
          <w14:textFill>
            <w14:solidFill>
              <w14:schemeClr w14:val="tx1"/>
            </w14:solidFill>
          </w14:textFill>
        </w:rPr>
        <w:t>表3.1-1  污染物产生点及处置措施</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51"/>
        <w:gridCol w:w="491"/>
        <w:gridCol w:w="1323"/>
        <w:gridCol w:w="1941"/>
        <w:gridCol w:w="4016"/>
      </w:tblGrid>
      <w:tr w14:paraId="709A25C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Align w:val="center"/>
          </w:tcPr>
          <w:p w14:paraId="1BDAECA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064" w:type="pct"/>
            <w:gridSpan w:val="2"/>
            <w:vAlign w:val="center"/>
          </w:tcPr>
          <w:p w14:paraId="7AFDCB1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产生点</w:t>
            </w:r>
          </w:p>
        </w:tc>
        <w:tc>
          <w:tcPr>
            <w:tcW w:w="1139" w:type="pct"/>
            <w:vAlign w:val="center"/>
          </w:tcPr>
          <w:p w14:paraId="3216E9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2356" w:type="pct"/>
            <w:vAlign w:val="center"/>
          </w:tcPr>
          <w:p w14:paraId="312E96D2">
            <w:pPr>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处置措施</w:t>
            </w:r>
          </w:p>
        </w:tc>
      </w:tr>
      <w:tr w14:paraId="24AF69B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restart"/>
            <w:vAlign w:val="center"/>
          </w:tcPr>
          <w:p w14:paraId="4FD0DA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064" w:type="pct"/>
            <w:gridSpan w:val="2"/>
            <w:vAlign w:val="center"/>
          </w:tcPr>
          <w:p w14:paraId="2EB1B0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食堂</w:t>
            </w:r>
          </w:p>
        </w:tc>
        <w:tc>
          <w:tcPr>
            <w:tcW w:w="1139" w:type="pct"/>
            <w:vAlign w:val="center"/>
          </w:tcPr>
          <w:p w14:paraId="7F100A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油烟</w:t>
            </w:r>
          </w:p>
        </w:tc>
        <w:tc>
          <w:tcPr>
            <w:tcW w:w="2356" w:type="pct"/>
            <w:vAlign w:val="center"/>
          </w:tcPr>
          <w:p w14:paraId="531DDE3B">
            <w:pPr>
              <w:jc w:val="center"/>
              <w:rPr>
                <w:color w:val="000000" w:themeColor="text1"/>
                <w:szCs w:val="21"/>
                <w14:textFill>
                  <w14:solidFill>
                    <w14:schemeClr w14:val="tx1"/>
                  </w14:solidFill>
                </w14:textFill>
              </w:rPr>
            </w:pPr>
            <w:r>
              <w:rPr>
                <w:bCs/>
                <w:color w:val="FF0000"/>
                <w:szCs w:val="21"/>
              </w:rPr>
              <w:t>食堂油烟经收集后，达标外排。</w:t>
            </w:r>
          </w:p>
        </w:tc>
      </w:tr>
      <w:tr w14:paraId="2436496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60144C5F">
            <w:pPr>
              <w:jc w:val="center"/>
              <w:rPr>
                <w:color w:val="000000" w:themeColor="text1"/>
                <w:szCs w:val="21"/>
                <w14:textFill>
                  <w14:solidFill>
                    <w14:schemeClr w14:val="tx1"/>
                  </w14:solidFill>
                </w14:textFill>
              </w:rPr>
            </w:pPr>
          </w:p>
        </w:tc>
        <w:tc>
          <w:tcPr>
            <w:tcW w:w="1064" w:type="pct"/>
            <w:gridSpan w:val="2"/>
            <w:vAlign w:val="center"/>
          </w:tcPr>
          <w:p w14:paraId="6E2279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热熔挤出G1</w:t>
            </w:r>
          </w:p>
        </w:tc>
        <w:tc>
          <w:tcPr>
            <w:tcW w:w="1139" w:type="pct"/>
            <w:vAlign w:val="center"/>
          </w:tcPr>
          <w:p w14:paraId="50359F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颗粒物、非甲烷总烃（乙烯、丙烯）、异味</w:t>
            </w:r>
          </w:p>
        </w:tc>
        <w:tc>
          <w:tcPr>
            <w:tcW w:w="2356" w:type="pct"/>
            <w:vAlign w:val="center"/>
          </w:tcPr>
          <w:p w14:paraId="57575D1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设置1套集气罩对废气进行收集，然后经“过滤棉+活性炭净化装置”处理后（收集效率90%，非甲烷总烃处理效率85%，颗粒物处理效率95%），通过15m高排气筒排放。</w:t>
            </w:r>
          </w:p>
        </w:tc>
      </w:tr>
      <w:tr w14:paraId="3CAA4A4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restart"/>
            <w:vAlign w:val="center"/>
          </w:tcPr>
          <w:p w14:paraId="770EE2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064" w:type="pct"/>
            <w:gridSpan w:val="2"/>
            <w:vAlign w:val="center"/>
          </w:tcPr>
          <w:p w14:paraId="7BE46E6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生活废水</w:t>
            </w:r>
          </w:p>
        </w:tc>
        <w:tc>
          <w:tcPr>
            <w:tcW w:w="1139" w:type="pct"/>
            <w:vAlign w:val="center"/>
          </w:tcPr>
          <w:p w14:paraId="0965A2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、SS、动植物油等等</w:t>
            </w:r>
          </w:p>
        </w:tc>
        <w:tc>
          <w:tcPr>
            <w:tcW w:w="2356" w:type="pct"/>
            <w:vAlign w:val="center"/>
          </w:tcPr>
          <w:p w14:paraId="10E4BF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厨房废水经1个隔油池处理后，与其它生活废水排入化粪池处理，定期委托周边村民清运，用于农作物施肥。</w:t>
            </w:r>
          </w:p>
        </w:tc>
      </w:tr>
      <w:tr w14:paraId="03D244F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79EEB18A">
            <w:pPr>
              <w:jc w:val="center"/>
              <w:rPr>
                <w:color w:val="000000" w:themeColor="text1"/>
                <w:szCs w:val="21"/>
                <w14:textFill>
                  <w14:solidFill>
                    <w14:schemeClr w14:val="tx1"/>
                  </w14:solidFill>
                </w14:textFill>
              </w:rPr>
            </w:pPr>
          </w:p>
        </w:tc>
        <w:tc>
          <w:tcPr>
            <w:tcW w:w="288" w:type="pct"/>
            <w:vMerge w:val="restart"/>
            <w:vAlign w:val="center"/>
          </w:tcPr>
          <w:p w14:paraId="20524E4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w:t>
            </w:r>
          </w:p>
        </w:tc>
        <w:tc>
          <w:tcPr>
            <w:tcW w:w="776" w:type="pct"/>
            <w:vAlign w:val="center"/>
          </w:tcPr>
          <w:p w14:paraId="259A5B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W1</w:t>
            </w:r>
          </w:p>
        </w:tc>
        <w:tc>
          <w:tcPr>
            <w:tcW w:w="1139" w:type="pct"/>
            <w:vAlign w:val="center"/>
          </w:tcPr>
          <w:p w14:paraId="11CAD4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、SS、动植物油等等</w:t>
            </w:r>
          </w:p>
        </w:tc>
        <w:tc>
          <w:tcPr>
            <w:tcW w:w="2356" w:type="pct"/>
            <w:vMerge w:val="restart"/>
            <w:vAlign w:val="center"/>
          </w:tcPr>
          <w:p w14:paraId="327DE9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生产废水均通过自建的隔油池+沉淀池处理后回用于生产。</w:t>
            </w:r>
          </w:p>
        </w:tc>
      </w:tr>
      <w:tr w14:paraId="7DC5761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3CD2A17A">
            <w:pPr>
              <w:jc w:val="center"/>
              <w:rPr>
                <w:color w:val="000000" w:themeColor="text1"/>
                <w:szCs w:val="21"/>
                <w14:textFill>
                  <w14:solidFill>
                    <w14:schemeClr w14:val="tx1"/>
                  </w14:solidFill>
                </w14:textFill>
              </w:rPr>
            </w:pPr>
          </w:p>
        </w:tc>
        <w:tc>
          <w:tcPr>
            <w:tcW w:w="288" w:type="pct"/>
            <w:vMerge w:val="continue"/>
            <w:vAlign w:val="center"/>
          </w:tcPr>
          <w:p w14:paraId="5DD3E933">
            <w:pPr>
              <w:jc w:val="center"/>
              <w:rPr>
                <w:color w:val="000000" w:themeColor="text1"/>
                <w:szCs w:val="21"/>
                <w14:textFill>
                  <w14:solidFill>
                    <w14:schemeClr w14:val="tx1"/>
                  </w14:solidFill>
                </w14:textFill>
              </w:rPr>
            </w:pPr>
          </w:p>
        </w:tc>
        <w:tc>
          <w:tcPr>
            <w:tcW w:w="776" w:type="pct"/>
            <w:vAlign w:val="center"/>
          </w:tcPr>
          <w:p w14:paraId="5276266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W2</w:t>
            </w:r>
          </w:p>
        </w:tc>
        <w:tc>
          <w:tcPr>
            <w:tcW w:w="1139" w:type="pct"/>
            <w:vAlign w:val="center"/>
          </w:tcPr>
          <w:p w14:paraId="424B00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、SS、动植物油等等</w:t>
            </w:r>
          </w:p>
        </w:tc>
        <w:tc>
          <w:tcPr>
            <w:tcW w:w="2356" w:type="pct"/>
            <w:vMerge w:val="continue"/>
            <w:vAlign w:val="center"/>
          </w:tcPr>
          <w:p w14:paraId="60274040">
            <w:pPr>
              <w:jc w:val="center"/>
              <w:rPr>
                <w:color w:val="000000" w:themeColor="text1"/>
                <w:szCs w:val="21"/>
                <w14:textFill>
                  <w14:solidFill>
                    <w14:schemeClr w14:val="tx1"/>
                  </w14:solidFill>
                </w14:textFill>
              </w:rPr>
            </w:pPr>
          </w:p>
        </w:tc>
      </w:tr>
      <w:tr w14:paraId="3F2F8A68">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565CFD8F">
            <w:pPr>
              <w:jc w:val="center"/>
              <w:rPr>
                <w:color w:val="000000" w:themeColor="text1"/>
                <w:szCs w:val="21"/>
                <w14:textFill>
                  <w14:solidFill>
                    <w14:schemeClr w14:val="tx1"/>
                  </w14:solidFill>
                </w14:textFill>
              </w:rPr>
            </w:pPr>
          </w:p>
        </w:tc>
        <w:tc>
          <w:tcPr>
            <w:tcW w:w="1064" w:type="pct"/>
            <w:gridSpan w:val="2"/>
            <w:vAlign w:val="center"/>
          </w:tcPr>
          <w:p w14:paraId="0C92F5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塑料冷却</w:t>
            </w:r>
          </w:p>
        </w:tc>
        <w:tc>
          <w:tcPr>
            <w:tcW w:w="1139" w:type="pct"/>
            <w:vAlign w:val="center"/>
          </w:tcPr>
          <w:p w14:paraId="492A5B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2356" w:type="pct"/>
            <w:vAlign w:val="center"/>
          </w:tcPr>
          <w:p w14:paraId="56A2CD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循环水池冷却后，循环使用。</w:t>
            </w:r>
          </w:p>
        </w:tc>
      </w:tr>
      <w:tr w14:paraId="39705B8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restart"/>
            <w:vAlign w:val="center"/>
          </w:tcPr>
          <w:p w14:paraId="3A57C8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064" w:type="pct"/>
            <w:gridSpan w:val="2"/>
            <w:vAlign w:val="center"/>
          </w:tcPr>
          <w:p w14:paraId="3E569E6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拆包</w:t>
            </w:r>
          </w:p>
        </w:tc>
        <w:tc>
          <w:tcPr>
            <w:tcW w:w="1139" w:type="pct"/>
            <w:vAlign w:val="center"/>
          </w:tcPr>
          <w:p w14:paraId="212F54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杂物S1</w:t>
            </w:r>
          </w:p>
        </w:tc>
        <w:tc>
          <w:tcPr>
            <w:tcW w:w="2356" w:type="pct"/>
            <w:vAlign w:val="center"/>
          </w:tcPr>
          <w:p w14:paraId="3D975F08">
            <w:pPr>
              <w:ind w:left="51" w:right="51"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杂物主要为金属、大块砂渣等，属于一般工业固体废物，分类收集后，一部分外卖，其余外运至最近村庄垃圾收集点处理，禁止随意丢弃。</w:t>
            </w:r>
          </w:p>
        </w:tc>
      </w:tr>
      <w:tr w14:paraId="34C57B9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2E271124">
            <w:pPr>
              <w:jc w:val="center"/>
              <w:rPr>
                <w:color w:val="000000" w:themeColor="text1"/>
                <w:szCs w:val="21"/>
                <w14:textFill>
                  <w14:solidFill>
                    <w14:schemeClr w14:val="tx1"/>
                  </w14:solidFill>
                </w14:textFill>
              </w:rPr>
            </w:pPr>
          </w:p>
        </w:tc>
        <w:tc>
          <w:tcPr>
            <w:tcW w:w="1064" w:type="pct"/>
            <w:gridSpan w:val="2"/>
            <w:vAlign w:val="center"/>
          </w:tcPr>
          <w:p w14:paraId="46392F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剥离</w:t>
            </w:r>
          </w:p>
        </w:tc>
        <w:tc>
          <w:tcPr>
            <w:tcW w:w="1139" w:type="pct"/>
            <w:vAlign w:val="center"/>
          </w:tcPr>
          <w:p w14:paraId="4DC33A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剥离废标签纸S2</w:t>
            </w:r>
          </w:p>
        </w:tc>
        <w:tc>
          <w:tcPr>
            <w:tcW w:w="2356" w:type="pct"/>
            <w:vAlign w:val="center"/>
          </w:tcPr>
          <w:p w14:paraId="0EE418A7">
            <w:pPr>
              <w:ind w:left="51" w:right="51"/>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剥离废标签纸，这部分废标签纸外卖处理。</w:t>
            </w:r>
          </w:p>
        </w:tc>
      </w:tr>
      <w:tr w14:paraId="091C3BB8">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49250CD4">
            <w:pPr>
              <w:jc w:val="center"/>
              <w:rPr>
                <w:color w:val="000000" w:themeColor="text1"/>
                <w:szCs w:val="21"/>
                <w14:textFill>
                  <w14:solidFill>
                    <w14:schemeClr w14:val="tx1"/>
                  </w14:solidFill>
                </w14:textFill>
              </w:rPr>
            </w:pPr>
          </w:p>
        </w:tc>
        <w:tc>
          <w:tcPr>
            <w:tcW w:w="1064" w:type="pct"/>
            <w:gridSpan w:val="2"/>
            <w:vAlign w:val="center"/>
          </w:tcPr>
          <w:p w14:paraId="7B19BE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生产废水隔油池、沉淀池</w:t>
            </w:r>
          </w:p>
        </w:tc>
        <w:tc>
          <w:tcPr>
            <w:tcW w:w="1139" w:type="pct"/>
            <w:vAlign w:val="center"/>
          </w:tcPr>
          <w:p w14:paraId="261B24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隔油池废油、沉淀池污泥</w:t>
            </w:r>
          </w:p>
        </w:tc>
        <w:tc>
          <w:tcPr>
            <w:tcW w:w="2356" w:type="pct"/>
            <w:vAlign w:val="center"/>
          </w:tcPr>
          <w:p w14:paraId="594CC1F3">
            <w:pPr>
              <w:ind w:left="51" w:right="51"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隔油池废油、沉淀池污泥外运至生活垃圾填埋场处置。</w:t>
            </w:r>
          </w:p>
        </w:tc>
      </w:tr>
      <w:tr w14:paraId="6AA0DDB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0C69DBAC">
            <w:pPr>
              <w:jc w:val="center"/>
              <w:rPr>
                <w:color w:val="000000" w:themeColor="text1"/>
                <w:szCs w:val="21"/>
                <w14:textFill>
                  <w14:solidFill>
                    <w14:schemeClr w14:val="tx1"/>
                  </w14:solidFill>
                </w14:textFill>
              </w:rPr>
            </w:pPr>
          </w:p>
        </w:tc>
        <w:tc>
          <w:tcPr>
            <w:tcW w:w="1064" w:type="pct"/>
            <w:gridSpan w:val="2"/>
            <w:vAlign w:val="center"/>
          </w:tcPr>
          <w:p w14:paraId="34A2C78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员工生活、办公</w:t>
            </w:r>
          </w:p>
        </w:tc>
        <w:tc>
          <w:tcPr>
            <w:tcW w:w="1139" w:type="pct"/>
            <w:vAlign w:val="center"/>
          </w:tcPr>
          <w:p w14:paraId="4C2A0D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2356" w:type="pct"/>
            <w:vAlign w:val="center"/>
          </w:tcPr>
          <w:p w14:paraId="1976F0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运至生活垃圾填埋场处置。</w:t>
            </w:r>
          </w:p>
        </w:tc>
      </w:tr>
    </w:tbl>
    <w:p w14:paraId="223A8757">
      <w:pPr>
        <w:rPr>
          <w:color w:val="000000" w:themeColor="text1"/>
          <w14:textFill>
            <w14:solidFill>
              <w14:schemeClr w14:val="tx1"/>
            </w14:solidFill>
          </w14:textFill>
        </w:rPr>
      </w:pPr>
    </w:p>
    <w:p w14:paraId="79008613">
      <w:pPr>
        <w:pStyle w:val="4"/>
        <w:rPr>
          <w:rFonts w:ascii="Times New Roman" w:hAnsi="Times New Roman"/>
          <w:color w:val="000000" w:themeColor="text1"/>
          <w14:textFill>
            <w14:solidFill>
              <w14:schemeClr w14:val="tx1"/>
            </w14:solidFill>
          </w14:textFill>
        </w:rPr>
      </w:pPr>
      <w:bookmarkStart w:id="290" w:name="_Toc2773748"/>
      <w:r>
        <w:rPr>
          <w:rFonts w:ascii="Times New Roman" w:hAnsi="Times New Roman"/>
          <w:color w:val="000000" w:themeColor="text1"/>
          <w14:textFill>
            <w14:solidFill>
              <w14:schemeClr w14:val="tx1"/>
            </w14:solidFill>
          </w14:textFill>
        </w:rPr>
        <w:t>3.2物料衡算</w:t>
      </w:r>
      <w:bookmarkEnd w:id="288"/>
      <w:bookmarkEnd w:id="289"/>
      <w:bookmarkEnd w:id="290"/>
    </w:p>
    <w:p w14:paraId="3B591A89">
      <w:pPr>
        <w:pStyle w:val="18"/>
        <w:spacing w:after="0"/>
        <w:ind w:left="0" w:left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表3.2-1  物料平衡一览表</w:t>
      </w:r>
    </w:p>
    <w:tbl>
      <w:tblPr>
        <w:tblStyle w:val="42"/>
        <w:tblW w:w="5000"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08"/>
        <w:gridCol w:w="1132"/>
        <w:gridCol w:w="854"/>
        <w:gridCol w:w="2269"/>
        <w:gridCol w:w="1198"/>
        <w:gridCol w:w="1261"/>
      </w:tblGrid>
      <w:tr w14:paraId="37E813B6">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226" w:type="pct"/>
            <w:gridSpan w:val="3"/>
            <w:vAlign w:val="center"/>
          </w:tcPr>
          <w:p w14:paraId="4970E3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进项</w:t>
            </w:r>
          </w:p>
        </w:tc>
        <w:tc>
          <w:tcPr>
            <w:tcW w:w="2774" w:type="pct"/>
            <w:gridSpan w:val="3"/>
            <w:vAlign w:val="center"/>
          </w:tcPr>
          <w:p w14:paraId="2BF6E4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出项</w:t>
            </w:r>
          </w:p>
        </w:tc>
      </w:tr>
      <w:tr w14:paraId="36B7177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61" w:type="pct"/>
            <w:vAlign w:val="center"/>
          </w:tcPr>
          <w:p w14:paraId="2DABC2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664" w:type="pct"/>
            <w:vAlign w:val="center"/>
          </w:tcPr>
          <w:p w14:paraId="720D95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w:t>
            </w:r>
          </w:p>
          <w:p w14:paraId="255039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501" w:type="pct"/>
            <w:vAlign w:val="center"/>
          </w:tcPr>
          <w:p w14:paraId="2093D8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百分比</w:t>
            </w:r>
          </w:p>
          <w:p w14:paraId="44608C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31" w:type="pct"/>
            <w:vAlign w:val="center"/>
          </w:tcPr>
          <w:p w14:paraId="149F6A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703" w:type="pct"/>
            <w:vAlign w:val="center"/>
          </w:tcPr>
          <w:p w14:paraId="14DFF7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年产量</w:t>
            </w:r>
          </w:p>
          <w:p w14:paraId="011619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740" w:type="pct"/>
            <w:vAlign w:val="center"/>
          </w:tcPr>
          <w:p w14:paraId="4754D5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百分比</w:t>
            </w:r>
          </w:p>
          <w:p w14:paraId="7BEC663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7DD0C1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61" w:type="pct"/>
            <w:vAlign w:val="center"/>
          </w:tcPr>
          <w:p w14:paraId="1674A9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废旧塑料</w:t>
            </w:r>
          </w:p>
        </w:tc>
        <w:tc>
          <w:tcPr>
            <w:tcW w:w="664" w:type="pct"/>
            <w:vAlign w:val="center"/>
          </w:tcPr>
          <w:p w14:paraId="40E6526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5005.3</w:t>
            </w:r>
          </w:p>
        </w:tc>
        <w:tc>
          <w:tcPr>
            <w:tcW w:w="501" w:type="pct"/>
            <w:vAlign w:val="center"/>
          </w:tcPr>
          <w:p w14:paraId="5C412F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331" w:type="pct"/>
            <w:vAlign w:val="center"/>
          </w:tcPr>
          <w:p w14:paraId="66C04D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拆包、人工分选杂物</w:t>
            </w:r>
          </w:p>
        </w:tc>
        <w:tc>
          <w:tcPr>
            <w:tcW w:w="703" w:type="pct"/>
            <w:vAlign w:val="center"/>
          </w:tcPr>
          <w:p w14:paraId="26CAC3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740" w:type="pct"/>
            <w:vAlign w:val="center"/>
          </w:tcPr>
          <w:p w14:paraId="05A0AA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0.050 </w:t>
            </w:r>
          </w:p>
        </w:tc>
      </w:tr>
      <w:tr w14:paraId="3373333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61" w:type="pct"/>
            <w:vAlign w:val="center"/>
          </w:tcPr>
          <w:p w14:paraId="46D85778">
            <w:pPr>
              <w:jc w:val="center"/>
              <w:rPr>
                <w:color w:val="000000" w:themeColor="text1"/>
                <w:szCs w:val="21"/>
                <w14:textFill>
                  <w14:solidFill>
                    <w14:schemeClr w14:val="tx1"/>
                  </w14:solidFill>
                </w14:textFill>
              </w:rPr>
            </w:pPr>
          </w:p>
        </w:tc>
        <w:tc>
          <w:tcPr>
            <w:tcW w:w="664" w:type="pct"/>
            <w:vAlign w:val="center"/>
          </w:tcPr>
          <w:p w14:paraId="37C9F7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w:t>
            </w:r>
          </w:p>
        </w:tc>
        <w:tc>
          <w:tcPr>
            <w:tcW w:w="501" w:type="pct"/>
            <w:vAlign w:val="center"/>
          </w:tcPr>
          <w:p w14:paraId="65F1F6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w:t>
            </w:r>
          </w:p>
        </w:tc>
        <w:tc>
          <w:tcPr>
            <w:tcW w:w="1331" w:type="pct"/>
            <w:vAlign w:val="center"/>
          </w:tcPr>
          <w:p w14:paraId="757C45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剥离废标签纸</w:t>
            </w:r>
          </w:p>
        </w:tc>
        <w:tc>
          <w:tcPr>
            <w:tcW w:w="703" w:type="pct"/>
            <w:vAlign w:val="center"/>
          </w:tcPr>
          <w:p w14:paraId="153C07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w:t>
            </w:r>
          </w:p>
        </w:tc>
        <w:tc>
          <w:tcPr>
            <w:tcW w:w="740" w:type="pct"/>
            <w:vAlign w:val="center"/>
          </w:tcPr>
          <w:p w14:paraId="40DF40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0.016 </w:t>
            </w:r>
          </w:p>
        </w:tc>
      </w:tr>
      <w:tr w14:paraId="4A3AEBA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061" w:type="pct"/>
            <w:vAlign w:val="center"/>
          </w:tcPr>
          <w:p w14:paraId="3B4419A3">
            <w:pPr>
              <w:jc w:val="center"/>
              <w:rPr>
                <w:color w:val="000000" w:themeColor="text1"/>
                <w:szCs w:val="21"/>
                <w14:textFill>
                  <w14:solidFill>
                    <w14:schemeClr w14:val="tx1"/>
                  </w14:solidFill>
                </w14:textFill>
              </w:rPr>
            </w:pPr>
          </w:p>
        </w:tc>
        <w:tc>
          <w:tcPr>
            <w:tcW w:w="664" w:type="pct"/>
            <w:vAlign w:val="center"/>
          </w:tcPr>
          <w:p w14:paraId="71AC709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w:t>
            </w:r>
          </w:p>
        </w:tc>
        <w:tc>
          <w:tcPr>
            <w:tcW w:w="501" w:type="pct"/>
            <w:vAlign w:val="center"/>
          </w:tcPr>
          <w:p w14:paraId="3D671B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w:t>
            </w:r>
          </w:p>
        </w:tc>
        <w:tc>
          <w:tcPr>
            <w:tcW w:w="1331" w:type="pct"/>
            <w:vAlign w:val="center"/>
          </w:tcPr>
          <w:p w14:paraId="5FF2BE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外排颗粒物</w:t>
            </w:r>
          </w:p>
        </w:tc>
        <w:tc>
          <w:tcPr>
            <w:tcW w:w="703" w:type="pct"/>
            <w:vAlign w:val="center"/>
          </w:tcPr>
          <w:p w14:paraId="5CBEBE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0.25</w:t>
            </w:r>
          </w:p>
        </w:tc>
        <w:tc>
          <w:tcPr>
            <w:tcW w:w="740" w:type="pct"/>
            <w:vAlign w:val="center"/>
          </w:tcPr>
          <w:p w14:paraId="4C9251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0.005 </w:t>
            </w:r>
          </w:p>
        </w:tc>
      </w:tr>
      <w:tr w14:paraId="2B11AF3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061" w:type="pct"/>
            <w:vAlign w:val="center"/>
          </w:tcPr>
          <w:p w14:paraId="11C8970E">
            <w:pPr>
              <w:jc w:val="center"/>
              <w:rPr>
                <w:color w:val="000000" w:themeColor="text1"/>
                <w:szCs w:val="21"/>
                <w14:textFill>
                  <w14:solidFill>
                    <w14:schemeClr w14:val="tx1"/>
                  </w14:solidFill>
                </w14:textFill>
              </w:rPr>
            </w:pPr>
          </w:p>
        </w:tc>
        <w:tc>
          <w:tcPr>
            <w:tcW w:w="664" w:type="pct"/>
            <w:vAlign w:val="center"/>
          </w:tcPr>
          <w:p w14:paraId="5A70A7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w:t>
            </w:r>
          </w:p>
        </w:tc>
        <w:tc>
          <w:tcPr>
            <w:tcW w:w="501" w:type="pct"/>
            <w:vAlign w:val="center"/>
          </w:tcPr>
          <w:p w14:paraId="6CCE44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w:t>
            </w:r>
          </w:p>
        </w:tc>
        <w:tc>
          <w:tcPr>
            <w:tcW w:w="1331" w:type="pct"/>
            <w:vAlign w:val="center"/>
          </w:tcPr>
          <w:p w14:paraId="543197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外排非甲烷总烃</w:t>
            </w:r>
          </w:p>
        </w:tc>
        <w:tc>
          <w:tcPr>
            <w:tcW w:w="703" w:type="pct"/>
            <w:vAlign w:val="center"/>
          </w:tcPr>
          <w:p w14:paraId="060A220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1.75</w:t>
            </w:r>
          </w:p>
        </w:tc>
        <w:tc>
          <w:tcPr>
            <w:tcW w:w="740" w:type="pct"/>
            <w:vAlign w:val="center"/>
          </w:tcPr>
          <w:p w14:paraId="596C34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0.035 </w:t>
            </w:r>
          </w:p>
        </w:tc>
      </w:tr>
      <w:tr w14:paraId="6080E45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061" w:type="pct"/>
            <w:vAlign w:val="center"/>
          </w:tcPr>
          <w:p w14:paraId="6116D2FE">
            <w:pPr>
              <w:jc w:val="center"/>
              <w:rPr>
                <w:color w:val="000000" w:themeColor="text1"/>
                <w:szCs w:val="21"/>
                <w14:textFill>
                  <w14:solidFill>
                    <w14:schemeClr w14:val="tx1"/>
                  </w14:solidFill>
                </w14:textFill>
              </w:rPr>
            </w:pPr>
          </w:p>
        </w:tc>
        <w:tc>
          <w:tcPr>
            <w:tcW w:w="664" w:type="pct"/>
            <w:vAlign w:val="center"/>
          </w:tcPr>
          <w:p w14:paraId="4807C13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w:t>
            </w:r>
          </w:p>
        </w:tc>
        <w:tc>
          <w:tcPr>
            <w:tcW w:w="501" w:type="pct"/>
            <w:vAlign w:val="center"/>
          </w:tcPr>
          <w:p w14:paraId="696F66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w:t>
            </w:r>
          </w:p>
        </w:tc>
        <w:tc>
          <w:tcPr>
            <w:tcW w:w="1331" w:type="pct"/>
            <w:vAlign w:val="center"/>
          </w:tcPr>
          <w:p w14:paraId="09B373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塑料颗粒</w:t>
            </w:r>
          </w:p>
        </w:tc>
        <w:tc>
          <w:tcPr>
            <w:tcW w:w="703" w:type="pct"/>
            <w:vAlign w:val="center"/>
          </w:tcPr>
          <w:p w14:paraId="764F1E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5000</w:t>
            </w:r>
          </w:p>
        </w:tc>
        <w:tc>
          <w:tcPr>
            <w:tcW w:w="740" w:type="pct"/>
            <w:vAlign w:val="center"/>
          </w:tcPr>
          <w:p w14:paraId="7FE822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99.894 </w:t>
            </w:r>
          </w:p>
        </w:tc>
      </w:tr>
      <w:tr w14:paraId="6918EAA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61" w:type="pct"/>
            <w:vAlign w:val="center"/>
          </w:tcPr>
          <w:p w14:paraId="23B7BB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664" w:type="pct"/>
            <w:vAlign w:val="center"/>
          </w:tcPr>
          <w:p w14:paraId="623CD82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5005.3</w:t>
            </w:r>
          </w:p>
        </w:tc>
        <w:tc>
          <w:tcPr>
            <w:tcW w:w="501" w:type="pct"/>
            <w:vAlign w:val="center"/>
          </w:tcPr>
          <w:p w14:paraId="25EA3B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331" w:type="pct"/>
            <w:vAlign w:val="center"/>
          </w:tcPr>
          <w:p w14:paraId="53A7AC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703" w:type="pct"/>
            <w:vAlign w:val="center"/>
          </w:tcPr>
          <w:p w14:paraId="380684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5005.3</w:t>
            </w:r>
          </w:p>
        </w:tc>
        <w:tc>
          <w:tcPr>
            <w:tcW w:w="740" w:type="pct"/>
            <w:vAlign w:val="center"/>
          </w:tcPr>
          <w:p w14:paraId="068F3F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r>
    </w:tbl>
    <w:p w14:paraId="589EBE12">
      <w:pPr>
        <w:jc w:val="center"/>
        <w:rPr>
          <w:b/>
          <w:color w:val="000000" w:themeColor="text1"/>
          <w:sz w:val="24"/>
          <w14:textFill>
            <w14:solidFill>
              <w14:schemeClr w14:val="tx1"/>
            </w14:solidFill>
          </w14:textFill>
        </w:rPr>
      </w:pPr>
      <w:r>
        <w:rPr>
          <w:bCs/>
          <w:color w:val="000000" w:themeColor="text1"/>
          <w:szCs w:val="28"/>
          <w14:textFill>
            <w14:solidFill>
              <w14:schemeClr w14:val="tx1"/>
            </w14:solidFill>
          </w14:textFill>
        </w:rPr>
        <w:object>
          <v:shape id="_x0000_i1026" o:spt="75" type="#_x0000_t75" style="height:660pt;width:324.75pt;" o:ole="t" filled="f" o:preferrelative="t" stroked="f" coordsize="21600,21600">
            <v:path/>
            <v:fill on="f" focussize="0,0"/>
            <v:stroke on="f" joinstyle="miter"/>
            <v:imagedata r:id="rId16" o:title=""/>
            <o:lock v:ext="edit" aspectratio="t"/>
            <w10:wrap type="none"/>
            <w10:anchorlock/>
          </v:shape>
          <o:OLEObject Type="Embed" ProgID="Visio.Drawing.11" ShapeID="_x0000_i1026" DrawAspect="Content" ObjectID="_1468075726" r:id="rId15">
            <o:LockedField>false</o:LockedField>
          </o:OLEObject>
        </w:object>
      </w:r>
    </w:p>
    <w:p w14:paraId="79812579">
      <w:pPr>
        <w:spacing w:line="360" w:lineRule="auto"/>
        <w:ind w:firstLine="480" w:firstLineChars="200"/>
        <w:jc w:val="center"/>
        <w:rPr>
          <w:b/>
          <w:color w:val="FF0000"/>
          <w:sz w:val="24"/>
        </w:rPr>
      </w:pPr>
      <w:r>
        <w:rPr>
          <w:b/>
          <w:color w:val="FF0000"/>
          <w:sz w:val="24"/>
        </w:rPr>
        <w:t>图3.2-1  物料平衡图（单位：t/a）</w:t>
      </w:r>
    </w:p>
    <w:p w14:paraId="1E4DCE1D">
      <w:pPr>
        <w:pStyle w:val="4"/>
        <w:spacing w:before="156" w:beforeLines="50"/>
        <w:rPr>
          <w:rFonts w:ascii="Times New Roman" w:hAnsi="Times New Roman"/>
          <w:color w:val="000000" w:themeColor="text1"/>
          <w14:textFill>
            <w14:solidFill>
              <w14:schemeClr w14:val="tx1"/>
            </w14:solidFill>
          </w14:textFill>
        </w:rPr>
      </w:pPr>
      <w:bookmarkStart w:id="291" w:name="_Toc286241639"/>
      <w:bookmarkStart w:id="292" w:name="_Toc285547567"/>
      <w:bookmarkStart w:id="293" w:name="_Toc2773749"/>
      <w:bookmarkStart w:id="294" w:name="_Toc285542742"/>
      <w:bookmarkStart w:id="295" w:name="_Toc285541522"/>
      <w:bookmarkStart w:id="296" w:name="_Toc348861033"/>
      <w:bookmarkStart w:id="297" w:name="_Toc363901312"/>
      <w:r>
        <w:rPr>
          <w:rFonts w:ascii="Times New Roman" w:hAnsi="Times New Roman"/>
          <w:color w:val="000000" w:themeColor="text1"/>
          <w14:textFill>
            <w14:solidFill>
              <w14:schemeClr w14:val="tx1"/>
            </w14:solidFill>
          </w14:textFill>
        </w:rPr>
        <w:t>3.3给排水及水量平衡</w:t>
      </w:r>
      <w:bookmarkEnd w:id="291"/>
      <w:bookmarkEnd w:id="292"/>
      <w:bookmarkEnd w:id="293"/>
      <w:bookmarkEnd w:id="294"/>
      <w:bookmarkEnd w:id="295"/>
      <w:bookmarkEnd w:id="296"/>
      <w:bookmarkEnd w:id="297"/>
    </w:p>
    <w:p w14:paraId="79A483FD">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本项目建成后，废水主要为生活污水和生产废水。</w:t>
      </w:r>
    </w:p>
    <w:p w14:paraId="480D4A81">
      <w:pPr>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生活污水：</w:t>
      </w:r>
      <w:r>
        <w:rPr>
          <w:color w:val="000000" w:themeColor="text1"/>
          <w:sz w:val="24"/>
          <w14:textFill>
            <w14:solidFill>
              <w14:schemeClr w14:val="tx1"/>
            </w14:solidFill>
          </w14:textFill>
        </w:rPr>
        <w:t>主要为办公废水、职工生活废水等；</w:t>
      </w:r>
    </w:p>
    <w:p w14:paraId="1B1D4019">
      <w:pPr>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生产废水：</w:t>
      </w:r>
      <w:r>
        <w:rPr>
          <w:color w:val="000000" w:themeColor="text1"/>
          <w:sz w:val="24"/>
          <w14:textFill>
            <w14:solidFill>
              <w14:schemeClr w14:val="tx1"/>
            </w14:solidFill>
          </w14:textFill>
        </w:rPr>
        <w:t>主要来自于塑料清洗剂破碎废水，塑料造粒冷却循环水。</w:t>
      </w:r>
    </w:p>
    <w:p w14:paraId="502520F3">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3.3.1生产废水</w:t>
      </w:r>
    </w:p>
    <w:p w14:paraId="3A0A5939">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1、塑料破碎清洗工序给排水</w:t>
      </w:r>
    </w:p>
    <w:p w14:paraId="19013424">
      <w:pPr>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类比《临沂鸿泰塑业有限公司废旧塑料回收综合利用项目环保竣工验收报告》，该项目年产5万吨塑料颗粒，原辅料及工艺与本项目大体一致，根据该竣工验收报告实际生产统计数据，清洗、破碎过程中用水量为2.4t/t塑料，其中清洗占80%，破碎占20%。</w:t>
      </w:r>
    </w:p>
    <w:p w14:paraId="4390B7B7">
      <w:pPr>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清洗过程中由于水温较高，损耗按30%计；破碎甩干过程损耗按10%计；</w:t>
      </w:r>
    </w:p>
    <w:p w14:paraId="1B7075FC">
      <w:pPr>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本项目清洗、破碎（甩干）废水经</w:t>
      </w:r>
      <w:r>
        <w:rPr>
          <w:bCs/>
          <w:color w:val="000000" w:themeColor="text1"/>
          <w:sz w:val="24"/>
          <w14:textFill>
            <w14:solidFill>
              <w14:schemeClr w14:val="tx1"/>
            </w14:solidFill>
          </w14:textFill>
        </w:rPr>
        <w:t>隔油池+沉淀池</w:t>
      </w:r>
      <w:r>
        <w:rPr>
          <w:color w:val="000000" w:themeColor="text1"/>
          <w:kern w:val="0"/>
          <w:sz w:val="24"/>
          <w14:textFill>
            <w14:solidFill>
              <w14:schemeClr w14:val="tx1"/>
            </w14:solidFill>
          </w14:textFill>
        </w:rPr>
        <w:t>处理后，循环使用，不外排。</w:t>
      </w:r>
    </w:p>
    <w:p w14:paraId="1AEB1F9D">
      <w:pPr>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综上，本项目清洗环节用水量为40m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/d（每天清洗塑料量为16.67t/d），排水量为28 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w:t>
      </w:r>
    </w:p>
    <w:p w14:paraId="3A6EA129">
      <w:pPr>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破碎过程用水量为10m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/d（每天破碎塑料量为16.67t/d），排水量为9m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w:t>
      </w:r>
    </w:p>
    <w:p w14:paraId="25752FE0">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2、塑料造粒工序给排水</w:t>
      </w:r>
    </w:p>
    <w:p w14:paraId="4243C3B2">
      <w:pPr>
        <w:spacing w:line="360" w:lineRule="auto"/>
        <w:ind w:left="105" w:leftChars="50" w:right="105" w:rightChars="50"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根据建设方提供的设计资料，本项目设置两台造粒机，各配套一个冷却水槽，共用一个冷却水循环系统，本项目冷却水循环水量为2</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/h（16m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w:t>
      </w:r>
      <w:r>
        <w:rPr>
          <w:rFonts w:eastAsiaTheme="minorEastAsia"/>
          <w:bCs/>
          <w:color w:val="000000" w:themeColor="text1"/>
          <w:sz w:val="24"/>
          <w:szCs w:val="28"/>
          <w14:textFill>
            <w14:solidFill>
              <w14:schemeClr w14:val="tx1"/>
            </w14:solidFill>
          </w14:textFill>
        </w:rPr>
        <w:t>循环水重复利用不外排（沉淀处理，定期打捞），每天因蒸发损失（损耗按20%计）需补充水约3.2m</w:t>
      </w:r>
      <w:r>
        <w:rPr>
          <w:rFonts w:eastAsiaTheme="minorEastAsia"/>
          <w:bCs/>
          <w:color w:val="000000" w:themeColor="text1"/>
          <w:sz w:val="24"/>
          <w:szCs w:val="28"/>
          <w:vertAlign w:val="superscript"/>
          <w14:textFill>
            <w14:solidFill>
              <w14:schemeClr w14:val="tx1"/>
            </w14:solidFill>
          </w14:textFill>
        </w:rPr>
        <w:t>3</w:t>
      </w:r>
      <w:r>
        <w:rPr>
          <w:rFonts w:eastAsiaTheme="minorEastAsia"/>
          <w:bCs/>
          <w:color w:val="000000" w:themeColor="text1"/>
          <w:sz w:val="24"/>
          <w:szCs w:val="28"/>
          <w14:textFill>
            <w14:solidFill>
              <w14:schemeClr w14:val="tx1"/>
            </w14:solidFill>
          </w14:textFill>
        </w:rPr>
        <w:t>/d。</w:t>
      </w:r>
    </w:p>
    <w:p w14:paraId="1D8CB8D2">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3.3.2生活用排水</w:t>
      </w:r>
    </w:p>
    <w:p w14:paraId="270FFA41">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1、办公区及其他职工生活废水</w:t>
      </w:r>
    </w:p>
    <w:p w14:paraId="41881F4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根据建设提供的资料及DB52/T168-2013《云南省用水定额》，预计本项目职工人数为15人（设有宿舍），本环评按用水量90L/人.d计。</w:t>
      </w:r>
    </w:p>
    <w:p w14:paraId="18202B3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则本项目职工生活用水为1.35m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/d，排水量按用水量的80%计，废水产生量约为1.08m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p>
    <w:p w14:paraId="1AE991EB">
      <w:pPr>
        <w:spacing w:line="360" w:lineRule="auto"/>
        <w:ind w:firstLine="480" w:firstLineChars="200"/>
        <w:rPr>
          <w:color w:val="000000" w:themeColor="text1"/>
          <w:sz w:val="24"/>
          <w14:textFill>
            <w14:solidFill>
              <w14:schemeClr w14:val="tx1"/>
            </w14:solidFill>
          </w14:textFill>
        </w:rPr>
      </w:pPr>
    </w:p>
    <w:p w14:paraId="2581D2AA">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2、办公区食堂用排水</w:t>
      </w:r>
    </w:p>
    <w:p w14:paraId="61A747E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根据建设提供的资料，本项目职工人数为15人，食堂为职工提供两餐，用水量按20 L/人.d计。</w:t>
      </w:r>
    </w:p>
    <w:p w14:paraId="6B58AE4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则项目职工生活用水为0.3m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/d，排水量按用水量的80%计，废水产生量约为0.24m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p>
    <w:p w14:paraId="1B3299D2">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3.3.2雨水</w:t>
      </w:r>
    </w:p>
    <w:p w14:paraId="78D3BBEF">
      <w:pPr>
        <w:adjustRightInd w:val="0"/>
        <w:snapToGrid w:val="0"/>
        <w:spacing w:line="360" w:lineRule="auto"/>
        <w:ind w:right="-12" w:rightChars="-6"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本项目厂区地面全部硬化处理，在生产及原料储存过程中，当下雨形成地表径流，污染物粉尘（沉降项目区）会随径流带入周边的水体（主要为SS、少量油类等），如无序排放，造成一定的环境污染。</w:t>
      </w:r>
    </w:p>
    <w:p w14:paraId="1F0FA769">
      <w:pPr>
        <w:adjustRightInd w:val="0"/>
        <w:snapToGrid w:val="0"/>
        <w:spacing w:line="360" w:lineRule="auto"/>
        <w:ind w:right="-12" w:rightChars="-6"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本项目厂区设置雨水沟，将雨水汇入到雨水收集池进行处理，收集后进入本项目</w:t>
      </w:r>
      <w:r>
        <w:rPr>
          <w:bCs/>
          <w:color w:val="000000" w:themeColor="text1"/>
          <w:sz w:val="24"/>
          <w14:textFill>
            <w14:solidFill>
              <w14:schemeClr w14:val="tx1"/>
            </w14:solidFill>
          </w14:textFill>
        </w:rPr>
        <w:t>雨水沉淀池</w:t>
      </w:r>
      <w:r>
        <w:rPr>
          <w:color w:val="000000" w:themeColor="text1"/>
          <w:sz w:val="24"/>
          <w14:textFill>
            <w14:solidFill>
              <w14:schemeClr w14:val="tx1"/>
            </w14:solidFill>
          </w14:textFill>
        </w:rPr>
        <w:t>进行处理，回用于生产。</w:t>
      </w:r>
      <w:r>
        <w:rPr>
          <w:rFonts w:eastAsia="??"/>
          <w:color w:val="000000" w:themeColor="text1"/>
          <w:sz w:val="24"/>
          <w14:textFill>
            <w14:solidFill>
              <w14:schemeClr w14:val="tx1"/>
            </w14:solidFill>
          </w14:textFill>
        </w:rPr>
        <w:t xml:space="preserve"> </w:t>
      </w:r>
    </w:p>
    <w:p w14:paraId="70A470C0">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根据芒市的气象资料，年平均降水量1654.6mm，年平均降雨日数170天，平均每天降雨量为9.73mm。</w:t>
      </w:r>
    </w:p>
    <w:p w14:paraId="58096F65">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项目区雨水量根据下面计算公式：</w:t>
      </w:r>
    </w:p>
    <w:p w14:paraId="37B3C572">
      <w:pPr>
        <w:widowControl/>
        <w:spacing w:line="360" w:lineRule="auto"/>
        <w:ind w:firstLine="480" w:firstLineChars="200"/>
        <w:jc w:val="center"/>
        <w:rPr>
          <w:rFonts w:eastAsia="??"/>
          <w:color w:val="000000" w:themeColor="text1"/>
          <w:sz w:val="24"/>
          <w14:textFill>
            <w14:solidFill>
              <w14:schemeClr w14:val="tx1"/>
            </w14:solidFill>
          </w14:textFill>
        </w:rPr>
      </w:pPr>
      <w:r>
        <w:rPr>
          <w:rFonts w:eastAsia="??"/>
          <w:color w:val="000000" w:themeColor="text1"/>
          <w:position w:val="-10"/>
          <w:sz w:val="24"/>
          <w14:textFill>
            <w14:solidFill>
              <w14:schemeClr w14:val="tx1"/>
            </w14:solidFill>
          </w14:textFill>
        </w:rPr>
        <w:drawing>
          <wp:inline distT="0" distB="0" distL="0" distR="0">
            <wp:extent cx="1094740" cy="285750"/>
            <wp:effectExtent l="0" t="0" r="0" b="0"/>
            <wp:docPr id="7621" name="图片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 name="图片 76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14228" cy="290912"/>
                    </a:xfrm>
                    <a:prstGeom prst="rect">
                      <a:avLst/>
                    </a:prstGeom>
                    <a:noFill/>
                    <a:ln>
                      <a:noFill/>
                    </a:ln>
                  </pic:spPr>
                </pic:pic>
              </a:graphicData>
            </a:graphic>
          </wp:inline>
        </w:drawing>
      </w:r>
    </w:p>
    <w:p w14:paraId="36822B11">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式中：Q—雨水量，m</w:t>
      </w:r>
      <w:r>
        <w:rPr>
          <w:color w:val="000000" w:themeColor="text1"/>
          <w:sz w:val="24"/>
          <w:szCs w:val="22"/>
          <w:vertAlign w:val="superscript"/>
          <w14:textFill>
            <w14:solidFill>
              <w14:schemeClr w14:val="tx1"/>
            </w14:solidFill>
          </w14:textFill>
        </w:rPr>
        <w:t>3</w:t>
      </w:r>
      <w:r>
        <w:rPr>
          <w:color w:val="000000" w:themeColor="text1"/>
          <w:sz w:val="24"/>
          <w:szCs w:val="22"/>
          <w14:textFill>
            <w14:solidFill>
              <w14:schemeClr w14:val="tx1"/>
            </w14:solidFill>
          </w14:textFill>
        </w:rPr>
        <w:t>；</w:t>
      </w:r>
    </w:p>
    <w:p w14:paraId="7B61D8D1">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 xml:space="preserve">       ψ—径流系数，经验数值为0.9（按地面硬化后考虑）；</w:t>
      </w:r>
    </w:p>
    <w:p w14:paraId="402837FA">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 xml:space="preserve">       q—日均降雨量，mm/d；</w:t>
      </w:r>
    </w:p>
    <w:p w14:paraId="5783C64F">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 xml:space="preserve">       F—汇水面积，hm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（2500m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w:t>
      </w:r>
    </w:p>
    <w:p w14:paraId="0D1173B6">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按照公式，可以计算出场地的雨水产生量21.88</w:t>
      </w:r>
      <w:r>
        <w:rPr>
          <w:rFonts w:eastAsia="??"/>
          <w:color w:val="000000" w:themeColor="text1"/>
          <w:sz w:val="24"/>
          <w14:textFill>
            <w14:solidFill>
              <w14:schemeClr w14:val="tx1"/>
            </w14:solidFill>
          </w14:textFill>
        </w:rPr>
        <w:t>m</w:t>
      </w:r>
      <w:r>
        <w:rPr>
          <w:rFonts w:eastAsia="??"/>
          <w:color w:val="000000" w:themeColor="text1"/>
          <w:sz w:val="24"/>
          <w:vertAlign w:val="superscript"/>
          <w14:textFill>
            <w14:solidFill>
              <w14:schemeClr w14:val="tx1"/>
            </w14:solidFill>
          </w14:textFill>
        </w:rPr>
        <w:t>3</w:t>
      </w:r>
      <w:r>
        <w:rPr>
          <w:rFonts w:eastAsia="??"/>
          <w:color w:val="000000" w:themeColor="text1"/>
          <w:sz w:val="24"/>
          <w14:textFill>
            <w14:solidFill>
              <w14:schemeClr w14:val="tx1"/>
            </w14:solidFill>
          </w14:textFill>
        </w:rPr>
        <w:t>/</w:t>
      </w:r>
      <w:r>
        <w:rPr>
          <w:color w:val="000000" w:themeColor="text1"/>
          <w:sz w:val="24"/>
          <w14:textFill>
            <w14:solidFill>
              <w14:schemeClr w14:val="tx1"/>
            </w14:solidFill>
          </w14:textFill>
        </w:rPr>
        <w:t>d；</w:t>
      </w:r>
    </w:p>
    <w:p w14:paraId="3A148538">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本环评要求收集前1h的雨水进入本项目</w:t>
      </w:r>
      <w:r>
        <w:rPr>
          <w:bCs/>
          <w:color w:val="000000" w:themeColor="text1"/>
          <w:sz w:val="24"/>
          <w14:textFill>
            <w14:solidFill>
              <w14:schemeClr w14:val="tx1"/>
            </w14:solidFill>
          </w14:textFill>
        </w:rPr>
        <w:t>雨水沉淀池</w:t>
      </w:r>
      <w:r>
        <w:rPr>
          <w:color w:val="000000" w:themeColor="text1"/>
          <w:sz w:val="24"/>
          <w14:textFill>
            <w14:solidFill>
              <w14:schemeClr w14:val="tx1"/>
            </w14:solidFill>
          </w14:textFill>
        </w:rPr>
        <w:t>进行处理，回用于生产，其余经沉淀后外排，因此本厂1h的雨水量为0.912</w:t>
      </w:r>
      <w:r>
        <w:rPr>
          <w:rFonts w:eastAsia="??"/>
          <w:color w:val="000000" w:themeColor="text1"/>
          <w:sz w:val="24"/>
          <w14:textFill>
            <w14:solidFill>
              <w14:schemeClr w14:val="tx1"/>
            </w14:solidFill>
          </w14:textFill>
        </w:rPr>
        <w:t>m</w:t>
      </w:r>
      <w:r>
        <w:rPr>
          <w:rFonts w:eastAsia="??"/>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24F4B519">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3.3.3小结</w:t>
      </w:r>
    </w:p>
    <w:p w14:paraId="5B71E14B">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表3.3-1  项目用排水一览表 （单位：m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/d）</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718"/>
        <w:gridCol w:w="815"/>
        <w:gridCol w:w="702"/>
        <w:gridCol w:w="1416"/>
        <w:gridCol w:w="1560"/>
        <w:gridCol w:w="1159"/>
        <w:gridCol w:w="864"/>
        <w:gridCol w:w="862"/>
      </w:tblGrid>
      <w:tr w14:paraId="06B7A08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blHeader/>
        </w:trPr>
        <w:tc>
          <w:tcPr>
            <w:tcW w:w="250" w:type="pct"/>
            <w:vAlign w:val="center"/>
          </w:tcPr>
          <w:p w14:paraId="727E34F5">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序号</w:t>
            </w:r>
          </w:p>
        </w:tc>
        <w:tc>
          <w:tcPr>
            <w:tcW w:w="421" w:type="pct"/>
            <w:vAlign w:val="center"/>
          </w:tcPr>
          <w:p w14:paraId="266D297B">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用水对象</w:t>
            </w:r>
          </w:p>
        </w:tc>
        <w:tc>
          <w:tcPr>
            <w:tcW w:w="890" w:type="pct"/>
            <w:gridSpan w:val="2"/>
            <w:vAlign w:val="center"/>
          </w:tcPr>
          <w:p w14:paraId="71E5647B">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用水情况</w:t>
            </w:r>
          </w:p>
        </w:tc>
        <w:tc>
          <w:tcPr>
            <w:tcW w:w="831" w:type="pct"/>
            <w:vAlign w:val="center"/>
          </w:tcPr>
          <w:p w14:paraId="5EA9A6D6">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经济指标</w:t>
            </w:r>
          </w:p>
        </w:tc>
        <w:tc>
          <w:tcPr>
            <w:tcW w:w="915" w:type="pct"/>
            <w:vAlign w:val="center"/>
          </w:tcPr>
          <w:p w14:paraId="5CD145FF">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单位用水指标</w:t>
            </w:r>
          </w:p>
        </w:tc>
        <w:tc>
          <w:tcPr>
            <w:tcW w:w="680" w:type="pct"/>
            <w:vAlign w:val="center"/>
          </w:tcPr>
          <w:p w14:paraId="0BE3FD3D">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新鲜水量(m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/d)</w:t>
            </w:r>
          </w:p>
        </w:tc>
        <w:tc>
          <w:tcPr>
            <w:tcW w:w="507" w:type="pct"/>
            <w:vAlign w:val="center"/>
          </w:tcPr>
          <w:p w14:paraId="41E2D25E">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回用量(m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/d)</w:t>
            </w:r>
          </w:p>
        </w:tc>
        <w:tc>
          <w:tcPr>
            <w:tcW w:w="506" w:type="pct"/>
            <w:vAlign w:val="center"/>
          </w:tcPr>
          <w:p w14:paraId="0E817FFA">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废水量</w:t>
            </w:r>
          </w:p>
          <w:p w14:paraId="542DEE9F">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/d)</w:t>
            </w:r>
          </w:p>
        </w:tc>
      </w:tr>
      <w:tr w14:paraId="4FA94F0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50" w:type="pct"/>
            <w:vMerge w:val="restart"/>
            <w:vAlign w:val="center"/>
          </w:tcPr>
          <w:p w14:paraId="566304E6">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1</w:t>
            </w:r>
          </w:p>
        </w:tc>
        <w:tc>
          <w:tcPr>
            <w:tcW w:w="421" w:type="pct"/>
            <w:vMerge w:val="restart"/>
            <w:vAlign w:val="center"/>
          </w:tcPr>
          <w:p w14:paraId="70BC448C">
            <w:pPr>
              <w:jc w:val="center"/>
              <w:rPr>
                <w:color w:val="000000" w:themeColor="text1"/>
                <w:szCs w:val="22"/>
                <w14:textFill>
                  <w14:solidFill>
                    <w14:schemeClr w14:val="tx1"/>
                  </w14:solidFill>
                </w14:textFill>
              </w:rPr>
            </w:pPr>
            <w:r>
              <w:rPr>
                <w:iCs/>
                <w:color w:val="000000" w:themeColor="text1"/>
                <w:szCs w:val="22"/>
                <w14:textFill>
                  <w14:solidFill>
                    <w14:schemeClr w14:val="tx1"/>
                  </w14:solidFill>
                </w14:textFill>
              </w:rPr>
              <w:t>生活</w:t>
            </w:r>
          </w:p>
        </w:tc>
        <w:tc>
          <w:tcPr>
            <w:tcW w:w="890" w:type="pct"/>
            <w:gridSpan w:val="2"/>
            <w:vAlign w:val="center"/>
          </w:tcPr>
          <w:p w14:paraId="3D883C1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住宿、办公</w:t>
            </w:r>
          </w:p>
        </w:tc>
        <w:tc>
          <w:tcPr>
            <w:tcW w:w="831" w:type="pct"/>
            <w:vAlign w:val="center"/>
          </w:tcPr>
          <w:p w14:paraId="776FA4F7">
            <w:pPr>
              <w:jc w:val="center"/>
              <w:rPr>
                <w:iCs/>
                <w:color w:val="000000" w:themeColor="text1"/>
                <w:szCs w:val="21"/>
                <w14:textFill>
                  <w14:solidFill>
                    <w14:schemeClr w14:val="tx1"/>
                  </w14:solidFill>
                </w14:textFill>
              </w:rPr>
            </w:pPr>
            <w:r>
              <w:rPr>
                <w:iCs/>
                <w:color w:val="000000" w:themeColor="text1"/>
                <w:szCs w:val="21"/>
                <w14:textFill>
                  <w14:solidFill>
                    <w14:schemeClr w14:val="tx1"/>
                  </w14:solidFill>
                </w14:textFill>
              </w:rPr>
              <w:t>15人</w:t>
            </w:r>
          </w:p>
        </w:tc>
        <w:tc>
          <w:tcPr>
            <w:tcW w:w="915" w:type="pct"/>
            <w:vAlign w:val="center"/>
          </w:tcPr>
          <w:p w14:paraId="63A0A982">
            <w:pPr>
              <w:jc w:val="center"/>
              <w:rPr>
                <w:i/>
                <w:color w:val="000000" w:themeColor="text1"/>
                <w:szCs w:val="22"/>
                <w14:textFill>
                  <w14:solidFill>
                    <w14:schemeClr w14:val="tx1"/>
                  </w14:solidFill>
                </w14:textFill>
              </w:rPr>
            </w:pPr>
            <w:r>
              <w:rPr>
                <w:iCs/>
                <w:color w:val="000000" w:themeColor="text1"/>
                <w:szCs w:val="21"/>
                <w14:textFill>
                  <w14:solidFill>
                    <w14:schemeClr w14:val="tx1"/>
                  </w14:solidFill>
                </w14:textFill>
              </w:rPr>
              <w:t>90L/</w:t>
            </w:r>
            <w:r>
              <w:rPr>
                <w:color w:val="000000" w:themeColor="text1"/>
                <w:szCs w:val="22"/>
                <w14:textFill>
                  <w14:solidFill>
                    <w14:schemeClr w14:val="tx1"/>
                  </w14:solidFill>
                </w14:textFill>
              </w:rPr>
              <w:t>（人·d）</w:t>
            </w:r>
          </w:p>
        </w:tc>
        <w:tc>
          <w:tcPr>
            <w:tcW w:w="680" w:type="pct"/>
            <w:vAlign w:val="center"/>
          </w:tcPr>
          <w:p w14:paraId="4754E7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1.35</w:t>
            </w:r>
          </w:p>
        </w:tc>
        <w:tc>
          <w:tcPr>
            <w:tcW w:w="507" w:type="pct"/>
            <w:vAlign w:val="center"/>
          </w:tcPr>
          <w:p w14:paraId="1EE406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06" w:type="pct"/>
            <w:vAlign w:val="center"/>
          </w:tcPr>
          <w:p w14:paraId="7DF0B9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w:t>
            </w:r>
          </w:p>
        </w:tc>
      </w:tr>
      <w:tr w14:paraId="4EB0B20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50" w:type="pct"/>
            <w:vMerge w:val="continue"/>
            <w:vAlign w:val="center"/>
          </w:tcPr>
          <w:p w14:paraId="5CC80B3B">
            <w:pPr>
              <w:jc w:val="center"/>
              <w:rPr>
                <w:color w:val="000000" w:themeColor="text1"/>
                <w:szCs w:val="22"/>
                <w14:textFill>
                  <w14:solidFill>
                    <w14:schemeClr w14:val="tx1"/>
                  </w14:solidFill>
                </w14:textFill>
              </w:rPr>
            </w:pPr>
          </w:p>
        </w:tc>
        <w:tc>
          <w:tcPr>
            <w:tcW w:w="421" w:type="pct"/>
            <w:vMerge w:val="continue"/>
            <w:vAlign w:val="center"/>
          </w:tcPr>
          <w:p w14:paraId="176A3DE2">
            <w:pPr>
              <w:jc w:val="center"/>
              <w:rPr>
                <w:iCs/>
                <w:color w:val="000000" w:themeColor="text1"/>
                <w:szCs w:val="22"/>
                <w14:textFill>
                  <w14:solidFill>
                    <w14:schemeClr w14:val="tx1"/>
                  </w14:solidFill>
                </w14:textFill>
              </w:rPr>
            </w:pPr>
          </w:p>
        </w:tc>
        <w:tc>
          <w:tcPr>
            <w:tcW w:w="890" w:type="pct"/>
            <w:gridSpan w:val="2"/>
            <w:vAlign w:val="center"/>
          </w:tcPr>
          <w:p w14:paraId="019541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食堂</w:t>
            </w:r>
          </w:p>
        </w:tc>
        <w:tc>
          <w:tcPr>
            <w:tcW w:w="831" w:type="pct"/>
            <w:vAlign w:val="center"/>
          </w:tcPr>
          <w:p w14:paraId="7B5447D7">
            <w:pPr>
              <w:jc w:val="center"/>
              <w:rPr>
                <w:iCs/>
                <w:color w:val="000000" w:themeColor="text1"/>
                <w:szCs w:val="21"/>
                <w14:textFill>
                  <w14:solidFill>
                    <w14:schemeClr w14:val="tx1"/>
                  </w14:solidFill>
                </w14:textFill>
              </w:rPr>
            </w:pPr>
            <w:r>
              <w:rPr>
                <w:iCs/>
                <w:color w:val="000000" w:themeColor="text1"/>
                <w:szCs w:val="21"/>
                <w14:textFill>
                  <w14:solidFill>
                    <w14:schemeClr w14:val="tx1"/>
                  </w14:solidFill>
                </w14:textFill>
              </w:rPr>
              <w:t>15人</w:t>
            </w:r>
          </w:p>
        </w:tc>
        <w:tc>
          <w:tcPr>
            <w:tcW w:w="915" w:type="pct"/>
            <w:vAlign w:val="center"/>
          </w:tcPr>
          <w:p w14:paraId="7B0E7F9A">
            <w:pPr>
              <w:jc w:val="center"/>
              <w:rPr>
                <w:iCs/>
                <w:color w:val="000000" w:themeColor="text1"/>
                <w:szCs w:val="21"/>
                <w14:textFill>
                  <w14:solidFill>
                    <w14:schemeClr w14:val="tx1"/>
                  </w14:solidFill>
                </w14:textFill>
              </w:rPr>
            </w:pPr>
            <w:r>
              <w:rPr>
                <w:iCs/>
                <w:color w:val="000000" w:themeColor="text1"/>
                <w:szCs w:val="21"/>
                <w14:textFill>
                  <w14:solidFill>
                    <w14:schemeClr w14:val="tx1"/>
                  </w14:solidFill>
                </w14:textFill>
              </w:rPr>
              <w:t>20</w:t>
            </w:r>
            <w:r>
              <w:rPr>
                <w:color w:val="000000" w:themeColor="text1"/>
                <w:szCs w:val="22"/>
                <w14:textFill>
                  <w14:solidFill>
                    <w14:schemeClr w14:val="tx1"/>
                  </w14:solidFill>
                </w14:textFill>
              </w:rPr>
              <w:t>L/（人·d）</w:t>
            </w:r>
          </w:p>
        </w:tc>
        <w:tc>
          <w:tcPr>
            <w:tcW w:w="680" w:type="pct"/>
            <w:vAlign w:val="center"/>
          </w:tcPr>
          <w:p w14:paraId="363B899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507" w:type="pct"/>
            <w:vAlign w:val="center"/>
          </w:tcPr>
          <w:p w14:paraId="6EA271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06" w:type="pct"/>
            <w:vAlign w:val="center"/>
          </w:tcPr>
          <w:p w14:paraId="501C9A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0.24</w:t>
            </w:r>
          </w:p>
        </w:tc>
      </w:tr>
      <w:tr w14:paraId="11B7767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50" w:type="pct"/>
            <w:vMerge w:val="restart"/>
            <w:vAlign w:val="center"/>
          </w:tcPr>
          <w:p w14:paraId="4BD24DE6">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2</w:t>
            </w:r>
          </w:p>
        </w:tc>
        <w:tc>
          <w:tcPr>
            <w:tcW w:w="421" w:type="pct"/>
            <w:vMerge w:val="restart"/>
            <w:vAlign w:val="center"/>
          </w:tcPr>
          <w:p w14:paraId="1CBB80AD">
            <w:pPr>
              <w:jc w:val="center"/>
              <w:rPr>
                <w:iCs/>
                <w:color w:val="000000" w:themeColor="text1"/>
                <w:szCs w:val="22"/>
                <w14:textFill>
                  <w14:solidFill>
                    <w14:schemeClr w14:val="tx1"/>
                  </w14:solidFill>
                </w14:textFill>
              </w:rPr>
            </w:pPr>
            <w:r>
              <w:rPr>
                <w:iCs/>
                <w:color w:val="000000" w:themeColor="text1"/>
                <w:szCs w:val="22"/>
                <w14:textFill>
                  <w14:solidFill>
                    <w14:schemeClr w14:val="tx1"/>
                  </w14:solidFill>
                </w14:textFill>
              </w:rPr>
              <w:t>生产</w:t>
            </w:r>
          </w:p>
        </w:tc>
        <w:tc>
          <w:tcPr>
            <w:tcW w:w="478" w:type="pct"/>
            <w:vMerge w:val="restart"/>
            <w:vAlign w:val="center"/>
          </w:tcPr>
          <w:p w14:paraId="1ECB87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破碎清洗工序</w:t>
            </w:r>
          </w:p>
        </w:tc>
        <w:tc>
          <w:tcPr>
            <w:tcW w:w="412" w:type="pct"/>
            <w:vAlign w:val="center"/>
          </w:tcPr>
          <w:p w14:paraId="5D71E1AC">
            <w:pPr>
              <w:jc w:val="center"/>
              <w:rPr>
                <w:color w:val="000000" w:themeColor="text1"/>
                <w:szCs w:val="21"/>
                <w14:textFill>
                  <w14:solidFill>
                    <w14:schemeClr w14:val="tx1"/>
                  </w14:solidFill>
                </w14:textFill>
              </w:rPr>
            </w:pPr>
            <w:r>
              <w:rPr>
                <w:iCs/>
                <w:color w:val="000000" w:themeColor="text1"/>
                <w:szCs w:val="22"/>
                <w14:textFill>
                  <w14:solidFill>
                    <w14:schemeClr w14:val="tx1"/>
                  </w14:solidFill>
                </w14:textFill>
              </w:rPr>
              <w:t>清洗</w:t>
            </w:r>
          </w:p>
        </w:tc>
        <w:tc>
          <w:tcPr>
            <w:tcW w:w="831" w:type="pct"/>
            <w:vAlign w:val="center"/>
          </w:tcPr>
          <w:p w14:paraId="1DFE626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16.67t/d</w:t>
            </w:r>
          </w:p>
        </w:tc>
        <w:tc>
          <w:tcPr>
            <w:tcW w:w="915" w:type="pct"/>
            <w:vAlign w:val="center"/>
          </w:tcPr>
          <w:p w14:paraId="54B8AE93">
            <w:pPr>
              <w:jc w:val="center"/>
              <w:rPr>
                <w:color w:val="000000" w:themeColor="text1"/>
                <w:szCs w:val="21"/>
                <w14:textFill>
                  <w14:solidFill>
                    <w14:schemeClr w14:val="tx1"/>
                  </w14:solidFill>
                </w14:textFill>
              </w:rPr>
            </w:pPr>
            <w:bookmarkStart w:id="298" w:name="OLE_LINK7"/>
            <w:r>
              <w:rPr>
                <w:color w:val="000000" w:themeColor="text1"/>
                <w:szCs w:val="21"/>
                <w14:textFill>
                  <w14:solidFill>
                    <w14:schemeClr w14:val="tx1"/>
                  </w14:solidFill>
                </w14:textFill>
              </w:rPr>
              <w:t>2.4t水 /t塑料</w:t>
            </w:r>
            <w:bookmarkEnd w:id="298"/>
          </w:p>
        </w:tc>
        <w:tc>
          <w:tcPr>
            <w:tcW w:w="680" w:type="pct"/>
            <w:vAlign w:val="center"/>
          </w:tcPr>
          <w:p w14:paraId="6F0091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 </w:t>
            </w:r>
          </w:p>
        </w:tc>
        <w:tc>
          <w:tcPr>
            <w:tcW w:w="507" w:type="pct"/>
            <w:vAlign w:val="center"/>
          </w:tcPr>
          <w:p w14:paraId="300F339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37 </w:t>
            </w:r>
          </w:p>
        </w:tc>
        <w:tc>
          <w:tcPr>
            <w:tcW w:w="506" w:type="pct"/>
            <w:vAlign w:val="center"/>
          </w:tcPr>
          <w:p w14:paraId="3072B4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28 </w:t>
            </w:r>
          </w:p>
        </w:tc>
      </w:tr>
      <w:tr w14:paraId="2C2E3BF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50" w:type="pct"/>
            <w:vMerge w:val="continue"/>
            <w:vAlign w:val="center"/>
          </w:tcPr>
          <w:p w14:paraId="3EB3A7BD">
            <w:pPr>
              <w:jc w:val="center"/>
              <w:rPr>
                <w:color w:val="000000" w:themeColor="text1"/>
                <w:szCs w:val="22"/>
                <w14:textFill>
                  <w14:solidFill>
                    <w14:schemeClr w14:val="tx1"/>
                  </w14:solidFill>
                </w14:textFill>
              </w:rPr>
            </w:pPr>
          </w:p>
        </w:tc>
        <w:tc>
          <w:tcPr>
            <w:tcW w:w="421" w:type="pct"/>
            <w:vMerge w:val="continue"/>
            <w:vAlign w:val="center"/>
          </w:tcPr>
          <w:p w14:paraId="4CD8E15D">
            <w:pPr>
              <w:jc w:val="center"/>
              <w:rPr>
                <w:iCs/>
                <w:color w:val="000000" w:themeColor="text1"/>
                <w:szCs w:val="22"/>
                <w14:textFill>
                  <w14:solidFill>
                    <w14:schemeClr w14:val="tx1"/>
                  </w14:solidFill>
                </w14:textFill>
              </w:rPr>
            </w:pPr>
          </w:p>
        </w:tc>
        <w:tc>
          <w:tcPr>
            <w:tcW w:w="478" w:type="pct"/>
            <w:vMerge w:val="continue"/>
            <w:vAlign w:val="center"/>
          </w:tcPr>
          <w:p w14:paraId="461EBE1C">
            <w:pPr>
              <w:jc w:val="center"/>
              <w:rPr>
                <w:iCs/>
                <w:color w:val="000000" w:themeColor="text1"/>
                <w:szCs w:val="22"/>
                <w14:textFill>
                  <w14:solidFill>
                    <w14:schemeClr w14:val="tx1"/>
                  </w14:solidFill>
                </w14:textFill>
              </w:rPr>
            </w:pPr>
          </w:p>
        </w:tc>
        <w:tc>
          <w:tcPr>
            <w:tcW w:w="412" w:type="pct"/>
            <w:vAlign w:val="center"/>
          </w:tcPr>
          <w:p w14:paraId="5B38CC68">
            <w:pPr>
              <w:jc w:val="center"/>
              <w:rPr>
                <w:iCs/>
                <w:color w:val="000000" w:themeColor="text1"/>
                <w:szCs w:val="22"/>
                <w14:textFill>
                  <w14:solidFill>
                    <w14:schemeClr w14:val="tx1"/>
                  </w14:solidFill>
                </w14:textFill>
              </w:rPr>
            </w:pPr>
            <w:r>
              <w:rPr>
                <w:iCs/>
                <w:color w:val="000000" w:themeColor="text1"/>
                <w:szCs w:val="22"/>
                <w14:textFill>
                  <w14:solidFill>
                    <w14:schemeClr w14:val="tx1"/>
                  </w14:solidFill>
                </w14:textFill>
              </w:rPr>
              <w:t>破碎</w:t>
            </w:r>
          </w:p>
        </w:tc>
        <w:tc>
          <w:tcPr>
            <w:tcW w:w="831" w:type="pct"/>
            <w:vAlign w:val="center"/>
          </w:tcPr>
          <w:p w14:paraId="00E0432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16.67t/d</w:t>
            </w:r>
          </w:p>
        </w:tc>
        <w:tc>
          <w:tcPr>
            <w:tcW w:w="915" w:type="pct"/>
            <w:vAlign w:val="center"/>
          </w:tcPr>
          <w:p w14:paraId="409F44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0.6t水/t塑料</w:t>
            </w:r>
          </w:p>
        </w:tc>
        <w:tc>
          <w:tcPr>
            <w:tcW w:w="680" w:type="pct"/>
            <w:vAlign w:val="center"/>
          </w:tcPr>
          <w:p w14:paraId="588ACE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10 </w:t>
            </w:r>
          </w:p>
        </w:tc>
        <w:tc>
          <w:tcPr>
            <w:tcW w:w="507" w:type="pct"/>
            <w:vAlign w:val="center"/>
          </w:tcPr>
          <w:p w14:paraId="5D5A01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06" w:type="pct"/>
            <w:vAlign w:val="center"/>
          </w:tcPr>
          <w:p w14:paraId="5A2CD3B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9 </w:t>
            </w:r>
          </w:p>
        </w:tc>
      </w:tr>
      <w:tr w14:paraId="65CF867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50" w:type="pct"/>
            <w:vMerge w:val="continue"/>
            <w:vAlign w:val="center"/>
          </w:tcPr>
          <w:p w14:paraId="0D73915C">
            <w:pPr>
              <w:jc w:val="center"/>
              <w:rPr>
                <w:color w:val="000000" w:themeColor="text1"/>
                <w:szCs w:val="22"/>
                <w14:textFill>
                  <w14:solidFill>
                    <w14:schemeClr w14:val="tx1"/>
                  </w14:solidFill>
                </w14:textFill>
              </w:rPr>
            </w:pPr>
          </w:p>
        </w:tc>
        <w:tc>
          <w:tcPr>
            <w:tcW w:w="421" w:type="pct"/>
            <w:vMerge w:val="continue"/>
            <w:vAlign w:val="center"/>
          </w:tcPr>
          <w:p w14:paraId="4F21E8B7">
            <w:pPr>
              <w:jc w:val="center"/>
              <w:rPr>
                <w:iCs/>
                <w:color w:val="000000" w:themeColor="text1"/>
                <w:szCs w:val="22"/>
                <w14:textFill>
                  <w14:solidFill>
                    <w14:schemeClr w14:val="tx1"/>
                  </w14:solidFill>
                </w14:textFill>
              </w:rPr>
            </w:pPr>
          </w:p>
        </w:tc>
        <w:tc>
          <w:tcPr>
            <w:tcW w:w="890" w:type="pct"/>
            <w:gridSpan w:val="2"/>
            <w:vAlign w:val="center"/>
          </w:tcPr>
          <w:p w14:paraId="51A50611">
            <w:pPr>
              <w:jc w:val="center"/>
              <w:rPr>
                <w:iCs/>
                <w:color w:val="000000" w:themeColor="text1"/>
                <w:szCs w:val="22"/>
                <w14:textFill>
                  <w14:solidFill>
                    <w14:schemeClr w14:val="tx1"/>
                  </w14:solidFill>
                </w14:textFill>
              </w:rPr>
            </w:pPr>
            <w:r>
              <w:rPr>
                <w:iCs/>
                <w:color w:val="000000" w:themeColor="text1"/>
                <w:szCs w:val="22"/>
                <w14:textFill>
                  <w14:solidFill>
                    <w14:schemeClr w14:val="tx1"/>
                  </w14:solidFill>
                </w14:textFill>
              </w:rPr>
              <w:t>造粒冷却水</w:t>
            </w:r>
          </w:p>
        </w:tc>
        <w:tc>
          <w:tcPr>
            <w:tcW w:w="831" w:type="pct"/>
            <w:vAlign w:val="center"/>
          </w:tcPr>
          <w:p w14:paraId="04EAB97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循环16m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/d</w:t>
            </w:r>
          </w:p>
        </w:tc>
        <w:tc>
          <w:tcPr>
            <w:tcW w:w="915" w:type="pct"/>
            <w:vAlign w:val="center"/>
          </w:tcPr>
          <w:p w14:paraId="572F188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损耗20%</w:t>
            </w:r>
          </w:p>
        </w:tc>
        <w:tc>
          <w:tcPr>
            <w:tcW w:w="680" w:type="pct"/>
            <w:vAlign w:val="center"/>
          </w:tcPr>
          <w:p w14:paraId="5B2FB7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w:t>
            </w:r>
          </w:p>
        </w:tc>
        <w:tc>
          <w:tcPr>
            <w:tcW w:w="507" w:type="pct"/>
            <w:vAlign w:val="center"/>
          </w:tcPr>
          <w:p w14:paraId="574CC3B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06" w:type="pct"/>
            <w:vAlign w:val="center"/>
          </w:tcPr>
          <w:p w14:paraId="49A623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BF5FE7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50" w:type="pct"/>
            <w:vAlign w:val="center"/>
          </w:tcPr>
          <w:p w14:paraId="6A360BD6">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3</w:t>
            </w:r>
          </w:p>
        </w:tc>
        <w:tc>
          <w:tcPr>
            <w:tcW w:w="421" w:type="pct"/>
            <w:vAlign w:val="center"/>
          </w:tcPr>
          <w:p w14:paraId="6633B2B1">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合计</w:t>
            </w:r>
          </w:p>
        </w:tc>
        <w:tc>
          <w:tcPr>
            <w:tcW w:w="890" w:type="pct"/>
            <w:gridSpan w:val="2"/>
            <w:vAlign w:val="center"/>
          </w:tcPr>
          <w:p w14:paraId="19547668">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w:t>
            </w:r>
          </w:p>
        </w:tc>
        <w:tc>
          <w:tcPr>
            <w:tcW w:w="831" w:type="pct"/>
            <w:vAlign w:val="center"/>
          </w:tcPr>
          <w:p w14:paraId="3F76A17E">
            <w:pPr>
              <w:jc w:val="center"/>
              <w:rPr>
                <w:color w:val="000000" w:themeColor="text1"/>
                <w:szCs w:val="22"/>
                <w14:textFill>
                  <w14:solidFill>
                    <w14:schemeClr w14:val="tx1"/>
                  </w14:solidFill>
                </w14:textFill>
              </w:rPr>
            </w:pPr>
          </w:p>
        </w:tc>
        <w:tc>
          <w:tcPr>
            <w:tcW w:w="915" w:type="pct"/>
            <w:vAlign w:val="center"/>
          </w:tcPr>
          <w:p w14:paraId="6AAC22EF">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w:t>
            </w:r>
          </w:p>
        </w:tc>
        <w:tc>
          <w:tcPr>
            <w:tcW w:w="680" w:type="pct"/>
            <w:vAlign w:val="center"/>
          </w:tcPr>
          <w:p w14:paraId="23F866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17.85</w:t>
            </w:r>
          </w:p>
        </w:tc>
        <w:tc>
          <w:tcPr>
            <w:tcW w:w="507" w:type="pct"/>
            <w:vAlign w:val="center"/>
          </w:tcPr>
          <w:p w14:paraId="7FDEB04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37 </w:t>
            </w:r>
          </w:p>
        </w:tc>
        <w:tc>
          <w:tcPr>
            <w:tcW w:w="506" w:type="pct"/>
            <w:vAlign w:val="center"/>
          </w:tcPr>
          <w:p w14:paraId="4596AD6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1.32 </w:t>
            </w:r>
          </w:p>
        </w:tc>
      </w:tr>
    </w:tbl>
    <w:p w14:paraId="38B7AB1F">
      <w:pPr>
        <w:jc w:val="center"/>
        <w:rPr>
          <w:b/>
          <w:color w:val="000000" w:themeColor="text1"/>
          <w:sz w:val="24"/>
          <w14:textFill>
            <w14:solidFill>
              <w14:schemeClr w14:val="tx1"/>
            </w14:solidFill>
          </w14:textFill>
        </w:rPr>
      </w:pPr>
      <w:bookmarkStart w:id="299" w:name="OLE_LINK1"/>
      <w:r>
        <w:rPr>
          <w:b/>
          <w:color w:val="000000" w:themeColor="text1"/>
          <w14:textFill>
            <w14:solidFill>
              <w14:schemeClr w14:val="tx1"/>
            </w14:solidFill>
          </w14:textFill>
        </w:rPr>
        <w:object>
          <v:shape id="_x0000_i1027" o:spt="75" type="#_x0000_t75" style="height:372.75pt;width:447pt;" o:ole="t" filled="f" o:preferrelative="t" stroked="f" coordsize="21600,21600">
            <v:path/>
            <v:fill on="f" focussize="0,0"/>
            <v:stroke on="f" joinstyle="miter"/>
            <v:imagedata r:id="rId19" o:title=""/>
            <o:lock v:ext="edit" aspectratio="t"/>
            <w10:wrap type="none"/>
            <w10:anchorlock/>
          </v:shape>
          <o:OLEObject Type="Embed" ProgID="Visio.Drawing.11" ShapeID="_x0000_i1027" DrawAspect="Content" ObjectID="_1468075727" r:id="rId18">
            <o:LockedField>false</o:LockedField>
          </o:OLEObject>
        </w:object>
      </w:r>
      <w:bookmarkEnd w:id="299"/>
      <w:r>
        <w:rPr>
          <w:b/>
          <w:color w:val="000000" w:themeColor="text1"/>
          <w:sz w:val="24"/>
          <w14:textFill>
            <w14:solidFill>
              <w14:schemeClr w14:val="tx1"/>
            </w14:solidFill>
          </w14:textFill>
        </w:rPr>
        <w:t>图3.3-1  项目给排水平衡图（m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/d）</w:t>
      </w:r>
    </w:p>
    <w:p w14:paraId="45698C9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根据上述计算，本项目总废水产生量为38.32m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p>
    <w:p w14:paraId="3A2DDDC6">
      <w:pPr>
        <w:adjustRightInd w:val="0"/>
        <w:spacing w:line="360" w:lineRule="auto"/>
        <w:ind w:firstLine="480" w:firstLineChars="200"/>
        <w:rPr>
          <w:snapToGrid w:val="0"/>
          <w:color w:val="000000" w:themeColor="text1"/>
          <w:kern w:val="0"/>
          <w:sz w:val="24"/>
          <w:szCs w:val="20"/>
          <w14:textFill>
            <w14:solidFill>
              <w14:schemeClr w14:val="tx1"/>
            </w14:solidFill>
          </w14:textFill>
        </w:rPr>
      </w:pPr>
      <w:r>
        <w:rPr>
          <w:color w:val="000000" w:themeColor="text1"/>
          <w:sz w:val="24"/>
          <w14:textFill>
            <w14:solidFill>
              <w14:schemeClr w14:val="tx1"/>
            </w14:solidFill>
          </w14:textFill>
        </w:rPr>
        <w:t>其中</w:t>
      </w:r>
      <w:r>
        <w:rPr>
          <w:b/>
          <w:color w:val="000000" w:themeColor="text1"/>
          <w:sz w:val="24"/>
          <w14:textFill>
            <w14:solidFill>
              <w14:schemeClr w14:val="tx1"/>
            </w14:solidFill>
          </w14:textFill>
        </w:rPr>
        <w:t>生产废水</w:t>
      </w:r>
      <w:r>
        <w:rPr>
          <w:color w:val="000000" w:themeColor="text1"/>
          <w:sz w:val="24"/>
          <w14:textFill>
            <w14:solidFill>
              <w14:schemeClr w14:val="tx1"/>
            </w14:solidFill>
          </w14:textFill>
        </w:rPr>
        <w:t>：清洗破碎废水产生量为37m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snapToGrid w:val="0"/>
          <w:color w:val="000000" w:themeColor="text1"/>
          <w:kern w:val="0"/>
          <w:sz w:val="24"/>
          <w:szCs w:val="20"/>
          <w14:textFill>
            <w14:solidFill>
              <w14:schemeClr w14:val="tx1"/>
            </w14:solidFill>
          </w14:textFill>
        </w:rPr>
        <w:t>经自建隔油池+沉淀池处理后，回用于生产。</w:t>
      </w:r>
    </w:p>
    <w:p w14:paraId="656ACEE2">
      <w:pPr>
        <w:adjustRightInd w:val="0"/>
        <w:spacing w:line="360" w:lineRule="auto"/>
        <w:ind w:firstLine="480" w:firstLineChars="200"/>
        <w:rPr>
          <w:snapToGrid w:val="0"/>
          <w:color w:val="000000" w:themeColor="text1"/>
          <w:kern w:val="0"/>
          <w:sz w:val="24"/>
          <w:szCs w:val="20"/>
          <w14:textFill>
            <w14:solidFill>
              <w14:schemeClr w14:val="tx1"/>
            </w14:solidFill>
          </w14:textFill>
        </w:rPr>
      </w:pPr>
      <w:r>
        <w:rPr>
          <w:snapToGrid w:val="0"/>
          <w:color w:val="000000" w:themeColor="text1"/>
          <w:kern w:val="0"/>
          <w:sz w:val="24"/>
          <w:szCs w:val="20"/>
          <w14:textFill>
            <w14:solidFill>
              <w14:schemeClr w14:val="tx1"/>
            </w14:solidFill>
          </w14:textFill>
        </w:rPr>
        <w:t>造粒冷却水循环使用，不外排。</w:t>
      </w:r>
    </w:p>
    <w:p w14:paraId="6442C22E">
      <w:pPr>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生活废水</w:t>
      </w:r>
      <w:r>
        <w:rPr>
          <w:color w:val="000000" w:themeColor="text1"/>
          <w:sz w:val="24"/>
          <w14:textFill>
            <w14:solidFill>
              <w14:schemeClr w14:val="tx1"/>
            </w14:solidFill>
          </w14:textFill>
        </w:rPr>
        <w:t>：产生量为1.32m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snapToGrid w:val="0"/>
          <w:color w:val="000000" w:themeColor="text1"/>
          <w:kern w:val="0"/>
          <w:sz w:val="24"/>
          <w:szCs w:val="20"/>
          <w14:textFill>
            <w14:solidFill>
              <w14:schemeClr w14:val="tx1"/>
            </w14:solidFill>
          </w14:textFill>
        </w:rPr>
        <w:t>经化粪池、隔油池处理后，定期委托周边村民清掏，用于农作物施肥。</w:t>
      </w:r>
    </w:p>
    <w:p w14:paraId="4DEDE7ED">
      <w:pPr>
        <w:pStyle w:val="4"/>
        <w:rPr>
          <w:rFonts w:ascii="Times New Roman" w:hAnsi="Times New Roman"/>
          <w:color w:val="000000" w:themeColor="text1"/>
          <w14:textFill>
            <w14:solidFill>
              <w14:schemeClr w14:val="tx1"/>
            </w14:solidFill>
          </w14:textFill>
        </w:rPr>
      </w:pPr>
      <w:bookmarkStart w:id="300" w:name="_Toc354822882"/>
      <w:bookmarkStart w:id="301" w:name="_Toc2773750"/>
      <w:bookmarkStart w:id="302" w:name="_Toc246836465"/>
      <w:bookmarkStart w:id="303" w:name="_Toc290295760"/>
      <w:r>
        <w:rPr>
          <w:rFonts w:ascii="Times New Roman" w:hAnsi="Times New Roman"/>
          <w:color w:val="000000" w:themeColor="text1"/>
          <w:szCs w:val="30"/>
          <w14:textFill>
            <w14:solidFill>
              <w14:schemeClr w14:val="tx1"/>
            </w14:solidFill>
          </w14:textFill>
        </w:rPr>
        <w:t>3.4</w:t>
      </w:r>
      <w:r>
        <w:rPr>
          <w:rFonts w:ascii="Times New Roman" w:hAnsi="Times New Roman"/>
          <w:color w:val="000000" w:themeColor="text1"/>
          <w14:textFill>
            <w14:solidFill>
              <w14:schemeClr w14:val="tx1"/>
            </w14:solidFill>
          </w14:textFill>
        </w:rPr>
        <w:t>施工期污染源产生及排放情况</w:t>
      </w:r>
      <w:bookmarkEnd w:id="300"/>
      <w:bookmarkEnd w:id="301"/>
    </w:p>
    <w:p w14:paraId="33AC34A5">
      <w:pPr>
        <w:pStyle w:val="105"/>
        <w:rPr>
          <w:rFonts w:eastAsia="新宋体" w:cs="Times New Roman"/>
          <w:b w:val="0"/>
          <w:bCs/>
          <w:color w:val="000000" w:themeColor="text1"/>
          <w:kern w:val="0"/>
          <w:sz w:val="24"/>
          <w14:textFill>
            <w14:solidFill>
              <w14:schemeClr w14:val="tx1"/>
            </w14:solidFill>
          </w14:textFill>
        </w:rPr>
      </w:pPr>
      <w:r>
        <w:rPr>
          <w:rFonts w:cs="Times New Roman"/>
          <w:color w:val="000000" w:themeColor="text1"/>
          <w14:textFill>
            <w14:solidFill>
              <w14:schemeClr w14:val="tx1"/>
            </w14:solidFill>
          </w14:textFill>
        </w:rPr>
        <w:t>3.4.1施工期废水</w:t>
      </w:r>
    </w:p>
    <w:p w14:paraId="132CFCD7">
      <w:pPr>
        <w:pStyle w:val="296"/>
        <w:ind w:firstLine="480"/>
        <w:rPr>
          <w:color w:val="000000" w:themeColor="text1"/>
          <w14:textFill>
            <w14:solidFill>
              <w14:schemeClr w14:val="tx1"/>
            </w14:solidFill>
          </w14:textFill>
        </w:rPr>
      </w:pPr>
      <w:r>
        <w:rPr>
          <w:rFonts w:eastAsia="新宋体"/>
          <w:color w:val="000000" w:themeColor="text1"/>
          <w:szCs w:val="21"/>
          <w14:textFill>
            <w14:solidFill>
              <w14:schemeClr w14:val="tx1"/>
            </w14:solidFill>
          </w14:textFill>
        </w:rPr>
        <w:t>施工废水主要来源于污水处理系统建设时砂石料冲洗、混凝土养护等施工过程，废水产生量小，主要含有泥沙，主要污染物为SS。</w:t>
      </w:r>
      <w:r>
        <w:rPr>
          <w:rFonts w:hint="eastAsia"/>
          <w:color w:val="000000" w:themeColor="text1"/>
          <w14:textFill>
            <w14:solidFill>
              <w14:schemeClr w14:val="tx1"/>
            </w14:solidFill>
          </w14:textFill>
        </w:rPr>
        <w:t>项目产生施工废水为5m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/d，项目施工时拟设置10m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沉淀池，经过沉淀处理后的施工废水全部回用于建筑材料的冲洗和施工场地喷水降尘，不外排。</w:t>
      </w:r>
    </w:p>
    <w:p w14:paraId="32470433">
      <w:pPr>
        <w:pStyle w:val="29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本项目施工期间预计有施工人员10人，在施工场地内不设置施工营地。施工人员生活废水主要来源于洗手清洁等环节，用水按20L/d</w:t>
      </w:r>
      <w:r>
        <w:rPr>
          <w:rFonts w:hint="eastAsia" w:ascii="MS Mincho" w:hAnsi="MS Mincho" w:eastAsia="MS Mincho" w:cs="MS Mincho"/>
          <w:color w:val="000000" w:themeColor="text1"/>
          <w14:textFill>
            <w14:solidFill>
              <w14:schemeClr w14:val="tx1"/>
            </w14:solidFill>
          </w14:textFill>
        </w:rPr>
        <w:t>・</w:t>
      </w:r>
      <w:r>
        <w:rPr>
          <w:rFonts w:hint="eastAsia"/>
          <w:color w:val="000000" w:themeColor="text1"/>
          <w14:textFill>
            <w14:solidFill>
              <w14:schemeClr w14:val="tx1"/>
            </w14:solidFill>
          </w14:textFill>
        </w:rPr>
        <w:t>人计，用水量为0.2m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/d，污水排放系数以0.8计，则每天将产生生活污水 0.16m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 xml:space="preserve"> /d。利用现有场地旱厕处理，定期清掏做农肥使用，不外排。</w:t>
      </w:r>
    </w:p>
    <w:p w14:paraId="1435EEE3">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3.4.2施工废气</w:t>
      </w:r>
    </w:p>
    <w:p w14:paraId="25813162">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施工期的大气污染物主要是扬尘，运输车辆产生少量汽车尾气。</w:t>
      </w:r>
    </w:p>
    <w:p w14:paraId="75EABB5D">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施工过程中，粉尘起尘特征总体分为两类：一类是静态起尘，主要指水泥等建筑材料及土方、建筑垃圾堆放过程中风蚀尘及施工地的风蚀尘，另一类是动态起尘，主要指建筑材料装卸过程起尘及运输车辆往来造成的地面扬尘。粉尘污染一般来源于以下几个方面：土方挖掘、堆放、清运、回填及场地平整过程产生的粉尘；建筑材料如水泥、石灰、砂子等在装卸、运输、堆放等过程中，因风力作用而产生的扬尘污染；搅拌车辆和运输车辆往来造成地面扬尘；施工垃圾在其堆放过程和清运过程中产生扬尘。</w:t>
      </w:r>
    </w:p>
    <w:p w14:paraId="4F5DF768">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扬尘对环境的影响一般多发生风速大于3m/s时，运沙、土扬尘量一般在0.88kg/t。项目施工期因地基挖方、填方将扰动而形成地表裸露；项目施工用原料的装卸及堆放（如水泥搅拌、红砖装卸、建筑砂筛分等）也会产生扬尘。一般加工1吨混凝土产生扬尘量为10g左右，28%的尘粒径小于10µm。遇大风天气形成扬尘，对该区域环境也将产生不利影响。</w:t>
      </w:r>
    </w:p>
    <w:p w14:paraId="149D0F0D">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施工期间，使用机动车运送原材料、设备和建筑机械设备的运转，均会排放一定量的CO、NOx以及未完全燃烧的HC等，其特点是排放量小，且属间断性无组织排放。</w:t>
      </w:r>
    </w:p>
    <w:p w14:paraId="1A3E001D">
      <w:pPr>
        <w:pStyle w:val="105"/>
        <w:rPr>
          <w:rFonts w:cs="Times New Roman"/>
          <w:color w:val="000000" w:themeColor="text1"/>
          <w14:textFill>
            <w14:solidFill>
              <w14:schemeClr w14:val="tx1"/>
            </w14:solidFill>
          </w14:textFill>
        </w:rPr>
      </w:pPr>
      <w:bookmarkStart w:id="304" w:name="_Toc472970918"/>
      <w:r>
        <w:rPr>
          <w:rFonts w:cs="Times New Roman"/>
          <w:color w:val="000000" w:themeColor="text1"/>
          <w14:textFill>
            <w14:solidFill>
              <w14:schemeClr w14:val="tx1"/>
            </w14:solidFill>
          </w14:textFill>
        </w:rPr>
        <w:t xml:space="preserve"> 3.4.3施工噪声</w:t>
      </w:r>
      <w:bookmarkEnd w:id="304"/>
    </w:p>
    <w:p w14:paraId="04089240">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土建阶段施工期的噪声主要来源于施工现场的各类机械设备噪声，其污染影响具有局部性、流动性、短时性等特点。不同施工阶段和不同施工机械发出的噪声水平是不同的，且有大量设备交互作业，因此施工作业噪声将会对项目内外环境带来一定的影响。根据施工量，按经验计算各施工阶段的昼夜的主要噪声源及场界噪声和建筑施工场界噪声限值标准见表3.4-1</w:t>
      </w:r>
    </w:p>
    <w:p w14:paraId="47EDFEBA">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表3.4-1  施工机械噪声源强及建筑施工场界噪声限值</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2190"/>
        <w:gridCol w:w="1524"/>
        <w:gridCol w:w="1309"/>
        <w:gridCol w:w="1309"/>
      </w:tblGrid>
      <w:tr w14:paraId="0E72D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85" w:type="pct"/>
            <w:vMerge w:val="restart"/>
            <w:vAlign w:val="center"/>
          </w:tcPr>
          <w:p w14:paraId="7F8F6884">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施工阶段</w:t>
            </w:r>
          </w:p>
        </w:tc>
        <w:tc>
          <w:tcPr>
            <w:tcW w:w="1285" w:type="pct"/>
            <w:vMerge w:val="restart"/>
            <w:vAlign w:val="center"/>
          </w:tcPr>
          <w:p w14:paraId="1D754DBA">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声源</w:t>
            </w:r>
          </w:p>
        </w:tc>
        <w:tc>
          <w:tcPr>
            <w:tcW w:w="894" w:type="pct"/>
            <w:vMerge w:val="restart"/>
            <w:vAlign w:val="center"/>
          </w:tcPr>
          <w:p w14:paraId="67256C6B">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声源强度</w:t>
            </w:r>
          </w:p>
          <w:p w14:paraId="59ACB2A5">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（dB(A)）</w:t>
            </w:r>
          </w:p>
        </w:tc>
        <w:tc>
          <w:tcPr>
            <w:tcW w:w="1535" w:type="pct"/>
            <w:gridSpan w:val="2"/>
            <w:vAlign w:val="center"/>
          </w:tcPr>
          <w:p w14:paraId="135DBA31">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场界噪声（dB(A)）</w:t>
            </w:r>
          </w:p>
        </w:tc>
      </w:tr>
      <w:tr w14:paraId="60E2D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285" w:type="pct"/>
            <w:vMerge w:val="continue"/>
            <w:vAlign w:val="center"/>
          </w:tcPr>
          <w:p w14:paraId="6BAB472D">
            <w:pPr>
              <w:jc w:val="center"/>
              <w:rPr>
                <w:rFonts w:eastAsia="新宋体"/>
                <w:color w:val="000000" w:themeColor="text1"/>
                <w:szCs w:val="21"/>
                <w14:textFill>
                  <w14:solidFill>
                    <w14:schemeClr w14:val="tx1"/>
                  </w14:solidFill>
                </w14:textFill>
              </w:rPr>
            </w:pPr>
          </w:p>
        </w:tc>
        <w:tc>
          <w:tcPr>
            <w:tcW w:w="1285" w:type="pct"/>
            <w:vMerge w:val="continue"/>
            <w:vAlign w:val="center"/>
          </w:tcPr>
          <w:p w14:paraId="1E0460EE">
            <w:pPr>
              <w:jc w:val="center"/>
              <w:rPr>
                <w:rFonts w:eastAsia="新宋体"/>
                <w:color w:val="000000" w:themeColor="text1"/>
                <w:szCs w:val="21"/>
                <w14:textFill>
                  <w14:solidFill>
                    <w14:schemeClr w14:val="tx1"/>
                  </w14:solidFill>
                </w14:textFill>
              </w:rPr>
            </w:pPr>
          </w:p>
        </w:tc>
        <w:tc>
          <w:tcPr>
            <w:tcW w:w="894" w:type="pct"/>
            <w:vMerge w:val="continue"/>
            <w:vAlign w:val="center"/>
          </w:tcPr>
          <w:p w14:paraId="1F60546F">
            <w:pPr>
              <w:jc w:val="center"/>
              <w:rPr>
                <w:rFonts w:eastAsia="新宋体"/>
                <w:color w:val="000000" w:themeColor="text1"/>
                <w:szCs w:val="21"/>
                <w14:textFill>
                  <w14:solidFill>
                    <w14:schemeClr w14:val="tx1"/>
                  </w14:solidFill>
                </w14:textFill>
              </w:rPr>
            </w:pPr>
          </w:p>
        </w:tc>
        <w:tc>
          <w:tcPr>
            <w:tcW w:w="768" w:type="pct"/>
            <w:vAlign w:val="center"/>
          </w:tcPr>
          <w:p w14:paraId="05F04514">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昼间</w:t>
            </w:r>
          </w:p>
        </w:tc>
        <w:tc>
          <w:tcPr>
            <w:tcW w:w="768" w:type="pct"/>
            <w:vAlign w:val="center"/>
          </w:tcPr>
          <w:p w14:paraId="0DF549CC">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夜间</w:t>
            </w:r>
          </w:p>
        </w:tc>
      </w:tr>
      <w:tr w14:paraId="10C45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85" w:type="pct"/>
            <w:vMerge w:val="restart"/>
            <w:vAlign w:val="center"/>
          </w:tcPr>
          <w:p w14:paraId="18CD385D">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土石方阶段</w:t>
            </w:r>
          </w:p>
        </w:tc>
        <w:tc>
          <w:tcPr>
            <w:tcW w:w="1285" w:type="pct"/>
            <w:vAlign w:val="center"/>
          </w:tcPr>
          <w:p w14:paraId="56C6FBB5">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挖土机</w:t>
            </w:r>
          </w:p>
        </w:tc>
        <w:tc>
          <w:tcPr>
            <w:tcW w:w="894" w:type="pct"/>
            <w:vMerge w:val="restart"/>
            <w:vAlign w:val="center"/>
          </w:tcPr>
          <w:p w14:paraId="1E61DA7A">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75~85</w:t>
            </w:r>
          </w:p>
        </w:tc>
        <w:tc>
          <w:tcPr>
            <w:tcW w:w="768" w:type="pct"/>
            <w:vMerge w:val="restart"/>
            <w:vAlign w:val="center"/>
          </w:tcPr>
          <w:p w14:paraId="3FA0D369">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70</w:t>
            </w:r>
          </w:p>
        </w:tc>
        <w:tc>
          <w:tcPr>
            <w:tcW w:w="768" w:type="pct"/>
            <w:vMerge w:val="restart"/>
            <w:vAlign w:val="center"/>
          </w:tcPr>
          <w:p w14:paraId="04D2A188">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55</w:t>
            </w:r>
          </w:p>
        </w:tc>
      </w:tr>
      <w:tr w14:paraId="7370B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85" w:type="pct"/>
            <w:vMerge w:val="continue"/>
            <w:vAlign w:val="center"/>
          </w:tcPr>
          <w:p w14:paraId="33AD3CEE">
            <w:pPr>
              <w:jc w:val="center"/>
              <w:rPr>
                <w:rFonts w:eastAsia="新宋体"/>
                <w:color w:val="000000" w:themeColor="text1"/>
                <w:szCs w:val="21"/>
                <w14:textFill>
                  <w14:solidFill>
                    <w14:schemeClr w14:val="tx1"/>
                  </w14:solidFill>
                </w14:textFill>
              </w:rPr>
            </w:pPr>
          </w:p>
        </w:tc>
        <w:tc>
          <w:tcPr>
            <w:tcW w:w="1285" w:type="pct"/>
            <w:vAlign w:val="center"/>
          </w:tcPr>
          <w:p w14:paraId="305335D9">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冲击机</w:t>
            </w:r>
          </w:p>
        </w:tc>
        <w:tc>
          <w:tcPr>
            <w:tcW w:w="894" w:type="pct"/>
            <w:vMerge w:val="continue"/>
            <w:vAlign w:val="center"/>
          </w:tcPr>
          <w:p w14:paraId="6752A6D6">
            <w:pPr>
              <w:jc w:val="center"/>
              <w:rPr>
                <w:rFonts w:eastAsia="新宋体"/>
                <w:color w:val="000000" w:themeColor="text1"/>
                <w:szCs w:val="21"/>
                <w14:textFill>
                  <w14:solidFill>
                    <w14:schemeClr w14:val="tx1"/>
                  </w14:solidFill>
                </w14:textFill>
              </w:rPr>
            </w:pPr>
          </w:p>
        </w:tc>
        <w:tc>
          <w:tcPr>
            <w:tcW w:w="768" w:type="pct"/>
            <w:vMerge w:val="continue"/>
            <w:vAlign w:val="center"/>
          </w:tcPr>
          <w:p w14:paraId="0CE3AFB9">
            <w:pPr>
              <w:jc w:val="center"/>
              <w:rPr>
                <w:rFonts w:eastAsia="新宋体"/>
                <w:color w:val="000000" w:themeColor="text1"/>
                <w:szCs w:val="21"/>
                <w14:textFill>
                  <w14:solidFill>
                    <w14:schemeClr w14:val="tx1"/>
                  </w14:solidFill>
                </w14:textFill>
              </w:rPr>
            </w:pPr>
          </w:p>
        </w:tc>
        <w:tc>
          <w:tcPr>
            <w:tcW w:w="768" w:type="pct"/>
            <w:vMerge w:val="continue"/>
            <w:vAlign w:val="center"/>
          </w:tcPr>
          <w:p w14:paraId="26F2D8EC">
            <w:pPr>
              <w:jc w:val="center"/>
              <w:rPr>
                <w:rFonts w:eastAsia="新宋体"/>
                <w:color w:val="000000" w:themeColor="text1"/>
                <w:szCs w:val="21"/>
                <w14:textFill>
                  <w14:solidFill>
                    <w14:schemeClr w14:val="tx1"/>
                  </w14:solidFill>
                </w14:textFill>
              </w:rPr>
            </w:pPr>
          </w:p>
        </w:tc>
      </w:tr>
      <w:tr w14:paraId="2BC58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85" w:type="pct"/>
            <w:vMerge w:val="continue"/>
            <w:vAlign w:val="center"/>
          </w:tcPr>
          <w:p w14:paraId="53772527">
            <w:pPr>
              <w:jc w:val="center"/>
              <w:rPr>
                <w:rFonts w:eastAsia="新宋体"/>
                <w:color w:val="000000" w:themeColor="text1"/>
                <w:szCs w:val="21"/>
                <w14:textFill>
                  <w14:solidFill>
                    <w14:schemeClr w14:val="tx1"/>
                  </w14:solidFill>
                </w14:textFill>
              </w:rPr>
            </w:pPr>
          </w:p>
        </w:tc>
        <w:tc>
          <w:tcPr>
            <w:tcW w:w="1285" w:type="pct"/>
            <w:vAlign w:val="center"/>
          </w:tcPr>
          <w:p w14:paraId="56B6CFF3">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空压机</w:t>
            </w:r>
          </w:p>
        </w:tc>
        <w:tc>
          <w:tcPr>
            <w:tcW w:w="894" w:type="pct"/>
            <w:vMerge w:val="continue"/>
            <w:vAlign w:val="center"/>
          </w:tcPr>
          <w:p w14:paraId="22802A33">
            <w:pPr>
              <w:jc w:val="center"/>
              <w:rPr>
                <w:rFonts w:eastAsia="新宋体"/>
                <w:color w:val="000000" w:themeColor="text1"/>
                <w:szCs w:val="21"/>
                <w14:textFill>
                  <w14:solidFill>
                    <w14:schemeClr w14:val="tx1"/>
                  </w14:solidFill>
                </w14:textFill>
              </w:rPr>
            </w:pPr>
          </w:p>
        </w:tc>
        <w:tc>
          <w:tcPr>
            <w:tcW w:w="768" w:type="pct"/>
            <w:vMerge w:val="continue"/>
            <w:vAlign w:val="center"/>
          </w:tcPr>
          <w:p w14:paraId="2098C216">
            <w:pPr>
              <w:jc w:val="center"/>
              <w:rPr>
                <w:rFonts w:eastAsia="新宋体"/>
                <w:color w:val="000000" w:themeColor="text1"/>
                <w:szCs w:val="21"/>
                <w14:textFill>
                  <w14:solidFill>
                    <w14:schemeClr w14:val="tx1"/>
                  </w14:solidFill>
                </w14:textFill>
              </w:rPr>
            </w:pPr>
          </w:p>
        </w:tc>
        <w:tc>
          <w:tcPr>
            <w:tcW w:w="768" w:type="pct"/>
            <w:vMerge w:val="continue"/>
            <w:vAlign w:val="center"/>
          </w:tcPr>
          <w:p w14:paraId="6D933596">
            <w:pPr>
              <w:jc w:val="center"/>
              <w:rPr>
                <w:rFonts w:eastAsia="新宋体"/>
                <w:color w:val="000000" w:themeColor="text1"/>
                <w:szCs w:val="21"/>
                <w14:textFill>
                  <w14:solidFill>
                    <w14:schemeClr w14:val="tx1"/>
                  </w14:solidFill>
                </w14:textFill>
              </w:rPr>
            </w:pPr>
          </w:p>
        </w:tc>
      </w:tr>
      <w:tr w14:paraId="6A0DC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85" w:type="pct"/>
            <w:vMerge w:val="restart"/>
            <w:vAlign w:val="center"/>
          </w:tcPr>
          <w:p w14:paraId="0F2CCA19">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底板与结构阶段</w:t>
            </w:r>
          </w:p>
        </w:tc>
        <w:tc>
          <w:tcPr>
            <w:tcW w:w="1285" w:type="pct"/>
            <w:vAlign w:val="center"/>
          </w:tcPr>
          <w:p w14:paraId="06FFC763">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混凝土输送泵</w:t>
            </w:r>
          </w:p>
        </w:tc>
        <w:tc>
          <w:tcPr>
            <w:tcW w:w="894" w:type="pct"/>
            <w:vMerge w:val="restart"/>
            <w:vAlign w:val="center"/>
          </w:tcPr>
          <w:p w14:paraId="4EE8C17E">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70~85</w:t>
            </w:r>
          </w:p>
        </w:tc>
        <w:tc>
          <w:tcPr>
            <w:tcW w:w="768" w:type="pct"/>
            <w:vMerge w:val="continue"/>
            <w:vAlign w:val="center"/>
          </w:tcPr>
          <w:p w14:paraId="77144E56">
            <w:pPr>
              <w:jc w:val="center"/>
              <w:rPr>
                <w:rFonts w:eastAsia="新宋体"/>
                <w:color w:val="000000" w:themeColor="text1"/>
                <w:szCs w:val="21"/>
                <w14:textFill>
                  <w14:solidFill>
                    <w14:schemeClr w14:val="tx1"/>
                  </w14:solidFill>
                </w14:textFill>
              </w:rPr>
            </w:pPr>
          </w:p>
        </w:tc>
        <w:tc>
          <w:tcPr>
            <w:tcW w:w="768" w:type="pct"/>
            <w:vMerge w:val="continue"/>
            <w:vAlign w:val="center"/>
          </w:tcPr>
          <w:p w14:paraId="676F2269">
            <w:pPr>
              <w:jc w:val="center"/>
              <w:rPr>
                <w:rFonts w:eastAsia="新宋体"/>
                <w:color w:val="000000" w:themeColor="text1"/>
                <w:szCs w:val="21"/>
                <w14:textFill>
                  <w14:solidFill>
                    <w14:schemeClr w14:val="tx1"/>
                  </w14:solidFill>
                </w14:textFill>
              </w:rPr>
            </w:pPr>
          </w:p>
        </w:tc>
      </w:tr>
      <w:tr w14:paraId="6210A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85" w:type="pct"/>
            <w:vMerge w:val="continue"/>
            <w:vAlign w:val="center"/>
          </w:tcPr>
          <w:p w14:paraId="2C225627">
            <w:pPr>
              <w:jc w:val="center"/>
              <w:rPr>
                <w:rFonts w:eastAsia="新宋体"/>
                <w:color w:val="000000" w:themeColor="text1"/>
                <w:szCs w:val="21"/>
                <w14:textFill>
                  <w14:solidFill>
                    <w14:schemeClr w14:val="tx1"/>
                  </w14:solidFill>
                </w14:textFill>
              </w:rPr>
            </w:pPr>
          </w:p>
        </w:tc>
        <w:tc>
          <w:tcPr>
            <w:tcW w:w="1285" w:type="pct"/>
            <w:vAlign w:val="center"/>
          </w:tcPr>
          <w:p w14:paraId="3812F2D9">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振捣器</w:t>
            </w:r>
          </w:p>
        </w:tc>
        <w:tc>
          <w:tcPr>
            <w:tcW w:w="894" w:type="pct"/>
            <w:vMerge w:val="continue"/>
            <w:vAlign w:val="center"/>
          </w:tcPr>
          <w:p w14:paraId="72AAF43E">
            <w:pPr>
              <w:jc w:val="center"/>
              <w:rPr>
                <w:rFonts w:eastAsia="新宋体"/>
                <w:color w:val="000000" w:themeColor="text1"/>
                <w:szCs w:val="21"/>
                <w14:textFill>
                  <w14:solidFill>
                    <w14:schemeClr w14:val="tx1"/>
                  </w14:solidFill>
                </w14:textFill>
              </w:rPr>
            </w:pPr>
          </w:p>
        </w:tc>
        <w:tc>
          <w:tcPr>
            <w:tcW w:w="768" w:type="pct"/>
            <w:vMerge w:val="continue"/>
            <w:vAlign w:val="center"/>
          </w:tcPr>
          <w:p w14:paraId="5A06E79E">
            <w:pPr>
              <w:jc w:val="center"/>
              <w:rPr>
                <w:rFonts w:eastAsia="新宋体"/>
                <w:color w:val="000000" w:themeColor="text1"/>
                <w:szCs w:val="21"/>
                <w14:textFill>
                  <w14:solidFill>
                    <w14:schemeClr w14:val="tx1"/>
                  </w14:solidFill>
                </w14:textFill>
              </w:rPr>
            </w:pPr>
          </w:p>
        </w:tc>
        <w:tc>
          <w:tcPr>
            <w:tcW w:w="768" w:type="pct"/>
            <w:vMerge w:val="continue"/>
            <w:vAlign w:val="center"/>
          </w:tcPr>
          <w:p w14:paraId="6A755559">
            <w:pPr>
              <w:jc w:val="center"/>
              <w:rPr>
                <w:rFonts w:eastAsia="新宋体"/>
                <w:color w:val="000000" w:themeColor="text1"/>
                <w:szCs w:val="21"/>
                <w14:textFill>
                  <w14:solidFill>
                    <w14:schemeClr w14:val="tx1"/>
                  </w14:solidFill>
                </w14:textFill>
              </w:rPr>
            </w:pPr>
          </w:p>
        </w:tc>
      </w:tr>
      <w:tr w14:paraId="07C65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85" w:type="pct"/>
            <w:vMerge w:val="continue"/>
            <w:vAlign w:val="center"/>
          </w:tcPr>
          <w:p w14:paraId="4543E57A">
            <w:pPr>
              <w:jc w:val="center"/>
              <w:rPr>
                <w:rFonts w:eastAsia="新宋体"/>
                <w:color w:val="000000" w:themeColor="text1"/>
                <w:szCs w:val="21"/>
                <w14:textFill>
                  <w14:solidFill>
                    <w14:schemeClr w14:val="tx1"/>
                  </w14:solidFill>
                </w14:textFill>
              </w:rPr>
            </w:pPr>
          </w:p>
        </w:tc>
        <w:tc>
          <w:tcPr>
            <w:tcW w:w="1285" w:type="pct"/>
            <w:vAlign w:val="center"/>
          </w:tcPr>
          <w:p w14:paraId="26BDB06D">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电锯</w:t>
            </w:r>
          </w:p>
        </w:tc>
        <w:tc>
          <w:tcPr>
            <w:tcW w:w="894" w:type="pct"/>
            <w:vMerge w:val="continue"/>
            <w:vAlign w:val="center"/>
          </w:tcPr>
          <w:p w14:paraId="517D90DD">
            <w:pPr>
              <w:jc w:val="center"/>
              <w:rPr>
                <w:rFonts w:eastAsia="新宋体"/>
                <w:color w:val="000000" w:themeColor="text1"/>
                <w:szCs w:val="21"/>
                <w14:textFill>
                  <w14:solidFill>
                    <w14:schemeClr w14:val="tx1"/>
                  </w14:solidFill>
                </w14:textFill>
              </w:rPr>
            </w:pPr>
          </w:p>
        </w:tc>
        <w:tc>
          <w:tcPr>
            <w:tcW w:w="768" w:type="pct"/>
            <w:vMerge w:val="continue"/>
            <w:vAlign w:val="center"/>
          </w:tcPr>
          <w:p w14:paraId="6A87B854">
            <w:pPr>
              <w:jc w:val="center"/>
              <w:rPr>
                <w:rFonts w:eastAsia="新宋体"/>
                <w:color w:val="000000" w:themeColor="text1"/>
                <w:szCs w:val="21"/>
                <w14:textFill>
                  <w14:solidFill>
                    <w14:schemeClr w14:val="tx1"/>
                  </w14:solidFill>
                </w14:textFill>
              </w:rPr>
            </w:pPr>
          </w:p>
        </w:tc>
        <w:tc>
          <w:tcPr>
            <w:tcW w:w="768" w:type="pct"/>
            <w:vMerge w:val="continue"/>
            <w:vAlign w:val="center"/>
          </w:tcPr>
          <w:p w14:paraId="4D626175">
            <w:pPr>
              <w:jc w:val="center"/>
              <w:rPr>
                <w:rFonts w:eastAsia="新宋体"/>
                <w:color w:val="000000" w:themeColor="text1"/>
                <w:szCs w:val="21"/>
                <w14:textFill>
                  <w14:solidFill>
                    <w14:schemeClr w14:val="tx1"/>
                  </w14:solidFill>
                </w14:textFill>
              </w:rPr>
            </w:pPr>
          </w:p>
        </w:tc>
      </w:tr>
      <w:tr w14:paraId="535A2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85" w:type="pct"/>
            <w:vMerge w:val="restart"/>
            <w:vAlign w:val="center"/>
          </w:tcPr>
          <w:p w14:paraId="23C00762">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装修安装阶段</w:t>
            </w:r>
          </w:p>
        </w:tc>
        <w:tc>
          <w:tcPr>
            <w:tcW w:w="1285" w:type="pct"/>
            <w:vAlign w:val="center"/>
          </w:tcPr>
          <w:p w14:paraId="1541A6D6">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电钻、手工钻等</w:t>
            </w:r>
          </w:p>
        </w:tc>
        <w:tc>
          <w:tcPr>
            <w:tcW w:w="894" w:type="pct"/>
            <w:vMerge w:val="restart"/>
            <w:vAlign w:val="center"/>
          </w:tcPr>
          <w:p w14:paraId="3A664FBB">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80~95</w:t>
            </w:r>
          </w:p>
        </w:tc>
        <w:tc>
          <w:tcPr>
            <w:tcW w:w="768" w:type="pct"/>
            <w:vMerge w:val="continue"/>
            <w:vAlign w:val="center"/>
          </w:tcPr>
          <w:p w14:paraId="04EE9CCB">
            <w:pPr>
              <w:jc w:val="center"/>
              <w:rPr>
                <w:rFonts w:eastAsia="新宋体"/>
                <w:color w:val="000000" w:themeColor="text1"/>
                <w:szCs w:val="21"/>
                <w14:textFill>
                  <w14:solidFill>
                    <w14:schemeClr w14:val="tx1"/>
                  </w14:solidFill>
                </w14:textFill>
              </w:rPr>
            </w:pPr>
          </w:p>
        </w:tc>
        <w:tc>
          <w:tcPr>
            <w:tcW w:w="768" w:type="pct"/>
            <w:vMerge w:val="continue"/>
            <w:vAlign w:val="center"/>
          </w:tcPr>
          <w:p w14:paraId="2D045A59">
            <w:pPr>
              <w:jc w:val="center"/>
              <w:rPr>
                <w:rFonts w:eastAsia="新宋体"/>
                <w:color w:val="000000" w:themeColor="text1"/>
                <w:szCs w:val="21"/>
                <w14:textFill>
                  <w14:solidFill>
                    <w14:schemeClr w14:val="tx1"/>
                  </w14:solidFill>
                </w14:textFill>
              </w:rPr>
            </w:pPr>
          </w:p>
        </w:tc>
      </w:tr>
      <w:tr w14:paraId="7CF20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85" w:type="pct"/>
            <w:vMerge w:val="continue"/>
            <w:vAlign w:val="center"/>
          </w:tcPr>
          <w:p w14:paraId="7385EDF4">
            <w:pPr>
              <w:jc w:val="center"/>
              <w:rPr>
                <w:rFonts w:eastAsia="新宋体"/>
                <w:color w:val="000000" w:themeColor="text1"/>
                <w:szCs w:val="21"/>
                <w14:textFill>
                  <w14:solidFill>
                    <w14:schemeClr w14:val="tx1"/>
                  </w14:solidFill>
                </w14:textFill>
              </w:rPr>
            </w:pPr>
          </w:p>
        </w:tc>
        <w:tc>
          <w:tcPr>
            <w:tcW w:w="1285" w:type="pct"/>
            <w:vAlign w:val="center"/>
          </w:tcPr>
          <w:p w14:paraId="48BCA72D">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电锤</w:t>
            </w:r>
          </w:p>
        </w:tc>
        <w:tc>
          <w:tcPr>
            <w:tcW w:w="894" w:type="pct"/>
            <w:vMerge w:val="continue"/>
            <w:vAlign w:val="center"/>
          </w:tcPr>
          <w:p w14:paraId="02F70D54">
            <w:pPr>
              <w:jc w:val="center"/>
              <w:rPr>
                <w:rFonts w:eastAsia="新宋体"/>
                <w:color w:val="000000" w:themeColor="text1"/>
                <w:szCs w:val="21"/>
                <w14:textFill>
                  <w14:solidFill>
                    <w14:schemeClr w14:val="tx1"/>
                  </w14:solidFill>
                </w14:textFill>
              </w:rPr>
            </w:pPr>
          </w:p>
        </w:tc>
        <w:tc>
          <w:tcPr>
            <w:tcW w:w="768" w:type="pct"/>
            <w:vMerge w:val="continue"/>
            <w:vAlign w:val="center"/>
          </w:tcPr>
          <w:p w14:paraId="323E69FD">
            <w:pPr>
              <w:jc w:val="center"/>
              <w:rPr>
                <w:rFonts w:eastAsia="新宋体"/>
                <w:color w:val="000000" w:themeColor="text1"/>
                <w:szCs w:val="21"/>
                <w14:textFill>
                  <w14:solidFill>
                    <w14:schemeClr w14:val="tx1"/>
                  </w14:solidFill>
                </w14:textFill>
              </w:rPr>
            </w:pPr>
          </w:p>
        </w:tc>
        <w:tc>
          <w:tcPr>
            <w:tcW w:w="768" w:type="pct"/>
            <w:vMerge w:val="continue"/>
            <w:vAlign w:val="center"/>
          </w:tcPr>
          <w:p w14:paraId="7B884972">
            <w:pPr>
              <w:jc w:val="center"/>
              <w:rPr>
                <w:rFonts w:eastAsia="新宋体"/>
                <w:color w:val="000000" w:themeColor="text1"/>
                <w:szCs w:val="21"/>
                <w14:textFill>
                  <w14:solidFill>
                    <w14:schemeClr w14:val="tx1"/>
                  </w14:solidFill>
                </w14:textFill>
              </w:rPr>
            </w:pPr>
          </w:p>
        </w:tc>
      </w:tr>
      <w:tr w14:paraId="6DEF6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285" w:type="pct"/>
            <w:vMerge w:val="continue"/>
            <w:vAlign w:val="center"/>
          </w:tcPr>
          <w:p w14:paraId="52072586">
            <w:pPr>
              <w:jc w:val="center"/>
              <w:rPr>
                <w:rFonts w:eastAsia="新宋体"/>
                <w:color w:val="000000" w:themeColor="text1"/>
                <w:szCs w:val="21"/>
                <w14:textFill>
                  <w14:solidFill>
                    <w14:schemeClr w14:val="tx1"/>
                  </w14:solidFill>
                </w14:textFill>
              </w:rPr>
            </w:pPr>
          </w:p>
        </w:tc>
        <w:tc>
          <w:tcPr>
            <w:tcW w:w="1285" w:type="pct"/>
            <w:vAlign w:val="center"/>
          </w:tcPr>
          <w:p w14:paraId="082C23CF">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无齿锯</w:t>
            </w:r>
          </w:p>
        </w:tc>
        <w:tc>
          <w:tcPr>
            <w:tcW w:w="894" w:type="pct"/>
            <w:vMerge w:val="continue"/>
            <w:vAlign w:val="center"/>
          </w:tcPr>
          <w:p w14:paraId="347C66F3">
            <w:pPr>
              <w:jc w:val="center"/>
              <w:rPr>
                <w:rFonts w:eastAsia="新宋体"/>
                <w:color w:val="000000" w:themeColor="text1"/>
                <w:szCs w:val="21"/>
                <w14:textFill>
                  <w14:solidFill>
                    <w14:schemeClr w14:val="tx1"/>
                  </w14:solidFill>
                </w14:textFill>
              </w:rPr>
            </w:pPr>
          </w:p>
        </w:tc>
        <w:tc>
          <w:tcPr>
            <w:tcW w:w="768" w:type="pct"/>
            <w:vMerge w:val="continue"/>
            <w:vAlign w:val="center"/>
          </w:tcPr>
          <w:p w14:paraId="01AE5D63">
            <w:pPr>
              <w:jc w:val="center"/>
              <w:rPr>
                <w:rFonts w:eastAsia="新宋体"/>
                <w:color w:val="000000" w:themeColor="text1"/>
                <w:szCs w:val="21"/>
                <w14:textFill>
                  <w14:solidFill>
                    <w14:schemeClr w14:val="tx1"/>
                  </w14:solidFill>
                </w14:textFill>
              </w:rPr>
            </w:pPr>
          </w:p>
        </w:tc>
        <w:tc>
          <w:tcPr>
            <w:tcW w:w="768" w:type="pct"/>
            <w:vMerge w:val="continue"/>
            <w:vAlign w:val="center"/>
          </w:tcPr>
          <w:p w14:paraId="5B17A100">
            <w:pPr>
              <w:jc w:val="center"/>
              <w:rPr>
                <w:rFonts w:eastAsia="新宋体"/>
                <w:color w:val="000000" w:themeColor="text1"/>
                <w:szCs w:val="21"/>
                <w14:textFill>
                  <w14:solidFill>
                    <w14:schemeClr w14:val="tx1"/>
                  </w14:solidFill>
                </w14:textFill>
              </w:rPr>
            </w:pPr>
          </w:p>
        </w:tc>
      </w:tr>
    </w:tbl>
    <w:p w14:paraId="526FEF63">
      <w:pPr>
        <w:spacing w:line="360" w:lineRule="auto"/>
        <w:ind w:firstLine="475"/>
        <w:rPr>
          <w:rFonts w:eastAsia="新宋体"/>
          <w:b/>
          <w:bCs/>
          <w:color w:val="000000" w:themeColor="text1"/>
          <w:szCs w:val="21"/>
          <w14:textFill>
            <w14:solidFill>
              <w14:schemeClr w14:val="tx1"/>
            </w14:solidFill>
          </w14:textFill>
        </w:rPr>
      </w:pPr>
      <w:r>
        <w:rPr>
          <w:rFonts w:eastAsia="新宋体"/>
          <w:color w:val="000000" w:themeColor="text1"/>
          <w:sz w:val="24"/>
          <w:szCs w:val="21"/>
          <w14:textFill>
            <w14:solidFill>
              <w14:schemeClr w14:val="tx1"/>
            </w14:solidFill>
          </w14:textFill>
        </w:rPr>
        <w:t>施工的各个阶段，施工现场均有机械设备运转，这些设备噪声源场界排放噪声，一般在75-95dB(A)。根据点声源随距离增加的衰减模式计算（∆L=20lg r</w:t>
      </w:r>
      <w:r>
        <w:rPr>
          <w:rFonts w:eastAsia="新宋体"/>
          <w:color w:val="000000" w:themeColor="text1"/>
          <w:sz w:val="24"/>
          <w:szCs w:val="21"/>
          <w:vertAlign w:val="subscript"/>
          <w14:textFill>
            <w14:solidFill>
              <w14:schemeClr w14:val="tx1"/>
            </w14:solidFill>
          </w14:textFill>
        </w:rPr>
        <w:t>1</w:t>
      </w:r>
      <w:r>
        <w:rPr>
          <w:rFonts w:eastAsia="新宋体"/>
          <w:color w:val="000000" w:themeColor="text1"/>
          <w:sz w:val="24"/>
          <w:szCs w:val="21"/>
          <w14:textFill>
            <w14:solidFill>
              <w14:schemeClr w14:val="tx1"/>
            </w14:solidFill>
          </w14:textFill>
        </w:rPr>
        <w:t>/r</w:t>
      </w:r>
      <w:r>
        <w:rPr>
          <w:rFonts w:eastAsia="新宋体"/>
          <w:color w:val="000000" w:themeColor="text1"/>
          <w:sz w:val="24"/>
          <w:szCs w:val="21"/>
          <w:vertAlign w:val="subscript"/>
          <w14:textFill>
            <w14:solidFill>
              <w14:schemeClr w14:val="tx1"/>
            </w14:solidFill>
          </w14:textFill>
        </w:rPr>
        <w:t>2</w:t>
      </w:r>
      <w:r>
        <w:rPr>
          <w:rFonts w:eastAsia="新宋体"/>
          <w:color w:val="000000" w:themeColor="text1"/>
          <w:sz w:val="24"/>
          <w:szCs w:val="21"/>
          <w14:textFill>
            <w14:solidFill>
              <w14:schemeClr w14:val="tx1"/>
            </w14:solidFill>
          </w14:textFill>
        </w:rPr>
        <w:t>），按点声源强噪声级为95dB(A)随距离衰减预测结果表明，30m处噪声衰减为65dB(A)，项目昼间施工对厂界外60m以内声环境产生不良影响；夜间施工对厂界外200m以内声环境将产生不良影响。</w:t>
      </w:r>
    </w:p>
    <w:p w14:paraId="55C9FB68">
      <w:pPr>
        <w:spacing w:line="360" w:lineRule="auto"/>
        <w:ind w:firstLine="475"/>
        <w:rPr>
          <w:rFonts w:eastAsia="新宋体"/>
          <w:b/>
          <w:bCs/>
          <w:color w:val="000000" w:themeColor="text1"/>
          <w:szCs w:val="21"/>
          <w14:textFill>
            <w14:solidFill>
              <w14:schemeClr w14:val="tx1"/>
            </w14:solidFill>
          </w14:textFill>
        </w:rPr>
      </w:pPr>
      <w:r>
        <w:rPr>
          <w:rFonts w:eastAsia="新宋体"/>
          <w:color w:val="000000" w:themeColor="text1"/>
          <w:sz w:val="24"/>
          <w:szCs w:val="21"/>
          <w14:textFill>
            <w14:solidFill>
              <w14:schemeClr w14:val="tx1"/>
            </w14:solidFill>
          </w14:textFill>
        </w:rPr>
        <w:t>本施工期主要是建设污水处理系统、进行设备安装，仅在昼间进行施工，所在区域没有临近的声环境敏感目标，因此施工期不会产生噪声扰民。</w:t>
      </w:r>
    </w:p>
    <w:p w14:paraId="17DB3C9A">
      <w:pPr>
        <w:pStyle w:val="105"/>
        <w:rPr>
          <w:rFonts w:cs="Times New Roman"/>
          <w:color w:val="000000" w:themeColor="text1"/>
          <w14:textFill>
            <w14:solidFill>
              <w14:schemeClr w14:val="tx1"/>
            </w14:solidFill>
          </w14:textFill>
        </w:rPr>
      </w:pPr>
      <w:bookmarkStart w:id="305" w:name="_Toc472970919"/>
      <w:r>
        <w:rPr>
          <w:rFonts w:cs="Times New Roman"/>
          <w:color w:val="000000" w:themeColor="text1"/>
          <w14:textFill>
            <w14:solidFill>
              <w14:schemeClr w14:val="tx1"/>
            </w14:solidFill>
          </w14:textFill>
        </w:rPr>
        <w:t xml:space="preserve"> 3.4.4施工固废</w:t>
      </w:r>
      <w:bookmarkEnd w:id="305"/>
    </w:p>
    <w:p w14:paraId="4275A2E0">
      <w:pPr>
        <w:pStyle w:val="29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（1）废弃土石</w:t>
      </w:r>
    </w:p>
    <w:p w14:paraId="32779420">
      <w:pPr>
        <w:pStyle w:val="296"/>
        <w:ind w:firstLine="480"/>
        <w:rPr>
          <w:color w:val="000000" w:themeColor="text1"/>
          <w14:textFill>
            <w14:solidFill>
              <w14:schemeClr w14:val="tx1"/>
            </w14:solidFill>
          </w14:textFill>
        </w:rPr>
      </w:pPr>
      <w:r>
        <w:rPr>
          <w:color w:val="000000" w:themeColor="text1"/>
          <w14:textFill>
            <w14:solidFill>
              <w14:schemeClr w14:val="tx1"/>
            </w14:solidFill>
          </w14:textFill>
        </w:rPr>
        <w:t>根据建设方资料，本项目土石方开挖量约100m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，项目场地回填100m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，项目产生的土石方可以全部用于回填，无弃土产生</w:t>
      </w:r>
      <w:r>
        <w:rPr>
          <w:rFonts w:hint="eastAsia"/>
          <w:color w:val="000000" w:themeColor="text1"/>
          <w14:textFill>
            <w14:solidFill>
              <w14:schemeClr w14:val="tx1"/>
            </w14:solidFill>
          </w14:textFill>
        </w:rPr>
        <w:t>。</w:t>
      </w:r>
    </w:p>
    <w:p w14:paraId="4957776B">
      <w:pPr>
        <w:pStyle w:val="29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（2）建筑垃圾</w:t>
      </w:r>
    </w:p>
    <w:p w14:paraId="4E549C51">
      <w:pPr>
        <w:pStyle w:val="296"/>
        <w:ind w:firstLine="480"/>
        <w:rPr>
          <w:color w:val="000000" w:themeColor="text1"/>
          <w14:textFill>
            <w14:solidFill>
              <w14:schemeClr w14:val="tx1"/>
            </w14:solidFill>
          </w14:textFill>
        </w:rPr>
      </w:pPr>
      <w:r>
        <w:rPr>
          <w:color w:val="000000" w:themeColor="text1"/>
          <w14:textFill>
            <w14:solidFill>
              <w14:schemeClr w14:val="tx1"/>
            </w14:solidFill>
          </w14:textFill>
        </w:rPr>
        <w:t>本项目建筑垃圾产生量</w:t>
      </w:r>
      <w:r>
        <w:rPr>
          <w:rFonts w:hint="eastAsia"/>
          <w:color w:val="000000" w:themeColor="text1"/>
          <w14:textFill>
            <w14:solidFill>
              <w14:schemeClr w14:val="tx1"/>
            </w14:solidFill>
          </w14:textFill>
        </w:rPr>
        <w:t>约</w:t>
      </w:r>
      <w:r>
        <w:rPr>
          <w:color w:val="000000" w:themeColor="text1"/>
          <w14:textFill>
            <w14:solidFill>
              <w14:schemeClr w14:val="tx1"/>
            </w14:solidFill>
          </w14:textFill>
        </w:rPr>
        <w:t>为10吨建筑</w:t>
      </w:r>
      <w:r>
        <w:rPr>
          <w:rFonts w:hint="eastAsia"/>
          <w:color w:val="000000" w:themeColor="text1"/>
          <w14:textFill>
            <w14:solidFill>
              <w14:schemeClr w14:val="tx1"/>
            </w14:solidFill>
          </w14:textFill>
        </w:rPr>
        <w:t>垃圾</w:t>
      </w:r>
      <w:r>
        <w:rPr>
          <w:color w:val="000000" w:themeColor="text1"/>
          <w14:textFill>
            <w14:solidFill>
              <w14:schemeClr w14:val="tx1"/>
            </w14:solidFill>
          </w14:textFill>
        </w:rPr>
        <w:t>需集中收集，可以回收利用的回收利用，不能利用的建筑垃圾由施工单位清运至建筑垃圾指定堆放地妥善处置，防止其因长期堆放而产生的污染，禁止乱丢乱弃。</w:t>
      </w:r>
    </w:p>
    <w:p w14:paraId="3AD8D43A">
      <w:pPr>
        <w:pStyle w:val="29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（3）生活垃圾</w:t>
      </w:r>
    </w:p>
    <w:p w14:paraId="3591F395">
      <w:pPr>
        <w:spacing w:line="360" w:lineRule="auto"/>
        <w:ind w:firstLine="475"/>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施工人员产生的生活垃圾，按施工高峰期施工人数10人，人均产生生活垃圾1kg/d计，生活垃圾产生量为0.01t/d，施工期间产生生活垃圾0.45t。施工期间产生的生活垃圾集中收集后定期清运至就近寨子的垃圾收集点</w:t>
      </w:r>
      <w:r>
        <w:rPr>
          <w:rFonts w:hint="eastAsia" w:eastAsia="新宋体"/>
          <w:color w:val="000000" w:themeColor="text1"/>
          <w:sz w:val="24"/>
          <w:szCs w:val="21"/>
          <w14:textFill>
            <w14:solidFill>
              <w14:schemeClr w14:val="tx1"/>
            </w14:solidFill>
          </w14:textFill>
        </w:rPr>
        <w:t>。</w:t>
      </w:r>
      <w:r>
        <w:rPr>
          <w:rFonts w:eastAsia="新宋体"/>
          <w:color w:val="000000" w:themeColor="text1"/>
          <w:sz w:val="24"/>
          <w:szCs w:val="21"/>
          <w14:textFill>
            <w14:solidFill>
              <w14:schemeClr w14:val="tx1"/>
            </w14:solidFill>
          </w14:textFill>
        </w:rPr>
        <w:t xml:space="preserve"> </w:t>
      </w:r>
    </w:p>
    <w:bookmarkEnd w:id="302"/>
    <w:bookmarkEnd w:id="303"/>
    <w:p w14:paraId="54F0AEA3">
      <w:pPr>
        <w:pStyle w:val="4"/>
        <w:rPr>
          <w:rFonts w:ascii="Times New Roman" w:hAnsi="Times New Roman"/>
          <w:color w:val="000000" w:themeColor="text1"/>
          <w14:textFill>
            <w14:solidFill>
              <w14:schemeClr w14:val="tx1"/>
            </w14:solidFill>
          </w14:textFill>
        </w:rPr>
      </w:pPr>
      <w:bookmarkStart w:id="306" w:name="_Toc285541523"/>
      <w:bookmarkStart w:id="307" w:name="_Toc285547568"/>
      <w:bookmarkStart w:id="308" w:name="_Toc286241640"/>
      <w:bookmarkStart w:id="309" w:name="_Toc285542743"/>
      <w:bookmarkStart w:id="310" w:name="_Toc354822888"/>
      <w:bookmarkStart w:id="311" w:name="_Toc2773751"/>
      <w:bookmarkStart w:id="312" w:name="_Toc345236540"/>
      <w:r>
        <w:rPr>
          <w:rFonts w:ascii="Times New Roman" w:hAnsi="Times New Roman"/>
          <w:color w:val="000000" w:themeColor="text1"/>
          <w14:textFill>
            <w14:solidFill>
              <w14:schemeClr w14:val="tx1"/>
            </w14:solidFill>
          </w14:textFill>
        </w:rPr>
        <w:t>3.5 运营期污染源</w:t>
      </w:r>
      <w:bookmarkEnd w:id="306"/>
      <w:bookmarkEnd w:id="307"/>
      <w:bookmarkEnd w:id="308"/>
      <w:bookmarkEnd w:id="309"/>
      <w:r>
        <w:rPr>
          <w:rFonts w:ascii="Times New Roman" w:hAnsi="Times New Roman"/>
          <w:color w:val="000000" w:themeColor="text1"/>
          <w14:textFill>
            <w14:solidFill>
              <w14:schemeClr w14:val="tx1"/>
            </w14:solidFill>
          </w14:textFill>
        </w:rPr>
        <w:t>核算</w:t>
      </w:r>
      <w:bookmarkEnd w:id="310"/>
      <w:bookmarkEnd w:id="311"/>
      <w:bookmarkEnd w:id="312"/>
    </w:p>
    <w:p w14:paraId="37FAA3A7">
      <w:pPr>
        <w:pStyle w:val="105"/>
        <w:rPr>
          <w:rFonts w:cs="Times New Roman"/>
          <w:color w:val="000000" w:themeColor="text1"/>
          <w14:textFill>
            <w14:solidFill>
              <w14:schemeClr w14:val="tx1"/>
            </w14:solidFill>
          </w14:textFill>
        </w:rPr>
      </w:pPr>
      <w:bookmarkStart w:id="313" w:name="_Toc286241641"/>
      <w:bookmarkStart w:id="314" w:name="_Toc285541524"/>
      <w:bookmarkStart w:id="315" w:name="_Toc285547569"/>
      <w:bookmarkStart w:id="316" w:name="_Toc354822889"/>
      <w:bookmarkStart w:id="317" w:name="_Toc285542744"/>
      <w:bookmarkStart w:id="318" w:name="_Toc345236541"/>
      <w:r>
        <w:rPr>
          <w:rFonts w:cs="Times New Roman"/>
          <w:color w:val="000000" w:themeColor="text1"/>
          <w14:textFill>
            <w14:solidFill>
              <w14:schemeClr w14:val="tx1"/>
            </w14:solidFill>
          </w14:textFill>
        </w:rPr>
        <w:t>3.5.1 废气</w:t>
      </w:r>
      <w:bookmarkEnd w:id="313"/>
      <w:bookmarkEnd w:id="314"/>
      <w:bookmarkEnd w:id="315"/>
      <w:bookmarkEnd w:id="316"/>
      <w:bookmarkEnd w:id="317"/>
      <w:bookmarkEnd w:id="318"/>
    </w:p>
    <w:p w14:paraId="7294A70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根据工艺分析，本项目由于塑料清洗破碎工序采用湿式破碎，因此基本无粉尘产生，废气主要为造粒工序热熔挤出废气G1、生产异味和食堂油烟。</w:t>
      </w:r>
    </w:p>
    <w:p w14:paraId="4761915E">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1.有组织废气</w:t>
      </w:r>
    </w:p>
    <w:p w14:paraId="1B1F6B3A">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（1）造粒工序热熔挤出废气G1</w:t>
      </w:r>
    </w:p>
    <w:p w14:paraId="175D7B63">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①</w:t>
      </w:r>
      <w:r>
        <w:rPr>
          <w:b/>
          <w:color w:val="000000" w:themeColor="text1"/>
          <w:sz w:val="24"/>
          <w14:textFill>
            <w14:solidFill>
              <w14:schemeClr w14:val="tx1"/>
            </w14:solidFill>
          </w14:textFill>
        </w:rPr>
        <w:t>废气来源及源强分析</w:t>
      </w:r>
    </w:p>
    <w:p w14:paraId="53E4BA7B">
      <w:pPr>
        <w:autoSpaceDE w:val="0"/>
        <w:autoSpaceDN w:val="0"/>
        <w:adjustRightInd w:val="0"/>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A、废气来源</w:t>
      </w:r>
    </w:p>
    <w:p w14:paraId="7AF78851">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本项目采用电加热方式对料筒进行加热，热熔挤出工序不添加任何阻燃剂、增塑剂等添加剂，采用直接再生方式，挤出造粒过程为单纯物理熔融变化过程，聚乙烯、聚丙烯加热温度控制在180-200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左右。</w:t>
      </w:r>
    </w:p>
    <w:p w14:paraId="06FB6AC7">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聚乙烯和聚丙烯裂解温度分别为≥380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和350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，由于实际操作过程中，因料筒局部过热等其它原因，会有少量熔融废气产生，主要为乙烯、丙烯单体，同时还有颗粒物和异味产生。</w:t>
      </w:r>
    </w:p>
    <w:p w14:paraId="40857714">
      <w:pPr>
        <w:autoSpaceDE w:val="0"/>
        <w:autoSpaceDN w:val="0"/>
        <w:adjustRightInd w:val="0"/>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B、废气污染物产生源强依据及产生量</w:t>
      </w:r>
    </w:p>
    <w:p w14:paraId="13182C12">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参照《空气污染物排放和控制手册 工业污染源调查与研究第二辑》（美国环境保护局编），聚丙烯、聚乙烯分解产生颗粒物产生系数为0.05kg/t塑料，非甲烷总烃（乙烯、丙烯单体）产生系数为0.35kg/t塑料。</w:t>
      </w:r>
    </w:p>
    <w:p w14:paraId="1E75BBA5">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综上，本项目日生产塑料颗粒16.67t/d，颗粒物产生量为0.834kg/d（0.25t/a），非甲烷总烃产生量为5.84kg/d（1.75t/a）。</w:t>
      </w:r>
    </w:p>
    <w:p w14:paraId="2717E611">
      <w:pPr>
        <w:autoSpaceDE w:val="0"/>
        <w:autoSpaceDN w:val="0"/>
        <w:adjustRightInd w:val="0"/>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C、本项目废气处置措施</w:t>
      </w:r>
    </w:p>
    <w:p w14:paraId="3290E991">
      <w:pPr>
        <w:spacing w:line="360" w:lineRule="auto"/>
        <w:ind w:left="105" w:leftChars="50" w:right="105" w:rightChars="50" w:firstLine="480" w:firstLineChars="200"/>
        <w:jc w:val="left"/>
        <w:rPr>
          <w:rFonts w:eastAsiaTheme="minorEastAsia"/>
          <w:bCs/>
          <w:color w:val="000000" w:themeColor="text1"/>
          <w:sz w:val="24"/>
          <w:szCs w:val="28"/>
          <w14:textFill>
            <w14:solidFill>
              <w14:schemeClr w14:val="tx1"/>
            </w14:solidFill>
          </w14:textFill>
        </w:rPr>
      </w:pPr>
      <w:r>
        <w:rPr>
          <w:rFonts w:eastAsiaTheme="minorEastAsia"/>
          <w:bCs/>
          <w:color w:val="000000" w:themeColor="text1"/>
          <w:sz w:val="24"/>
          <w:szCs w:val="28"/>
          <w14:textFill>
            <w14:solidFill>
              <w14:schemeClr w14:val="tx1"/>
            </w14:solidFill>
          </w14:textFill>
        </w:rPr>
        <w:t>为减少有机废气和异味对周围环境的影响，借鉴《排污许可证申请与核发技术规范》相关行业印刷、医药等产生有机废气和异味的行业处置方式；</w:t>
      </w:r>
    </w:p>
    <w:p w14:paraId="73219203">
      <w:pPr>
        <w:pStyle w:val="297"/>
        <w:ind w:firstLine="480"/>
        <w:rPr>
          <w:color w:val="000000" w:themeColor="text1"/>
          <w14:textFill>
            <w14:solidFill>
              <w14:schemeClr w14:val="tx1"/>
            </w14:solidFill>
          </w14:textFill>
        </w:rPr>
      </w:pPr>
      <w:r>
        <w:rPr>
          <w:color w:val="000000" w:themeColor="text1"/>
          <w14:textFill>
            <w14:solidFill>
              <w14:schemeClr w14:val="tx1"/>
            </w14:solidFill>
          </w14:textFill>
        </w:rPr>
        <w:t>本项目非甲烷总烃（包括异味、不凝气）产生浓度为121.52mg/m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&lt;1000mg/m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，采用活性炭吸附或水洗+活性炭吸附；</w:t>
      </w:r>
    </w:p>
    <w:p w14:paraId="63DD7694">
      <w:pPr>
        <w:spacing w:line="360" w:lineRule="auto"/>
        <w:ind w:left="105" w:leftChars="50" w:right="105" w:rightChars="50" w:firstLine="480" w:firstLineChars="200"/>
        <w:jc w:val="left"/>
        <w:rPr>
          <w:rFonts w:eastAsiaTheme="minorEastAsia"/>
          <w:bCs/>
          <w:color w:val="000000" w:themeColor="text1"/>
          <w:sz w:val="24"/>
          <w:szCs w:val="28"/>
          <w14:textFill>
            <w14:solidFill>
              <w14:schemeClr w14:val="tx1"/>
            </w14:solidFill>
          </w14:textFill>
        </w:rPr>
      </w:pPr>
      <w:r>
        <w:rPr>
          <w:rFonts w:eastAsiaTheme="minorEastAsia"/>
          <w:bCs/>
          <w:color w:val="000000" w:themeColor="text1"/>
          <w:sz w:val="24"/>
          <w:szCs w:val="28"/>
          <w14:textFill>
            <w14:solidFill>
              <w14:schemeClr w14:val="tx1"/>
            </w14:solidFill>
          </w14:textFill>
        </w:rPr>
        <w:t>同时，本项目废气中含有颗粒物，在活性炭前端增加过滤棉用于处置颗粒物；</w:t>
      </w:r>
    </w:p>
    <w:p w14:paraId="0F3EAA4B">
      <w:pPr>
        <w:spacing w:line="360" w:lineRule="auto"/>
        <w:ind w:left="105" w:leftChars="50" w:right="105" w:rightChars="50" w:firstLine="480" w:firstLineChars="200"/>
        <w:jc w:val="left"/>
        <w:rPr>
          <w:rFonts w:eastAsiaTheme="minorEastAsia"/>
          <w:bCs/>
          <w:color w:val="000000" w:themeColor="text1"/>
          <w:sz w:val="24"/>
          <w:szCs w:val="28"/>
          <w:vertAlign w:val="subscript"/>
          <w14:textFill>
            <w14:solidFill>
              <w14:schemeClr w14:val="tx1"/>
            </w14:solidFill>
          </w14:textFill>
        </w:rPr>
      </w:pPr>
      <w:r>
        <w:rPr>
          <w:rFonts w:eastAsiaTheme="minorEastAsia"/>
          <w:bCs/>
          <w:color w:val="000000" w:themeColor="text1"/>
          <w:sz w:val="24"/>
          <w:szCs w:val="28"/>
          <w14:textFill>
            <w14:solidFill>
              <w14:schemeClr w14:val="tx1"/>
            </w14:solidFill>
          </w14:textFill>
        </w:rPr>
        <w:t>综上，针对本项目颗粒物及非甲烷总烃废气产生量少，因此采用过滤棉+活性炭吸附。</w:t>
      </w:r>
    </w:p>
    <w:p w14:paraId="1E5CCCD6">
      <w:pPr>
        <w:spacing w:line="360" w:lineRule="auto"/>
        <w:ind w:left="105" w:leftChars="50" w:right="105" w:rightChars="50" w:firstLine="480" w:firstLineChars="200"/>
        <w:jc w:val="left"/>
        <w:rPr>
          <w:rFonts w:eastAsiaTheme="minorEastAsia"/>
          <w:bCs/>
          <w:color w:val="000000" w:themeColor="text1"/>
          <w:sz w:val="24"/>
          <w:szCs w:val="28"/>
          <w14:textFill>
            <w14:solidFill>
              <w14:schemeClr w14:val="tx1"/>
            </w14:solidFill>
          </w14:textFill>
        </w:rPr>
      </w:pPr>
      <w:r>
        <w:rPr>
          <w:rFonts w:eastAsiaTheme="minorEastAsia"/>
          <w:bCs/>
          <w:color w:val="000000" w:themeColor="text1"/>
          <w:sz w:val="24"/>
          <w:szCs w:val="28"/>
          <w14:textFill>
            <w14:solidFill>
              <w14:schemeClr w14:val="tx1"/>
            </w14:solidFill>
          </w14:textFill>
        </w:rPr>
        <w:t>建设方拟在两台塑料挤出机上方设置集气罩（风量为6000m</w:t>
      </w:r>
      <w:r>
        <w:rPr>
          <w:rFonts w:eastAsiaTheme="minorEastAsia"/>
          <w:bCs/>
          <w:color w:val="000000" w:themeColor="text1"/>
          <w:sz w:val="24"/>
          <w:szCs w:val="28"/>
          <w:vertAlign w:val="superscript"/>
          <w14:textFill>
            <w14:solidFill>
              <w14:schemeClr w14:val="tx1"/>
            </w14:solidFill>
          </w14:textFill>
        </w:rPr>
        <w:t>3</w:t>
      </w:r>
      <w:r>
        <w:rPr>
          <w:rFonts w:eastAsiaTheme="minorEastAsia"/>
          <w:bCs/>
          <w:color w:val="000000" w:themeColor="text1"/>
          <w:sz w:val="24"/>
          <w:szCs w:val="28"/>
          <w14:textFill>
            <w14:solidFill>
              <w14:schemeClr w14:val="tx1"/>
            </w14:solidFill>
          </w14:textFill>
        </w:rPr>
        <w:t>/h，集气效率90%），将颗粒物及非甲烷总烃引至过滤棉+活性炭吸附装置处理达标后（颗粒物处置效率95%，非甲烷总烃处置效率85%），通过管道引至15m的排气筒排放。</w:t>
      </w:r>
    </w:p>
    <w:p w14:paraId="7FD1B9F6">
      <w:pPr>
        <w:autoSpaceDE w:val="0"/>
        <w:autoSpaceDN w:val="0"/>
        <w:adjustRightInd w:val="0"/>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D、本项目废气排放量</w:t>
      </w:r>
    </w:p>
    <w:p w14:paraId="4633FC21">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综上，本项目颗粒物产生量为0.834kg/d（0.25t/a），非甲烷总烃产生量为5.84kg/d（1.75t/a）；</w:t>
      </w:r>
    </w:p>
    <w:p w14:paraId="75D06A9C">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有组织颗粒物排放量为0.0113t/a，排放速率</w:t>
      </w:r>
      <w:r>
        <w:rPr>
          <w:bCs/>
          <w:color w:val="000000" w:themeColor="text1"/>
          <w:sz w:val="24"/>
          <w:szCs w:val="32"/>
          <w14:textFill>
            <w14:solidFill>
              <w14:schemeClr w14:val="tx1"/>
            </w14:solidFill>
          </w14:textFill>
        </w:rPr>
        <w:t>0.0047kg/h</w:t>
      </w:r>
      <w:r>
        <w:rPr>
          <w:bCs/>
          <w:color w:val="000000" w:themeColor="text1"/>
          <w:sz w:val="24"/>
          <w14:textFill>
            <w14:solidFill>
              <w14:schemeClr w14:val="tx1"/>
            </w14:solidFill>
          </w14:textFill>
        </w:rPr>
        <w:t>，排放浓度0.78mg/m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无组织颗粒物排放量为0.025t/a。</w:t>
      </w:r>
    </w:p>
    <w:p w14:paraId="73FA9F7C">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有组织非甲烷总烃排放量为0.2363kg/d，排放速率</w:t>
      </w:r>
      <w:r>
        <w:rPr>
          <w:bCs/>
          <w:color w:val="000000" w:themeColor="text1"/>
          <w:sz w:val="24"/>
          <w:szCs w:val="32"/>
          <w14:textFill>
            <w14:solidFill>
              <w14:schemeClr w14:val="tx1"/>
            </w14:solidFill>
          </w14:textFill>
        </w:rPr>
        <w:t>0.0984kg/h</w:t>
      </w:r>
      <w:r>
        <w:rPr>
          <w:bCs/>
          <w:color w:val="000000" w:themeColor="text1"/>
          <w:sz w:val="24"/>
          <w14:textFill>
            <w14:solidFill>
              <w14:schemeClr w14:val="tx1"/>
            </w14:solidFill>
          </w14:textFill>
        </w:rPr>
        <w:t>，排放浓度16.41mg/m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无组织非甲烷总烃排放量为0.0175t/a。</w:t>
      </w:r>
    </w:p>
    <w:p w14:paraId="03AE7157">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（2）食堂油烟</w:t>
      </w:r>
    </w:p>
    <w:p w14:paraId="04A68D7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项目区有厨房，每天提供两餐，规模属于小型，食堂就餐人数约15人。按平衡膳食推荐的以每人每天食用25g食用油计算，则用油量为：0.375kg/d。</w:t>
      </w:r>
    </w:p>
    <w:p w14:paraId="7A10B02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据类比调查，不同的烧炸工况，油烟气中烟气浓度及挥发量均有所不同，油的平均挥发量为总耗油量的2.83%，经估算，本项目食堂产生油烟量约为0.011kg/d，0.0033t/a，高峰时段以4小时计，油烟产生量约为0.0028kg/h。</w:t>
      </w:r>
    </w:p>
    <w:p w14:paraId="2864D26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本环评要求建设小型油烟净化装置，总引风量为2000m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/h，净化效率60%的油烟净化设施处理后，排放量为0.00132t/a，排放浓度为0.55mg/m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，满足GB18483—2001《饮食业油烟排放标准》油烟最高允许排放浓度2mg/m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1D626C4F">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2、无组织废气</w:t>
      </w:r>
    </w:p>
    <w:p w14:paraId="175089E8">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（1）造粒工序热熔挤出无组织废气</w:t>
      </w:r>
    </w:p>
    <w:p w14:paraId="24D51F4B">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根据上述分析，造粒工序热熔挤出无组织废气中无组织颗粒物排放量为0.025t/a；无组织非甲烷总烃排放量为0.0175t/a。</w:t>
      </w:r>
    </w:p>
    <w:p w14:paraId="6094DB47">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（2）异味</w:t>
      </w:r>
    </w:p>
    <w:p w14:paraId="2C89AE8E">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本项目造粒挤出过程中，会产生一定量的异味（主要为乙烯、丙烯单体等），异味对环境的影响分析见6.1章节。</w:t>
      </w:r>
    </w:p>
    <w:p w14:paraId="0AA0548C">
      <w:pPr>
        <w:adjustRightInd w:val="0"/>
        <w:snapToGrid w:val="0"/>
        <w:jc w:val="center"/>
        <w:rPr>
          <w:b/>
          <w:color w:val="000000" w:themeColor="text1"/>
          <w14:textFill>
            <w14:solidFill>
              <w14:schemeClr w14:val="tx1"/>
            </w14:solidFill>
          </w14:textFill>
        </w:rPr>
        <w:sectPr>
          <w:footerReference r:id="rId9" w:type="default"/>
          <w:type w:val="continuous"/>
          <w:pgSz w:w="11906" w:h="16838"/>
          <w:pgMar w:top="1440" w:right="1800" w:bottom="1440" w:left="1800" w:header="851" w:footer="992" w:gutter="0"/>
          <w:cols w:space="425" w:num="1"/>
          <w:docGrid w:type="linesAndChars" w:linePitch="312" w:charSpace="0"/>
        </w:sectPr>
      </w:pPr>
    </w:p>
    <w:p w14:paraId="7AC78797">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表3.5-1   拟建项目污染物排放情况汇总表</w:t>
      </w:r>
    </w:p>
    <w:tbl>
      <w:tblPr>
        <w:tblStyle w:val="42"/>
        <w:tblW w:w="5112" w:type="pct"/>
        <w:tblInd w:w="-318"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56"/>
        <w:gridCol w:w="681"/>
        <w:gridCol w:w="838"/>
        <w:gridCol w:w="980"/>
        <w:gridCol w:w="875"/>
        <w:gridCol w:w="898"/>
        <w:gridCol w:w="1985"/>
        <w:gridCol w:w="803"/>
        <w:gridCol w:w="1127"/>
        <w:gridCol w:w="1096"/>
        <w:gridCol w:w="684"/>
        <w:gridCol w:w="696"/>
        <w:gridCol w:w="861"/>
        <w:gridCol w:w="1084"/>
        <w:gridCol w:w="927"/>
      </w:tblGrid>
      <w:tr w14:paraId="292C95C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restart"/>
            <w:vAlign w:val="center"/>
          </w:tcPr>
          <w:p w14:paraId="0615CE2A">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工序</w:t>
            </w:r>
          </w:p>
        </w:tc>
        <w:tc>
          <w:tcPr>
            <w:tcW w:w="235" w:type="pct"/>
            <w:vMerge w:val="restart"/>
            <w:vAlign w:val="center"/>
          </w:tcPr>
          <w:p w14:paraId="6E6F0418">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编号</w:t>
            </w:r>
          </w:p>
        </w:tc>
        <w:tc>
          <w:tcPr>
            <w:tcW w:w="289" w:type="pct"/>
            <w:vMerge w:val="restart"/>
            <w:vAlign w:val="center"/>
          </w:tcPr>
          <w:p w14:paraId="64FE3C82">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产生点</w:t>
            </w:r>
          </w:p>
        </w:tc>
        <w:tc>
          <w:tcPr>
            <w:tcW w:w="338" w:type="pct"/>
            <w:vMerge w:val="restart"/>
            <w:vAlign w:val="center"/>
          </w:tcPr>
          <w:p w14:paraId="612AEED3">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排气量</w:t>
            </w:r>
          </w:p>
          <w:p w14:paraId="507828CD">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(Nm</w:t>
            </w:r>
            <w:r>
              <w:rPr>
                <w:b/>
                <w:color w:val="000000" w:themeColor="text1"/>
                <w:sz w:val="18"/>
                <w:szCs w:val="18"/>
                <w:vertAlign w:val="superscript"/>
                <w14:textFill>
                  <w14:solidFill>
                    <w14:schemeClr w14:val="tx1"/>
                  </w14:solidFill>
                </w14:textFill>
              </w:rPr>
              <w:t>3</w:t>
            </w:r>
            <w:r>
              <w:rPr>
                <w:b/>
                <w:color w:val="000000" w:themeColor="text1"/>
                <w:sz w:val="18"/>
                <w:szCs w:val="18"/>
                <w14:textFill>
                  <w14:solidFill>
                    <w14:schemeClr w14:val="tx1"/>
                  </w14:solidFill>
                </w14:textFill>
              </w:rPr>
              <w:t>/h)</w:t>
            </w:r>
          </w:p>
        </w:tc>
        <w:tc>
          <w:tcPr>
            <w:tcW w:w="302" w:type="pct"/>
            <w:vMerge w:val="restart"/>
            <w:vAlign w:val="center"/>
          </w:tcPr>
          <w:p w14:paraId="3B8E86DF">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污染物 名称</w:t>
            </w:r>
          </w:p>
        </w:tc>
        <w:tc>
          <w:tcPr>
            <w:tcW w:w="310" w:type="pct"/>
            <w:vMerge w:val="restart"/>
            <w:vAlign w:val="center"/>
          </w:tcPr>
          <w:p w14:paraId="7DAF420B">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产生量</w:t>
            </w:r>
          </w:p>
          <w:p w14:paraId="2AC0536E">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(t/a)</w:t>
            </w:r>
          </w:p>
        </w:tc>
        <w:tc>
          <w:tcPr>
            <w:tcW w:w="685" w:type="pct"/>
            <w:vMerge w:val="restart"/>
            <w:vAlign w:val="center"/>
          </w:tcPr>
          <w:p w14:paraId="38C2C103">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治理措施</w:t>
            </w:r>
          </w:p>
        </w:tc>
        <w:tc>
          <w:tcPr>
            <w:tcW w:w="1043" w:type="pct"/>
            <w:gridSpan w:val="3"/>
            <w:vAlign w:val="center"/>
          </w:tcPr>
          <w:p w14:paraId="00E9824E">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排放情况</w:t>
            </w:r>
          </w:p>
        </w:tc>
        <w:tc>
          <w:tcPr>
            <w:tcW w:w="476" w:type="pct"/>
            <w:gridSpan w:val="2"/>
            <w:vAlign w:val="center"/>
          </w:tcPr>
          <w:p w14:paraId="46B028DD">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排气筒参数</w:t>
            </w:r>
          </w:p>
        </w:tc>
        <w:tc>
          <w:tcPr>
            <w:tcW w:w="297" w:type="pct"/>
            <w:vMerge w:val="restart"/>
            <w:vAlign w:val="center"/>
          </w:tcPr>
          <w:p w14:paraId="7AB0E28B">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烟气温度</w:t>
            </w:r>
            <w:r>
              <w:rPr>
                <w:rFonts w:hint="eastAsia" w:ascii="宋体" w:hAnsi="宋体" w:cs="宋体"/>
                <w:b/>
                <w:color w:val="000000" w:themeColor="text1"/>
                <w:sz w:val="18"/>
                <w:szCs w:val="18"/>
                <w14:textFill>
                  <w14:solidFill>
                    <w14:schemeClr w14:val="tx1"/>
                  </w14:solidFill>
                </w14:textFill>
              </w:rPr>
              <w:t>℃</w:t>
            </w:r>
          </w:p>
        </w:tc>
        <w:tc>
          <w:tcPr>
            <w:tcW w:w="374" w:type="pct"/>
            <w:vMerge w:val="restart"/>
            <w:vAlign w:val="center"/>
          </w:tcPr>
          <w:p w14:paraId="4B2629B8">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排放标准</w:t>
            </w:r>
          </w:p>
          <w:p w14:paraId="2F170BB4">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(mg/m</w:t>
            </w:r>
            <w:r>
              <w:rPr>
                <w:b/>
                <w:color w:val="000000" w:themeColor="text1"/>
                <w:sz w:val="18"/>
                <w:szCs w:val="18"/>
                <w:vertAlign w:val="superscript"/>
                <w14:textFill>
                  <w14:solidFill>
                    <w14:schemeClr w14:val="tx1"/>
                  </w14:solidFill>
                </w14:textFill>
              </w:rPr>
              <w:t>3</w:t>
            </w:r>
            <w:r>
              <w:rPr>
                <w:b/>
                <w:color w:val="000000" w:themeColor="text1"/>
                <w:sz w:val="18"/>
                <w:szCs w:val="18"/>
                <w14:textFill>
                  <w14:solidFill>
                    <w14:schemeClr w14:val="tx1"/>
                  </w14:solidFill>
                </w14:textFill>
              </w:rPr>
              <w:t>)</w:t>
            </w:r>
          </w:p>
        </w:tc>
        <w:tc>
          <w:tcPr>
            <w:tcW w:w="322" w:type="pct"/>
            <w:vMerge w:val="restart"/>
            <w:vAlign w:val="center"/>
          </w:tcPr>
          <w:p w14:paraId="63938A92">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达标情 况</w:t>
            </w:r>
          </w:p>
        </w:tc>
      </w:tr>
      <w:tr w14:paraId="2765225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vAlign w:val="center"/>
          </w:tcPr>
          <w:p w14:paraId="10A7928F">
            <w:pPr>
              <w:jc w:val="center"/>
              <w:rPr>
                <w:color w:val="000000" w:themeColor="text1"/>
                <w:sz w:val="18"/>
                <w:szCs w:val="18"/>
                <w14:textFill>
                  <w14:solidFill>
                    <w14:schemeClr w14:val="tx1"/>
                  </w14:solidFill>
                </w14:textFill>
              </w:rPr>
            </w:pPr>
          </w:p>
        </w:tc>
        <w:tc>
          <w:tcPr>
            <w:tcW w:w="235" w:type="pct"/>
            <w:vMerge w:val="continue"/>
            <w:vAlign w:val="center"/>
          </w:tcPr>
          <w:p w14:paraId="48912652">
            <w:pPr>
              <w:jc w:val="center"/>
              <w:rPr>
                <w:color w:val="000000" w:themeColor="text1"/>
                <w:sz w:val="18"/>
                <w:szCs w:val="18"/>
                <w14:textFill>
                  <w14:solidFill>
                    <w14:schemeClr w14:val="tx1"/>
                  </w14:solidFill>
                </w14:textFill>
              </w:rPr>
            </w:pPr>
          </w:p>
        </w:tc>
        <w:tc>
          <w:tcPr>
            <w:tcW w:w="289" w:type="pct"/>
            <w:vMerge w:val="continue"/>
            <w:vAlign w:val="center"/>
          </w:tcPr>
          <w:p w14:paraId="442E63DA">
            <w:pPr>
              <w:jc w:val="center"/>
              <w:rPr>
                <w:color w:val="000000" w:themeColor="text1"/>
                <w:sz w:val="18"/>
                <w:szCs w:val="18"/>
                <w14:textFill>
                  <w14:solidFill>
                    <w14:schemeClr w14:val="tx1"/>
                  </w14:solidFill>
                </w14:textFill>
              </w:rPr>
            </w:pPr>
          </w:p>
        </w:tc>
        <w:tc>
          <w:tcPr>
            <w:tcW w:w="338" w:type="pct"/>
            <w:vMerge w:val="continue"/>
            <w:vAlign w:val="center"/>
          </w:tcPr>
          <w:p w14:paraId="7C89C40D">
            <w:pPr>
              <w:jc w:val="center"/>
              <w:rPr>
                <w:color w:val="000000" w:themeColor="text1"/>
                <w:sz w:val="18"/>
                <w:szCs w:val="18"/>
                <w14:textFill>
                  <w14:solidFill>
                    <w14:schemeClr w14:val="tx1"/>
                  </w14:solidFill>
                </w14:textFill>
              </w:rPr>
            </w:pPr>
          </w:p>
        </w:tc>
        <w:tc>
          <w:tcPr>
            <w:tcW w:w="302" w:type="pct"/>
            <w:vMerge w:val="continue"/>
            <w:vAlign w:val="center"/>
          </w:tcPr>
          <w:p w14:paraId="6C450EE4">
            <w:pPr>
              <w:jc w:val="center"/>
              <w:rPr>
                <w:color w:val="000000" w:themeColor="text1"/>
                <w:sz w:val="18"/>
                <w:szCs w:val="18"/>
                <w14:textFill>
                  <w14:solidFill>
                    <w14:schemeClr w14:val="tx1"/>
                  </w14:solidFill>
                </w14:textFill>
              </w:rPr>
            </w:pPr>
          </w:p>
        </w:tc>
        <w:tc>
          <w:tcPr>
            <w:tcW w:w="310" w:type="pct"/>
            <w:vMerge w:val="continue"/>
            <w:vAlign w:val="center"/>
          </w:tcPr>
          <w:p w14:paraId="0F04EFEF">
            <w:pPr>
              <w:jc w:val="center"/>
              <w:rPr>
                <w:color w:val="000000" w:themeColor="text1"/>
                <w:sz w:val="18"/>
                <w:szCs w:val="18"/>
                <w14:textFill>
                  <w14:solidFill>
                    <w14:schemeClr w14:val="tx1"/>
                  </w14:solidFill>
                </w14:textFill>
              </w:rPr>
            </w:pPr>
          </w:p>
        </w:tc>
        <w:tc>
          <w:tcPr>
            <w:tcW w:w="685" w:type="pct"/>
            <w:vMerge w:val="continue"/>
            <w:vAlign w:val="center"/>
          </w:tcPr>
          <w:p w14:paraId="1C2AE308">
            <w:pPr>
              <w:jc w:val="center"/>
              <w:rPr>
                <w:color w:val="000000" w:themeColor="text1"/>
                <w:sz w:val="18"/>
                <w:szCs w:val="18"/>
                <w14:textFill>
                  <w14:solidFill>
                    <w14:schemeClr w14:val="tx1"/>
                  </w14:solidFill>
                </w14:textFill>
              </w:rPr>
            </w:pPr>
          </w:p>
        </w:tc>
        <w:tc>
          <w:tcPr>
            <w:tcW w:w="277" w:type="pct"/>
            <w:vAlign w:val="center"/>
          </w:tcPr>
          <w:p w14:paraId="59BB4C35">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排放量</w:t>
            </w:r>
          </w:p>
          <w:p w14:paraId="78CCEFD4">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(t /a)</w:t>
            </w:r>
          </w:p>
        </w:tc>
        <w:tc>
          <w:tcPr>
            <w:tcW w:w="389" w:type="pct"/>
            <w:vAlign w:val="center"/>
          </w:tcPr>
          <w:p w14:paraId="5CE22227">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排放速 率</w:t>
            </w:r>
          </w:p>
          <w:p w14:paraId="67D02046">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(kg/h)</w:t>
            </w:r>
          </w:p>
        </w:tc>
        <w:tc>
          <w:tcPr>
            <w:tcW w:w="378" w:type="pct"/>
            <w:vAlign w:val="center"/>
          </w:tcPr>
          <w:p w14:paraId="2AC9C4F8">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排放浓度</w:t>
            </w:r>
          </w:p>
          <w:p w14:paraId="431FAA9A">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(mg/m</w:t>
            </w:r>
            <w:r>
              <w:rPr>
                <w:b/>
                <w:color w:val="000000" w:themeColor="text1"/>
                <w:sz w:val="18"/>
                <w:szCs w:val="18"/>
                <w:vertAlign w:val="superscript"/>
                <w14:textFill>
                  <w14:solidFill>
                    <w14:schemeClr w14:val="tx1"/>
                  </w14:solidFill>
                </w14:textFill>
              </w:rPr>
              <w:t>3</w:t>
            </w:r>
            <w:r>
              <w:rPr>
                <w:b/>
                <w:color w:val="000000" w:themeColor="text1"/>
                <w:sz w:val="18"/>
                <w:szCs w:val="18"/>
                <w14:textFill>
                  <w14:solidFill>
                    <w14:schemeClr w14:val="tx1"/>
                  </w14:solidFill>
                </w14:textFill>
              </w:rPr>
              <w:t>)</w:t>
            </w:r>
          </w:p>
        </w:tc>
        <w:tc>
          <w:tcPr>
            <w:tcW w:w="236" w:type="pct"/>
            <w:vAlign w:val="center"/>
          </w:tcPr>
          <w:p w14:paraId="4B58ADCC">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高 度</w:t>
            </w:r>
          </w:p>
          <w:p w14:paraId="7DE18BC9">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(m)</w:t>
            </w:r>
          </w:p>
        </w:tc>
        <w:tc>
          <w:tcPr>
            <w:tcW w:w="239" w:type="pct"/>
            <w:vAlign w:val="center"/>
          </w:tcPr>
          <w:p w14:paraId="5A723A6A">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直 径</w:t>
            </w:r>
          </w:p>
          <w:p w14:paraId="04CA4A66">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(m)</w:t>
            </w:r>
          </w:p>
        </w:tc>
        <w:tc>
          <w:tcPr>
            <w:tcW w:w="297" w:type="pct"/>
            <w:vMerge w:val="continue"/>
            <w:vAlign w:val="center"/>
          </w:tcPr>
          <w:p w14:paraId="4E63D8BF">
            <w:pPr>
              <w:jc w:val="center"/>
              <w:rPr>
                <w:color w:val="000000" w:themeColor="text1"/>
                <w:sz w:val="18"/>
                <w:szCs w:val="18"/>
                <w14:textFill>
                  <w14:solidFill>
                    <w14:schemeClr w14:val="tx1"/>
                  </w14:solidFill>
                </w14:textFill>
              </w:rPr>
            </w:pPr>
          </w:p>
        </w:tc>
        <w:tc>
          <w:tcPr>
            <w:tcW w:w="374" w:type="pct"/>
            <w:vMerge w:val="continue"/>
            <w:vAlign w:val="center"/>
          </w:tcPr>
          <w:p w14:paraId="4782044B">
            <w:pPr>
              <w:jc w:val="center"/>
              <w:rPr>
                <w:color w:val="000000" w:themeColor="text1"/>
                <w:sz w:val="18"/>
                <w:szCs w:val="18"/>
                <w14:textFill>
                  <w14:solidFill>
                    <w14:schemeClr w14:val="tx1"/>
                  </w14:solidFill>
                </w14:textFill>
              </w:rPr>
            </w:pPr>
          </w:p>
        </w:tc>
        <w:tc>
          <w:tcPr>
            <w:tcW w:w="322" w:type="pct"/>
            <w:vMerge w:val="continue"/>
            <w:vAlign w:val="center"/>
          </w:tcPr>
          <w:p w14:paraId="01888C81">
            <w:pPr>
              <w:jc w:val="center"/>
              <w:rPr>
                <w:color w:val="000000" w:themeColor="text1"/>
                <w:sz w:val="18"/>
                <w:szCs w:val="18"/>
                <w14:textFill>
                  <w14:solidFill>
                    <w14:schemeClr w14:val="tx1"/>
                  </w14:solidFill>
                </w14:textFill>
              </w:rPr>
            </w:pPr>
          </w:p>
        </w:tc>
      </w:tr>
      <w:tr w14:paraId="7B1AED5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restart"/>
            <w:vAlign w:val="center"/>
          </w:tcPr>
          <w:p w14:paraId="5C18788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造粒</w:t>
            </w:r>
            <w:r>
              <w:rPr>
                <w:b/>
                <w:color w:val="000000" w:themeColor="text1"/>
                <w:sz w:val="18"/>
                <w:szCs w:val="18"/>
                <w14:textFill>
                  <w14:solidFill>
                    <w14:schemeClr w14:val="tx1"/>
                  </w14:solidFill>
                </w14:textFill>
              </w:rPr>
              <w:t>工序</w:t>
            </w:r>
          </w:p>
        </w:tc>
        <w:tc>
          <w:tcPr>
            <w:tcW w:w="235" w:type="pct"/>
            <w:vMerge w:val="restart"/>
            <w:vAlign w:val="center"/>
          </w:tcPr>
          <w:p w14:paraId="51408B5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G1</w:t>
            </w:r>
          </w:p>
        </w:tc>
        <w:tc>
          <w:tcPr>
            <w:tcW w:w="289" w:type="pct"/>
            <w:vMerge w:val="restart"/>
            <w:vAlign w:val="center"/>
          </w:tcPr>
          <w:p w14:paraId="6C370090">
            <w:pPr>
              <w:jc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塑料挤出机</w:t>
            </w:r>
          </w:p>
        </w:tc>
        <w:tc>
          <w:tcPr>
            <w:tcW w:w="338" w:type="pct"/>
            <w:vMerge w:val="restart"/>
            <w:vAlign w:val="center"/>
          </w:tcPr>
          <w:p w14:paraId="29A5569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6000（1440</w:t>
            </w:r>
            <w:r>
              <w:rPr>
                <w:b/>
                <w:color w:val="000000" w:themeColor="text1"/>
                <w:sz w:val="18"/>
                <w:szCs w:val="18"/>
                <w14:textFill>
                  <w14:solidFill>
                    <w14:schemeClr w14:val="tx1"/>
                  </w14:solidFill>
                </w14:textFill>
              </w:rPr>
              <w:t>万m</w:t>
            </w:r>
            <w:r>
              <w:rPr>
                <w:b/>
                <w:color w:val="000000" w:themeColor="text1"/>
                <w:sz w:val="18"/>
                <w:szCs w:val="18"/>
                <w:vertAlign w:val="superscript"/>
                <w14:textFill>
                  <w14:solidFill>
                    <w14:schemeClr w14:val="tx1"/>
                  </w14:solidFill>
                </w14:textFill>
              </w:rPr>
              <w:t>3</w:t>
            </w:r>
            <w:r>
              <w:rPr>
                <w:b/>
                <w:color w:val="000000" w:themeColor="text1"/>
                <w:sz w:val="18"/>
                <w:szCs w:val="18"/>
                <w14:textFill>
                  <w14:solidFill>
                    <w14:schemeClr w14:val="tx1"/>
                  </w14:solidFill>
                </w14:textFill>
              </w:rPr>
              <w:t>/a</w:t>
            </w:r>
            <w:r>
              <w:rPr>
                <w:color w:val="000000" w:themeColor="text1"/>
                <w:sz w:val="18"/>
                <w:szCs w:val="18"/>
                <w14:textFill>
                  <w14:solidFill>
                    <w14:schemeClr w14:val="tx1"/>
                  </w14:solidFill>
                </w14:textFill>
              </w:rPr>
              <w:t>）</w:t>
            </w:r>
          </w:p>
        </w:tc>
        <w:tc>
          <w:tcPr>
            <w:tcW w:w="302" w:type="pct"/>
            <w:vAlign w:val="center"/>
          </w:tcPr>
          <w:p w14:paraId="56C46B29">
            <w:pPr>
              <w:pStyle w:val="59"/>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颗粒物</w:t>
            </w:r>
          </w:p>
        </w:tc>
        <w:tc>
          <w:tcPr>
            <w:tcW w:w="310" w:type="pct"/>
            <w:vAlign w:val="center"/>
          </w:tcPr>
          <w:p w14:paraId="2E0D65D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0.25</w:t>
            </w:r>
          </w:p>
        </w:tc>
        <w:tc>
          <w:tcPr>
            <w:tcW w:w="685" w:type="pct"/>
            <w:vMerge w:val="restart"/>
            <w:vAlign w:val="center"/>
          </w:tcPr>
          <w:p w14:paraId="1EF90E2E">
            <w:pPr>
              <w:jc w:val="center"/>
              <w:rPr>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集气罩+过滤棉+活性炭吸附装置+15m排气筒，集气效率90%，颗粒物处置效率95%，非甲烷总烃处置效率80%</w:t>
            </w:r>
          </w:p>
        </w:tc>
        <w:tc>
          <w:tcPr>
            <w:tcW w:w="277" w:type="pct"/>
            <w:vAlign w:val="center"/>
          </w:tcPr>
          <w:p w14:paraId="082E6EC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0.0113 </w:t>
            </w:r>
          </w:p>
        </w:tc>
        <w:tc>
          <w:tcPr>
            <w:tcW w:w="389" w:type="pct"/>
            <w:vAlign w:val="center"/>
          </w:tcPr>
          <w:p w14:paraId="6004CB2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0.0047 </w:t>
            </w:r>
          </w:p>
        </w:tc>
        <w:tc>
          <w:tcPr>
            <w:tcW w:w="378" w:type="pct"/>
            <w:vAlign w:val="center"/>
          </w:tcPr>
          <w:p w14:paraId="7E96DA9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0.78 </w:t>
            </w:r>
          </w:p>
        </w:tc>
        <w:tc>
          <w:tcPr>
            <w:tcW w:w="236" w:type="pct"/>
            <w:vMerge w:val="restart"/>
            <w:vAlign w:val="center"/>
          </w:tcPr>
          <w:p w14:paraId="3095FCE5">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15</w:t>
            </w:r>
          </w:p>
        </w:tc>
        <w:tc>
          <w:tcPr>
            <w:tcW w:w="239" w:type="pct"/>
            <w:vMerge w:val="restart"/>
            <w:vAlign w:val="center"/>
          </w:tcPr>
          <w:p w14:paraId="3CFCADD1">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0.2</w:t>
            </w:r>
          </w:p>
        </w:tc>
        <w:tc>
          <w:tcPr>
            <w:tcW w:w="297" w:type="pct"/>
            <w:vMerge w:val="restart"/>
            <w:vAlign w:val="center"/>
          </w:tcPr>
          <w:p w14:paraId="31C445C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50</w:t>
            </w:r>
          </w:p>
        </w:tc>
        <w:tc>
          <w:tcPr>
            <w:tcW w:w="374" w:type="pct"/>
            <w:vAlign w:val="center"/>
          </w:tcPr>
          <w:p w14:paraId="6BB090DB">
            <w:pPr>
              <w:pStyle w:val="59"/>
              <w:rPr>
                <w:color w:val="FF0000"/>
                <w:sz w:val="18"/>
                <w:szCs w:val="18"/>
              </w:rPr>
            </w:pPr>
            <w:r>
              <w:rPr>
                <w:color w:val="FF0000"/>
                <w:sz w:val="18"/>
                <w:szCs w:val="18"/>
              </w:rPr>
              <w:t>30</w:t>
            </w:r>
          </w:p>
        </w:tc>
        <w:tc>
          <w:tcPr>
            <w:tcW w:w="322" w:type="pct"/>
            <w:vAlign w:val="center"/>
          </w:tcPr>
          <w:p w14:paraId="28D7B747">
            <w:pPr>
              <w:pStyle w:val="5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14:paraId="7BF95D1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vAlign w:val="center"/>
          </w:tcPr>
          <w:p w14:paraId="30AC8D44">
            <w:pPr>
              <w:jc w:val="center"/>
              <w:rPr>
                <w:color w:val="000000" w:themeColor="text1"/>
                <w:sz w:val="18"/>
                <w:szCs w:val="18"/>
                <w14:textFill>
                  <w14:solidFill>
                    <w14:schemeClr w14:val="tx1"/>
                  </w14:solidFill>
                </w14:textFill>
              </w:rPr>
            </w:pPr>
          </w:p>
        </w:tc>
        <w:tc>
          <w:tcPr>
            <w:tcW w:w="235" w:type="pct"/>
            <w:vMerge w:val="continue"/>
            <w:vAlign w:val="center"/>
          </w:tcPr>
          <w:p w14:paraId="1BC894D8">
            <w:pPr>
              <w:jc w:val="center"/>
              <w:rPr>
                <w:color w:val="000000" w:themeColor="text1"/>
                <w:sz w:val="18"/>
                <w:szCs w:val="18"/>
                <w14:textFill>
                  <w14:solidFill>
                    <w14:schemeClr w14:val="tx1"/>
                  </w14:solidFill>
                </w14:textFill>
              </w:rPr>
            </w:pPr>
          </w:p>
        </w:tc>
        <w:tc>
          <w:tcPr>
            <w:tcW w:w="289" w:type="pct"/>
            <w:vMerge w:val="continue"/>
            <w:vAlign w:val="center"/>
          </w:tcPr>
          <w:p w14:paraId="326428CB">
            <w:pPr>
              <w:jc w:val="center"/>
              <w:rPr>
                <w:color w:val="000000" w:themeColor="text1"/>
                <w:sz w:val="18"/>
                <w:szCs w:val="18"/>
                <w14:textFill>
                  <w14:solidFill>
                    <w14:schemeClr w14:val="tx1"/>
                  </w14:solidFill>
                </w14:textFill>
              </w:rPr>
            </w:pPr>
          </w:p>
        </w:tc>
        <w:tc>
          <w:tcPr>
            <w:tcW w:w="338" w:type="pct"/>
            <w:vMerge w:val="continue"/>
            <w:vAlign w:val="center"/>
          </w:tcPr>
          <w:p w14:paraId="4C39DDB6">
            <w:pPr>
              <w:jc w:val="center"/>
              <w:rPr>
                <w:color w:val="000000" w:themeColor="text1"/>
                <w:sz w:val="18"/>
                <w:szCs w:val="18"/>
                <w14:textFill>
                  <w14:solidFill>
                    <w14:schemeClr w14:val="tx1"/>
                  </w14:solidFill>
                </w14:textFill>
              </w:rPr>
            </w:pPr>
          </w:p>
        </w:tc>
        <w:tc>
          <w:tcPr>
            <w:tcW w:w="302" w:type="pct"/>
            <w:vAlign w:val="center"/>
          </w:tcPr>
          <w:p w14:paraId="41347B8D">
            <w:pPr>
              <w:pStyle w:val="59"/>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非甲烷总烃</w:t>
            </w:r>
          </w:p>
        </w:tc>
        <w:tc>
          <w:tcPr>
            <w:tcW w:w="310" w:type="pct"/>
            <w:vAlign w:val="center"/>
          </w:tcPr>
          <w:p w14:paraId="37A7B56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1.75</w:t>
            </w:r>
          </w:p>
        </w:tc>
        <w:tc>
          <w:tcPr>
            <w:tcW w:w="685" w:type="pct"/>
            <w:vMerge w:val="continue"/>
            <w:vAlign w:val="center"/>
          </w:tcPr>
          <w:p w14:paraId="011A8F53">
            <w:pPr>
              <w:jc w:val="center"/>
              <w:rPr>
                <w:color w:val="000000" w:themeColor="text1"/>
                <w:sz w:val="18"/>
                <w:szCs w:val="18"/>
                <w14:textFill>
                  <w14:solidFill>
                    <w14:schemeClr w14:val="tx1"/>
                  </w14:solidFill>
                </w14:textFill>
              </w:rPr>
            </w:pPr>
          </w:p>
        </w:tc>
        <w:tc>
          <w:tcPr>
            <w:tcW w:w="277" w:type="pct"/>
            <w:vAlign w:val="center"/>
          </w:tcPr>
          <w:p w14:paraId="393B299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0.2363 </w:t>
            </w:r>
          </w:p>
        </w:tc>
        <w:tc>
          <w:tcPr>
            <w:tcW w:w="389" w:type="pct"/>
            <w:vAlign w:val="center"/>
          </w:tcPr>
          <w:p w14:paraId="7DF73F8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0.0984 </w:t>
            </w:r>
          </w:p>
        </w:tc>
        <w:tc>
          <w:tcPr>
            <w:tcW w:w="378" w:type="pct"/>
            <w:vAlign w:val="center"/>
          </w:tcPr>
          <w:p w14:paraId="77A365C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16.41 </w:t>
            </w:r>
          </w:p>
        </w:tc>
        <w:tc>
          <w:tcPr>
            <w:tcW w:w="236" w:type="pct"/>
            <w:vMerge w:val="continue"/>
            <w:vAlign w:val="center"/>
          </w:tcPr>
          <w:p w14:paraId="5F8903BE">
            <w:pPr>
              <w:jc w:val="center"/>
              <w:rPr>
                <w:b/>
                <w:color w:val="000000" w:themeColor="text1"/>
                <w:sz w:val="18"/>
                <w:szCs w:val="18"/>
                <w14:textFill>
                  <w14:solidFill>
                    <w14:schemeClr w14:val="tx1"/>
                  </w14:solidFill>
                </w14:textFill>
              </w:rPr>
            </w:pPr>
          </w:p>
        </w:tc>
        <w:tc>
          <w:tcPr>
            <w:tcW w:w="239" w:type="pct"/>
            <w:vMerge w:val="continue"/>
            <w:vAlign w:val="center"/>
          </w:tcPr>
          <w:p w14:paraId="7132EEFB">
            <w:pPr>
              <w:jc w:val="center"/>
              <w:rPr>
                <w:b/>
                <w:color w:val="000000" w:themeColor="text1"/>
                <w:sz w:val="18"/>
                <w:szCs w:val="18"/>
                <w14:textFill>
                  <w14:solidFill>
                    <w14:schemeClr w14:val="tx1"/>
                  </w14:solidFill>
                </w14:textFill>
              </w:rPr>
            </w:pPr>
          </w:p>
        </w:tc>
        <w:tc>
          <w:tcPr>
            <w:tcW w:w="297" w:type="pct"/>
            <w:vMerge w:val="continue"/>
            <w:vAlign w:val="center"/>
          </w:tcPr>
          <w:p w14:paraId="3BAE588C">
            <w:pPr>
              <w:jc w:val="center"/>
              <w:rPr>
                <w:color w:val="000000" w:themeColor="text1"/>
                <w:sz w:val="18"/>
                <w:szCs w:val="18"/>
                <w14:textFill>
                  <w14:solidFill>
                    <w14:schemeClr w14:val="tx1"/>
                  </w14:solidFill>
                </w14:textFill>
              </w:rPr>
            </w:pPr>
          </w:p>
        </w:tc>
        <w:tc>
          <w:tcPr>
            <w:tcW w:w="374" w:type="pct"/>
            <w:vAlign w:val="center"/>
          </w:tcPr>
          <w:p w14:paraId="333C268D">
            <w:pPr>
              <w:pStyle w:val="59"/>
              <w:rPr>
                <w:color w:val="FF0000"/>
                <w:sz w:val="18"/>
                <w:szCs w:val="18"/>
              </w:rPr>
            </w:pPr>
            <w:r>
              <w:rPr>
                <w:color w:val="FF0000"/>
                <w:sz w:val="18"/>
                <w:szCs w:val="18"/>
              </w:rPr>
              <w:t>100</w:t>
            </w:r>
          </w:p>
        </w:tc>
        <w:tc>
          <w:tcPr>
            <w:tcW w:w="322" w:type="pct"/>
            <w:vAlign w:val="center"/>
          </w:tcPr>
          <w:p w14:paraId="1E7CA353">
            <w:pPr>
              <w:pStyle w:val="5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14:paraId="7028B56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Align w:val="center"/>
          </w:tcPr>
          <w:p w14:paraId="582675F7">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办公区食堂</w:t>
            </w:r>
          </w:p>
        </w:tc>
        <w:tc>
          <w:tcPr>
            <w:tcW w:w="235" w:type="pct"/>
            <w:vAlign w:val="center"/>
          </w:tcPr>
          <w:p w14:paraId="57FF568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89" w:type="pct"/>
            <w:vAlign w:val="center"/>
          </w:tcPr>
          <w:p w14:paraId="7AD9419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炉灶</w:t>
            </w:r>
          </w:p>
        </w:tc>
        <w:tc>
          <w:tcPr>
            <w:tcW w:w="338" w:type="pct"/>
            <w:vAlign w:val="center"/>
          </w:tcPr>
          <w:p w14:paraId="3751C31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2000</w:t>
            </w:r>
          </w:p>
        </w:tc>
        <w:tc>
          <w:tcPr>
            <w:tcW w:w="302" w:type="pct"/>
            <w:vAlign w:val="center"/>
          </w:tcPr>
          <w:p w14:paraId="5FCA94C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油烟</w:t>
            </w:r>
          </w:p>
        </w:tc>
        <w:tc>
          <w:tcPr>
            <w:tcW w:w="310" w:type="pct"/>
            <w:vAlign w:val="center"/>
          </w:tcPr>
          <w:p w14:paraId="7EAE43D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0.0033</w:t>
            </w:r>
          </w:p>
        </w:tc>
        <w:tc>
          <w:tcPr>
            <w:tcW w:w="685" w:type="pct"/>
            <w:vAlign w:val="center"/>
          </w:tcPr>
          <w:p w14:paraId="697B69A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净化效率60%</w:t>
            </w:r>
          </w:p>
        </w:tc>
        <w:tc>
          <w:tcPr>
            <w:tcW w:w="277" w:type="pct"/>
            <w:vAlign w:val="center"/>
          </w:tcPr>
          <w:p w14:paraId="73B5BDB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0.00132</w:t>
            </w:r>
          </w:p>
        </w:tc>
        <w:tc>
          <w:tcPr>
            <w:tcW w:w="389" w:type="pct"/>
            <w:vAlign w:val="center"/>
          </w:tcPr>
          <w:p w14:paraId="7B79AF7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0.0011</w:t>
            </w:r>
          </w:p>
        </w:tc>
        <w:tc>
          <w:tcPr>
            <w:tcW w:w="378" w:type="pct"/>
            <w:vAlign w:val="center"/>
          </w:tcPr>
          <w:p w14:paraId="23ED1B4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0.55</w:t>
            </w:r>
          </w:p>
        </w:tc>
        <w:tc>
          <w:tcPr>
            <w:tcW w:w="772" w:type="pct"/>
            <w:gridSpan w:val="3"/>
            <w:vAlign w:val="center"/>
          </w:tcPr>
          <w:p w14:paraId="3320E83B">
            <w:pPr>
              <w:pStyle w:val="5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高于屋顶</w:t>
            </w:r>
          </w:p>
        </w:tc>
        <w:tc>
          <w:tcPr>
            <w:tcW w:w="374" w:type="pct"/>
            <w:vAlign w:val="center"/>
          </w:tcPr>
          <w:p w14:paraId="0A68673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322" w:type="pct"/>
            <w:vAlign w:val="center"/>
          </w:tcPr>
          <w:p w14:paraId="27D19F8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14:paraId="6B094A6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restart"/>
            <w:vAlign w:val="center"/>
          </w:tcPr>
          <w:p w14:paraId="6A36DBD3">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工序</w:t>
            </w:r>
          </w:p>
        </w:tc>
        <w:tc>
          <w:tcPr>
            <w:tcW w:w="235" w:type="pct"/>
            <w:vMerge w:val="restart"/>
            <w:vAlign w:val="center"/>
          </w:tcPr>
          <w:p w14:paraId="0CC366CF">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编号</w:t>
            </w:r>
          </w:p>
        </w:tc>
        <w:tc>
          <w:tcPr>
            <w:tcW w:w="289" w:type="pct"/>
            <w:vMerge w:val="restart"/>
            <w:vAlign w:val="center"/>
          </w:tcPr>
          <w:p w14:paraId="2231F29D">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产生点</w:t>
            </w:r>
          </w:p>
        </w:tc>
        <w:tc>
          <w:tcPr>
            <w:tcW w:w="338" w:type="pct"/>
            <w:vMerge w:val="restart"/>
            <w:vAlign w:val="center"/>
          </w:tcPr>
          <w:p w14:paraId="02858FEE">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排放方式</w:t>
            </w:r>
          </w:p>
        </w:tc>
        <w:tc>
          <w:tcPr>
            <w:tcW w:w="302" w:type="pct"/>
            <w:vMerge w:val="restart"/>
            <w:vAlign w:val="center"/>
          </w:tcPr>
          <w:p w14:paraId="13C32EEB">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污染物 名称</w:t>
            </w:r>
          </w:p>
        </w:tc>
        <w:tc>
          <w:tcPr>
            <w:tcW w:w="310" w:type="pct"/>
            <w:vMerge w:val="restart"/>
            <w:vAlign w:val="center"/>
          </w:tcPr>
          <w:p w14:paraId="4B1EE368">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产生量</w:t>
            </w:r>
          </w:p>
          <w:p w14:paraId="4A56C4A3">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(t /a)</w:t>
            </w:r>
          </w:p>
        </w:tc>
        <w:tc>
          <w:tcPr>
            <w:tcW w:w="961" w:type="pct"/>
            <w:gridSpan w:val="2"/>
            <w:vMerge w:val="restart"/>
            <w:vAlign w:val="center"/>
          </w:tcPr>
          <w:p w14:paraId="0EFF14BF">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治理措施</w:t>
            </w:r>
          </w:p>
        </w:tc>
        <w:tc>
          <w:tcPr>
            <w:tcW w:w="767" w:type="pct"/>
            <w:gridSpan w:val="2"/>
            <w:vAlign w:val="center"/>
          </w:tcPr>
          <w:p w14:paraId="5C9A9F44">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排放情况</w:t>
            </w:r>
          </w:p>
        </w:tc>
        <w:tc>
          <w:tcPr>
            <w:tcW w:w="772" w:type="pct"/>
            <w:gridSpan w:val="3"/>
            <w:vAlign w:val="center"/>
          </w:tcPr>
          <w:p w14:paraId="2DE536EB">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面源参数</w:t>
            </w:r>
          </w:p>
        </w:tc>
        <w:tc>
          <w:tcPr>
            <w:tcW w:w="374" w:type="pct"/>
            <w:vMerge w:val="restart"/>
            <w:vAlign w:val="center"/>
          </w:tcPr>
          <w:p w14:paraId="19D301AE">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排放标准</w:t>
            </w:r>
          </w:p>
          <w:p w14:paraId="3CA1D471">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(mg/m</w:t>
            </w:r>
            <w:r>
              <w:rPr>
                <w:b/>
                <w:color w:val="000000" w:themeColor="text1"/>
                <w:sz w:val="18"/>
                <w:szCs w:val="18"/>
                <w:vertAlign w:val="superscript"/>
                <w14:textFill>
                  <w14:solidFill>
                    <w14:schemeClr w14:val="tx1"/>
                  </w14:solidFill>
                </w14:textFill>
              </w:rPr>
              <w:t>3</w:t>
            </w:r>
            <w:r>
              <w:rPr>
                <w:b/>
                <w:color w:val="000000" w:themeColor="text1"/>
                <w:sz w:val="18"/>
                <w:szCs w:val="18"/>
                <w14:textFill>
                  <w14:solidFill>
                    <w14:schemeClr w14:val="tx1"/>
                  </w14:solidFill>
                </w14:textFill>
              </w:rPr>
              <w:t>)</w:t>
            </w:r>
          </w:p>
        </w:tc>
        <w:tc>
          <w:tcPr>
            <w:tcW w:w="322" w:type="pct"/>
            <w:vMerge w:val="restart"/>
            <w:vAlign w:val="center"/>
          </w:tcPr>
          <w:p w14:paraId="185B1A37">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达标情 况</w:t>
            </w:r>
          </w:p>
        </w:tc>
      </w:tr>
      <w:tr w14:paraId="3BF6A0C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vAlign w:val="center"/>
          </w:tcPr>
          <w:p w14:paraId="64692A4D">
            <w:pPr>
              <w:jc w:val="center"/>
              <w:rPr>
                <w:color w:val="000000" w:themeColor="text1"/>
                <w:sz w:val="18"/>
                <w:szCs w:val="18"/>
                <w14:textFill>
                  <w14:solidFill>
                    <w14:schemeClr w14:val="tx1"/>
                  </w14:solidFill>
                </w14:textFill>
              </w:rPr>
            </w:pPr>
          </w:p>
        </w:tc>
        <w:tc>
          <w:tcPr>
            <w:tcW w:w="235" w:type="pct"/>
            <w:vMerge w:val="continue"/>
            <w:vAlign w:val="center"/>
          </w:tcPr>
          <w:p w14:paraId="25403599">
            <w:pPr>
              <w:jc w:val="center"/>
              <w:rPr>
                <w:color w:val="000000" w:themeColor="text1"/>
                <w:sz w:val="18"/>
                <w:szCs w:val="18"/>
                <w14:textFill>
                  <w14:solidFill>
                    <w14:schemeClr w14:val="tx1"/>
                  </w14:solidFill>
                </w14:textFill>
              </w:rPr>
            </w:pPr>
          </w:p>
        </w:tc>
        <w:tc>
          <w:tcPr>
            <w:tcW w:w="289" w:type="pct"/>
            <w:vMerge w:val="continue"/>
            <w:vAlign w:val="center"/>
          </w:tcPr>
          <w:p w14:paraId="5545D0BF">
            <w:pPr>
              <w:jc w:val="center"/>
              <w:rPr>
                <w:color w:val="000000" w:themeColor="text1"/>
                <w:sz w:val="18"/>
                <w:szCs w:val="18"/>
                <w14:textFill>
                  <w14:solidFill>
                    <w14:schemeClr w14:val="tx1"/>
                  </w14:solidFill>
                </w14:textFill>
              </w:rPr>
            </w:pPr>
          </w:p>
        </w:tc>
        <w:tc>
          <w:tcPr>
            <w:tcW w:w="338" w:type="pct"/>
            <w:vMerge w:val="continue"/>
            <w:vAlign w:val="center"/>
          </w:tcPr>
          <w:p w14:paraId="7D64DAAE">
            <w:pPr>
              <w:jc w:val="center"/>
              <w:rPr>
                <w:color w:val="000000" w:themeColor="text1"/>
                <w:sz w:val="18"/>
                <w:szCs w:val="18"/>
                <w14:textFill>
                  <w14:solidFill>
                    <w14:schemeClr w14:val="tx1"/>
                  </w14:solidFill>
                </w14:textFill>
              </w:rPr>
            </w:pPr>
          </w:p>
        </w:tc>
        <w:tc>
          <w:tcPr>
            <w:tcW w:w="302" w:type="pct"/>
            <w:vMerge w:val="continue"/>
            <w:vAlign w:val="center"/>
          </w:tcPr>
          <w:p w14:paraId="4C016348">
            <w:pPr>
              <w:jc w:val="center"/>
              <w:rPr>
                <w:color w:val="000000" w:themeColor="text1"/>
                <w:sz w:val="18"/>
                <w:szCs w:val="18"/>
                <w14:textFill>
                  <w14:solidFill>
                    <w14:schemeClr w14:val="tx1"/>
                  </w14:solidFill>
                </w14:textFill>
              </w:rPr>
            </w:pPr>
          </w:p>
        </w:tc>
        <w:tc>
          <w:tcPr>
            <w:tcW w:w="310" w:type="pct"/>
            <w:vMerge w:val="continue"/>
            <w:vAlign w:val="center"/>
          </w:tcPr>
          <w:p w14:paraId="5AA6B7E4">
            <w:pPr>
              <w:jc w:val="center"/>
              <w:rPr>
                <w:color w:val="000000" w:themeColor="text1"/>
                <w:sz w:val="18"/>
                <w:szCs w:val="18"/>
                <w14:textFill>
                  <w14:solidFill>
                    <w14:schemeClr w14:val="tx1"/>
                  </w14:solidFill>
                </w14:textFill>
              </w:rPr>
            </w:pPr>
          </w:p>
        </w:tc>
        <w:tc>
          <w:tcPr>
            <w:tcW w:w="961" w:type="pct"/>
            <w:gridSpan w:val="2"/>
            <w:vMerge w:val="continue"/>
            <w:vAlign w:val="center"/>
          </w:tcPr>
          <w:p w14:paraId="187D601A">
            <w:pPr>
              <w:jc w:val="center"/>
              <w:rPr>
                <w:color w:val="000000" w:themeColor="text1"/>
                <w:sz w:val="18"/>
                <w:szCs w:val="18"/>
                <w14:textFill>
                  <w14:solidFill>
                    <w14:schemeClr w14:val="tx1"/>
                  </w14:solidFill>
                </w14:textFill>
              </w:rPr>
            </w:pPr>
          </w:p>
        </w:tc>
        <w:tc>
          <w:tcPr>
            <w:tcW w:w="389" w:type="pct"/>
            <w:vAlign w:val="center"/>
          </w:tcPr>
          <w:p w14:paraId="0D656239">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排放量</w:t>
            </w:r>
          </w:p>
          <w:p w14:paraId="206091E0">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(t /a)</w:t>
            </w:r>
          </w:p>
        </w:tc>
        <w:tc>
          <w:tcPr>
            <w:tcW w:w="378" w:type="pct"/>
            <w:vAlign w:val="center"/>
          </w:tcPr>
          <w:p w14:paraId="2FF7519F">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排放速 率</w:t>
            </w:r>
          </w:p>
          <w:p w14:paraId="6411931F">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(kg/h)</w:t>
            </w:r>
          </w:p>
        </w:tc>
        <w:tc>
          <w:tcPr>
            <w:tcW w:w="236" w:type="pct"/>
            <w:vAlign w:val="center"/>
          </w:tcPr>
          <w:p w14:paraId="60934010">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长(m)</w:t>
            </w:r>
          </w:p>
        </w:tc>
        <w:tc>
          <w:tcPr>
            <w:tcW w:w="239" w:type="pct"/>
            <w:vAlign w:val="center"/>
          </w:tcPr>
          <w:p w14:paraId="0BE7829E">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宽(m)</w:t>
            </w:r>
          </w:p>
        </w:tc>
        <w:tc>
          <w:tcPr>
            <w:tcW w:w="297" w:type="pct"/>
            <w:vAlign w:val="center"/>
          </w:tcPr>
          <w:p w14:paraId="3FC9CA8F">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高 (m)</w:t>
            </w:r>
          </w:p>
        </w:tc>
        <w:tc>
          <w:tcPr>
            <w:tcW w:w="374" w:type="pct"/>
            <w:vMerge w:val="continue"/>
            <w:vAlign w:val="center"/>
          </w:tcPr>
          <w:p w14:paraId="530FE08E">
            <w:pPr>
              <w:jc w:val="center"/>
              <w:rPr>
                <w:color w:val="000000" w:themeColor="text1"/>
                <w:sz w:val="18"/>
                <w:szCs w:val="18"/>
                <w14:textFill>
                  <w14:solidFill>
                    <w14:schemeClr w14:val="tx1"/>
                  </w14:solidFill>
                </w14:textFill>
              </w:rPr>
            </w:pPr>
          </w:p>
        </w:tc>
        <w:tc>
          <w:tcPr>
            <w:tcW w:w="322" w:type="pct"/>
            <w:vMerge w:val="continue"/>
            <w:vAlign w:val="center"/>
          </w:tcPr>
          <w:p w14:paraId="7608C68C">
            <w:pPr>
              <w:jc w:val="center"/>
              <w:rPr>
                <w:color w:val="000000" w:themeColor="text1"/>
                <w:sz w:val="18"/>
                <w:szCs w:val="18"/>
                <w14:textFill>
                  <w14:solidFill>
                    <w14:schemeClr w14:val="tx1"/>
                  </w14:solidFill>
                </w14:textFill>
              </w:rPr>
            </w:pPr>
          </w:p>
        </w:tc>
      </w:tr>
      <w:tr w14:paraId="2E241E5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23" w:hRule="atLeast"/>
        </w:trPr>
        <w:tc>
          <w:tcPr>
            <w:tcW w:w="330" w:type="pct"/>
            <w:vMerge w:val="restart"/>
            <w:vAlign w:val="center"/>
          </w:tcPr>
          <w:p w14:paraId="72C1FA3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造粒</w:t>
            </w:r>
            <w:r>
              <w:rPr>
                <w:b/>
                <w:color w:val="000000" w:themeColor="text1"/>
                <w:sz w:val="18"/>
                <w:szCs w:val="18"/>
                <w14:textFill>
                  <w14:solidFill>
                    <w14:schemeClr w14:val="tx1"/>
                  </w14:solidFill>
                </w14:textFill>
              </w:rPr>
              <w:t>工序</w:t>
            </w:r>
          </w:p>
        </w:tc>
        <w:tc>
          <w:tcPr>
            <w:tcW w:w="235" w:type="pct"/>
            <w:vMerge w:val="restart"/>
            <w:vAlign w:val="center"/>
          </w:tcPr>
          <w:p w14:paraId="2C05F36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89" w:type="pct"/>
            <w:vMerge w:val="restart"/>
            <w:vAlign w:val="center"/>
          </w:tcPr>
          <w:p w14:paraId="02CCC768">
            <w:pPr>
              <w:jc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塑料挤出机</w:t>
            </w:r>
          </w:p>
        </w:tc>
        <w:tc>
          <w:tcPr>
            <w:tcW w:w="338" w:type="pct"/>
            <w:vMerge w:val="restart"/>
            <w:vAlign w:val="center"/>
          </w:tcPr>
          <w:p w14:paraId="06B6AA0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无组织</w:t>
            </w:r>
          </w:p>
        </w:tc>
        <w:tc>
          <w:tcPr>
            <w:tcW w:w="302" w:type="pct"/>
            <w:vAlign w:val="center"/>
          </w:tcPr>
          <w:p w14:paraId="53DADD8A">
            <w:pPr>
              <w:pStyle w:val="59"/>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颗粒物</w:t>
            </w:r>
          </w:p>
        </w:tc>
        <w:tc>
          <w:tcPr>
            <w:tcW w:w="310" w:type="pct"/>
            <w:vAlign w:val="center"/>
          </w:tcPr>
          <w:p w14:paraId="1FA92FD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0.025</w:t>
            </w:r>
          </w:p>
        </w:tc>
        <w:tc>
          <w:tcPr>
            <w:tcW w:w="961" w:type="pct"/>
            <w:gridSpan w:val="2"/>
            <w:vMerge w:val="restart"/>
            <w:vAlign w:val="center"/>
          </w:tcPr>
          <w:p w14:paraId="3165D22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集气罩未收集部分</w:t>
            </w:r>
          </w:p>
        </w:tc>
        <w:tc>
          <w:tcPr>
            <w:tcW w:w="389" w:type="pct"/>
            <w:vAlign w:val="center"/>
          </w:tcPr>
          <w:p w14:paraId="3F7E7D0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0.025</w:t>
            </w:r>
          </w:p>
        </w:tc>
        <w:tc>
          <w:tcPr>
            <w:tcW w:w="378" w:type="pct"/>
            <w:vAlign w:val="center"/>
          </w:tcPr>
          <w:p w14:paraId="264A671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0.0104 </w:t>
            </w:r>
          </w:p>
        </w:tc>
        <w:tc>
          <w:tcPr>
            <w:tcW w:w="236" w:type="pct"/>
            <w:vAlign w:val="center"/>
          </w:tcPr>
          <w:p w14:paraId="098C9F4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66</w:t>
            </w:r>
          </w:p>
        </w:tc>
        <w:tc>
          <w:tcPr>
            <w:tcW w:w="239" w:type="pct"/>
            <w:vAlign w:val="center"/>
          </w:tcPr>
          <w:p w14:paraId="1D9E8AE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33</w:t>
            </w:r>
          </w:p>
        </w:tc>
        <w:tc>
          <w:tcPr>
            <w:tcW w:w="297" w:type="pct"/>
            <w:vAlign w:val="center"/>
          </w:tcPr>
          <w:p w14:paraId="187F851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374" w:type="pct"/>
            <w:vAlign w:val="center"/>
          </w:tcPr>
          <w:p w14:paraId="367611C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322" w:type="pct"/>
            <w:vAlign w:val="center"/>
          </w:tcPr>
          <w:p w14:paraId="1611203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14:paraId="6FFDC04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vAlign w:val="center"/>
          </w:tcPr>
          <w:p w14:paraId="726BF194">
            <w:pPr>
              <w:jc w:val="center"/>
              <w:rPr>
                <w:color w:val="000000" w:themeColor="text1"/>
                <w:sz w:val="18"/>
                <w:szCs w:val="18"/>
                <w14:textFill>
                  <w14:solidFill>
                    <w14:schemeClr w14:val="tx1"/>
                  </w14:solidFill>
                </w14:textFill>
              </w:rPr>
            </w:pPr>
          </w:p>
        </w:tc>
        <w:tc>
          <w:tcPr>
            <w:tcW w:w="235" w:type="pct"/>
            <w:vMerge w:val="continue"/>
            <w:vAlign w:val="center"/>
          </w:tcPr>
          <w:p w14:paraId="4260B7B3">
            <w:pPr>
              <w:jc w:val="center"/>
              <w:rPr>
                <w:color w:val="000000" w:themeColor="text1"/>
                <w:sz w:val="18"/>
                <w:szCs w:val="18"/>
                <w14:textFill>
                  <w14:solidFill>
                    <w14:schemeClr w14:val="tx1"/>
                  </w14:solidFill>
                </w14:textFill>
              </w:rPr>
            </w:pPr>
          </w:p>
        </w:tc>
        <w:tc>
          <w:tcPr>
            <w:tcW w:w="289" w:type="pct"/>
            <w:vMerge w:val="continue"/>
            <w:vAlign w:val="center"/>
          </w:tcPr>
          <w:p w14:paraId="463145B4">
            <w:pPr>
              <w:jc w:val="center"/>
              <w:rPr>
                <w:color w:val="000000" w:themeColor="text1"/>
                <w:sz w:val="18"/>
                <w:szCs w:val="18"/>
                <w14:textFill>
                  <w14:solidFill>
                    <w14:schemeClr w14:val="tx1"/>
                  </w14:solidFill>
                </w14:textFill>
              </w:rPr>
            </w:pPr>
          </w:p>
        </w:tc>
        <w:tc>
          <w:tcPr>
            <w:tcW w:w="338" w:type="pct"/>
            <w:vMerge w:val="continue"/>
            <w:vAlign w:val="center"/>
          </w:tcPr>
          <w:p w14:paraId="0F021DBD">
            <w:pPr>
              <w:jc w:val="center"/>
              <w:rPr>
                <w:color w:val="000000" w:themeColor="text1"/>
                <w:sz w:val="18"/>
                <w:szCs w:val="18"/>
                <w14:textFill>
                  <w14:solidFill>
                    <w14:schemeClr w14:val="tx1"/>
                  </w14:solidFill>
                </w14:textFill>
              </w:rPr>
            </w:pPr>
          </w:p>
        </w:tc>
        <w:tc>
          <w:tcPr>
            <w:tcW w:w="302" w:type="pct"/>
            <w:vAlign w:val="center"/>
          </w:tcPr>
          <w:p w14:paraId="6283B87E">
            <w:pPr>
              <w:pStyle w:val="59"/>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非甲烷总烃</w:t>
            </w:r>
          </w:p>
        </w:tc>
        <w:tc>
          <w:tcPr>
            <w:tcW w:w="310" w:type="pct"/>
            <w:vAlign w:val="center"/>
          </w:tcPr>
          <w:p w14:paraId="222A045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0.175</w:t>
            </w:r>
          </w:p>
        </w:tc>
        <w:tc>
          <w:tcPr>
            <w:tcW w:w="961" w:type="pct"/>
            <w:gridSpan w:val="2"/>
            <w:vMerge w:val="continue"/>
            <w:vAlign w:val="center"/>
          </w:tcPr>
          <w:p w14:paraId="34A5D7F4">
            <w:pPr>
              <w:jc w:val="center"/>
              <w:rPr>
                <w:color w:val="000000" w:themeColor="text1"/>
                <w:sz w:val="18"/>
                <w:szCs w:val="18"/>
                <w14:textFill>
                  <w14:solidFill>
                    <w14:schemeClr w14:val="tx1"/>
                  </w14:solidFill>
                </w14:textFill>
              </w:rPr>
            </w:pPr>
          </w:p>
        </w:tc>
        <w:tc>
          <w:tcPr>
            <w:tcW w:w="389" w:type="pct"/>
            <w:vAlign w:val="center"/>
          </w:tcPr>
          <w:p w14:paraId="43BFA57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0.175</w:t>
            </w:r>
          </w:p>
        </w:tc>
        <w:tc>
          <w:tcPr>
            <w:tcW w:w="378" w:type="pct"/>
            <w:vAlign w:val="center"/>
          </w:tcPr>
          <w:p w14:paraId="4FDA9ED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0.0729 </w:t>
            </w:r>
          </w:p>
        </w:tc>
        <w:tc>
          <w:tcPr>
            <w:tcW w:w="236" w:type="pct"/>
            <w:vAlign w:val="center"/>
          </w:tcPr>
          <w:p w14:paraId="4FB5C7D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66</w:t>
            </w:r>
          </w:p>
        </w:tc>
        <w:tc>
          <w:tcPr>
            <w:tcW w:w="239" w:type="pct"/>
            <w:vAlign w:val="center"/>
          </w:tcPr>
          <w:p w14:paraId="30D78C4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33</w:t>
            </w:r>
          </w:p>
        </w:tc>
        <w:tc>
          <w:tcPr>
            <w:tcW w:w="297" w:type="pct"/>
            <w:vAlign w:val="center"/>
          </w:tcPr>
          <w:p w14:paraId="6E95D18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374" w:type="pct"/>
            <w:vAlign w:val="center"/>
          </w:tcPr>
          <w:p w14:paraId="306827F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322" w:type="pct"/>
            <w:vAlign w:val="center"/>
          </w:tcPr>
          <w:p w14:paraId="13C70A0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14:paraId="2A267E8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vAlign w:val="center"/>
          </w:tcPr>
          <w:p w14:paraId="7406826E">
            <w:pPr>
              <w:jc w:val="center"/>
              <w:rPr>
                <w:color w:val="000000" w:themeColor="text1"/>
                <w:sz w:val="18"/>
                <w:szCs w:val="18"/>
                <w14:textFill>
                  <w14:solidFill>
                    <w14:schemeClr w14:val="tx1"/>
                  </w14:solidFill>
                </w14:textFill>
              </w:rPr>
            </w:pPr>
          </w:p>
        </w:tc>
        <w:tc>
          <w:tcPr>
            <w:tcW w:w="235" w:type="pct"/>
            <w:vAlign w:val="center"/>
          </w:tcPr>
          <w:p w14:paraId="4B99259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89" w:type="pct"/>
            <w:vMerge w:val="continue"/>
            <w:vAlign w:val="center"/>
          </w:tcPr>
          <w:p w14:paraId="404AB877">
            <w:pPr>
              <w:jc w:val="center"/>
              <w:rPr>
                <w:color w:val="000000" w:themeColor="text1"/>
                <w:sz w:val="18"/>
                <w:szCs w:val="18"/>
                <w14:textFill>
                  <w14:solidFill>
                    <w14:schemeClr w14:val="tx1"/>
                  </w14:solidFill>
                </w14:textFill>
              </w:rPr>
            </w:pPr>
          </w:p>
        </w:tc>
        <w:tc>
          <w:tcPr>
            <w:tcW w:w="338" w:type="pct"/>
            <w:vMerge w:val="continue"/>
            <w:vAlign w:val="center"/>
          </w:tcPr>
          <w:p w14:paraId="75974E59">
            <w:pPr>
              <w:jc w:val="center"/>
              <w:rPr>
                <w:color w:val="000000" w:themeColor="text1"/>
                <w:sz w:val="18"/>
                <w:szCs w:val="18"/>
                <w14:textFill>
                  <w14:solidFill>
                    <w14:schemeClr w14:val="tx1"/>
                  </w14:solidFill>
                </w14:textFill>
              </w:rPr>
            </w:pPr>
          </w:p>
        </w:tc>
        <w:tc>
          <w:tcPr>
            <w:tcW w:w="302" w:type="pct"/>
            <w:vAlign w:val="center"/>
          </w:tcPr>
          <w:p w14:paraId="53D3A7F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异味</w:t>
            </w:r>
          </w:p>
        </w:tc>
        <w:tc>
          <w:tcPr>
            <w:tcW w:w="310" w:type="pct"/>
            <w:vAlign w:val="center"/>
          </w:tcPr>
          <w:p w14:paraId="544C31B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961" w:type="pct"/>
            <w:gridSpan w:val="2"/>
            <w:vAlign w:val="center"/>
          </w:tcPr>
          <w:p w14:paraId="4C5456B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89" w:type="pct"/>
            <w:vAlign w:val="center"/>
          </w:tcPr>
          <w:p w14:paraId="6A28D13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78" w:type="pct"/>
            <w:vAlign w:val="center"/>
          </w:tcPr>
          <w:p w14:paraId="1318D43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36" w:type="pct"/>
            <w:vAlign w:val="center"/>
          </w:tcPr>
          <w:p w14:paraId="7D4F287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39" w:type="pct"/>
            <w:vAlign w:val="center"/>
          </w:tcPr>
          <w:p w14:paraId="682EFF3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97" w:type="pct"/>
            <w:vAlign w:val="center"/>
          </w:tcPr>
          <w:p w14:paraId="185F99C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74" w:type="pct"/>
            <w:vAlign w:val="center"/>
          </w:tcPr>
          <w:p w14:paraId="71A1694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22" w:type="pct"/>
            <w:vAlign w:val="center"/>
          </w:tcPr>
          <w:p w14:paraId="6921AEA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bl>
    <w:p w14:paraId="3DC7B9BD">
      <w:pPr>
        <w:spacing w:line="360" w:lineRule="auto"/>
        <w:ind w:firstLine="422" w:firstLineChars="200"/>
        <w:rPr>
          <w:b/>
          <w:color w:val="000000" w:themeColor="text1"/>
          <w14:textFill>
            <w14:solidFill>
              <w14:schemeClr w14:val="tx1"/>
            </w14:solidFill>
          </w14:textFill>
        </w:rPr>
      </w:pPr>
    </w:p>
    <w:p w14:paraId="666F311E">
      <w:pPr>
        <w:spacing w:line="360" w:lineRule="auto"/>
        <w:ind w:firstLine="422" w:firstLineChars="200"/>
        <w:rPr>
          <w:b/>
          <w:color w:val="000000" w:themeColor="text1"/>
          <w14:textFill>
            <w14:solidFill>
              <w14:schemeClr w14:val="tx1"/>
            </w14:solidFill>
          </w14:textFill>
        </w:rPr>
      </w:pPr>
    </w:p>
    <w:p w14:paraId="64F87797">
      <w:pPr>
        <w:spacing w:line="360" w:lineRule="auto"/>
        <w:ind w:firstLine="422" w:firstLineChars="200"/>
        <w:rPr>
          <w:b/>
          <w:color w:val="000000" w:themeColor="text1"/>
          <w14:textFill>
            <w14:solidFill>
              <w14:schemeClr w14:val="tx1"/>
            </w14:solidFill>
          </w14:textFill>
        </w:rPr>
        <w:sectPr>
          <w:pgSz w:w="16838" w:h="11906" w:orient="landscape"/>
          <w:pgMar w:top="1230" w:right="1440" w:bottom="1230" w:left="1440" w:header="851" w:footer="992" w:gutter="0"/>
          <w:cols w:space="425" w:num="1"/>
          <w:docGrid w:type="lines" w:linePitch="312" w:charSpace="0"/>
        </w:sectPr>
      </w:pPr>
    </w:p>
    <w:p w14:paraId="58D5E348">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3.5.2 废水</w:t>
      </w:r>
    </w:p>
    <w:p w14:paraId="381A0228">
      <w:pPr>
        <w:spacing w:line="360" w:lineRule="auto"/>
        <w:ind w:firstLine="352" w:firstLineChars="147"/>
        <w:rPr>
          <w:b/>
          <w:color w:val="000000" w:themeColor="text1"/>
          <w:sz w:val="24"/>
          <w14:textFill>
            <w14:solidFill>
              <w14:schemeClr w14:val="tx1"/>
            </w14:solidFill>
          </w14:textFill>
        </w:rPr>
      </w:pPr>
      <w:r>
        <w:rPr>
          <w:b/>
          <w:color w:val="000000" w:themeColor="text1"/>
          <w:sz w:val="24"/>
          <w14:textFill>
            <w14:solidFill>
              <w14:schemeClr w14:val="tx1"/>
            </w14:solidFill>
          </w14:textFill>
        </w:rPr>
        <w:t>1、废水产排情况小结</w:t>
      </w:r>
    </w:p>
    <w:p w14:paraId="78931EC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根据3.3章节，本项目总废水产生量为38.32m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p>
    <w:p w14:paraId="5BE2B80C">
      <w:pPr>
        <w:adjustRightInd w:val="0"/>
        <w:spacing w:line="360" w:lineRule="auto"/>
        <w:ind w:firstLine="480" w:firstLineChars="200"/>
        <w:rPr>
          <w:snapToGrid w:val="0"/>
          <w:color w:val="000000" w:themeColor="text1"/>
          <w:kern w:val="0"/>
          <w:sz w:val="24"/>
          <w:szCs w:val="20"/>
          <w14:textFill>
            <w14:solidFill>
              <w14:schemeClr w14:val="tx1"/>
            </w14:solidFill>
          </w14:textFill>
        </w:rPr>
      </w:pPr>
      <w:r>
        <w:rPr>
          <w:color w:val="000000" w:themeColor="text1"/>
          <w:sz w:val="24"/>
          <w14:textFill>
            <w14:solidFill>
              <w14:schemeClr w14:val="tx1"/>
            </w14:solidFill>
          </w14:textFill>
        </w:rPr>
        <w:t>其中</w:t>
      </w:r>
      <w:r>
        <w:rPr>
          <w:b/>
          <w:color w:val="000000" w:themeColor="text1"/>
          <w:sz w:val="24"/>
          <w14:textFill>
            <w14:solidFill>
              <w14:schemeClr w14:val="tx1"/>
            </w14:solidFill>
          </w14:textFill>
        </w:rPr>
        <w:t>生产废水</w:t>
      </w:r>
      <w:r>
        <w:rPr>
          <w:color w:val="000000" w:themeColor="text1"/>
          <w:sz w:val="24"/>
          <w14:textFill>
            <w14:solidFill>
              <w14:schemeClr w14:val="tx1"/>
            </w14:solidFill>
          </w14:textFill>
        </w:rPr>
        <w:t>：产生量为37m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snapToGrid w:val="0"/>
          <w:color w:val="000000" w:themeColor="text1"/>
          <w:kern w:val="0"/>
          <w:sz w:val="24"/>
          <w:szCs w:val="20"/>
          <w14:textFill>
            <w14:solidFill>
              <w14:schemeClr w14:val="tx1"/>
            </w14:solidFill>
          </w14:textFill>
        </w:rPr>
        <w:t>经自建隔油池+沉淀池处理后，回用于生产；造粒冷却水循环使用（主要污染物为SS），不外排。</w:t>
      </w:r>
    </w:p>
    <w:p w14:paraId="71D090F3">
      <w:pPr>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生活废水</w:t>
      </w:r>
      <w:r>
        <w:rPr>
          <w:color w:val="000000" w:themeColor="text1"/>
          <w:sz w:val="24"/>
          <w14:textFill>
            <w14:solidFill>
              <w14:schemeClr w14:val="tx1"/>
            </w14:solidFill>
          </w14:textFill>
        </w:rPr>
        <w:t>：产生量为1.32m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snapToGrid w:val="0"/>
          <w:color w:val="000000" w:themeColor="text1"/>
          <w:kern w:val="0"/>
          <w:sz w:val="24"/>
          <w:szCs w:val="20"/>
          <w14:textFill>
            <w14:solidFill>
              <w14:schemeClr w14:val="tx1"/>
            </w14:solidFill>
          </w14:textFill>
        </w:rPr>
        <w:t>经化粪池、隔油池处理后，定期委托周边村民清掏，用于农作物施肥。</w:t>
      </w:r>
    </w:p>
    <w:p w14:paraId="4F2C47CD">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2、废水处置措施</w:t>
      </w:r>
    </w:p>
    <w:p w14:paraId="6F5FF95C">
      <w:pPr>
        <w:pStyle w:val="15"/>
        <w:adjustRightInd w:val="0"/>
        <w:snapToGrid w:val="0"/>
        <w:spacing w:line="360" w:lineRule="auto"/>
        <w:ind w:firstLine="480" w:firstLineChars="200"/>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（1）处置方式</w:t>
      </w:r>
    </w:p>
    <w:p w14:paraId="669E010D">
      <w:pPr>
        <w:pStyle w:val="15"/>
        <w:adjustRightInd w:val="0"/>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项目所在地属于无市政雨污管网，距城市较远。</w:t>
      </w:r>
    </w:p>
    <w:p w14:paraId="248643F0">
      <w:pPr>
        <w:pStyle w:val="15"/>
        <w:adjustRightInd w:val="0"/>
        <w:snapToGrid w:val="0"/>
        <w:spacing w:line="360" w:lineRule="auto"/>
        <w:ind w:firstLine="480" w:firstLineChars="200"/>
        <w:jc w:val="both"/>
        <w:rPr>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①</w:t>
      </w:r>
      <w:r>
        <w:rPr>
          <w:b/>
          <w:color w:val="000000" w:themeColor="text1"/>
          <w:kern w:val="0"/>
          <w:sz w:val="24"/>
          <w14:textFill>
            <w14:solidFill>
              <w14:schemeClr w14:val="tx1"/>
            </w14:solidFill>
          </w14:textFill>
        </w:rPr>
        <w:t>雨水处置方式</w:t>
      </w:r>
    </w:p>
    <w:p w14:paraId="2DB593CB">
      <w:pPr>
        <w:pStyle w:val="15"/>
        <w:adjustRightInd w:val="0"/>
        <w:snapToGrid w:val="0"/>
        <w:spacing w:line="360" w:lineRule="auto"/>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项目采用雨污分流的排水方式；</w:t>
      </w:r>
    </w:p>
    <w:p w14:paraId="265BA46E">
      <w:pPr>
        <w:pStyle w:val="15"/>
        <w:adjustRightInd w:val="0"/>
        <w:snapToGrid w:val="0"/>
        <w:spacing w:line="360" w:lineRule="auto"/>
        <w:ind w:firstLine="480" w:firstLineChars="200"/>
        <w:jc w:val="both"/>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收集前1h的雨水进入本项目</w:t>
      </w:r>
      <w:r>
        <w:rPr>
          <w:bCs/>
          <w:color w:val="000000" w:themeColor="text1"/>
          <w:sz w:val="24"/>
          <w14:textFill>
            <w14:solidFill>
              <w14:schemeClr w14:val="tx1"/>
            </w14:solidFill>
          </w14:textFill>
        </w:rPr>
        <w:t>雨水沉淀池</w:t>
      </w:r>
      <w:r>
        <w:rPr>
          <w:color w:val="000000" w:themeColor="text1"/>
          <w:sz w:val="24"/>
          <w14:textFill>
            <w14:solidFill>
              <w14:schemeClr w14:val="tx1"/>
            </w14:solidFill>
          </w14:textFill>
        </w:rPr>
        <w:t>进行处理，回用于生产，其余经沉淀后外排</w:t>
      </w:r>
      <w:r>
        <w:rPr>
          <w:color w:val="000000" w:themeColor="text1"/>
          <w:kern w:val="0"/>
          <w:sz w:val="24"/>
          <w14:textFill>
            <w14:solidFill>
              <w14:schemeClr w14:val="tx1"/>
            </w14:solidFill>
          </w14:textFill>
        </w:rPr>
        <w:t>。</w:t>
      </w:r>
    </w:p>
    <w:p w14:paraId="1AD09E5E">
      <w:pPr>
        <w:spacing w:line="360" w:lineRule="auto"/>
        <w:ind w:firstLine="480" w:firstLineChars="200"/>
        <w:rPr>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②</w:t>
      </w:r>
      <w:r>
        <w:rPr>
          <w:b/>
          <w:color w:val="000000" w:themeColor="text1"/>
          <w:sz w:val="24"/>
          <w14:textFill>
            <w14:solidFill>
              <w14:schemeClr w14:val="tx1"/>
            </w14:solidFill>
          </w14:textFill>
        </w:rPr>
        <w:t>生活废水处置方式</w:t>
      </w:r>
    </w:p>
    <w:p w14:paraId="71376B55">
      <w:pPr>
        <w:spacing w:line="360" w:lineRule="auto"/>
        <w:ind w:firstLine="480" w:firstLineChars="200"/>
        <w:rPr>
          <w:snapToGrid w:val="0"/>
          <w:color w:val="000000" w:themeColor="text1"/>
          <w:kern w:val="0"/>
          <w:sz w:val="24"/>
          <w:szCs w:val="20"/>
          <w14:textFill>
            <w14:solidFill>
              <w14:schemeClr w14:val="tx1"/>
            </w14:solidFill>
          </w14:textFill>
        </w:rPr>
      </w:pPr>
      <w:r>
        <w:rPr>
          <w:snapToGrid w:val="0"/>
          <w:color w:val="000000" w:themeColor="text1"/>
          <w:kern w:val="0"/>
          <w:sz w:val="24"/>
          <w:szCs w:val="20"/>
          <w14:textFill>
            <w14:solidFill>
              <w14:schemeClr w14:val="tx1"/>
            </w14:solidFill>
          </w14:textFill>
        </w:rPr>
        <w:t>经化粪池、隔油池处理后，定期委托周边村民清掏，用于农作物施肥。</w:t>
      </w:r>
    </w:p>
    <w:p w14:paraId="208F1D5B">
      <w:pPr>
        <w:spacing w:line="360" w:lineRule="auto"/>
        <w:ind w:firstLine="480"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③</w:t>
      </w:r>
      <w:r>
        <w:rPr>
          <w:b/>
          <w:color w:val="000000" w:themeColor="text1"/>
          <w:sz w:val="24"/>
          <w14:textFill>
            <w14:solidFill>
              <w14:schemeClr w14:val="tx1"/>
            </w14:solidFill>
          </w14:textFill>
        </w:rPr>
        <w:t>生产废水处置措施</w:t>
      </w:r>
    </w:p>
    <w:p w14:paraId="7FF5065A">
      <w:pPr>
        <w:adjustRightInd w:val="0"/>
        <w:spacing w:line="360" w:lineRule="auto"/>
        <w:ind w:firstLine="480" w:firstLineChars="200"/>
        <w:rPr>
          <w:snapToGrid w:val="0"/>
          <w:color w:val="000000" w:themeColor="text1"/>
          <w:kern w:val="0"/>
          <w:sz w:val="24"/>
          <w:szCs w:val="20"/>
          <w14:textFill>
            <w14:solidFill>
              <w14:schemeClr w14:val="tx1"/>
            </w14:solidFill>
          </w14:textFill>
        </w:rPr>
      </w:pPr>
      <w:r>
        <w:rPr>
          <w:color w:val="000000" w:themeColor="text1"/>
          <w:sz w:val="24"/>
          <w14:textFill>
            <w14:solidFill>
              <w14:schemeClr w14:val="tx1"/>
            </w14:solidFill>
          </w14:textFill>
        </w:rPr>
        <w:t>清洗破碎废水产生量为37m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snapToGrid w:val="0"/>
          <w:color w:val="000000" w:themeColor="text1"/>
          <w:kern w:val="0"/>
          <w:sz w:val="24"/>
          <w:szCs w:val="20"/>
          <w14:textFill>
            <w14:solidFill>
              <w14:schemeClr w14:val="tx1"/>
            </w14:solidFill>
          </w14:textFill>
        </w:rPr>
        <w:t>经自建隔油池+沉淀池处理后，回用于生产。</w:t>
      </w:r>
    </w:p>
    <w:p w14:paraId="0B552FD3">
      <w:pPr>
        <w:adjustRightInd w:val="0"/>
        <w:spacing w:line="360" w:lineRule="auto"/>
        <w:ind w:firstLine="480" w:firstLineChars="200"/>
        <w:rPr>
          <w:snapToGrid w:val="0"/>
          <w:color w:val="000000" w:themeColor="text1"/>
          <w:kern w:val="0"/>
          <w:sz w:val="24"/>
          <w:szCs w:val="20"/>
          <w14:textFill>
            <w14:solidFill>
              <w14:schemeClr w14:val="tx1"/>
            </w14:solidFill>
          </w14:textFill>
        </w:rPr>
      </w:pPr>
      <w:r>
        <w:rPr>
          <w:snapToGrid w:val="0"/>
          <w:color w:val="000000" w:themeColor="text1"/>
          <w:kern w:val="0"/>
          <w:sz w:val="24"/>
          <w:szCs w:val="20"/>
          <w14:textFill>
            <w14:solidFill>
              <w14:schemeClr w14:val="tx1"/>
            </w14:solidFill>
          </w14:textFill>
        </w:rPr>
        <w:t>造粒冷却水循环使用（主要污染物为SS），不外排。</w:t>
      </w:r>
    </w:p>
    <w:p w14:paraId="3DD77F2E">
      <w:pPr>
        <w:spacing w:line="360" w:lineRule="auto"/>
        <w:ind w:firstLine="480"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（2）废水污染物浓度</w:t>
      </w:r>
    </w:p>
    <w:p w14:paraId="317B801D">
      <w:pPr>
        <w:adjustRightInd w:val="0"/>
        <w:spacing w:line="360" w:lineRule="auto"/>
        <w:ind w:firstLine="480" w:firstLineChars="200"/>
        <w:rPr>
          <w:color w:val="000000" w:themeColor="text1"/>
          <w:sz w:val="24"/>
          <w:lang w:val="zh-CN"/>
          <w14:textFill>
            <w14:solidFill>
              <w14:schemeClr w14:val="tx1"/>
            </w14:solidFill>
          </w14:textFill>
        </w:rPr>
      </w:pPr>
      <w:r>
        <w:rPr>
          <w:b/>
          <w:color w:val="000000" w:themeColor="text1"/>
          <w:sz w:val="24"/>
          <w:lang w:val="zh-CN"/>
          <w14:textFill>
            <w14:solidFill>
              <w14:schemeClr w14:val="tx1"/>
            </w14:solidFill>
          </w14:textFill>
        </w:rPr>
        <w:t>生产废水浓度：</w:t>
      </w:r>
      <w:r>
        <w:rPr>
          <w:color w:val="000000" w:themeColor="text1"/>
          <w:sz w:val="24"/>
          <w:lang w:val="zh-CN"/>
          <w14:textFill>
            <w14:solidFill>
              <w14:schemeClr w14:val="tx1"/>
            </w14:solidFill>
          </w14:textFill>
        </w:rPr>
        <w:t>类比《河源宏彩塑料制品有限公司年加工</w:t>
      </w:r>
      <w:r>
        <w:rPr>
          <w:color w:val="000000" w:themeColor="text1"/>
          <w:sz w:val="24"/>
          <w14:textFill>
            <w14:solidFill>
              <w14:schemeClr w14:val="tx1"/>
            </w14:solidFill>
          </w14:textFill>
        </w:rPr>
        <w:t>7.8</w:t>
      </w:r>
      <w:r>
        <w:rPr>
          <w:color w:val="000000" w:themeColor="text1"/>
          <w:sz w:val="24"/>
          <w:lang w:val="zh-CN"/>
          <w14:textFill>
            <w14:solidFill>
              <w14:schemeClr w14:val="tx1"/>
            </w14:solidFill>
          </w14:textFill>
        </w:rPr>
        <w:t>万吨废塑料项目》及</w:t>
      </w:r>
      <w:r>
        <w:rPr>
          <w:color w:val="000000" w:themeColor="text1"/>
          <w:kern w:val="0"/>
          <w:sz w:val="24"/>
          <w14:textFill>
            <w14:solidFill>
              <w14:schemeClr w14:val="tx1"/>
            </w14:solidFill>
          </w14:textFill>
        </w:rPr>
        <w:t>《临沂鸿泰塑业有限公司废旧塑料回收综合利用项目环保竣工验收报告》</w:t>
      </w:r>
      <w:r>
        <w:rPr>
          <w:color w:val="000000" w:themeColor="text1"/>
          <w:sz w:val="24"/>
          <w:lang w:val="zh-CN"/>
          <w14:textFill>
            <w14:solidFill>
              <w14:schemeClr w14:val="tx1"/>
            </w14:solidFill>
          </w14:textFill>
        </w:rPr>
        <w:t>中污水中污染物的浓度，该项目</w:t>
      </w:r>
      <w:r>
        <w:rPr>
          <w:color w:val="000000" w:themeColor="text1"/>
          <w:kern w:val="0"/>
          <w:sz w:val="24"/>
          <w14:textFill>
            <w14:solidFill>
              <w14:schemeClr w14:val="tx1"/>
            </w14:solidFill>
          </w14:textFill>
        </w:rPr>
        <w:t>原辅料及工艺与本项目大体一致，</w:t>
      </w:r>
    </w:p>
    <w:p w14:paraId="22178F39">
      <w:pPr>
        <w:adjustRightIn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PH＞7，COD：1200mg/L、BOD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：850mg/L、氨氮：25mg/L、</w:t>
      </w:r>
      <w:r>
        <w:rPr>
          <w:color w:val="000000" w:themeColor="text1"/>
          <w:kern w:val="0"/>
          <w:sz w:val="24"/>
          <w14:textFill>
            <w14:solidFill>
              <w14:schemeClr w14:val="tx1"/>
            </w14:solidFill>
          </w14:textFill>
        </w:rPr>
        <w:t>总磷15</w:t>
      </w:r>
      <w:r>
        <w:rPr>
          <w:color w:val="000000" w:themeColor="text1"/>
          <w:sz w:val="24"/>
          <w14:textFill>
            <w14:solidFill>
              <w14:schemeClr w14:val="tx1"/>
            </w14:solidFill>
          </w14:textFill>
        </w:rPr>
        <w:t xml:space="preserve"> mg/L</w:t>
      </w:r>
      <w:r>
        <w:rPr>
          <w:color w:val="000000" w:themeColor="text1"/>
          <w:kern w:val="0"/>
          <w:sz w:val="24"/>
          <w14:textFill>
            <w14:solidFill>
              <w14:schemeClr w14:val="tx1"/>
            </w14:solidFill>
          </w14:textFill>
        </w:rPr>
        <w:t>、</w:t>
      </w:r>
      <w:r>
        <w:rPr>
          <w:color w:val="000000" w:themeColor="text1"/>
          <w:sz w:val="24"/>
          <w14:textFill>
            <w14:solidFill>
              <w14:schemeClr w14:val="tx1"/>
            </w14:solidFill>
          </w14:textFill>
        </w:rPr>
        <w:t>SS：800mg/L；</w:t>
      </w:r>
    </w:p>
    <w:p w14:paraId="5103F7CC">
      <w:pPr>
        <w:adjustRightInd w:val="0"/>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生活废水浓度：</w:t>
      </w:r>
      <w:r>
        <w:rPr>
          <w:color w:val="000000" w:themeColor="text1"/>
          <w:sz w:val="24"/>
          <w14:textFill>
            <w14:solidFill>
              <w14:schemeClr w14:val="tx1"/>
            </w14:solidFill>
          </w14:textFill>
        </w:rPr>
        <w:t>COD：350mg/L、BOD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：200mg/L、氨氮：40mg/L、</w:t>
      </w:r>
      <w:r>
        <w:rPr>
          <w:color w:val="000000" w:themeColor="text1"/>
          <w:kern w:val="0"/>
          <w:sz w:val="24"/>
          <w14:textFill>
            <w14:solidFill>
              <w14:schemeClr w14:val="tx1"/>
            </w14:solidFill>
          </w14:textFill>
        </w:rPr>
        <w:t>总磷10</w:t>
      </w:r>
      <w:r>
        <w:rPr>
          <w:color w:val="000000" w:themeColor="text1"/>
          <w:sz w:val="24"/>
          <w14:textFill>
            <w14:solidFill>
              <w14:schemeClr w14:val="tx1"/>
            </w14:solidFill>
          </w14:textFill>
        </w:rPr>
        <w:t>mg/L</w:t>
      </w:r>
      <w:r>
        <w:rPr>
          <w:color w:val="000000" w:themeColor="text1"/>
          <w:kern w:val="0"/>
          <w:sz w:val="24"/>
          <w14:textFill>
            <w14:solidFill>
              <w14:schemeClr w14:val="tx1"/>
            </w14:solidFill>
          </w14:textFill>
        </w:rPr>
        <w:t>、</w:t>
      </w:r>
      <w:r>
        <w:rPr>
          <w:color w:val="000000" w:themeColor="text1"/>
          <w:sz w:val="24"/>
          <w14:textFill>
            <w14:solidFill>
              <w14:schemeClr w14:val="tx1"/>
            </w14:solidFill>
          </w14:textFill>
        </w:rPr>
        <w:t>SS：220mg/L；</w:t>
      </w:r>
    </w:p>
    <w:p w14:paraId="5986D767">
      <w:pPr>
        <w:adjustRightInd w:val="0"/>
        <w:spacing w:line="360" w:lineRule="auto"/>
        <w:ind w:firstLine="480" w:firstLineChars="200"/>
        <w:rPr>
          <w:b/>
          <w:snapToGrid w:val="0"/>
          <w:color w:val="000000" w:themeColor="text1"/>
          <w:kern w:val="0"/>
          <w:sz w:val="24"/>
          <w:szCs w:val="20"/>
          <w14:textFill>
            <w14:solidFill>
              <w14:schemeClr w14:val="tx1"/>
            </w14:solidFill>
          </w14:textFill>
        </w:rPr>
      </w:pPr>
    </w:p>
    <w:p w14:paraId="647646A4">
      <w:pPr>
        <w:spacing w:line="360" w:lineRule="auto"/>
        <w:ind w:firstLine="480" w:firstLineChars="200"/>
        <w:rPr>
          <w:b/>
          <w:color w:val="000000" w:themeColor="text1"/>
          <w:kern w:val="0"/>
          <w:sz w:val="24"/>
          <w14:textFill>
            <w14:solidFill>
              <w14:schemeClr w14:val="tx1"/>
            </w14:solidFill>
          </w14:textFill>
        </w:rPr>
      </w:pPr>
    </w:p>
    <w:p w14:paraId="4D8C2928">
      <w:pPr>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表3.5-2  项目废水污染物源强产排情况表</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74"/>
        <w:gridCol w:w="1790"/>
        <w:gridCol w:w="1069"/>
        <w:gridCol w:w="989"/>
        <w:gridCol w:w="874"/>
        <w:gridCol w:w="794"/>
        <w:gridCol w:w="975"/>
        <w:gridCol w:w="757"/>
      </w:tblGrid>
      <w:tr w14:paraId="421CE84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98" w:type="pct"/>
            <w:gridSpan w:val="2"/>
            <w:vMerge w:val="restart"/>
            <w:vAlign w:val="center"/>
          </w:tcPr>
          <w:p w14:paraId="6ADF6031">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污水来源</w:t>
            </w:r>
          </w:p>
        </w:tc>
        <w:tc>
          <w:tcPr>
            <w:tcW w:w="627" w:type="pct"/>
            <w:vMerge w:val="restart"/>
            <w:vAlign w:val="center"/>
          </w:tcPr>
          <w:p w14:paraId="45E7BAA2">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排放量</w:t>
            </w:r>
          </w:p>
          <w:p w14:paraId="0F215D27">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万m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/a</w:t>
            </w:r>
          </w:p>
        </w:tc>
        <w:tc>
          <w:tcPr>
            <w:tcW w:w="2575" w:type="pct"/>
            <w:gridSpan w:val="5"/>
            <w:vAlign w:val="center"/>
          </w:tcPr>
          <w:p w14:paraId="5BAD7FA9">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水质（mg/L）</w:t>
            </w:r>
          </w:p>
        </w:tc>
      </w:tr>
      <w:tr w14:paraId="5F67B29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98" w:type="pct"/>
            <w:gridSpan w:val="2"/>
            <w:vMerge w:val="continue"/>
            <w:vAlign w:val="center"/>
          </w:tcPr>
          <w:p w14:paraId="3B4FFEC0">
            <w:pPr>
              <w:jc w:val="center"/>
              <w:rPr>
                <w:b/>
                <w:color w:val="000000" w:themeColor="text1"/>
                <w:kern w:val="0"/>
                <w:szCs w:val="21"/>
                <w14:textFill>
                  <w14:solidFill>
                    <w14:schemeClr w14:val="tx1"/>
                  </w14:solidFill>
                </w14:textFill>
              </w:rPr>
            </w:pPr>
          </w:p>
        </w:tc>
        <w:tc>
          <w:tcPr>
            <w:tcW w:w="627" w:type="pct"/>
            <w:vMerge w:val="continue"/>
            <w:vAlign w:val="center"/>
          </w:tcPr>
          <w:p w14:paraId="0B3E1AC5">
            <w:pPr>
              <w:jc w:val="center"/>
              <w:rPr>
                <w:b/>
                <w:color w:val="000000" w:themeColor="text1"/>
                <w:kern w:val="0"/>
                <w:szCs w:val="21"/>
                <w14:textFill>
                  <w14:solidFill>
                    <w14:schemeClr w14:val="tx1"/>
                  </w14:solidFill>
                </w14:textFill>
              </w:rPr>
            </w:pPr>
          </w:p>
        </w:tc>
        <w:tc>
          <w:tcPr>
            <w:tcW w:w="580" w:type="pct"/>
            <w:vAlign w:val="center"/>
          </w:tcPr>
          <w:p w14:paraId="300B436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CODcr</w:t>
            </w:r>
          </w:p>
        </w:tc>
        <w:tc>
          <w:tcPr>
            <w:tcW w:w="513" w:type="pct"/>
            <w:vAlign w:val="center"/>
          </w:tcPr>
          <w:p w14:paraId="284B92AD">
            <w:pPr>
              <w:widowControl/>
              <w:jc w:val="center"/>
              <w:rPr>
                <w:color w:val="000000" w:themeColor="text1"/>
                <w:kern w:val="0"/>
                <w:szCs w:val="21"/>
                <w:vertAlign w:val="subscript"/>
                <w14:textFill>
                  <w14:solidFill>
                    <w14:schemeClr w14:val="tx1"/>
                  </w14:solidFill>
                </w14:textFill>
              </w:rPr>
            </w:pPr>
            <w:r>
              <w:rPr>
                <w:color w:val="000000" w:themeColor="text1"/>
                <w:kern w:val="0"/>
                <w:szCs w:val="21"/>
                <w14:textFill>
                  <w14:solidFill>
                    <w14:schemeClr w14:val="tx1"/>
                  </w14:solidFill>
                </w14:textFill>
              </w:rPr>
              <w:t>BOD</w:t>
            </w:r>
            <w:r>
              <w:rPr>
                <w:color w:val="000000" w:themeColor="text1"/>
                <w:kern w:val="0"/>
                <w:szCs w:val="21"/>
                <w:vertAlign w:val="subscript"/>
                <w14:textFill>
                  <w14:solidFill>
                    <w14:schemeClr w14:val="tx1"/>
                  </w14:solidFill>
                </w14:textFill>
              </w:rPr>
              <w:t>5</w:t>
            </w:r>
          </w:p>
        </w:tc>
        <w:tc>
          <w:tcPr>
            <w:tcW w:w="466" w:type="pct"/>
            <w:vAlign w:val="center"/>
          </w:tcPr>
          <w:p w14:paraId="1FFEB16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572" w:type="pct"/>
            <w:vAlign w:val="center"/>
          </w:tcPr>
          <w:p w14:paraId="13D581F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444" w:type="pct"/>
            <w:vAlign w:val="center"/>
          </w:tcPr>
          <w:p w14:paraId="20BF79E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总磷</w:t>
            </w:r>
          </w:p>
        </w:tc>
      </w:tr>
      <w:tr w14:paraId="6E1384E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48" w:type="pct"/>
            <w:vMerge w:val="restart"/>
            <w:vAlign w:val="center"/>
          </w:tcPr>
          <w:p w14:paraId="0D1D579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生活废水</w:t>
            </w:r>
          </w:p>
        </w:tc>
        <w:tc>
          <w:tcPr>
            <w:tcW w:w="1050" w:type="pct"/>
            <w:vAlign w:val="center"/>
          </w:tcPr>
          <w:p w14:paraId="6F49039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产生浓度</w:t>
            </w:r>
          </w:p>
        </w:tc>
        <w:tc>
          <w:tcPr>
            <w:tcW w:w="627" w:type="pct"/>
            <w:vMerge w:val="restart"/>
            <w:vAlign w:val="center"/>
          </w:tcPr>
          <w:p w14:paraId="3C5CDC5C">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0.04</w:t>
            </w:r>
          </w:p>
        </w:tc>
        <w:tc>
          <w:tcPr>
            <w:tcW w:w="580" w:type="pct"/>
            <w:vAlign w:val="center"/>
          </w:tcPr>
          <w:p w14:paraId="2F5344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513" w:type="pct"/>
            <w:vAlign w:val="center"/>
          </w:tcPr>
          <w:p w14:paraId="7FB785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466" w:type="pct"/>
            <w:vAlign w:val="center"/>
          </w:tcPr>
          <w:p w14:paraId="7A8287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220</w:t>
            </w:r>
          </w:p>
        </w:tc>
        <w:tc>
          <w:tcPr>
            <w:tcW w:w="572" w:type="pct"/>
            <w:vAlign w:val="center"/>
          </w:tcPr>
          <w:p w14:paraId="3F03CB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444" w:type="pct"/>
            <w:vAlign w:val="center"/>
          </w:tcPr>
          <w:p w14:paraId="5C671E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6EA3186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48" w:type="pct"/>
            <w:vMerge w:val="continue"/>
            <w:vAlign w:val="center"/>
          </w:tcPr>
          <w:p w14:paraId="3AA217D1">
            <w:pPr>
              <w:jc w:val="center"/>
              <w:rPr>
                <w:color w:val="000000" w:themeColor="text1"/>
                <w:kern w:val="0"/>
                <w:szCs w:val="21"/>
                <w14:textFill>
                  <w14:solidFill>
                    <w14:schemeClr w14:val="tx1"/>
                  </w14:solidFill>
                </w14:textFill>
              </w:rPr>
            </w:pPr>
          </w:p>
        </w:tc>
        <w:tc>
          <w:tcPr>
            <w:tcW w:w="1050" w:type="pct"/>
            <w:vAlign w:val="center"/>
          </w:tcPr>
          <w:p w14:paraId="2F7B05B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产生量（t/a）</w:t>
            </w:r>
          </w:p>
        </w:tc>
        <w:tc>
          <w:tcPr>
            <w:tcW w:w="627" w:type="pct"/>
            <w:vMerge w:val="continue"/>
            <w:vAlign w:val="center"/>
          </w:tcPr>
          <w:p w14:paraId="34A2C475">
            <w:pPr>
              <w:jc w:val="center"/>
              <w:rPr>
                <w:b/>
                <w:color w:val="000000" w:themeColor="text1"/>
                <w:kern w:val="0"/>
                <w:sz w:val="18"/>
                <w:szCs w:val="18"/>
                <w14:textFill>
                  <w14:solidFill>
                    <w14:schemeClr w14:val="tx1"/>
                  </w14:solidFill>
                </w14:textFill>
              </w:rPr>
            </w:pPr>
          </w:p>
        </w:tc>
        <w:tc>
          <w:tcPr>
            <w:tcW w:w="580" w:type="pct"/>
            <w:vAlign w:val="center"/>
          </w:tcPr>
          <w:p w14:paraId="52EA1E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0.139 </w:t>
            </w:r>
          </w:p>
        </w:tc>
        <w:tc>
          <w:tcPr>
            <w:tcW w:w="513" w:type="pct"/>
            <w:vAlign w:val="center"/>
          </w:tcPr>
          <w:p w14:paraId="4650A2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0.079 </w:t>
            </w:r>
          </w:p>
        </w:tc>
        <w:tc>
          <w:tcPr>
            <w:tcW w:w="466" w:type="pct"/>
            <w:vAlign w:val="center"/>
          </w:tcPr>
          <w:p w14:paraId="71B775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0.087 </w:t>
            </w:r>
          </w:p>
        </w:tc>
        <w:tc>
          <w:tcPr>
            <w:tcW w:w="572" w:type="pct"/>
            <w:vAlign w:val="center"/>
          </w:tcPr>
          <w:p w14:paraId="26483C3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0.016 </w:t>
            </w:r>
          </w:p>
        </w:tc>
        <w:tc>
          <w:tcPr>
            <w:tcW w:w="444" w:type="pct"/>
            <w:vAlign w:val="center"/>
          </w:tcPr>
          <w:p w14:paraId="1EB031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0.004 </w:t>
            </w:r>
          </w:p>
        </w:tc>
      </w:tr>
      <w:tr w14:paraId="3A27F2D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48" w:type="pct"/>
            <w:vMerge w:val="restart"/>
            <w:vAlign w:val="center"/>
          </w:tcPr>
          <w:p w14:paraId="4ED56DB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生产废水</w:t>
            </w:r>
          </w:p>
        </w:tc>
        <w:tc>
          <w:tcPr>
            <w:tcW w:w="1050" w:type="pct"/>
            <w:vAlign w:val="center"/>
          </w:tcPr>
          <w:p w14:paraId="5804DE9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产生浓度</w:t>
            </w:r>
          </w:p>
        </w:tc>
        <w:tc>
          <w:tcPr>
            <w:tcW w:w="627" w:type="pct"/>
            <w:vMerge w:val="restart"/>
            <w:vAlign w:val="center"/>
          </w:tcPr>
          <w:p w14:paraId="324D7E51">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1.11</w:t>
            </w:r>
          </w:p>
        </w:tc>
        <w:tc>
          <w:tcPr>
            <w:tcW w:w="580" w:type="pct"/>
            <w:vAlign w:val="center"/>
          </w:tcPr>
          <w:p w14:paraId="07783A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w:t>
            </w:r>
          </w:p>
        </w:tc>
        <w:tc>
          <w:tcPr>
            <w:tcW w:w="513" w:type="pct"/>
            <w:vAlign w:val="center"/>
          </w:tcPr>
          <w:p w14:paraId="615E2B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850</w:t>
            </w:r>
          </w:p>
        </w:tc>
        <w:tc>
          <w:tcPr>
            <w:tcW w:w="466" w:type="pct"/>
            <w:vAlign w:val="center"/>
          </w:tcPr>
          <w:p w14:paraId="3CAC2C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800</w:t>
            </w:r>
          </w:p>
        </w:tc>
        <w:tc>
          <w:tcPr>
            <w:tcW w:w="572" w:type="pct"/>
            <w:vAlign w:val="center"/>
          </w:tcPr>
          <w:p w14:paraId="7072AF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444" w:type="pct"/>
            <w:vAlign w:val="center"/>
          </w:tcPr>
          <w:p w14:paraId="18A52A6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r w14:paraId="002CFDB7">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48" w:type="pct"/>
            <w:vMerge w:val="continue"/>
            <w:vAlign w:val="center"/>
          </w:tcPr>
          <w:p w14:paraId="55F26820">
            <w:pPr>
              <w:jc w:val="center"/>
              <w:rPr>
                <w:color w:val="000000" w:themeColor="text1"/>
                <w:kern w:val="0"/>
                <w:szCs w:val="21"/>
                <w14:textFill>
                  <w14:solidFill>
                    <w14:schemeClr w14:val="tx1"/>
                  </w14:solidFill>
                </w14:textFill>
              </w:rPr>
            </w:pPr>
          </w:p>
        </w:tc>
        <w:tc>
          <w:tcPr>
            <w:tcW w:w="1050" w:type="pct"/>
            <w:vAlign w:val="center"/>
          </w:tcPr>
          <w:p w14:paraId="31C05F6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产生量（t/a）</w:t>
            </w:r>
          </w:p>
        </w:tc>
        <w:tc>
          <w:tcPr>
            <w:tcW w:w="627" w:type="pct"/>
            <w:vMerge w:val="continue"/>
            <w:vAlign w:val="center"/>
          </w:tcPr>
          <w:p w14:paraId="3DB42118">
            <w:pPr>
              <w:jc w:val="center"/>
              <w:rPr>
                <w:b/>
                <w:color w:val="000000" w:themeColor="text1"/>
                <w:kern w:val="0"/>
                <w:sz w:val="18"/>
                <w:szCs w:val="18"/>
                <w14:textFill>
                  <w14:solidFill>
                    <w14:schemeClr w14:val="tx1"/>
                  </w14:solidFill>
                </w14:textFill>
              </w:rPr>
            </w:pPr>
          </w:p>
        </w:tc>
        <w:tc>
          <w:tcPr>
            <w:tcW w:w="580" w:type="pct"/>
            <w:vAlign w:val="center"/>
          </w:tcPr>
          <w:p w14:paraId="5BD5CE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13.323 </w:t>
            </w:r>
          </w:p>
        </w:tc>
        <w:tc>
          <w:tcPr>
            <w:tcW w:w="513" w:type="pct"/>
            <w:vAlign w:val="center"/>
          </w:tcPr>
          <w:p w14:paraId="6476CB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9.437 </w:t>
            </w:r>
          </w:p>
        </w:tc>
        <w:tc>
          <w:tcPr>
            <w:tcW w:w="466" w:type="pct"/>
            <w:vAlign w:val="center"/>
          </w:tcPr>
          <w:p w14:paraId="3EDD9F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8.882 </w:t>
            </w:r>
          </w:p>
        </w:tc>
        <w:tc>
          <w:tcPr>
            <w:tcW w:w="572" w:type="pct"/>
            <w:vAlign w:val="center"/>
          </w:tcPr>
          <w:p w14:paraId="54C9CC9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0.278 </w:t>
            </w:r>
          </w:p>
        </w:tc>
        <w:tc>
          <w:tcPr>
            <w:tcW w:w="444" w:type="pct"/>
            <w:vAlign w:val="center"/>
          </w:tcPr>
          <w:p w14:paraId="7A74EE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0.167 </w:t>
            </w:r>
          </w:p>
        </w:tc>
      </w:tr>
      <w:tr w14:paraId="501A7E3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48" w:type="pct"/>
            <w:vMerge w:val="restart"/>
            <w:vAlign w:val="center"/>
          </w:tcPr>
          <w:p w14:paraId="661CB4F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合计</w:t>
            </w:r>
          </w:p>
        </w:tc>
        <w:tc>
          <w:tcPr>
            <w:tcW w:w="1050" w:type="pct"/>
            <w:vAlign w:val="center"/>
          </w:tcPr>
          <w:p w14:paraId="6514600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产生浓度</w:t>
            </w:r>
          </w:p>
        </w:tc>
        <w:tc>
          <w:tcPr>
            <w:tcW w:w="627" w:type="pct"/>
            <w:vMerge w:val="restart"/>
            <w:vAlign w:val="center"/>
          </w:tcPr>
          <w:p w14:paraId="0466EE48">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1.15</w:t>
            </w:r>
          </w:p>
        </w:tc>
        <w:tc>
          <w:tcPr>
            <w:tcW w:w="580" w:type="pct"/>
            <w:vAlign w:val="center"/>
          </w:tcPr>
          <w:p w14:paraId="1E66E37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1170.73 </w:t>
            </w:r>
          </w:p>
        </w:tc>
        <w:tc>
          <w:tcPr>
            <w:tcW w:w="513" w:type="pct"/>
            <w:vAlign w:val="center"/>
          </w:tcPr>
          <w:p w14:paraId="63D1CAB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827.61 </w:t>
            </w:r>
          </w:p>
        </w:tc>
        <w:tc>
          <w:tcPr>
            <w:tcW w:w="466" w:type="pct"/>
            <w:vAlign w:val="center"/>
          </w:tcPr>
          <w:p w14:paraId="7362318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780.02 </w:t>
            </w:r>
          </w:p>
        </w:tc>
        <w:tc>
          <w:tcPr>
            <w:tcW w:w="572" w:type="pct"/>
            <w:vAlign w:val="center"/>
          </w:tcPr>
          <w:p w14:paraId="12C366CA">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25.52 </w:t>
            </w:r>
          </w:p>
        </w:tc>
        <w:tc>
          <w:tcPr>
            <w:tcW w:w="444" w:type="pct"/>
            <w:vAlign w:val="center"/>
          </w:tcPr>
          <w:p w14:paraId="55E933E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14.83 </w:t>
            </w:r>
          </w:p>
        </w:tc>
      </w:tr>
      <w:tr w14:paraId="0A47D81D">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48" w:type="pct"/>
            <w:vMerge w:val="continue"/>
            <w:vAlign w:val="center"/>
          </w:tcPr>
          <w:p w14:paraId="0BECF9CD">
            <w:pPr>
              <w:jc w:val="center"/>
              <w:rPr>
                <w:color w:val="000000" w:themeColor="text1"/>
                <w:kern w:val="0"/>
                <w:szCs w:val="21"/>
                <w14:textFill>
                  <w14:solidFill>
                    <w14:schemeClr w14:val="tx1"/>
                  </w14:solidFill>
                </w14:textFill>
              </w:rPr>
            </w:pPr>
          </w:p>
        </w:tc>
        <w:tc>
          <w:tcPr>
            <w:tcW w:w="1050" w:type="pct"/>
            <w:vAlign w:val="center"/>
          </w:tcPr>
          <w:p w14:paraId="3390112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产生量（t/a）</w:t>
            </w:r>
          </w:p>
        </w:tc>
        <w:tc>
          <w:tcPr>
            <w:tcW w:w="627" w:type="pct"/>
            <w:vMerge w:val="continue"/>
            <w:vAlign w:val="center"/>
          </w:tcPr>
          <w:p w14:paraId="33EA63C0">
            <w:pPr>
              <w:jc w:val="center"/>
              <w:rPr>
                <w:b/>
                <w:bCs/>
                <w:color w:val="000000" w:themeColor="text1"/>
                <w:sz w:val="18"/>
                <w:szCs w:val="18"/>
                <w14:textFill>
                  <w14:solidFill>
                    <w14:schemeClr w14:val="tx1"/>
                  </w14:solidFill>
                </w14:textFill>
              </w:rPr>
            </w:pPr>
          </w:p>
        </w:tc>
        <w:tc>
          <w:tcPr>
            <w:tcW w:w="580" w:type="pct"/>
            <w:vAlign w:val="center"/>
          </w:tcPr>
          <w:p w14:paraId="294C513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13.461 </w:t>
            </w:r>
          </w:p>
        </w:tc>
        <w:tc>
          <w:tcPr>
            <w:tcW w:w="513" w:type="pct"/>
            <w:vAlign w:val="center"/>
          </w:tcPr>
          <w:p w14:paraId="2EAF2E9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9.516 </w:t>
            </w:r>
          </w:p>
        </w:tc>
        <w:tc>
          <w:tcPr>
            <w:tcW w:w="466" w:type="pct"/>
            <w:vAlign w:val="center"/>
          </w:tcPr>
          <w:p w14:paraId="1F4901C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8.969 </w:t>
            </w:r>
          </w:p>
        </w:tc>
        <w:tc>
          <w:tcPr>
            <w:tcW w:w="572" w:type="pct"/>
            <w:vAlign w:val="center"/>
          </w:tcPr>
          <w:p w14:paraId="75E4E4B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0.293 </w:t>
            </w:r>
          </w:p>
        </w:tc>
        <w:tc>
          <w:tcPr>
            <w:tcW w:w="444" w:type="pct"/>
            <w:vAlign w:val="center"/>
          </w:tcPr>
          <w:p w14:paraId="2282442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0.170 </w:t>
            </w:r>
          </w:p>
        </w:tc>
      </w:tr>
      <w:tr w14:paraId="7C373C1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48" w:type="pct"/>
            <w:vMerge w:val="continue"/>
            <w:vAlign w:val="center"/>
          </w:tcPr>
          <w:p w14:paraId="7BBEA4DA">
            <w:pPr>
              <w:jc w:val="center"/>
              <w:rPr>
                <w:color w:val="000000" w:themeColor="text1"/>
                <w:kern w:val="0"/>
                <w:szCs w:val="21"/>
                <w14:textFill>
                  <w14:solidFill>
                    <w14:schemeClr w14:val="tx1"/>
                  </w14:solidFill>
                </w14:textFill>
              </w:rPr>
            </w:pPr>
          </w:p>
        </w:tc>
        <w:tc>
          <w:tcPr>
            <w:tcW w:w="1050" w:type="pct"/>
            <w:vAlign w:val="center"/>
          </w:tcPr>
          <w:p w14:paraId="350747A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排放量</w:t>
            </w:r>
          </w:p>
        </w:tc>
        <w:tc>
          <w:tcPr>
            <w:tcW w:w="627" w:type="pct"/>
            <w:vAlign w:val="center"/>
          </w:tcPr>
          <w:p w14:paraId="76C69497">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0</w:t>
            </w:r>
          </w:p>
        </w:tc>
        <w:tc>
          <w:tcPr>
            <w:tcW w:w="580" w:type="pct"/>
            <w:vAlign w:val="center"/>
          </w:tcPr>
          <w:p w14:paraId="432957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13" w:type="pct"/>
            <w:vAlign w:val="center"/>
          </w:tcPr>
          <w:p w14:paraId="63589D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66" w:type="pct"/>
            <w:vAlign w:val="center"/>
          </w:tcPr>
          <w:p w14:paraId="25E56FD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72" w:type="pct"/>
            <w:vAlign w:val="center"/>
          </w:tcPr>
          <w:p w14:paraId="0E39B12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44" w:type="pct"/>
            <w:vAlign w:val="center"/>
          </w:tcPr>
          <w:p w14:paraId="45060B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05DC7D4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48" w:type="pct"/>
            <w:vMerge w:val="continue"/>
            <w:vAlign w:val="center"/>
          </w:tcPr>
          <w:p w14:paraId="0A804925">
            <w:pPr>
              <w:jc w:val="center"/>
              <w:rPr>
                <w:color w:val="000000" w:themeColor="text1"/>
                <w:kern w:val="0"/>
                <w:szCs w:val="21"/>
                <w14:textFill>
                  <w14:solidFill>
                    <w14:schemeClr w14:val="tx1"/>
                  </w14:solidFill>
                </w14:textFill>
              </w:rPr>
            </w:pPr>
          </w:p>
        </w:tc>
        <w:tc>
          <w:tcPr>
            <w:tcW w:w="1050" w:type="pct"/>
            <w:vAlign w:val="center"/>
          </w:tcPr>
          <w:p w14:paraId="39F6DB0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消减量</w:t>
            </w:r>
          </w:p>
        </w:tc>
        <w:tc>
          <w:tcPr>
            <w:tcW w:w="627" w:type="pct"/>
            <w:vAlign w:val="center"/>
          </w:tcPr>
          <w:p w14:paraId="1217C18D">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1.15</w:t>
            </w:r>
          </w:p>
        </w:tc>
        <w:tc>
          <w:tcPr>
            <w:tcW w:w="580" w:type="pct"/>
            <w:vAlign w:val="center"/>
          </w:tcPr>
          <w:p w14:paraId="33102BA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13.461 </w:t>
            </w:r>
          </w:p>
        </w:tc>
        <w:tc>
          <w:tcPr>
            <w:tcW w:w="513" w:type="pct"/>
            <w:vAlign w:val="center"/>
          </w:tcPr>
          <w:p w14:paraId="1F440BA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9.516 </w:t>
            </w:r>
          </w:p>
        </w:tc>
        <w:tc>
          <w:tcPr>
            <w:tcW w:w="466" w:type="pct"/>
            <w:vAlign w:val="center"/>
          </w:tcPr>
          <w:p w14:paraId="18050BD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8.969 </w:t>
            </w:r>
          </w:p>
        </w:tc>
        <w:tc>
          <w:tcPr>
            <w:tcW w:w="572" w:type="pct"/>
            <w:vAlign w:val="center"/>
          </w:tcPr>
          <w:p w14:paraId="43FF7CA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0.293 </w:t>
            </w:r>
          </w:p>
        </w:tc>
        <w:tc>
          <w:tcPr>
            <w:tcW w:w="444" w:type="pct"/>
            <w:vAlign w:val="center"/>
          </w:tcPr>
          <w:p w14:paraId="0915D52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0.170 </w:t>
            </w:r>
          </w:p>
        </w:tc>
      </w:tr>
    </w:tbl>
    <w:p w14:paraId="783C8BC1">
      <w:pPr>
        <w:rPr>
          <w:color w:val="000000" w:themeColor="text1"/>
          <w14:textFill>
            <w14:solidFill>
              <w14:schemeClr w14:val="tx1"/>
            </w14:solidFill>
          </w14:textFill>
        </w:rPr>
      </w:pPr>
    </w:p>
    <w:p w14:paraId="0D76C0AE">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3.5.3 固废</w:t>
      </w:r>
    </w:p>
    <w:p w14:paraId="7A22419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项目运营期固体废物主要包括生产过程中产生的手选杂物、员工日常生活产生的生活垃圾、沉淀池污泥。</w:t>
      </w:r>
    </w:p>
    <w:p w14:paraId="25094298">
      <w:pPr>
        <w:spacing w:line="360" w:lineRule="auto"/>
        <w:ind w:firstLine="480"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1、一般工业固废</w:t>
      </w:r>
    </w:p>
    <w:p w14:paraId="540C61B0">
      <w:pPr>
        <w:spacing w:line="360" w:lineRule="auto"/>
        <w:ind w:firstLine="480" w:firstLineChars="200"/>
        <w:jc w:val="left"/>
        <w:rPr>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①</w:t>
      </w:r>
      <w:r>
        <w:rPr>
          <w:b/>
          <w:color w:val="000000" w:themeColor="text1"/>
          <w:kern w:val="0"/>
          <w:sz w:val="24"/>
          <w14:textFill>
            <w14:solidFill>
              <w14:schemeClr w14:val="tx1"/>
            </w14:solidFill>
          </w14:textFill>
        </w:rPr>
        <w:t>拆包、人工分选杂物</w:t>
      </w:r>
    </w:p>
    <w:p w14:paraId="448895D2">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本项目经拆包、人工分选出的杂物约2.5t，杂物主要为金属、大块砂渣等，属于一般工业固体废物，分类收集后，一部分外卖，其余外运至最近村庄垃圾收集点处理，禁止随意丢弃。</w:t>
      </w:r>
    </w:p>
    <w:p w14:paraId="3D723344">
      <w:pPr>
        <w:spacing w:line="360" w:lineRule="auto"/>
        <w:ind w:firstLine="480" w:firstLineChars="200"/>
        <w:rPr>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②</w:t>
      </w:r>
      <w:r>
        <w:rPr>
          <w:b/>
          <w:color w:val="000000" w:themeColor="text1"/>
          <w:kern w:val="0"/>
          <w:sz w:val="24"/>
          <w14:textFill>
            <w14:solidFill>
              <w14:schemeClr w14:val="tx1"/>
            </w14:solidFill>
          </w14:textFill>
        </w:rPr>
        <w:t>剥离废标签纸</w:t>
      </w:r>
    </w:p>
    <w:p w14:paraId="62C721F9">
      <w:pPr>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项目生产过程会产生约0.8t/a的剥离废标签纸，</w:t>
      </w:r>
      <w:r>
        <w:rPr>
          <w:color w:val="000000" w:themeColor="text1"/>
          <w:sz w:val="24"/>
          <w14:textFill>
            <w14:solidFill>
              <w14:schemeClr w14:val="tx1"/>
            </w14:solidFill>
          </w14:textFill>
        </w:rPr>
        <w:t>这部分废标签纸外卖处理。</w:t>
      </w:r>
    </w:p>
    <w:p w14:paraId="3F62D4B8">
      <w:pPr>
        <w:spacing w:line="360" w:lineRule="auto"/>
        <w:ind w:firstLine="480" w:firstLineChars="200"/>
        <w:rPr>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③</w:t>
      </w:r>
      <w:r>
        <w:rPr>
          <w:b/>
          <w:color w:val="000000" w:themeColor="text1"/>
          <w:kern w:val="0"/>
          <w:sz w:val="24"/>
          <w14:textFill>
            <w14:solidFill>
              <w14:schemeClr w14:val="tx1"/>
            </w14:solidFill>
          </w14:textFill>
        </w:rPr>
        <w:t>沉淀池污泥、隔油池废油</w:t>
      </w:r>
    </w:p>
    <w:p w14:paraId="1024911A">
      <w:pPr>
        <w:spacing w:line="360" w:lineRule="auto"/>
        <w:ind w:firstLine="480" w:firstLineChars="200"/>
        <w:rPr>
          <w:color w:val="000000" w:themeColor="text1"/>
          <w:sz w:val="24"/>
          <w14:textFill>
            <w14:solidFill>
              <w14:schemeClr w14:val="tx1"/>
            </w14:solidFill>
          </w14:textFill>
        </w:rPr>
      </w:pPr>
      <w:r>
        <w:rPr>
          <w:b/>
          <w:color w:val="000000" w:themeColor="text1"/>
          <w:kern w:val="0"/>
          <w:sz w:val="24"/>
          <w14:textFill>
            <w14:solidFill>
              <w14:schemeClr w14:val="tx1"/>
            </w14:solidFill>
          </w14:textFill>
        </w:rPr>
        <w:t>沉淀池污泥：</w:t>
      </w:r>
      <w:r>
        <w:rPr>
          <w:color w:val="000000" w:themeColor="text1"/>
          <w:sz w:val="24"/>
          <w14:textFill>
            <w14:solidFill>
              <w14:schemeClr w14:val="tx1"/>
            </w14:solidFill>
          </w14:textFill>
        </w:rPr>
        <w:t>本项目生产废水进入隔油池+沉淀池处理，需处理的水量为11500</w:t>
      </w:r>
      <w:r>
        <w:rPr>
          <w:color w:val="000000" w:themeColor="text1"/>
          <w:sz w:val="24"/>
          <w:lang w:val="zh-CN"/>
          <w14:textFill>
            <w14:solidFill>
              <w14:schemeClr w14:val="tx1"/>
            </w14:solidFill>
          </w14:textFill>
        </w:rPr>
        <w:t>t/a，根据表3.5-2</w:t>
      </w:r>
      <w:r>
        <w:rPr>
          <w:color w:val="000000" w:themeColor="text1"/>
          <w:sz w:val="24"/>
          <w14:textFill>
            <w14:solidFill>
              <w14:schemeClr w14:val="tx1"/>
            </w14:solidFill>
          </w14:textFill>
        </w:rPr>
        <w:t>，SS产量为8.969t/a，去除率为97%，则污泥产生量为8.7t/a，该部分污泥经收集后，外运至最近村庄垃圾收集点处理。</w:t>
      </w:r>
    </w:p>
    <w:p w14:paraId="791F341D">
      <w:pPr>
        <w:spacing w:line="360" w:lineRule="auto"/>
        <w:ind w:firstLine="480" w:firstLineChars="200"/>
        <w:rPr>
          <w:color w:val="000000" w:themeColor="text1"/>
          <w:sz w:val="24"/>
          <w14:textFill>
            <w14:solidFill>
              <w14:schemeClr w14:val="tx1"/>
            </w14:solidFill>
          </w14:textFill>
        </w:rPr>
      </w:pPr>
      <w:r>
        <w:rPr>
          <w:b/>
          <w:color w:val="000000" w:themeColor="text1"/>
          <w:kern w:val="0"/>
          <w:sz w:val="24"/>
          <w14:textFill>
            <w14:solidFill>
              <w14:schemeClr w14:val="tx1"/>
            </w14:solidFill>
          </w14:textFill>
        </w:rPr>
        <w:t>隔油池废油：</w:t>
      </w:r>
      <w:r>
        <w:rPr>
          <w:color w:val="000000" w:themeColor="text1"/>
          <w:kern w:val="0"/>
          <w:sz w:val="24"/>
          <w14:textFill>
            <w14:solidFill>
              <w14:schemeClr w14:val="tx1"/>
            </w14:solidFill>
          </w14:textFill>
        </w:rPr>
        <w:t>本项目主要清洗对象为矿泉水瓶，少量油壶等，根据建设方经验，废油产生量为0.01t/a，主要成分为植物油，外运至最近村庄垃圾收集点处理</w:t>
      </w:r>
      <w:r>
        <w:rPr>
          <w:color w:val="000000" w:themeColor="text1"/>
          <w:sz w:val="24"/>
          <w14:textFill>
            <w14:solidFill>
              <w14:schemeClr w14:val="tx1"/>
            </w14:solidFill>
          </w14:textFill>
        </w:rPr>
        <w:t>。</w:t>
      </w:r>
    </w:p>
    <w:p w14:paraId="642B2CD2">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b/>
          <w:color w:val="000000" w:themeColor="text1"/>
          <w:kern w:val="0"/>
          <w:sz w:val="24"/>
          <w14:textFill>
            <w14:solidFill>
              <w14:schemeClr w14:val="tx1"/>
            </w14:solidFill>
          </w14:textFill>
        </w:rPr>
        <w:t>生活垃圾</w:t>
      </w:r>
    </w:p>
    <w:p w14:paraId="63CBD1A3">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（1）生活垃圾</w:t>
      </w:r>
    </w:p>
    <w:p w14:paraId="30D81C7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项目有员工15人，生活垃圾产生量按0.5kg/（d·人）考虑，则生活垃圾产生量为7.5kg/d，2.25t/a，设置有若干生活垃圾收集桶，清外运至最近村庄垃圾收集点处理，集中处置。</w:t>
      </w:r>
    </w:p>
    <w:p w14:paraId="315463A7">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（2）食堂泔水</w:t>
      </w:r>
    </w:p>
    <w:p w14:paraId="5A0F3F9F">
      <w:pPr>
        <w:spacing w:line="360" w:lineRule="auto"/>
        <w:ind w:firstLine="555"/>
        <w:jc w:val="left"/>
        <w:rPr>
          <w:color w:val="FF0000"/>
          <w:kern w:val="0"/>
          <w:sz w:val="24"/>
        </w:rPr>
      </w:pPr>
      <w:r>
        <w:rPr>
          <w:color w:val="000000" w:themeColor="text1"/>
          <w:sz w:val="24"/>
          <w14:textFill>
            <w14:solidFill>
              <w14:schemeClr w14:val="tx1"/>
            </w14:solidFill>
          </w14:textFill>
        </w:rPr>
        <w:t>食堂泔水主要是剩汤、剩饭菜等，产生量按0.2kg/人·d计，每天就餐人数按15人计，则每天的产生量为3kg/d，年产生0.9t/a，</w:t>
      </w:r>
      <w:r>
        <w:rPr>
          <w:color w:val="FF0000"/>
          <w:kern w:val="0"/>
          <w:sz w:val="24"/>
        </w:rPr>
        <w:t>外运至最近村庄垃圾收集点处理。</w:t>
      </w:r>
    </w:p>
    <w:p w14:paraId="61170973">
      <w:pPr>
        <w:spacing w:line="360" w:lineRule="auto"/>
        <w:ind w:firstLine="555"/>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（3）化粪池污泥</w:t>
      </w:r>
    </w:p>
    <w:p w14:paraId="1B70B3E0">
      <w:pPr>
        <w:spacing w:line="360" w:lineRule="auto"/>
        <w:ind w:firstLine="555"/>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按照SS削减量来计算，则化粪池污泥产生量为0.087t/a。</w:t>
      </w:r>
    </w:p>
    <w:p w14:paraId="08113A23">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3、危险废物</w:t>
      </w:r>
    </w:p>
    <w:p w14:paraId="0A537083">
      <w:pPr>
        <w:spacing w:line="360" w:lineRule="auto"/>
        <w:ind w:firstLine="476" w:firstLineChars="200"/>
        <w:rPr>
          <w:b/>
          <w:color w:val="000000" w:themeColor="text1"/>
          <w:spacing w:val="-1"/>
          <w:kern w:val="0"/>
          <w:sz w:val="24"/>
          <w:szCs w:val="22"/>
          <w14:textFill>
            <w14:solidFill>
              <w14:schemeClr w14:val="tx1"/>
            </w14:solidFill>
          </w14:textFill>
        </w:rPr>
      </w:pPr>
      <w:r>
        <w:rPr>
          <w:rFonts w:hint="eastAsia"/>
          <w:b/>
          <w:color w:val="000000" w:themeColor="text1"/>
          <w:spacing w:val="-1"/>
          <w:kern w:val="0"/>
          <w:sz w:val="24"/>
          <w:szCs w:val="22"/>
          <w14:textFill>
            <w14:solidFill>
              <w14:schemeClr w14:val="tx1"/>
            </w14:solidFill>
          </w14:textFill>
        </w:rPr>
        <w:t>①</w:t>
      </w:r>
      <w:r>
        <w:rPr>
          <w:b/>
          <w:color w:val="000000" w:themeColor="text1"/>
          <w:spacing w:val="-1"/>
          <w:kern w:val="0"/>
          <w:sz w:val="24"/>
          <w:szCs w:val="22"/>
          <w14:textFill>
            <w14:solidFill>
              <w14:schemeClr w14:val="tx1"/>
            </w14:solidFill>
          </w14:textFill>
        </w:rPr>
        <w:t>废过滤棉、弃活性炭</w:t>
      </w:r>
    </w:p>
    <w:p w14:paraId="36A97D1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本项目热熔挤出工艺废气经过滤棉和活性炭吸附处理，为保证吸附效率，需定期更换过滤棉和活性炭，其废过滤棉和废活性炭产生量如下：</w:t>
      </w:r>
    </w:p>
    <w:p w14:paraId="75E863E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过滤棉吸附容量为0.4kg/kg-过滤棉，过滤棉吸附颗粒物0.25t/a，核算废过滤棉产生量约0.1t/a；活性炭吸附容量为0.25kg/kg-活性炭，活性炭吸附非甲烷总烃量1.75t/a，核算废活性炭产生量0.44t/a。</w:t>
      </w:r>
    </w:p>
    <w:p w14:paraId="3E0B382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1~2月更换一次，更换下来的废过滤棉和废活性炭，暂存于危废收集间，交由有资质的单位进行处置。</w:t>
      </w:r>
    </w:p>
    <w:p w14:paraId="06E1512A">
      <w:pPr>
        <w:spacing w:line="360" w:lineRule="auto"/>
        <w:ind w:firstLine="480" w:firstLineChars="200"/>
        <w:rPr>
          <w:b/>
          <w:color w:val="FF0000"/>
          <w:kern w:val="0"/>
          <w:sz w:val="24"/>
        </w:rPr>
      </w:pPr>
      <w:r>
        <w:rPr>
          <w:rFonts w:hint="eastAsia"/>
          <w:b/>
          <w:color w:val="FF0000"/>
          <w:kern w:val="0"/>
          <w:sz w:val="24"/>
        </w:rPr>
        <w:t>②废过滤网</w:t>
      </w:r>
    </w:p>
    <w:p w14:paraId="3FB39C74">
      <w:pPr>
        <w:spacing w:line="360" w:lineRule="auto"/>
        <w:ind w:firstLine="480" w:firstLineChars="200"/>
        <w:rPr>
          <w:color w:val="000000" w:themeColor="text1"/>
          <w:sz w:val="24"/>
          <w14:textFill>
            <w14:solidFill>
              <w14:schemeClr w14:val="tx1"/>
            </w14:solidFill>
          </w14:textFill>
        </w:rPr>
      </w:pPr>
      <w:r>
        <w:rPr>
          <w:rFonts w:hint="eastAsia"/>
          <w:color w:val="FF0000"/>
          <w:kern w:val="0"/>
          <w:sz w:val="24"/>
        </w:rPr>
        <w:t>热熔挤出工序所使用的滤网随着使用时间的延长，网眼会逐渐变大，直至不能使用。塑料挤出机废过滤网产生量0.</w:t>
      </w:r>
      <w:r>
        <w:rPr>
          <w:color w:val="FF0000"/>
          <w:kern w:val="0"/>
          <w:sz w:val="24"/>
        </w:rPr>
        <w:t>4</w:t>
      </w:r>
      <w:r>
        <w:rPr>
          <w:rFonts w:hint="eastAsia"/>
          <w:color w:val="FF0000"/>
          <w:kern w:val="0"/>
          <w:sz w:val="24"/>
        </w:rPr>
        <w:t>t/a，</w:t>
      </w:r>
      <w:r>
        <w:rPr>
          <w:color w:val="000000" w:themeColor="text1"/>
          <w:sz w:val="24"/>
          <w14:textFill>
            <w14:solidFill>
              <w14:schemeClr w14:val="tx1"/>
            </w14:solidFill>
          </w14:textFill>
        </w:rPr>
        <w:t>2~3月更换一次，暂存于危废收集间，交由有资质的单位进行处置。</w:t>
      </w:r>
    </w:p>
    <w:p w14:paraId="50DE289D">
      <w:pPr>
        <w:spacing w:line="360" w:lineRule="auto"/>
        <w:ind w:firstLine="480" w:firstLineChars="200"/>
        <w:rPr>
          <w:color w:val="000000" w:themeColor="text1"/>
          <w:sz w:val="24"/>
          <w14:textFill>
            <w14:solidFill>
              <w14:schemeClr w14:val="tx1"/>
            </w14:solidFill>
          </w14:textFill>
        </w:rPr>
      </w:pPr>
    </w:p>
    <w:p w14:paraId="4FD2F868">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4、固废小结</w:t>
      </w:r>
    </w:p>
    <w:p w14:paraId="5CC394E0">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表3.5-3  建设项目固体废物产生及处置情况</w:t>
      </w:r>
    </w:p>
    <w:tbl>
      <w:tblPr>
        <w:tblStyle w:val="42"/>
        <w:tblW w:w="5187" w:type="pct"/>
        <w:tblInd w:w="-318"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9"/>
        <w:gridCol w:w="2603"/>
        <w:gridCol w:w="1277"/>
        <w:gridCol w:w="2688"/>
        <w:gridCol w:w="1614"/>
      </w:tblGrid>
      <w:tr w14:paraId="3888977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Align w:val="center"/>
          </w:tcPr>
          <w:p w14:paraId="379CEBE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1472" w:type="pct"/>
            <w:vAlign w:val="center"/>
          </w:tcPr>
          <w:p w14:paraId="7F13BD5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固废名称</w:t>
            </w:r>
          </w:p>
        </w:tc>
        <w:tc>
          <w:tcPr>
            <w:tcW w:w="722" w:type="pct"/>
            <w:vAlign w:val="center"/>
          </w:tcPr>
          <w:p w14:paraId="5D7CB9D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520" w:type="pct"/>
            <w:vAlign w:val="center"/>
          </w:tcPr>
          <w:p w14:paraId="3102FB5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治理措施</w:t>
            </w:r>
          </w:p>
        </w:tc>
        <w:tc>
          <w:tcPr>
            <w:tcW w:w="913" w:type="pct"/>
            <w:vAlign w:val="center"/>
          </w:tcPr>
          <w:p w14:paraId="5713F38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备注</w:t>
            </w:r>
          </w:p>
        </w:tc>
      </w:tr>
      <w:tr w14:paraId="6EEBBC6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9" w:hRule="atLeast"/>
        </w:trPr>
        <w:tc>
          <w:tcPr>
            <w:tcW w:w="373" w:type="pct"/>
            <w:vMerge w:val="restart"/>
            <w:vAlign w:val="center"/>
          </w:tcPr>
          <w:p w14:paraId="2249BD1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一般固废</w:t>
            </w:r>
          </w:p>
        </w:tc>
        <w:tc>
          <w:tcPr>
            <w:tcW w:w="1472" w:type="pct"/>
            <w:vAlign w:val="center"/>
          </w:tcPr>
          <w:p w14:paraId="69C346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拆包、人工分选杂物</w:t>
            </w:r>
          </w:p>
        </w:tc>
        <w:tc>
          <w:tcPr>
            <w:tcW w:w="722" w:type="pct"/>
            <w:vAlign w:val="center"/>
          </w:tcPr>
          <w:p w14:paraId="477F7A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520" w:type="pct"/>
            <w:vMerge w:val="restart"/>
            <w:vAlign w:val="center"/>
          </w:tcPr>
          <w:p w14:paraId="34BA59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收集后外卖</w:t>
            </w:r>
          </w:p>
        </w:tc>
        <w:tc>
          <w:tcPr>
            <w:tcW w:w="913" w:type="pct"/>
            <w:vAlign w:val="center"/>
          </w:tcPr>
          <w:p w14:paraId="41F107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670219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9" w:hRule="atLeast"/>
        </w:trPr>
        <w:tc>
          <w:tcPr>
            <w:tcW w:w="373" w:type="pct"/>
            <w:vMerge w:val="continue"/>
            <w:vAlign w:val="center"/>
          </w:tcPr>
          <w:p w14:paraId="2B386AFC">
            <w:pPr>
              <w:jc w:val="center"/>
              <w:rPr>
                <w:b/>
                <w:color w:val="000000" w:themeColor="text1"/>
                <w:szCs w:val="21"/>
                <w14:textFill>
                  <w14:solidFill>
                    <w14:schemeClr w14:val="tx1"/>
                  </w14:solidFill>
                </w14:textFill>
              </w:rPr>
            </w:pPr>
          </w:p>
        </w:tc>
        <w:tc>
          <w:tcPr>
            <w:tcW w:w="1472" w:type="pct"/>
            <w:vAlign w:val="center"/>
          </w:tcPr>
          <w:p w14:paraId="78673C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剥离废标签纸</w:t>
            </w:r>
          </w:p>
        </w:tc>
        <w:tc>
          <w:tcPr>
            <w:tcW w:w="722" w:type="pct"/>
            <w:vAlign w:val="center"/>
          </w:tcPr>
          <w:p w14:paraId="2229E6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w:t>
            </w:r>
          </w:p>
        </w:tc>
        <w:tc>
          <w:tcPr>
            <w:tcW w:w="1520" w:type="pct"/>
            <w:vMerge w:val="continue"/>
            <w:vAlign w:val="center"/>
          </w:tcPr>
          <w:p w14:paraId="1BF5F823">
            <w:pPr>
              <w:jc w:val="center"/>
              <w:rPr>
                <w:color w:val="000000" w:themeColor="text1"/>
                <w:szCs w:val="21"/>
                <w14:textFill>
                  <w14:solidFill>
                    <w14:schemeClr w14:val="tx1"/>
                  </w14:solidFill>
                </w14:textFill>
              </w:rPr>
            </w:pPr>
          </w:p>
        </w:tc>
        <w:tc>
          <w:tcPr>
            <w:tcW w:w="913" w:type="pct"/>
            <w:vAlign w:val="center"/>
          </w:tcPr>
          <w:p w14:paraId="4E9665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688BDC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continue"/>
            <w:vAlign w:val="center"/>
          </w:tcPr>
          <w:p w14:paraId="6843D2F3">
            <w:pPr>
              <w:jc w:val="center"/>
              <w:rPr>
                <w:b/>
                <w:color w:val="000000" w:themeColor="text1"/>
                <w:szCs w:val="21"/>
                <w14:textFill>
                  <w14:solidFill>
                    <w14:schemeClr w14:val="tx1"/>
                  </w14:solidFill>
                </w14:textFill>
              </w:rPr>
            </w:pPr>
          </w:p>
        </w:tc>
        <w:tc>
          <w:tcPr>
            <w:tcW w:w="1472" w:type="pct"/>
            <w:vAlign w:val="center"/>
          </w:tcPr>
          <w:p w14:paraId="3BB403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沉淀池污泥、隔油池废油</w:t>
            </w:r>
          </w:p>
        </w:tc>
        <w:tc>
          <w:tcPr>
            <w:tcW w:w="722" w:type="pct"/>
            <w:vAlign w:val="center"/>
          </w:tcPr>
          <w:p w14:paraId="164957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8.71</w:t>
            </w:r>
          </w:p>
        </w:tc>
        <w:tc>
          <w:tcPr>
            <w:tcW w:w="1520" w:type="pct"/>
            <w:vAlign w:val="center"/>
          </w:tcPr>
          <w:p w14:paraId="7A092F2C">
            <w:pPr>
              <w:jc w:val="center"/>
              <w:rPr>
                <w:color w:val="000000" w:themeColor="text1"/>
                <w:szCs w:val="21"/>
                <w14:textFill>
                  <w14:solidFill>
                    <w14:schemeClr w14:val="tx1"/>
                  </w14:solidFill>
                </w14:textFill>
              </w:rPr>
            </w:pPr>
            <w:r>
              <w:rPr>
                <w:color w:val="FF0000"/>
                <w:szCs w:val="21"/>
              </w:rPr>
              <w:t>外运至最近村庄垃圾收集点处理</w:t>
            </w:r>
          </w:p>
        </w:tc>
        <w:tc>
          <w:tcPr>
            <w:tcW w:w="913" w:type="pct"/>
            <w:vAlign w:val="center"/>
          </w:tcPr>
          <w:p w14:paraId="56E121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4897BD7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restart"/>
            <w:vAlign w:val="center"/>
          </w:tcPr>
          <w:p w14:paraId="11D4661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危险废物</w:t>
            </w:r>
          </w:p>
        </w:tc>
        <w:tc>
          <w:tcPr>
            <w:tcW w:w="1472" w:type="pct"/>
            <w:vAlign w:val="center"/>
          </w:tcPr>
          <w:p w14:paraId="6EF136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废过滤棉、废活性炭</w:t>
            </w:r>
          </w:p>
        </w:tc>
        <w:tc>
          <w:tcPr>
            <w:tcW w:w="722" w:type="pct"/>
            <w:vAlign w:val="center"/>
          </w:tcPr>
          <w:p w14:paraId="4517D1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0.54</w:t>
            </w:r>
          </w:p>
        </w:tc>
        <w:tc>
          <w:tcPr>
            <w:tcW w:w="1520" w:type="pct"/>
            <w:vMerge w:val="restart"/>
            <w:vAlign w:val="center"/>
          </w:tcPr>
          <w:p w14:paraId="1EF4A0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暂存于危废收集间5m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，交由有资质的单位进行处置</w:t>
            </w:r>
          </w:p>
        </w:tc>
        <w:tc>
          <w:tcPr>
            <w:tcW w:w="913" w:type="pct"/>
            <w:vAlign w:val="center"/>
          </w:tcPr>
          <w:p w14:paraId="59E4D07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HW06</w:t>
            </w:r>
          </w:p>
          <w:p w14:paraId="359F06E2">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900-406-06</w:t>
            </w:r>
          </w:p>
        </w:tc>
      </w:tr>
      <w:tr w14:paraId="5D3C8DD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continue"/>
            <w:vAlign w:val="center"/>
          </w:tcPr>
          <w:p w14:paraId="0067AB62">
            <w:pPr>
              <w:jc w:val="center"/>
              <w:rPr>
                <w:b/>
                <w:color w:val="000000" w:themeColor="text1"/>
                <w:szCs w:val="21"/>
                <w14:textFill>
                  <w14:solidFill>
                    <w14:schemeClr w14:val="tx1"/>
                  </w14:solidFill>
                </w14:textFill>
              </w:rPr>
            </w:pPr>
          </w:p>
        </w:tc>
        <w:tc>
          <w:tcPr>
            <w:tcW w:w="1472" w:type="pct"/>
            <w:vAlign w:val="center"/>
          </w:tcPr>
          <w:p w14:paraId="78C7A743">
            <w:pPr>
              <w:jc w:val="center"/>
              <w:rPr>
                <w:color w:val="000000" w:themeColor="text1"/>
                <w:szCs w:val="21"/>
                <w14:textFill>
                  <w14:solidFill>
                    <w14:schemeClr w14:val="tx1"/>
                  </w14:solidFill>
                </w14:textFill>
              </w:rPr>
            </w:pPr>
            <w:r>
              <w:rPr>
                <w:rFonts w:hint="eastAsia"/>
                <w:color w:val="FF0000"/>
                <w:szCs w:val="21"/>
              </w:rPr>
              <w:t>废过滤网</w:t>
            </w:r>
          </w:p>
        </w:tc>
        <w:tc>
          <w:tcPr>
            <w:tcW w:w="722" w:type="pct"/>
            <w:vAlign w:val="center"/>
          </w:tcPr>
          <w:p w14:paraId="569ABE3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1520" w:type="pct"/>
            <w:vMerge w:val="continue"/>
            <w:vAlign w:val="center"/>
          </w:tcPr>
          <w:p w14:paraId="153A3B20">
            <w:pPr>
              <w:jc w:val="center"/>
              <w:rPr>
                <w:color w:val="000000" w:themeColor="text1"/>
                <w:szCs w:val="21"/>
                <w14:textFill>
                  <w14:solidFill>
                    <w14:schemeClr w14:val="tx1"/>
                  </w14:solidFill>
                </w14:textFill>
              </w:rPr>
            </w:pPr>
          </w:p>
        </w:tc>
        <w:tc>
          <w:tcPr>
            <w:tcW w:w="913" w:type="pct"/>
            <w:vAlign w:val="center"/>
          </w:tcPr>
          <w:p w14:paraId="377006C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HW06</w:t>
            </w:r>
          </w:p>
          <w:p w14:paraId="4A9176D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900-406-06</w:t>
            </w:r>
          </w:p>
        </w:tc>
      </w:tr>
      <w:tr w14:paraId="5305DDF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restart"/>
            <w:vAlign w:val="center"/>
          </w:tcPr>
          <w:p w14:paraId="63C9FF6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生活固废</w:t>
            </w:r>
          </w:p>
        </w:tc>
        <w:tc>
          <w:tcPr>
            <w:tcW w:w="1472" w:type="pct"/>
            <w:vAlign w:val="center"/>
          </w:tcPr>
          <w:p w14:paraId="60D6FB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722" w:type="pct"/>
            <w:vAlign w:val="center"/>
          </w:tcPr>
          <w:p w14:paraId="733A78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w:t>
            </w:r>
          </w:p>
        </w:tc>
        <w:tc>
          <w:tcPr>
            <w:tcW w:w="1520" w:type="pct"/>
            <w:vMerge w:val="restart"/>
            <w:vAlign w:val="center"/>
          </w:tcPr>
          <w:p w14:paraId="25F71506">
            <w:pPr>
              <w:jc w:val="center"/>
              <w:rPr>
                <w:color w:val="000000" w:themeColor="text1"/>
                <w:szCs w:val="21"/>
                <w14:textFill>
                  <w14:solidFill>
                    <w14:schemeClr w14:val="tx1"/>
                  </w14:solidFill>
                </w14:textFill>
              </w:rPr>
            </w:pPr>
            <w:r>
              <w:rPr>
                <w:color w:val="FF0000"/>
                <w:szCs w:val="21"/>
              </w:rPr>
              <w:t>外运至最近村庄垃圾收集点处理</w:t>
            </w:r>
          </w:p>
        </w:tc>
        <w:tc>
          <w:tcPr>
            <w:tcW w:w="913" w:type="pct"/>
            <w:vAlign w:val="center"/>
          </w:tcPr>
          <w:p w14:paraId="57926037">
            <w:pPr>
              <w:jc w:val="center"/>
              <w:rPr>
                <w:iCs/>
                <w:color w:val="000000" w:themeColor="text1"/>
                <w:szCs w:val="21"/>
                <w14:textFill>
                  <w14:solidFill>
                    <w14:schemeClr w14:val="tx1"/>
                  </w14:solidFill>
                </w14:textFill>
              </w:rPr>
            </w:pPr>
            <w:r>
              <w:rPr>
                <w:iCs/>
                <w:color w:val="000000" w:themeColor="text1"/>
                <w:szCs w:val="21"/>
                <w14:textFill>
                  <w14:solidFill>
                    <w14:schemeClr w14:val="tx1"/>
                  </w14:solidFill>
                </w14:textFill>
              </w:rPr>
              <w:t>/</w:t>
            </w:r>
          </w:p>
        </w:tc>
      </w:tr>
      <w:tr w14:paraId="7EE6FB4D">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continue"/>
            <w:vAlign w:val="center"/>
          </w:tcPr>
          <w:p w14:paraId="33D58249">
            <w:pPr>
              <w:jc w:val="center"/>
              <w:rPr>
                <w:b/>
                <w:color w:val="000000" w:themeColor="text1"/>
                <w:szCs w:val="21"/>
                <w14:textFill>
                  <w14:solidFill>
                    <w14:schemeClr w14:val="tx1"/>
                  </w14:solidFill>
                </w14:textFill>
              </w:rPr>
            </w:pPr>
          </w:p>
        </w:tc>
        <w:tc>
          <w:tcPr>
            <w:tcW w:w="1472" w:type="pct"/>
            <w:vAlign w:val="center"/>
          </w:tcPr>
          <w:p w14:paraId="409FED0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食堂泔水</w:t>
            </w:r>
          </w:p>
        </w:tc>
        <w:tc>
          <w:tcPr>
            <w:tcW w:w="722" w:type="pct"/>
            <w:vAlign w:val="center"/>
          </w:tcPr>
          <w:p w14:paraId="0D8A7F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1520" w:type="pct"/>
            <w:vMerge w:val="continue"/>
            <w:tcBorders>
              <w:bottom w:val="single" w:color="auto" w:sz="4" w:space="0"/>
            </w:tcBorders>
            <w:vAlign w:val="center"/>
          </w:tcPr>
          <w:p w14:paraId="58CF14E4">
            <w:pPr>
              <w:jc w:val="center"/>
              <w:rPr>
                <w:color w:val="000000" w:themeColor="text1"/>
                <w:szCs w:val="21"/>
                <w14:textFill>
                  <w14:solidFill>
                    <w14:schemeClr w14:val="tx1"/>
                  </w14:solidFill>
                </w14:textFill>
              </w:rPr>
            </w:pPr>
          </w:p>
        </w:tc>
        <w:tc>
          <w:tcPr>
            <w:tcW w:w="913" w:type="pct"/>
            <w:vAlign w:val="center"/>
          </w:tcPr>
          <w:p w14:paraId="55F7311E">
            <w:pPr>
              <w:jc w:val="center"/>
              <w:rPr>
                <w:iCs/>
                <w:color w:val="000000" w:themeColor="text1"/>
                <w:szCs w:val="21"/>
                <w14:textFill>
                  <w14:solidFill>
                    <w14:schemeClr w14:val="tx1"/>
                  </w14:solidFill>
                </w14:textFill>
              </w:rPr>
            </w:pPr>
          </w:p>
        </w:tc>
      </w:tr>
      <w:tr w14:paraId="79F8F1D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continue"/>
            <w:vAlign w:val="center"/>
          </w:tcPr>
          <w:p w14:paraId="3352FAAE">
            <w:pPr>
              <w:jc w:val="center"/>
              <w:rPr>
                <w:b/>
                <w:color w:val="000000" w:themeColor="text1"/>
                <w:szCs w:val="21"/>
                <w14:textFill>
                  <w14:solidFill>
                    <w14:schemeClr w14:val="tx1"/>
                  </w14:solidFill>
                </w14:textFill>
              </w:rPr>
            </w:pPr>
          </w:p>
        </w:tc>
        <w:tc>
          <w:tcPr>
            <w:tcW w:w="1472" w:type="pct"/>
            <w:vAlign w:val="center"/>
          </w:tcPr>
          <w:p w14:paraId="3D4A80F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化粪池污泥</w:t>
            </w:r>
          </w:p>
        </w:tc>
        <w:tc>
          <w:tcPr>
            <w:tcW w:w="722" w:type="pct"/>
            <w:vAlign w:val="center"/>
          </w:tcPr>
          <w:p w14:paraId="7E9C7F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0.087</w:t>
            </w:r>
          </w:p>
        </w:tc>
        <w:tc>
          <w:tcPr>
            <w:tcW w:w="1520" w:type="pct"/>
            <w:tcBorders>
              <w:top w:val="single" w:color="auto" w:sz="4" w:space="0"/>
            </w:tcBorders>
            <w:vAlign w:val="center"/>
          </w:tcPr>
          <w:p w14:paraId="16C9638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作为农作物施肥</w:t>
            </w:r>
          </w:p>
        </w:tc>
        <w:tc>
          <w:tcPr>
            <w:tcW w:w="913" w:type="pct"/>
            <w:vAlign w:val="center"/>
          </w:tcPr>
          <w:p w14:paraId="06BF89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78F0BB01">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3.5.4 噪声</w:t>
      </w:r>
    </w:p>
    <w:p w14:paraId="79468F40">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项目运营期噪声主要来自机械设备运行时产生的噪声，噪声源强见下表。</w:t>
      </w:r>
    </w:p>
    <w:p w14:paraId="3D9EC6AE">
      <w:pPr>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表3.5-</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 xml:space="preserve">    运营期噪声源强</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73"/>
        <w:gridCol w:w="1987"/>
        <w:gridCol w:w="1133"/>
        <w:gridCol w:w="2125"/>
        <w:gridCol w:w="2604"/>
      </w:tblGrid>
      <w:tr w14:paraId="611A561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Align w:val="center"/>
          </w:tcPr>
          <w:p w14:paraId="5670A81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车间</w:t>
            </w:r>
          </w:p>
        </w:tc>
        <w:tc>
          <w:tcPr>
            <w:tcW w:w="1166" w:type="pct"/>
            <w:vAlign w:val="center"/>
          </w:tcPr>
          <w:p w14:paraId="1D0922A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设备名称</w:t>
            </w:r>
          </w:p>
        </w:tc>
        <w:tc>
          <w:tcPr>
            <w:tcW w:w="665" w:type="pct"/>
            <w:vAlign w:val="center"/>
          </w:tcPr>
          <w:p w14:paraId="307BB2B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数量（台）</w:t>
            </w:r>
          </w:p>
        </w:tc>
        <w:tc>
          <w:tcPr>
            <w:tcW w:w="1247" w:type="pct"/>
            <w:vAlign w:val="center"/>
          </w:tcPr>
          <w:p w14:paraId="3CF6C5D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噪声源强 dB(A)</w:t>
            </w:r>
          </w:p>
        </w:tc>
        <w:tc>
          <w:tcPr>
            <w:tcW w:w="1527" w:type="pct"/>
            <w:vAlign w:val="center"/>
          </w:tcPr>
          <w:p w14:paraId="11F690D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治理措施</w:t>
            </w:r>
          </w:p>
        </w:tc>
      </w:tr>
      <w:tr w14:paraId="62F8C83D">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restart"/>
            <w:vAlign w:val="center"/>
          </w:tcPr>
          <w:p w14:paraId="202ACB3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生产区</w:t>
            </w:r>
          </w:p>
        </w:tc>
        <w:tc>
          <w:tcPr>
            <w:tcW w:w="1166" w:type="pct"/>
            <w:vAlign w:val="center"/>
          </w:tcPr>
          <w:p w14:paraId="011464F5">
            <w:pPr>
              <w:widowControl/>
              <w:jc w:val="center"/>
              <w:rPr>
                <w:color w:val="000000" w:themeColor="text1"/>
                <w14:textFill>
                  <w14:solidFill>
                    <w14:schemeClr w14:val="tx1"/>
                  </w14:solidFill>
                </w14:textFill>
              </w:rPr>
            </w:pPr>
            <w:r>
              <w:rPr>
                <w:color w:val="000000" w:themeColor="text1"/>
                <w:kern w:val="0"/>
                <w14:textFill>
                  <w14:solidFill>
                    <w14:schemeClr w14:val="tx1"/>
                  </w14:solidFill>
                </w14:textFill>
              </w:rPr>
              <w:t>破碎清洗一体机</w:t>
            </w:r>
          </w:p>
        </w:tc>
        <w:tc>
          <w:tcPr>
            <w:tcW w:w="665" w:type="pct"/>
            <w:vAlign w:val="center"/>
          </w:tcPr>
          <w:p w14:paraId="347D405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247" w:type="pct"/>
            <w:vAlign w:val="center"/>
          </w:tcPr>
          <w:p w14:paraId="47E8752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85~90</w:t>
            </w:r>
          </w:p>
        </w:tc>
        <w:tc>
          <w:tcPr>
            <w:tcW w:w="1527" w:type="pct"/>
            <w:vMerge w:val="restart"/>
            <w:vAlign w:val="center"/>
          </w:tcPr>
          <w:p w14:paraId="2C24224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通过设备合理布设，并采取隔音、吸声、减震、加强生产管理等降噪措施</w:t>
            </w:r>
          </w:p>
        </w:tc>
      </w:tr>
      <w:tr w14:paraId="278B247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01B48601">
            <w:pPr>
              <w:widowControl/>
              <w:jc w:val="center"/>
              <w:rPr>
                <w:color w:val="000000" w:themeColor="text1"/>
                <w:kern w:val="0"/>
                <w:szCs w:val="21"/>
                <w14:textFill>
                  <w14:solidFill>
                    <w14:schemeClr w14:val="tx1"/>
                  </w14:solidFill>
                </w14:textFill>
              </w:rPr>
            </w:pPr>
          </w:p>
        </w:tc>
        <w:tc>
          <w:tcPr>
            <w:tcW w:w="1166" w:type="pct"/>
            <w:vAlign w:val="center"/>
          </w:tcPr>
          <w:p w14:paraId="3510A390">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甩干机</w:t>
            </w:r>
          </w:p>
        </w:tc>
        <w:tc>
          <w:tcPr>
            <w:tcW w:w="665" w:type="pct"/>
            <w:vAlign w:val="center"/>
          </w:tcPr>
          <w:p w14:paraId="0B93AA2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247" w:type="pct"/>
            <w:vAlign w:val="center"/>
          </w:tcPr>
          <w:p w14:paraId="57F7B35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70~75</w:t>
            </w:r>
          </w:p>
        </w:tc>
        <w:tc>
          <w:tcPr>
            <w:tcW w:w="1527" w:type="pct"/>
            <w:vMerge w:val="continue"/>
            <w:vAlign w:val="center"/>
          </w:tcPr>
          <w:p w14:paraId="56DFC80B">
            <w:pPr>
              <w:widowControl/>
              <w:jc w:val="center"/>
              <w:rPr>
                <w:color w:val="000000" w:themeColor="text1"/>
                <w:kern w:val="0"/>
                <w:szCs w:val="21"/>
                <w14:textFill>
                  <w14:solidFill>
                    <w14:schemeClr w14:val="tx1"/>
                  </w14:solidFill>
                </w14:textFill>
              </w:rPr>
            </w:pPr>
          </w:p>
        </w:tc>
      </w:tr>
      <w:tr w14:paraId="0DE3C19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29CBCDFC">
            <w:pPr>
              <w:widowControl/>
              <w:jc w:val="center"/>
              <w:rPr>
                <w:color w:val="000000" w:themeColor="text1"/>
                <w:kern w:val="0"/>
                <w:szCs w:val="21"/>
                <w14:textFill>
                  <w14:solidFill>
                    <w14:schemeClr w14:val="tx1"/>
                  </w14:solidFill>
                </w14:textFill>
              </w:rPr>
            </w:pPr>
          </w:p>
        </w:tc>
        <w:tc>
          <w:tcPr>
            <w:tcW w:w="1166" w:type="pct"/>
            <w:vAlign w:val="center"/>
          </w:tcPr>
          <w:p w14:paraId="670368C2">
            <w:pPr>
              <w:widowControl/>
              <w:jc w:val="center"/>
              <w:rPr>
                <w:color w:val="000000" w:themeColor="text1"/>
                <w14:textFill>
                  <w14:solidFill>
                    <w14:schemeClr w14:val="tx1"/>
                  </w14:solidFill>
                </w14:textFill>
              </w:rPr>
            </w:pPr>
            <w:r>
              <w:rPr>
                <w:color w:val="000000" w:themeColor="text1"/>
                <w:kern w:val="0"/>
                <w14:textFill>
                  <w14:solidFill>
                    <w14:schemeClr w14:val="tx1"/>
                  </w14:solidFill>
                </w14:textFill>
              </w:rPr>
              <w:t>塑料挤出机</w:t>
            </w:r>
          </w:p>
        </w:tc>
        <w:tc>
          <w:tcPr>
            <w:tcW w:w="665" w:type="pct"/>
            <w:vAlign w:val="center"/>
          </w:tcPr>
          <w:p w14:paraId="27B1A54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247" w:type="pct"/>
            <w:vAlign w:val="center"/>
          </w:tcPr>
          <w:p w14:paraId="0E2E5EA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w:t>
            </w:r>
          </w:p>
        </w:tc>
        <w:tc>
          <w:tcPr>
            <w:tcW w:w="1527" w:type="pct"/>
            <w:vMerge w:val="continue"/>
            <w:vAlign w:val="center"/>
          </w:tcPr>
          <w:p w14:paraId="26BE34BC">
            <w:pPr>
              <w:widowControl/>
              <w:jc w:val="center"/>
              <w:rPr>
                <w:color w:val="000000" w:themeColor="text1"/>
                <w:kern w:val="0"/>
                <w:szCs w:val="21"/>
                <w14:textFill>
                  <w14:solidFill>
                    <w14:schemeClr w14:val="tx1"/>
                  </w14:solidFill>
                </w14:textFill>
              </w:rPr>
            </w:pPr>
          </w:p>
        </w:tc>
      </w:tr>
      <w:tr w14:paraId="12EF3B6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6DC288D3">
            <w:pPr>
              <w:widowControl/>
              <w:jc w:val="center"/>
              <w:rPr>
                <w:color w:val="000000" w:themeColor="text1"/>
                <w:kern w:val="0"/>
                <w:szCs w:val="21"/>
                <w14:textFill>
                  <w14:solidFill>
                    <w14:schemeClr w14:val="tx1"/>
                  </w14:solidFill>
                </w14:textFill>
              </w:rPr>
            </w:pPr>
          </w:p>
        </w:tc>
        <w:tc>
          <w:tcPr>
            <w:tcW w:w="1166" w:type="pct"/>
            <w:vAlign w:val="center"/>
          </w:tcPr>
          <w:p w14:paraId="15AB2751">
            <w:pPr>
              <w:widowControl/>
              <w:jc w:val="center"/>
              <w:rPr>
                <w:color w:val="000000" w:themeColor="text1"/>
                <w14:textFill>
                  <w14:solidFill>
                    <w14:schemeClr w14:val="tx1"/>
                  </w14:solidFill>
                </w14:textFill>
              </w:rPr>
            </w:pPr>
            <w:r>
              <w:rPr>
                <w:color w:val="000000" w:themeColor="text1"/>
                <w:kern w:val="0"/>
                <w14:textFill>
                  <w14:solidFill>
                    <w14:schemeClr w14:val="tx1"/>
                  </w14:solidFill>
                </w14:textFill>
              </w:rPr>
              <w:t>切粒机</w:t>
            </w:r>
          </w:p>
        </w:tc>
        <w:tc>
          <w:tcPr>
            <w:tcW w:w="665" w:type="pct"/>
            <w:vAlign w:val="center"/>
          </w:tcPr>
          <w:p w14:paraId="4D80794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247" w:type="pct"/>
            <w:vAlign w:val="center"/>
          </w:tcPr>
          <w:p w14:paraId="4BF7169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1527" w:type="pct"/>
            <w:vMerge w:val="continue"/>
            <w:vAlign w:val="center"/>
          </w:tcPr>
          <w:p w14:paraId="47C2A584">
            <w:pPr>
              <w:widowControl/>
              <w:jc w:val="center"/>
              <w:rPr>
                <w:color w:val="000000" w:themeColor="text1"/>
                <w:kern w:val="0"/>
                <w:szCs w:val="21"/>
                <w14:textFill>
                  <w14:solidFill>
                    <w14:schemeClr w14:val="tx1"/>
                  </w14:solidFill>
                </w14:textFill>
              </w:rPr>
            </w:pPr>
          </w:p>
        </w:tc>
      </w:tr>
      <w:tr w14:paraId="01E9162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04385268">
            <w:pPr>
              <w:widowControl/>
              <w:jc w:val="center"/>
              <w:rPr>
                <w:color w:val="000000" w:themeColor="text1"/>
                <w:kern w:val="0"/>
                <w:szCs w:val="21"/>
                <w14:textFill>
                  <w14:solidFill>
                    <w14:schemeClr w14:val="tx1"/>
                  </w14:solidFill>
                </w14:textFill>
              </w:rPr>
            </w:pPr>
          </w:p>
        </w:tc>
        <w:tc>
          <w:tcPr>
            <w:tcW w:w="1166" w:type="pct"/>
            <w:vAlign w:val="center"/>
          </w:tcPr>
          <w:p w14:paraId="42565EF1">
            <w:pPr>
              <w:widowControl/>
              <w:jc w:val="center"/>
              <w:rPr>
                <w:color w:val="000000" w:themeColor="text1"/>
                <w14:textFill>
                  <w14:solidFill>
                    <w14:schemeClr w14:val="tx1"/>
                  </w14:solidFill>
                </w14:textFill>
              </w:rPr>
            </w:pPr>
            <w:r>
              <w:rPr>
                <w:color w:val="000000" w:themeColor="text1"/>
                <w:kern w:val="0"/>
                <w14:textFill>
                  <w14:solidFill>
                    <w14:schemeClr w14:val="tx1"/>
                  </w14:solidFill>
                </w14:textFill>
              </w:rPr>
              <w:t>循环水泵</w:t>
            </w:r>
          </w:p>
        </w:tc>
        <w:tc>
          <w:tcPr>
            <w:tcW w:w="665" w:type="pct"/>
            <w:vAlign w:val="center"/>
          </w:tcPr>
          <w:p w14:paraId="5A210B2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247" w:type="pct"/>
            <w:vAlign w:val="center"/>
          </w:tcPr>
          <w:p w14:paraId="5CAC4EA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75~80</w:t>
            </w:r>
          </w:p>
        </w:tc>
        <w:tc>
          <w:tcPr>
            <w:tcW w:w="1527" w:type="pct"/>
            <w:vMerge w:val="continue"/>
            <w:vAlign w:val="center"/>
          </w:tcPr>
          <w:p w14:paraId="08F4ABF5">
            <w:pPr>
              <w:widowControl/>
              <w:jc w:val="center"/>
              <w:rPr>
                <w:color w:val="000000" w:themeColor="text1"/>
                <w:kern w:val="0"/>
                <w:szCs w:val="21"/>
                <w14:textFill>
                  <w14:solidFill>
                    <w14:schemeClr w14:val="tx1"/>
                  </w14:solidFill>
                </w14:textFill>
              </w:rPr>
            </w:pPr>
          </w:p>
        </w:tc>
      </w:tr>
    </w:tbl>
    <w:p w14:paraId="04B2448A">
      <w:pPr>
        <w:pStyle w:val="4"/>
        <w:rPr>
          <w:rFonts w:ascii="Times New Roman" w:hAnsi="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AndChars" w:linePitch="312" w:charSpace="0"/>
        </w:sectPr>
      </w:pPr>
      <w:bookmarkStart w:id="319" w:name="_Toc348861043"/>
      <w:bookmarkStart w:id="320" w:name="_Toc345326868"/>
    </w:p>
    <w:p w14:paraId="1C05703A">
      <w:pPr>
        <w:pStyle w:val="4"/>
        <w:rPr>
          <w:rFonts w:ascii="Times New Roman" w:hAnsi="Times New Roman"/>
          <w:color w:val="000000" w:themeColor="text1"/>
          <w14:textFill>
            <w14:solidFill>
              <w14:schemeClr w14:val="tx1"/>
            </w14:solidFill>
          </w14:textFill>
        </w:rPr>
      </w:pPr>
      <w:bookmarkStart w:id="321" w:name="_Toc2773752"/>
      <w:r>
        <w:rPr>
          <w:rFonts w:ascii="Times New Roman" w:hAnsi="Times New Roman"/>
          <w:color w:val="000000" w:themeColor="text1"/>
          <w14:textFill>
            <w14:solidFill>
              <w14:schemeClr w14:val="tx1"/>
            </w14:solidFill>
          </w14:textFill>
        </w:rPr>
        <w:t>3.6本项目“三废”排污核算汇总</w:t>
      </w:r>
      <w:bookmarkEnd w:id="319"/>
      <w:bookmarkEnd w:id="320"/>
      <w:bookmarkEnd w:id="321"/>
    </w:p>
    <w:p w14:paraId="2EB4CC12">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本项目“三废”排污核算汇总见表3.6-1。</w:t>
      </w:r>
    </w:p>
    <w:p w14:paraId="026B8D7C">
      <w:pPr>
        <w:spacing w:line="360" w:lineRule="auto"/>
        <w:jc w:val="center"/>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表3.6-1  “三废”排污汇总表</w:t>
      </w:r>
    </w:p>
    <w:tbl>
      <w:tblPr>
        <w:tblStyle w:val="42"/>
        <w:tblW w:w="5000" w:type="pct"/>
        <w:jc w:val="center"/>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32"/>
        <w:gridCol w:w="426"/>
        <w:gridCol w:w="708"/>
        <w:gridCol w:w="2271"/>
        <w:gridCol w:w="1559"/>
        <w:gridCol w:w="1276"/>
        <w:gridCol w:w="1415"/>
        <w:gridCol w:w="1276"/>
        <w:gridCol w:w="995"/>
        <w:gridCol w:w="3716"/>
      </w:tblGrid>
      <w:tr w14:paraId="25107AB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jc w:val="center"/>
        </w:trPr>
        <w:tc>
          <w:tcPr>
            <w:tcW w:w="188" w:type="pct"/>
            <w:vMerge w:val="restart"/>
            <w:vAlign w:val="center"/>
          </w:tcPr>
          <w:p w14:paraId="396AEA39">
            <w:pPr>
              <w:jc w:val="center"/>
              <w:rPr>
                <w:rFonts w:eastAsiaTheme="minorEastAsia"/>
                <w:b/>
                <w:color w:val="000000" w:themeColor="text1"/>
                <w:szCs w:val="21"/>
                <w14:textFill>
                  <w14:solidFill>
                    <w14:schemeClr w14:val="tx1"/>
                  </w14:solidFill>
                </w14:textFill>
              </w:rPr>
            </w:pPr>
            <w:bookmarkStart w:id="322" w:name="_Hlt532281917"/>
            <w:bookmarkEnd w:id="322"/>
            <w:bookmarkStart w:id="323" w:name="_Hlt7338707"/>
            <w:bookmarkEnd w:id="323"/>
            <w:bookmarkStart w:id="324" w:name="_Hlt40195139"/>
            <w:bookmarkEnd w:id="324"/>
            <w:bookmarkStart w:id="325" w:name="_Hlt39717372"/>
            <w:bookmarkEnd w:id="325"/>
            <w:r>
              <w:rPr>
                <w:rFonts w:eastAsiaTheme="minorEastAsia"/>
                <w:b/>
                <w:color w:val="000000" w:themeColor="text1"/>
                <w:szCs w:val="21"/>
                <w14:textFill>
                  <w14:solidFill>
                    <w14:schemeClr w14:val="tx1"/>
                  </w14:solidFill>
                </w14:textFill>
              </w:rPr>
              <w:t>分类</w:t>
            </w:r>
          </w:p>
        </w:tc>
        <w:tc>
          <w:tcPr>
            <w:tcW w:w="400" w:type="pct"/>
            <w:gridSpan w:val="2"/>
            <w:vMerge w:val="restart"/>
            <w:vAlign w:val="center"/>
          </w:tcPr>
          <w:p w14:paraId="39A21EB9">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排放源</w:t>
            </w:r>
          </w:p>
        </w:tc>
        <w:tc>
          <w:tcPr>
            <w:tcW w:w="801" w:type="pct"/>
            <w:vMerge w:val="restart"/>
            <w:vAlign w:val="center"/>
          </w:tcPr>
          <w:p w14:paraId="278EC935">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污染物</w:t>
            </w:r>
          </w:p>
        </w:tc>
        <w:tc>
          <w:tcPr>
            <w:tcW w:w="2300" w:type="pct"/>
            <w:gridSpan w:val="5"/>
            <w:vAlign w:val="center"/>
          </w:tcPr>
          <w:p w14:paraId="7E38C797">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本工程</w:t>
            </w:r>
          </w:p>
        </w:tc>
        <w:tc>
          <w:tcPr>
            <w:tcW w:w="1312" w:type="pct"/>
            <w:vMerge w:val="restart"/>
            <w:vAlign w:val="center"/>
          </w:tcPr>
          <w:p w14:paraId="76FD073E">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备注</w:t>
            </w:r>
          </w:p>
        </w:tc>
      </w:tr>
      <w:tr w14:paraId="6B40DF2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jc w:val="center"/>
        </w:trPr>
        <w:tc>
          <w:tcPr>
            <w:tcW w:w="188" w:type="pct"/>
            <w:vMerge w:val="continue"/>
            <w:vAlign w:val="center"/>
          </w:tcPr>
          <w:p w14:paraId="63DF1545">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2ABB06AD">
            <w:pPr>
              <w:jc w:val="center"/>
              <w:rPr>
                <w:rFonts w:eastAsiaTheme="minorEastAsia"/>
                <w:b/>
                <w:color w:val="000000" w:themeColor="text1"/>
                <w:szCs w:val="21"/>
                <w14:textFill>
                  <w14:solidFill>
                    <w14:schemeClr w14:val="tx1"/>
                  </w14:solidFill>
                </w14:textFill>
              </w:rPr>
            </w:pPr>
          </w:p>
        </w:tc>
        <w:tc>
          <w:tcPr>
            <w:tcW w:w="801" w:type="pct"/>
            <w:vMerge w:val="continue"/>
            <w:vAlign w:val="center"/>
          </w:tcPr>
          <w:p w14:paraId="452A243D">
            <w:pPr>
              <w:jc w:val="center"/>
              <w:rPr>
                <w:rFonts w:eastAsiaTheme="minorEastAsia"/>
                <w:b/>
                <w:color w:val="000000" w:themeColor="text1"/>
                <w:szCs w:val="21"/>
                <w14:textFill>
                  <w14:solidFill>
                    <w14:schemeClr w14:val="tx1"/>
                  </w14:solidFill>
                </w14:textFill>
              </w:rPr>
            </w:pPr>
          </w:p>
        </w:tc>
        <w:tc>
          <w:tcPr>
            <w:tcW w:w="550" w:type="pct"/>
            <w:vAlign w:val="center"/>
          </w:tcPr>
          <w:p w14:paraId="67B2FC2B">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产生浓度（mg/L）</w:t>
            </w:r>
          </w:p>
        </w:tc>
        <w:tc>
          <w:tcPr>
            <w:tcW w:w="450" w:type="pct"/>
            <w:vAlign w:val="center"/>
          </w:tcPr>
          <w:p w14:paraId="3BBCA11F">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产生量</w:t>
            </w:r>
          </w:p>
          <w:p w14:paraId="5BBE9C89">
            <w:pPr>
              <w:jc w:val="center"/>
              <w:rPr>
                <w:rFonts w:eastAsiaTheme="minorEastAsia"/>
                <w:b/>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（t/a）</w:t>
            </w:r>
          </w:p>
        </w:tc>
        <w:tc>
          <w:tcPr>
            <w:tcW w:w="499" w:type="pct"/>
            <w:vAlign w:val="center"/>
          </w:tcPr>
          <w:p w14:paraId="07D8D8C3">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自身削减量</w:t>
            </w:r>
            <w:r>
              <w:rPr>
                <w:rFonts w:eastAsiaTheme="minorEastAsia"/>
                <w:color w:val="000000" w:themeColor="text1"/>
                <w:szCs w:val="21"/>
                <w14:textFill>
                  <w14:solidFill>
                    <w14:schemeClr w14:val="tx1"/>
                  </w14:solidFill>
                </w14:textFill>
              </w:rPr>
              <w:t>（t/a）</w:t>
            </w:r>
          </w:p>
        </w:tc>
        <w:tc>
          <w:tcPr>
            <w:tcW w:w="450" w:type="pct"/>
            <w:vAlign w:val="center"/>
          </w:tcPr>
          <w:p w14:paraId="54287115">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排放浓度（mg/L）</w:t>
            </w:r>
          </w:p>
        </w:tc>
        <w:tc>
          <w:tcPr>
            <w:tcW w:w="351" w:type="pct"/>
            <w:vAlign w:val="center"/>
          </w:tcPr>
          <w:p w14:paraId="176E2CEC">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排放量</w:t>
            </w:r>
            <w:r>
              <w:rPr>
                <w:rFonts w:eastAsiaTheme="minorEastAsia"/>
                <w:color w:val="000000" w:themeColor="text1"/>
                <w:szCs w:val="21"/>
                <w14:textFill>
                  <w14:solidFill>
                    <w14:schemeClr w14:val="tx1"/>
                  </w14:solidFill>
                </w14:textFill>
              </w:rPr>
              <w:t>（t/a）</w:t>
            </w:r>
          </w:p>
        </w:tc>
        <w:tc>
          <w:tcPr>
            <w:tcW w:w="1312" w:type="pct"/>
            <w:vMerge w:val="continue"/>
            <w:vAlign w:val="center"/>
          </w:tcPr>
          <w:p w14:paraId="72743FD1">
            <w:pPr>
              <w:jc w:val="center"/>
              <w:rPr>
                <w:rFonts w:eastAsiaTheme="minorEastAsia"/>
                <w:b/>
                <w:color w:val="000000" w:themeColor="text1"/>
                <w:szCs w:val="21"/>
                <w14:textFill>
                  <w14:solidFill>
                    <w14:schemeClr w14:val="tx1"/>
                  </w14:solidFill>
                </w14:textFill>
              </w:rPr>
            </w:pPr>
          </w:p>
        </w:tc>
      </w:tr>
      <w:tr w14:paraId="5DAF5AE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614F2ABE">
            <w:pPr>
              <w:jc w:val="center"/>
              <w:rPr>
                <w:rFonts w:eastAsiaTheme="minorEastAsia"/>
                <w:b/>
                <w:color w:val="000000" w:themeColor="text1"/>
                <w:szCs w:val="21"/>
                <w14:textFill>
                  <w14:solidFill>
                    <w14:schemeClr w14:val="tx1"/>
                  </w14:solidFill>
                </w14:textFill>
              </w:rPr>
            </w:pPr>
          </w:p>
        </w:tc>
        <w:tc>
          <w:tcPr>
            <w:tcW w:w="150" w:type="pct"/>
            <w:vMerge w:val="restart"/>
            <w:vAlign w:val="center"/>
          </w:tcPr>
          <w:p w14:paraId="56A6EE4A">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有组织</w:t>
            </w:r>
          </w:p>
        </w:tc>
        <w:tc>
          <w:tcPr>
            <w:tcW w:w="250" w:type="pct"/>
            <w:vMerge w:val="restart"/>
            <w:vAlign w:val="center"/>
          </w:tcPr>
          <w:p w14:paraId="19417891">
            <w:pPr>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造粒工序</w:t>
            </w:r>
          </w:p>
        </w:tc>
        <w:tc>
          <w:tcPr>
            <w:tcW w:w="801" w:type="pct"/>
            <w:vAlign w:val="center"/>
          </w:tcPr>
          <w:p w14:paraId="098A0E1D">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550" w:type="pct"/>
            <w:vAlign w:val="center"/>
          </w:tcPr>
          <w:p w14:paraId="259C27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50" w:type="pct"/>
            <w:vAlign w:val="center"/>
          </w:tcPr>
          <w:p w14:paraId="66E024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0.25</w:t>
            </w:r>
          </w:p>
        </w:tc>
        <w:tc>
          <w:tcPr>
            <w:tcW w:w="499" w:type="pct"/>
            <w:vAlign w:val="center"/>
          </w:tcPr>
          <w:p w14:paraId="672669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0.239 </w:t>
            </w:r>
          </w:p>
        </w:tc>
        <w:tc>
          <w:tcPr>
            <w:tcW w:w="450" w:type="pct"/>
            <w:vAlign w:val="center"/>
          </w:tcPr>
          <w:p w14:paraId="52DC166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0.78 </w:t>
            </w:r>
          </w:p>
        </w:tc>
        <w:tc>
          <w:tcPr>
            <w:tcW w:w="351" w:type="pct"/>
            <w:vAlign w:val="center"/>
          </w:tcPr>
          <w:p w14:paraId="792945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0.0113 </w:t>
            </w:r>
          </w:p>
        </w:tc>
        <w:tc>
          <w:tcPr>
            <w:tcW w:w="1312" w:type="pct"/>
            <w:vMerge w:val="restart"/>
            <w:vAlign w:val="center"/>
          </w:tcPr>
          <w:p w14:paraId="38C2474E">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设置1套集气罩对废气进行收集，然后经“过滤棉+活性炭净化装置”处理后（收集效率90%，非甲烷总烃处理效率85%，颗粒物处理效率95%），通过15m高排气筒排放。</w:t>
            </w:r>
          </w:p>
        </w:tc>
      </w:tr>
      <w:tr w14:paraId="461D583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0D4C96C5">
            <w:pPr>
              <w:jc w:val="center"/>
              <w:rPr>
                <w:rFonts w:eastAsiaTheme="minorEastAsia"/>
                <w:b/>
                <w:color w:val="000000" w:themeColor="text1"/>
                <w:szCs w:val="21"/>
                <w14:textFill>
                  <w14:solidFill>
                    <w14:schemeClr w14:val="tx1"/>
                  </w14:solidFill>
                </w14:textFill>
              </w:rPr>
            </w:pPr>
          </w:p>
        </w:tc>
        <w:tc>
          <w:tcPr>
            <w:tcW w:w="150" w:type="pct"/>
            <w:vMerge w:val="continue"/>
            <w:vAlign w:val="center"/>
          </w:tcPr>
          <w:p w14:paraId="148F8DAD">
            <w:pPr>
              <w:widowControl/>
              <w:jc w:val="center"/>
              <w:rPr>
                <w:rFonts w:eastAsiaTheme="minorEastAsia"/>
                <w:color w:val="000000" w:themeColor="text1"/>
                <w:kern w:val="0"/>
                <w:szCs w:val="21"/>
                <w14:textFill>
                  <w14:solidFill>
                    <w14:schemeClr w14:val="tx1"/>
                  </w14:solidFill>
                </w14:textFill>
              </w:rPr>
            </w:pPr>
          </w:p>
        </w:tc>
        <w:tc>
          <w:tcPr>
            <w:tcW w:w="250" w:type="pct"/>
            <w:vMerge w:val="continue"/>
            <w:vAlign w:val="center"/>
          </w:tcPr>
          <w:p w14:paraId="7BD2BE8E">
            <w:pPr>
              <w:jc w:val="center"/>
              <w:rPr>
                <w:rFonts w:eastAsiaTheme="minorEastAsia"/>
                <w:color w:val="000000" w:themeColor="text1"/>
                <w:kern w:val="0"/>
                <w:szCs w:val="21"/>
                <w14:textFill>
                  <w14:solidFill>
                    <w14:schemeClr w14:val="tx1"/>
                  </w14:solidFill>
                </w14:textFill>
              </w:rPr>
            </w:pPr>
          </w:p>
        </w:tc>
        <w:tc>
          <w:tcPr>
            <w:tcW w:w="801" w:type="pct"/>
            <w:vAlign w:val="center"/>
          </w:tcPr>
          <w:p w14:paraId="2748C5D2">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非甲烷总烃</w:t>
            </w:r>
          </w:p>
        </w:tc>
        <w:tc>
          <w:tcPr>
            <w:tcW w:w="550" w:type="pct"/>
            <w:vAlign w:val="center"/>
          </w:tcPr>
          <w:p w14:paraId="7E04AA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50" w:type="pct"/>
            <w:vAlign w:val="center"/>
          </w:tcPr>
          <w:p w14:paraId="37CB15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1.75</w:t>
            </w:r>
          </w:p>
        </w:tc>
        <w:tc>
          <w:tcPr>
            <w:tcW w:w="499" w:type="pct"/>
            <w:vAlign w:val="center"/>
          </w:tcPr>
          <w:p w14:paraId="1C8FB73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1.514 </w:t>
            </w:r>
          </w:p>
        </w:tc>
        <w:tc>
          <w:tcPr>
            <w:tcW w:w="450" w:type="pct"/>
            <w:vAlign w:val="center"/>
          </w:tcPr>
          <w:p w14:paraId="747D04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16.41 </w:t>
            </w:r>
          </w:p>
        </w:tc>
        <w:tc>
          <w:tcPr>
            <w:tcW w:w="351" w:type="pct"/>
            <w:vAlign w:val="center"/>
          </w:tcPr>
          <w:p w14:paraId="4ABEC2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0.2363 </w:t>
            </w:r>
          </w:p>
        </w:tc>
        <w:tc>
          <w:tcPr>
            <w:tcW w:w="1312" w:type="pct"/>
            <w:vMerge w:val="continue"/>
            <w:vAlign w:val="center"/>
          </w:tcPr>
          <w:p w14:paraId="35B86AD7">
            <w:pPr>
              <w:jc w:val="center"/>
              <w:rPr>
                <w:color w:val="000000" w:themeColor="text1"/>
                <w:szCs w:val="21"/>
                <w14:textFill>
                  <w14:solidFill>
                    <w14:schemeClr w14:val="tx1"/>
                  </w14:solidFill>
                </w14:textFill>
              </w:rPr>
            </w:pPr>
          </w:p>
        </w:tc>
      </w:tr>
      <w:tr w14:paraId="0A72CF6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07F3115D">
            <w:pPr>
              <w:jc w:val="center"/>
              <w:rPr>
                <w:rFonts w:eastAsiaTheme="minorEastAsia"/>
                <w:b/>
                <w:color w:val="000000" w:themeColor="text1"/>
                <w:szCs w:val="21"/>
                <w14:textFill>
                  <w14:solidFill>
                    <w14:schemeClr w14:val="tx1"/>
                  </w14:solidFill>
                </w14:textFill>
              </w:rPr>
            </w:pPr>
          </w:p>
        </w:tc>
        <w:tc>
          <w:tcPr>
            <w:tcW w:w="150" w:type="pct"/>
            <w:vMerge w:val="continue"/>
            <w:vAlign w:val="center"/>
          </w:tcPr>
          <w:p w14:paraId="279247F1">
            <w:pPr>
              <w:widowControl/>
              <w:jc w:val="center"/>
              <w:rPr>
                <w:rFonts w:eastAsiaTheme="minorEastAsia"/>
                <w:color w:val="000000" w:themeColor="text1"/>
                <w:kern w:val="0"/>
                <w:szCs w:val="21"/>
                <w14:textFill>
                  <w14:solidFill>
                    <w14:schemeClr w14:val="tx1"/>
                  </w14:solidFill>
                </w14:textFill>
              </w:rPr>
            </w:pPr>
          </w:p>
        </w:tc>
        <w:tc>
          <w:tcPr>
            <w:tcW w:w="250" w:type="pct"/>
            <w:vAlign w:val="center"/>
          </w:tcPr>
          <w:p w14:paraId="2C4D6226">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食堂</w:t>
            </w:r>
          </w:p>
        </w:tc>
        <w:tc>
          <w:tcPr>
            <w:tcW w:w="801" w:type="pct"/>
            <w:vAlign w:val="center"/>
          </w:tcPr>
          <w:p w14:paraId="715833D1">
            <w:pPr>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szCs w:val="21"/>
                <w14:textFill>
                  <w14:solidFill>
                    <w14:schemeClr w14:val="tx1"/>
                  </w14:solidFill>
                </w14:textFill>
              </w:rPr>
              <w:t>油烟</w:t>
            </w:r>
          </w:p>
        </w:tc>
        <w:tc>
          <w:tcPr>
            <w:tcW w:w="550" w:type="pct"/>
            <w:vAlign w:val="center"/>
          </w:tcPr>
          <w:p w14:paraId="3A0186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50" w:type="pct"/>
            <w:vAlign w:val="center"/>
          </w:tcPr>
          <w:p w14:paraId="121338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0.0033</w:t>
            </w:r>
          </w:p>
        </w:tc>
        <w:tc>
          <w:tcPr>
            <w:tcW w:w="499" w:type="pct"/>
            <w:vAlign w:val="center"/>
          </w:tcPr>
          <w:p w14:paraId="256AEA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0.002 </w:t>
            </w:r>
          </w:p>
        </w:tc>
        <w:tc>
          <w:tcPr>
            <w:tcW w:w="450" w:type="pct"/>
            <w:vAlign w:val="center"/>
          </w:tcPr>
          <w:p w14:paraId="6B72BD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0.55</w:t>
            </w:r>
          </w:p>
        </w:tc>
        <w:tc>
          <w:tcPr>
            <w:tcW w:w="351" w:type="pct"/>
            <w:vAlign w:val="center"/>
          </w:tcPr>
          <w:p w14:paraId="0D1066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0.0013 </w:t>
            </w:r>
          </w:p>
        </w:tc>
        <w:tc>
          <w:tcPr>
            <w:tcW w:w="1312" w:type="pct"/>
            <w:vAlign w:val="center"/>
          </w:tcPr>
          <w:p w14:paraId="51168764">
            <w:pPr>
              <w:jc w:val="center"/>
              <w:rPr>
                <w:rFonts w:eastAsiaTheme="minorEastAsia"/>
                <w:color w:val="000000" w:themeColor="text1"/>
                <w:szCs w:val="21"/>
                <w14:textFill>
                  <w14:solidFill>
                    <w14:schemeClr w14:val="tx1"/>
                  </w14:solidFill>
                </w14:textFill>
              </w:rPr>
            </w:pPr>
            <w:r>
              <w:rPr>
                <w:color w:val="000000" w:themeColor="text1"/>
                <w:szCs w:val="21"/>
                <w14:textFill>
                  <w14:solidFill>
                    <w14:schemeClr w14:val="tx1"/>
                  </w14:solidFill>
                </w14:textFill>
              </w:rPr>
              <w:t>净化效率60%</w:t>
            </w:r>
          </w:p>
        </w:tc>
      </w:tr>
      <w:tr w14:paraId="65017AD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408AEF9B">
            <w:pPr>
              <w:jc w:val="center"/>
              <w:rPr>
                <w:rFonts w:eastAsiaTheme="minorEastAsia"/>
                <w:b/>
                <w:color w:val="000000" w:themeColor="text1"/>
                <w:szCs w:val="21"/>
                <w14:textFill>
                  <w14:solidFill>
                    <w14:schemeClr w14:val="tx1"/>
                  </w14:solidFill>
                </w14:textFill>
              </w:rPr>
            </w:pPr>
          </w:p>
        </w:tc>
        <w:tc>
          <w:tcPr>
            <w:tcW w:w="150" w:type="pct"/>
            <w:vMerge w:val="restart"/>
            <w:vAlign w:val="center"/>
          </w:tcPr>
          <w:p w14:paraId="509358DA">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无组织</w:t>
            </w:r>
          </w:p>
        </w:tc>
        <w:tc>
          <w:tcPr>
            <w:tcW w:w="250" w:type="pct"/>
            <w:vMerge w:val="restart"/>
            <w:vAlign w:val="center"/>
          </w:tcPr>
          <w:p w14:paraId="2659270C">
            <w:pPr>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造粒工序</w:t>
            </w:r>
          </w:p>
        </w:tc>
        <w:tc>
          <w:tcPr>
            <w:tcW w:w="801" w:type="pct"/>
            <w:vAlign w:val="center"/>
          </w:tcPr>
          <w:p w14:paraId="4FEC83CA">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550" w:type="pct"/>
            <w:vAlign w:val="center"/>
          </w:tcPr>
          <w:p w14:paraId="57A1EE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50" w:type="pct"/>
            <w:vAlign w:val="center"/>
          </w:tcPr>
          <w:p w14:paraId="0BFB62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0.025</w:t>
            </w:r>
          </w:p>
        </w:tc>
        <w:tc>
          <w:tcPr>
            <w:tcW w:w="499" w:type="pct"/>
            <w:vAlign w:val="center"/>
          </w:tcPr>
          <w:p w14:paraId="6B17DB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50" w:type="pct"/>
            <w:vAlign w:val="center"/>
          </w:tcPr>
          <w:p w14:paraId="66907E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1" w:type="pct"/>
            <w:vAlign w:val="center"/>
          </w:tcPr>
          <w:p w14:paraId="76F6F4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0.025</w:t>
            </w:r>
          </w:p>
        </w:tc>
        <w:tc>
          <w:tcPr>
            <w:tcW w:w="1312" w:type="pct"/>
            <w:vAlign w:val="center"/>
          </w:tcPr>
          <w:p w14:paraId="0CD9AE60">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r>
      <w:tr w14:paraId="4226DED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25AE9813">
            <w:pPr>
              <w:jc w:val="center"/>
              <w:rPr>
                <w:rFonts w:eastAsiaTheme="minorEastAsia"/>
                <w:b/>
                <w:color w:val="000000" w:themeColor="text1"/>
                <w:szCs w:val="21"/>
                <w14:textFill>
                  <w14:solidFill>
                    <w14:schemeClr w14:val="tx1"/>
                  </w14:solidFill>
                </w14:textFill>
              </w:rPr>
            </w:pPr>
          </w:p>
        </w:tc>
        <w:tc>
          <w:tcPr>
            <w:tcW w:w="150" w:type="pct"/>
            <w:vMerge w:val="continue"/>
            <w:vAlign w:val="center"/>
          </w:tcPr>
          <w:p w14:paraId="2E81AF45">
            <w:pPr>
              <w:widowControl/>
              <w:jc w:val="center"/>
              <w:rPr>
                <w:rFonts w:eastAsiaTheme="minorEastAsia"/>
                <w:color w:val="000000" w:themeColor="text1"/>
                <w:kern w:val="0"/>
                <w:szCs w:val="21"/>
                <w14:textFill>
                  <w14:solidFill>
                    <w14:schemeClr w14:val="tx1"/>
                  </w14:solidFill>
                </w14:textFill>
              </w:rPr>
            </w:pPr>
          </w:p>
        </w:tc>
        <w:tc>
          <w:tcPr>
            <w:tcW w:w="250" w:type="pct"/>
            <w:vMerge w:val="continue"/>
            <w:vAlign w:val="center"/>
          </w:tcPr>
          <w:p w14:paraId="57BE5655">
            <w:pPr>
              <w:jc w:val="center"/>
              <w:rPr>
                <w:rFonts w:eastAsiaTheme="minorEastAsia"/>
                <w:color w:val="000000" w:themeColor="text1"/>
                <w:kern w:val="0"/>
                <w:szCs w:val="21"/>
                <w14:textFill>
                  <w14:solidFill>
                    <w14:schemeClr w14:val="tx1"/>
                  </w14:solidFill>
                </w14:textFill>
              </w:rPr>
            </w:pPr>
          </w:p>
        </w:tc>
        <w:tc>
          <w:tcPr>
            <w:tcW w:w="801" w:type="pct"/>
            <w:vAlign w:val="center"/>
          </w:tcPr>
          <w:p w14:paraId="18EC3E9B">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非甲烷总烃</w:t>
            </w:r>
          </w:p>
        </w:tc>
        <w:tc>
          <w:tcPr>
            <w:tcW w:w="550" w:type="pct"/>
            <w:vAlign w:val="center"/>
          </w:tcPr>
          <w:p w14:paraId="4D18A7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50" w:type="pct"/>
            <w:vAlign w:val="center"/>
          </w:tcPr>
          <w:p w14:paraId="7620B5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0.175</w:t>
            </w:r>
          </w:p>
        </w:tc>
        <w:tc>
          <w:tcPr>
            <w:tcW w:w="499" w:type="pct"/>
            <w:vAlign w:val="center"/>
          </w:tcPr>
          <w:p w14:paraId="384A6B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50" w:type="pct"/>
            <w:vAlign w:val="center"/>
          </w:tcPr>
          <w:p w14:paraId="7D9C9B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1" w:type="pct"/>
            <w:vAlign w:val="center"/>
          </w:tcPr>
          <w:p w14:paraId="2A582D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0.175</w:t>
            </w:r>
          </w:p>
        </w:tc>
        <w:tc>
          <w:tcPr>
            <w:tcW w:w="1312" w:type="pct"/>
            <w:vAlign w:val="center"/>
          </w:tcPr>
          <w:p w14:paraId="7FAD1203">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r>
      <w:tr w14:paraId="7CBF778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772A16E1">
            <w:pPr>
              <w:jc w:val="center"/>
              <w:rPr>
                <w:rFonts w:eastAsiaTheme="minorEastAsia"/>
                <w:b/>
                <w:color w:val="000000" w:themeColor="text1"/>
                <w:szCs w:val="21"/>
                <w14:textFill>
                  <w14:solidFill>
                    <w14:schemeClr w14:val="tx1"/>
                  </w14:solidFill>
                </w14:textFill>
              </w:rPr>
            </w:pPr>
          </w:p>
        </w:tc>
        <w:tc>
          <w:tcPr>
            <w:tcW w:w="150" w:type="pct"/>
            <w:vMerge w:val="continue"/>
            <w:vAlign w:val="center"/>
          </w:tcPr>
          <w:p w14:paraId="7003400D">
            <w:pPr>
              <w:widowControl/>
              <w:jc w:val="center"/>
              <w:rPr>
                <w:rFonts w:eastAsiaTheme="minorEastAsia"/>
                <w:color w:val="000000" w:themeColor="text1"/>
                <w:kern w:val="0"/>
                <w:szCs w:val="21"/>
                <w14:textFill>
                  <w14:solidFill>
                    <w14:schemeClr w14:val="tx1"/>
                  </w14:solidFill>
                </w14:textFill>
              </w:rPr>
            </w:pPr>
          </w:p>
        </w:tc>
        <w:tc>
          <w:tcPr>
            <w:tcW w:w="250" w:type="pct"/>
            <w:vMerge w:val="continue"/>
            <w:vAlign w:val="center"/>
          </w:tcPr>
          <w:p w14:paraId="0872150A">
            <w:pPr>
              <w:jc w:val="center"/>
              <w:rPr>
                <w:rFonts w:eastAsiaTheme="minorEastAsia"/>
                <w:color w:val="000000" w:themeColor="text1"/>
                <w:kern w:val="0"/>
                <w:szCs w:val="21"/>
                <w14:textFill>
                  <w14:solidFill>
                    <w14:schemeClr w14:val="tx1"/>
                  </w14:solidFill>
                </w14:textFill>
              </w:rPr>
            </w:pPr>
          </w:p>
        </w:tc>
        <w:tc>
          <w:tcPr>
            <w:tcW w:w="801" w:type="pct"/>
            <w:vAlign w:val="center"/>
          </w:tcPr>
          <w:p w14:paraId="21049A9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异味</w:t>
            </w:r>
          </w:p>
        </w:tc>
        <w:tc>
          <w:tcPr>
            <w:tcW w:w="550" w:type="pct"/>
            <w:vAlign w:val="center"/>
          </w:tcPr>
          <w:p w14:paraId="7EE2C8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50" w:type="pct"/>
            <w:vAlign w:val="center"/>
          </w:tcPr>
          <w:p w14:paraId="3EBA1A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99" w:type="pct"/>
            <w:vAlign w:val="center"/>
          </w:tcPr>
          <w:p w14:paraId="088CB3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50" w:type="pct"/>
            <w:vAlign w:val="center"/>
          </w:tcPr>
          <w:p w14:paraId="4656EC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1" w:type="pct"/>
            <w:vAlign w:val="center"/>
          </w:tcPr>
          <w:p w14:paraId="49B63A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12" w:type="pct"/>
            <w:vAlign w:val="center"/>
          </w:tcPr>
          <w:p w14:paraId="27C2C94D">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r>
      <w:tr w14:paraId="5A6BD12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02" w:hRule="atLeast"/>
          <w:jc w:val="center"/>
        </w:trPr>
        <w:tc>
          <w:tcPr>
            <w:tcW w:w="188" w:type="pct"/>
            <w:vMerge w:val="restart"/>
            <w:vAlign w:val="center"/>
          </w:tcPr>
          <w:p w14:paraId="6B375AB2">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水污染物</w:t>
            </w:r>
          </w:p>
        </w:tc>
        <w:tc>
          <w:tcPr>
            <w:tcW w:w="400" w:type="pct"/>
            <w:gridSpan w:val="2"/>
            <w:vMerge w:val="restart"/>
            <w:vAlign w:val="center"/>
          </w:tcPr>
          <w:p w14:paraId="135E627A">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废水</w:t>
            </w:r>
          </w:p>
          <w:p w14:paraId="3BE73F59">
            <w:pPr>
              <w:widowControl/>
              <w:jc w:val="center"/>
              <w:rPr>
                <w:rFonts w:eastAsiaTheme="minorEastAsia"/>
                <w:color w:val="000000" w:themeColor="text1"/>
                <w:kern w:val="0"/>
                <w:szCs w:val="21"/>
                <w14:textFill>
                  <w14:solidFill>
                    <w14:schemeClr w14:val="tx1"/>
                  </w14:solidFill>
                </w14:textFill>
              </w:rPr>
            </w:pPr>
          </w:p>
        </w:tc>
        <w:tc>
          <w:tcPr>
            <w:tcW w:w="801" w:type="pct"/>
            <w:vAlign w:val="center"/>
          </w:tcPr>
          <w:p w14:paraId="1764FD46">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污水量</w:t>
            </w:r>
          </w:p>
          <w:p w14:paraId="5B012E71">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szCs w:val="21"/>
                <w14:textFill>
                  <w14:solidFill>
                    <w14:schemeClr w14:val="tx1"/>
                  </w14:solidFill>
                </w14:textFill>
              </w:rPr>
              <w:t>万m</w:t>
            </w:r>
            <w:r>
              <w:rPr>
                <w:rFonts w:eastAsiaTheme="minorEastAsia"/>
                <w:color w:val="000000" w:themeColor="text1"/>
                <w:szCs w:val="21"/>
                <w:vertAlign w:val="superscript"/>
                <w14:textFill>
                  <w14:solidFill>
                    <w14:schemeClr w14:val="tx1"/>
                  </w14:solidFill>
                </w14:textFill>
              </w:rPr>
              <w:t>3</w:t>
            </w:r>
            <w:r>
              <w:rPr>
                <w:rFonts w:eastAsiaTheme="minorEastAsia"/>
                <w:color w:val="000000" w:themeColor="text1"/>
                <w:szCs w:val="21"/>
                <w14:textFill>
                  <w14:solidFill>
                    <w14:schemeClr w14:val="tx1"/>
                  </w14:solidFill>
                </w14:textFill>
              </w:rPr>
              <w:t>/a</w:t>
            </w:r>
          </w:p>
        </w:tc>
        <w:tc>
          <w:tcPr>
            <w:tcW w:w="1000" w:type="pct"/>
            <w:gridSpan w:val="2"/>
            <w:vAlign w:val="center"/>
          </w:tcPr>
          <w:p w14:paraId="6121A6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1.15</w:t>
            </w:r>
          </w:p>
        </w:tc>
        <w:tc>
          <w:tcPr>
            <w:tcW w:w="499" w:type="pct"/>
            <w:vAlign w:val="center"/>
          </w:tcPr>
          <w:p w14:paraId="7F26D2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1.15</w:t>
            </w:r>
          </w:p>
        </w:tc>
        <w:tc>
          <w:tcPr>
            <w:tcW w:w="801" w:type="pct"/>
            <w:gridSpan w:val="2"/>
            <w:vAlign w:val="center"/>
          </w:tcPr>
          <w:p w14:paraId="0E1726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p>
        </w:tc>
        <w:tc>
          <w:tcPr>
            <w:tcW w:w="1312" w:type="pct"/>
            <w:vMerge w:val="restart"/>
            <w:vAlign w:val="center"/>
          </w:tcPr>
          <w:p w14:paraId="380D2DC7">
            <w:pPr>
              <w:pStyle w:val="122"/>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雨污分流；生产废水</w:t>
            </w:r>
            <w:r>
              <w:rPr>
                <w:rFonts w:eastAsiaTheme="minorEastAsia"/>
                <w:color w:val="000000" w:themeColor="text1"/>
                <w:szCs w:val="21"/>
                <w14:textFill>
                  <w14:solidFill>
                    <w14:schemeClr w14:val="tx1"/>
                  </w14:solidFill>
                </w14:textFill>
              </w:rPr>
              <w:t>：清洗破碎废水经自建隔油池+沉淀池处理后，回用于生产；造粒冷却水循环使用，不外排。</w:t>
            </w:r>
          </w:p>
          <w:p w14:paraId="3133A1C8">
            <w:pPr>
              <w:pStyle w:val="122"/>
              <w:spacing w:before="0" w:after="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生活废水</w:t>
            </w:r>
            <w:r>
              <w:rPr>
                <w:rFonts w:eastAsiaTheme="minorEastAsia"/>
                <w:color w:val="000000" w:themeColor="text1"/>
                <w:szCs w:val="21"/>
                <w14:textFill>
                  <w14:solidFill>
                    <w14:schemeClr w14:val="tx1"/>
                  </w14:solidFill>
                </w14:textFill>
              </w:rPr>
              <w:t>：经化粪池、隔油池处理后，定期委托周边村民清掏，用于农作物施肥。</w:t>
            </w:r>
          </w:p>
        </w:tc>
      </w:tr>
      <w:tr w14:paraId="0ABF411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202A23B6">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2843067C">
            <w:pPr>
              <w:widowControl/>
              <w:jc w:val="center"/>
              <w:rPr>
                <w:rFonts w:eastAsiaTheme="minorEastAsia"/>
                <w:color w:val="000000" w:themeColor="text1"/>
                <w:kern w:val="0"/>
                <w:szCs w:val="21"/>
                <w14:textFill>
                  <w14:solidFill>
                    <w14:schemeClr w14:val="tx1"/>
                  </w14:solidFill>
                </w14:textFill>
              </w:rPr>
            </w:pPr>
          </w:p>
        </w:tc>
        <w:tc>
          <w:tcPr>
            <w:tcW w:w="801" w:type="pct"/>
            <w:vAlign w:val="center"/>
          </w:tcPr>
          <w:p w14:paraId="63EC1844">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CODcr</w:t>
            </w:r>
          </w:p>
        </w:tc>
        <w:tc>
          <w:tcPr>
            <w:tcW w:w="550" w:type="pct"/>
            <w:vAlign w:val="center"/>
          </w:tcPr>
          <w:p w14:paraId="3AB6E8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1170.73 </w:t>
            </w:r>
          </w:p>
        </w:tc>
        <w:tc>
          <w:tcPr>
            <w:tcW w:w="450" w:type="pct"/>
            <w:vAlign w:val="center"/>
          </w:tcPr>
          <w:p w14:paraId="2DB86E9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13.461 </w:t>
            </w:r>
          </w:p>
        </w:tc>
        <w:tc>
          <w:tcPr>
            <w:tcW w:w="499" w:type="pct"/>
            <w:vAlign w:val="center"/>
          </w:tcPr>
          <w:p w14:paraId="3C63DFB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13.461 </w:t>
            </w:r>
          </w:p>
        </w:tc>
        <w:tc>
          <w:tcPr>
            <w:tcW w:w="450" w:type="pct"/>
            <w:vAlign w:val="center"/>
          </w:tcPr>
          <w:p w14:paraId="17A64A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1" w:type="pct"/>
            <w:vAlign w:val="center"/>
          </w:tcPr>
          <w:p w14:paraId="1F5079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12" w:type="pct"/>
            <w:vMerge w:val="continue"/>
            <w:vAlign w:val="center"/>
          </w:tcPr>
          <w:p w14:paraId="0E9B3FBF">
            <w:pPr>
              <w:jc w:val="center"/>
              <w:rPr>
                <w:rFonts w:eastAsiaTheme="minorEastAsia"/>
                <w:color w:val="000000" w:themeColor="text1"/>
                <w:szCs w:val="21"/>
                <w14:textFill>
                  <w14:solidFill>
                    <w14:schemeClr w14:val="tx1"/>
                  </w14:solidFill>
                </w14:textFill>
              </w:rPr>
            </w:pPr>
          </w:p>
        </w:tc>
      </w:tr>
      <w:tr w14:paraId="0B0B0B6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7387ADFA">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047B961B">
            <w:pPr>
              <w:widowControl/>
              <w:jc w:val="center"/>
              <w:rPr>
                <w:rFonts w:eastAsiaTheme="minorEastAsia"/>
                <w:color w:val="000000" w:themeColor="text1"/>
                <w:kern w:val="0"/>
                <w:szCs w:val="21"/>
                <w14:textFill>
                  <w14:solidFill>
                    <w14:schemeClr w14:val="tx1"/>
                  </w14:solidFill>
                </w14:textFill>
              </w:rPr>
            </w:pPr>
          </w:p>
        </w:tc>
        <w:tc>
          <w:tcPr>
            <w:tcW w:w="801" w:type="pct"/>
            <w:vAlign w:val="center"/>
          </w:tcPr>
          <w:p w14:paraId="5A349AEF">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BOD</w:t>
            </w:r>
            <w:r>
              <w:rPr>
                <w:rFonts w:eastAsiaTheme="minorEastAsia"/>
                <w:color w:val="000000" w:themeColor="text1"/>
                <w:szCs w:val="21"/>
                <w:vertAlign w:val="subscript"/>
                <w14:textFill>
                  <w14:solidFill>
                    <w14:schemeClr w14:val="tx1"/>
                  </w14:solidFill>
                </w14:textFill>
              </w:rPr>
              <w:t>5</w:t>
            </w:r>
          </w:p>
        </w:tc>
        <w:tc>
          <w:tcPr>
            <w:tcW w:w="550" w:type="pct"/>
            <w:vAlign w:val="center"/>
          </w:tcPr>
          <w:p w14:paraId="1C40B6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827.61 </w:t>
            </w:r>
          </w:p>
        </w:tc>
        <w:tc>
          <w:tcPr>
            <w:tcW w:w="450" w:type="pct"/>
            <w:vAlign w:val="center"/>
          </w:tcPr>
          <w:p w14:paraId="518E59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9.516 </w:t>
            </w:r>
          </w:p>
        </w:tc>
        <w:tc>
          <w:tcPr>
            <w:tcW w:w="499" w:type="pct"/>
            <w:vAlign w:val="center"/>
          </w:tcPr>
          <w:p w14:paraId="202C78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9.516 </w:t>
            </w:r>
          </w:p>
        </w:tc>
        <w:tc>
          <w:tcPr>
            <w:tcW w:w="450" w:type="pct"/>
            <w:vAlign w:val="center"/>
          </w:tcPr>
          <w:p w14:paraId="2BCC77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1" w:type="pct"/>
            <w:vAlign w:val="center"/>
          </w:tcPr>
          <w:p w14:paraId="3BCA02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12" w:type="pct"/>
            <w:vMerge w:val="continue"/>
            <w:vAlign w:val="center"/>
          </w:tcPr>
          <w:p w14:paraId="521A38B2">
            <w:pPr>
              <w:jc w:val="center"/>
              <w:rPr>
                <w:rFonts w:eastAsiaTheme="minorEastAsia"/>
                <w:color w:val="000000" w:themeColor="text1"/>
                <w:szCs w:val="21"/>
                <w14:textFill>
                  <w14:solidFill>
                    <w14:schemeClr w14:val="tx1"/>
                  </w14:solidFill>
                </w14:textFill>
              </w:rPr>
            </w:pPr>
          </w:p>
        </w:tc>
      </w:tr>
      <w:tr w14:paraId="24E6EF9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7F4D1E7C">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19157B43">
            <w:pPr>
              <w:widowControl/>
              <w:jc w:val="center"/>
              <w:rPr>
                <w:rFonts w:eastAsiaTheme="minorEastAsia"/>
                <w:color w:val="000000" w:themeColor="text1"/>
                <w:kern w:val="0"/>
                <w:szCs w:val="21"/>
                <w14:textFill>
                  <w14:solidFill>
                    <w14:schemeClr w14:val="tx1"/>
                  </w14:solidFill>
                </w14:textFill>
              </w:rPr>
            </w:pPr>
          </w:p>
        </w:tc>
        <w:tc>
          <w:tcPr>
            <w:tcW w:w="801" w:type="pct"/>
            <w:vAlign w:val="center"/>
          </w:tcPr>
          <w:p w14:paraId="4874F286">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SS</w:t>
            </w:r>
          </w:p>
        </w:tc>
        <w:tc>
          <w:tcPr>
            <w:tcW w:w="550" w:type="pct"/>
            <w:vAlign w:val="center"/>
          </w:tcPr>
          <w:p w14:paraId="66211C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780.02 </w:t>
            </w:r>
          </w:p>
        </w:tc>
        <w:tc>
          <w:tcPr>
            <w:tcW w:w="450" w:type="pct"/>
            <w:vAlign w:val="center"/>
          </w:tcPr>
          <w:p w14:paraId="5B3B76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8.969 </w:t>
            </w:r>
          </w:p>
        </w:tc>
        <w:tc>
          <w:tcPr>
            <w:tcW w:w="499" w:type="pct"/>
            <w:vAlign w:val="center"/>
          </w:tcPr>
          <w:p w14:paraId="2454E15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8.969 </w:t>
            </w:r>
          </w:p>
        </w:tc>
        <w:tc>
          <w:tcPr>
            <w:tcW w:w="450" w:type="pct"/>
            <w:vAlign w:val="center"/>
          </w:tcPr>
          <w:p w14:paraId="12E105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1" w:type="pct"/>
            <w:vAlign w:val="center"/>
          </w:tcPr>
          <w:p w14:paraId="594CD5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12" w:type="pct"/>
            <w:vMerge w:val="continue"/>
            <w:vAlign w:val="center"/>
          </w:tcPr>
          <w:p w14:paraId="2FF55219">
            <w:pPr>
              <w:jc w:val="center"/>
              <w:rPr>
                <w:rFonts w:eastAsiaTheme="minorEastAsia"/>
                <w:color w:val="000000" w:themeColor="text1"/>
                <w:szCs w:val="21"/>
                <w14:textFill>
                  <w14:solidFill>
                    <w14:schemeClr w14:val="tx1"/>
                  </w14:solidFill>
                </w14:textFill>
              </w:rPr>
            </w:pPr>
          </w:p>
        </w:tc>
      </w:tr>
      <w:tr w14:paraId="06654209">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7B96D964">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158DCD06">
            <w:pPr>
              <w:widowControl/>
              <w:jc w:val="center"/>
              <w:rPr>
                <w:rFonts w:eastAsiaTheme="minorEastAsia"/>
                <w:color w:val="000000" w:themeColor="text1"/>
                <w:kern w:val="0"/>
                <w:szCs w:val="21"/>
                <w14:textFill>
                  <w14:solidFill>
                    <w14:schemeClr w14:val="tx1"/>
                  </w14:solidFill>
                </w14:textFill>
              </w:rPr>
            </w:pPr>
          </w:p>
        </w:tc>
        <w:tc>
          <w:tcPr>
            <w:tcW w:w="801" w:type="pct"/>
            <w:vAlign w:val="center"/>
          </w:tcPr>
          <w:p w14:paraId="726D784E">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NH</w:t>
            </w:r>
            <w:r>
              <w:rPr>
                <w:rFonts w:eastAsiaTheme="minorEastAsia"/>
                <w:color w:val="000000" w:themeColor="text1"/>
                <w:szCs w:val="21"/>
                <w:vertAlign w:val="subscript"/>
                <w14:textFill>
                  <w14:solidFill>
                    <w14:schemeClr w14:val="tx1"/>
                  </w14:solidFill>
                </w14:textFill>
              </w:rPr>
              <w:t>3</w:t>
            </w:r>
            <w:r>
              <w:rPr>
                <w:rFonts w:eastAsiaTheme="minorEastAsia"/>
                <w:color w:val="000000" w:themeColor="text1"/>
                <w:szCs w:val="21"/>
                <w14:textFill>
                  <w14:solidFill>
                    <w14:schemeClr w14:val="tx1"/>
                  </w14:solidFill>
                </w14:textFill>
              </w:rPr>
              <w:t>-N</w:t>
            </w:r>
          </w:p>
        </w:tc>
        <w:tc>
          <w:tcPr>
            <w:tcW w:w="550" w:type="pct"/>
            <w:vAlign w:val="center"/>
          </w:tcPr>
          <w:p w14:paraId="1B6512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25.52 </w:t>
            </w:r>
          </w:p>
        </w:tc>
        <w:tc>
          <w:tcPr>
            <w:tcW w:w="450" w:type="pct"/>
            <w:vAlign w:val="center"/>
          </w:tcPr>
          <w:p w14:paraId="7D4EEF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0.293 </w:t>
            </w:r>
          </w:p>
        </w:tc>
        <w:tc>
          <w:tcPr>
            <w:tcW w:w="499" w:type="pct"/>
            <w:vAlign w:val="center"/>
          </w:tcPr>
          <w:p w14:paraId="50D8EA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0.293 </w:t>
            </w:r>
          </w:p>
        </w:tc>
        <w:tc>
          <w:tcPr>
            <w:tcW w:w="450" w:type="pct"/>
            <w:vAlign w:val="center"/>
          </w:tcPr>
          <w:p w14:paraId="4D1AF5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1" w:type="pct"/>
            <w:vAlign w:val="center"/>
          </w:tcPr>
          <w:p w14:paraId="48A143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12" w:type="pct"/>
            <w:vMerge w:val="continue"/>
            <w:vAlign w:val="center"/>
          </w:tcPr>
          <w:p w14:paraId="5BBD07B7">
            <w:pPr>
              <w:jc w:val="center"/>
              <w:rPr>
                <w:rFonts w:eastAsiaTheme="minorEastAsia"/>
                <w:color w:val="000000" w:themeColor="text1"/>
                <w:szCs w:val="21"/>
                <w14:textFill>
                  <w14:solidFill>
                    <w14:schemeClr w14:val="tx1"/>
                  </w14:solidFill>
                </w14:textFill>
              </w:rPr>
            </w:pPr>
          </w:p>
        </w:tc>
      </w:tr>
      <w:tr w14:paraId="0859054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1F7DE6D4">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13433DE3">
            <w:pPr>
              <w:widowControl/>
              <w:jc w:val="center"/>
              <w:rPr>
                <w:rFonts w:eastAsiaTheme="minorEastAsia"/>
                <w:color w:val="000000" w:themeColor="text1"/>
                <w:szCs w:val="21"/>
                <w14:textFill>
                  <w14:solidFill>
                    <w14:schemeClr w14:val="tx1"/>
                  </w14:solidFill>
                </w14:textFill>
              </w:rPr>
            </w:pPr>
          </w:p>
        </w:tc>
        <w:tc>
          <w:tcPr>
            <w:tcW w:w="801" w:type="pct"/>
            <w:vAlign w:val="center"/>
          </w:tcPr>
          <w:p w14:paraId="712E3FDD">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总磷</w:t>
            </w:r>
          </w:p>
        </w:tc>
        <w:tc>
          <w:tcPr>
            <w:tcW w:w="550" w:type="pct"/>
            <w:vAlign w:val="center"/>
          </w:tcPr>
          <w:p w14:paraId="4F1796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14.83 </w:t>
            </w:r>
          </w:p>
        </w:tc>
        <w:tc>
          <w:tcPr>
            <w:tcW w:w="450" w:type="pct"/>
            <w:vAlign w:val="center"/>
          </w:tcPr>
          <w:p w14:paraId="355F39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0.170 </w:t>
            </w:r>
          </w:p>
        </w:tc>
        <w:tc>
          <w:tcPr>
            <w:tcW w:w="499" w:type="pct"/>
            <w:vAlign w:val="center"/>
          </w:tcPr>
          <w:p w14:paraId="4C23265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0.170 </w:t>
            </w:r>
          </w:p>
        </w:tc>
        <w:tc>
          <w:tcPr>
            <w:tcW w:w="450" w:type="pct"/>
            <w:vAlign w:val="center"/>
          </w:tcPr>
          <w:p w14:paraId="65B3BC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1" w:type="pct"/>
            <w:vAlign w:val="center"/>
          </w:tcPr>
          <w:p w14:paraId="3C7340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12" w:type="pct"/>
            <w:vMerge w:val="continue"/>
            <w:vAlign w:val="center"/>
          </w:tcPr>
          <w:p w14:paraId="0F99B792">
            <w:pPr>
              <w:jc w:val="center"/>
              <w:rPr>
                <w:rFonts w:eastAsiaTheme="minorEastAsia"/>
                <w:color w:val="000000" w:themeColor="text1"/>
                <w:szCs w:val="21"/>
                <w14:textFill>
                  <w14:solidFill>
                    <w14:schemeClr w14:val="tx1"/>
                  </w14:solidFill>
                </w14:textFill>
              </w:rPr>
            </w:pPr>
          </w:p>
        </w:tc>
      </w:tr>
      <w:tr w14:paraId="546E0D3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5" w:hRule="atLeast"/>
          <w:jc w:val="center"/>
        </w:trPr>
        <w:tc>
          <w:tcPr>
            <w:tcW w:w="188" w:type="pct"/>
            <w:vMerge w:val="restart"/>
            <w:vAlign w:val="center"/>
          </w:tcPr>
          <w:p w14:paraId="377656B6">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固废</w:t>
            </w:r>
          </w:p>
          <w:p w14:paraId="5AAAE88E">
            <w:pPr>
              <w:jc w:val="center"/>
              <w:rPr>
                <w:rFonts w:eastAsiaTheme="minorEastAsia"/>
                <w:b/>
                <w:color w:val="000000" w:themeColor="text1"/>
                <w:szCs w:val="21"/>
                <w14:textFill>
                  <w14:solidFill>
                    <w14:schemeClr w14:val="tx1"/>
                  </w14:solidFill>
                </w14:textFill>
              </w:rPr>
            </w:pPr>
          </w:p>
        </w:tc>
        <w:tc>
          <w:tcPr>
            <w:tcW w:w="400" w:type="pct"/>
            <w:gridSpan w:val="2"/>
            <w:vMerge w:val="restart"/>
            <w:vAlign w:val="center"/>
          </w:tcPr>
          <w:p w14:paraId="7ADA16EB">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一般固废</w:t>
            </w:r>
          </w:p>
        </w:tc>
        <w:tc>
          <w:tcPr>
            <w:tcW w:w="801" w:type="pct"/>
            <w:vAlign w:val="center"/>
          </w:tcPr>
          <w:p w14:paraId="2FBF64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拆包、人工分选杂物</w:t>
            </w:r>
          </w:p>
        </w:tc>
        <w:tc>
          <w:tcPr>
            <w:tcW w:w="1000" w:type="pct"/>
            <w:gridSpan w:val="2"/>
            <w:vAlign w:val="center"/>
          </w:tcPr>
          <w:p w14:paraId="62840A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499" w:type="pct"/>
            <w:vAlign w:val="center"/>
          </w:tcPr>
          <w:p w14:paraId="599F218A">
            <w:pPr>
              <w:tabs>
                <w:tab w:val="left" w:pos="567"/>
              </w:tabs>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c>
          <w:tcPr>
            <w:tcW w:w="801" w:type="pct"/>
            <w:gridSpan w:val="2"/>
            <w:vAlign w:val="center"/>
          </w:tcPr>
          <w:p w14:paraId="2E8B35AB">
            <w:pPr>
              <w:tabs>
                <w:tab w:val="left" w:pos="567"/>
              </w:tabs>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w:t>
            </w:r>
          </w:p>
        </w:tc>
        <w:tc>
          <w:tcPr>
            <w:tcW w:w="1312" w:type="pct"/>
            <w:vMerge w:val="restart"/>
            <w:vAlign w:val="center"/>
          </w:tcPr>
          <w:p w14:paraId="2F3752EA">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统一收集，规范贮存，定期出售</w:t>
            </w:r>
          </w:p>
        </w:tc>
      </w:tr>
      <w:tr w14:paraId="5D1ED95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5" w:hRule="atLeast"/>
          <w:jc w:val="center"/>
        </w:trPr>
        <w:tc>
          <w:tcPr>
            <w:tcW w:w="188" w:type="pct"/>
            <w:vMerge w:val="continue"/>
            <w:vAlign w:val="center"/>
          </w:tcPr>
          <w:p w14:paraId="166493E7">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4BCA5D4E">
            <w:pPr>
              <w:jc w:val="center"/>
              <w:rPr>
                <w:rFonts w:eastAsiaTheme="minorEastAsia"/>
                <w:b/>
                <w:color w:val="000000" w:themeColor="text1"/>
                <w:szCs w:val="21"/>
                <w14:textFill>
                  <w14:solidFill>
                    <w14:schemeClr w14:val="tx1"/>
                  </w14:solidFill>
                </w14:textFill>
              </w:rPr>
            </w:pPr>
          </w:p>
        </w:tc>
        <w:tc>
          <w:tcPr>
            <w:tcW w:w="801" w:type="pct"/>
            <w:vAlign w:val="center"/>
          </w:tcPr>
          <w:p w14:paraId="3998724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剥离废标签纸</w:t>
            </w:r>
          </w:p>
        </w:tc>
        <w:tc>
          <w:tcPr>
            <w:tcW w:w="1000" w:type="pct"/>
            <w:gridSpan w:val="2"/>
            <w:vAlign w:val="center"/>
          </w:tcPr>
          <w:p w14:paraId="0373C8D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w:t>
            </w:r>
          </w:p>
        </w:tc>
        <w:tc>
          <w:tcPr>
            <w:tcW w:w="499" w:type="pct"/>
            <w:vAlign w:val="center"/>
          </w:tcPr>
          <w:p w14:paraId="68A3177B">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c>
          <w:tcPr>
            <w:tcW w:w="801" w:type="pct"/>
            <w:gridSpan w:val="2"/>
            <w:vAlign w:val="center"/>
          </w:tcPr>
          <w:p w14:paraId="37ADFE4F">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w:t>
            </w:r>
          </w:p>
        </w:tc>
        <w:tc>
          <w:tcPr>
            <w:tcW w:w="1312" w:type="pct"/>
            <w:vMerge w:val="continue"/>
            <w:tcBorders>
              <w:bottom w:val="single" w:color="auto" w:sz="4" w:space="0"/>
            </w:tcBorders>
            <w:vAlign w:val="center"/>
          </w:tcPr>
          <w:p w14:paraId="7CDDC4A4">
            <w:pPr>
              <w:tabs>
                <w:tab w:val="left" w:pos="567"/>
              </w:tabs>
              <w:snapToGrid w:val="0"/>
              <w:jc w:val="center"/>
              <w:rPr>
                <w:rFonts w:eastAsiaTheme="minorEastAsia"/>
                <w:color w:val="000000" w:themeColor="text1"/>
                <w:szCs w:val="21"/>
                <w14:textFill>
                  <w14:solidFill>
                    <w14:schemeClr w14:val="tx1"/>
                  </w14:solidFill>
                </w14:textFill>
              </w:rPr>
            </w:pPr>
          </w:p>
        </w:tc>
      </w:tr>
      <w:tr w14:paraId="24883FC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5" w:hRule="atLeast"/>
          <w:jc w:val="center"/>
        </w:trPr>
        <w:tc>
          <w:tcPr>
            <w:tcW w:w="188" w:type="pct"/>
            <w:vMerge w:val="continue"/>
            <w:vAlign w:val="center"/>
          </w:tcPr>
          <w:p w14:paraId="600AE2E0">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69EB7EBE">
            <w:pPr>
              <w:jc w:val="center"/>
              <w:rPr>
                <w:rFonts w:eastAsiaTheme="minorEastAsia"/>
                <w:b/>
                <w:color w:val="000000" w:themeColor="text1"/>
                <w:szCs w:val="21"/>
                <w14:textFill>
                  <w14:solidFill>
                    <w14:schemeClr w14:val="tx1"/>
                  </w14:solidFill>
                </w14:textFill>
              </w:rPr>
            </w:pPr>
          </w:p>
        </w:tc>
        <w:tc>
          <w:tcPr>
            <w:tcW w:w="801" w:type="pct"/>
            <w:vAlign w:val="center"/>
          </w:tcPr>
          <w:p w14:paraId="5E3028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沉淀池污泥、隔油池废油</w:t>
            </w:r>
          </w:p>
        </w:tc>
        <w:tc>
          <w:tcPr>
            <w:tcW w:w="1000" w:type="pct"/>
            <w:gridSpan w:val="2"/>
            <w:vAlign w:val="center"/>
          </w:tcPr>
          <w:p w14:paraId="55EF35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8.71</w:t>
            </w:r>
          </w:p>
        </w:tc>
        <w:tc>
          <w:tcPr>
            <w:tcW w:w="499" w:type="pct"/>
            <w:vAlign w:val="center"/>
          </w:tcPr>
          <w:p w14:paraId="4DF4BA1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1" w:type="pct"/>
            <w:gridSpan w:val="2"/>
            <w:vAlign w:val="center"/>
          </w:tcPr>
          <w:p w14:paraId="554C32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12" w:type="pct"/>
            <w:tcBorders>
              <w:top w:val="single" w:color="auto" w:sz="4" w:space="0"/>
            </w:tcBorders>
            <w:vAlign w:val="center"/>
          </w:tcPr>
          <w:p w14:paraId="43711B5D">
            <w:pPr>
              <w:jc w:val="center"/>
              <w:rPr>
                <w:rFonts w:eastAsiaTheme="minorEastAsia"/>
                <w:color w:val="000000" w:themeColor="text1"/>
                <w:szCs w:val="21"/>
                <w14:textFill>
                  <w14:solidFill>
                    <w14:schemeClr w14:val="tx1"/>
                  </w14:solidFill>
                </w14:textFill>
              </w:rPr>
            </w:pPr>
            <w:r>
              <w:rPr>
                <w:color w:val="000000" w:themeColor="text1"/>
                <w:szCs w:val="21"/>
                <w14:textFill>
                  <w14:solidFill>
                    <w14:schemeClr w14:val="tx1"/>
                  </w14:solidFill>
                </w14:textFill>
              </w:rPr>
              <w:t>外运至最近村庄垃圾收集点处理</w:t>
            </w:r>
          </w:p>
        </w:tc>
      </w:tr>
      <w:tr w14:paraId="0F1BF61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1C8781AF">
            <w:pPr>
              <w:jc w:val="center"/>
              <w:rPr>
                <w:rFonts w:eastAsiaTheme="minorEastAsia"/>
                <w:b/>
                <w:color w:val="000000" w:themeColor="text1"/>
                <w:szCs w:val="21"/>
                <w14:textFill>
                  <w14:solidFill>
                    <w14:schemeClr w14:val="tx1"/>
                  </w14:solidFill>
                </w14:textFill>
              </w:rPr>
            </w:pPr>
          </w:p>
        </w:tc>
        <w:tc>
          <w:tcPr>
            <w:tcW w:w="400" w:type="pct"/>
            <w:gridSpan w:val="2"/>
            <w:vAlign w:val="center"/>
          </w:tcPr>
          <w:p w14:paraId="10D810DB">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危险废物</w:t>
            </w:r>
          </w:p>
        </w:tc>
        <w:tc>
          <w:tcPr>
            <w:tcW w:w="801" w:type="pct"/>
            <w:vAlign w:val="center"/>
          </w:tcPr>
          <w:p w14:paraId="5A8C55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废过滤棉、弃活性炭</w:t>
            </w:r>
          </w:p>
        </w:tc>
        <w:tc>
          <w:tcPr>
            <w:tcW w:w="1000" w:type="pct"/>
            <w:gridSpan w:val="2"/>
            <w:vAlign w:val="center"/>
          </w:tcPr>
          <w:p w14:paraId="72D593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0.54</w:t>
            </w:r>
          </w:p>
        </w:tc>
        <w:tc>
          <w:tcPr>
            <w:tcW w:w="499" w:type="pct"/>
            <w:vAlign w:val="center"/>
          </w:tcPr>
          <w:p w14:paraId="50ACD551">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c>
          <w:tcPr>
            <w:tcW w:w="801" w:type="pct"/>
            <w:gridSpan w:val="2"/>
            <w:vAlign w:val="center"/>
          </w:tcPr>
          <w:p w14:paraId="5CE0322A">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w:t>
            </w:r>
          </w:p>
        </w:tc>
        <w:tc>
          <w:tcPr>
            <w:tcW w:w="1312" w:type="pct"/>
            <w:vAlign w:val="center"/>
          </w:tcPr>
          <w:p w14:paraId="4D474210">
            <w:pPr>
              <w:jc w:val="center"/>
              <w:rPr>
                <w:rFonts w:eastAsiaTheme="minorEastAsia"/>
                <w:color w:val="000000" w:themeColor="text1"/>
                <w:szCs w:val="21"/>
                <w14:textFill>
                  <w14:solidFill>
                    <w14:schemeClr w14:val="tx1"/>
                  </w14:solidFill>
                </w14:textFill>
              </w:rPr>
            </w:pPr>
            <w:r>
              <w:rPr>
                <w:color w:val="000000" w:themeColor="text1"/>
                <w:szCs w:val="21"/>
                <w14:textFill>
                  <w14:solidFill>
                    <w14:schemeClr w14:val="tx1"/>
                  </w14:solidFill>
                </w14:textFill>
              </w:rPr>
              <w:t>暂存于危废收集间5m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，交由有资质的单位进行处置</w:t>
            </w:r>
          </w:p>
        </w:tc>
      </w:tr>
      <w:tr w14:paraId="18A06F7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570D6583">
            <w:pPr>
              <w:jc w:val="center"/>
              <w:rPr>
                <w:rFonts w:eastAsiaTheme="minorEastAsia"/>
                <w:b/>
                <w:color w:val="000000" w:themeColor="text1"/>
                <w:szCs w:val="21"/>
                <w14:textFill>
                  <w14:solidFill>
                    <w14:schemeClr w14:val="tx1"/>
                  </w14:solidFill>
                </w14:textFill>
              </w:rPr>
            </w:pPr>
          </w:p>
        </w:tc>
        <w:tc>
          <w:tcPr>
            <w:tcW w:w="400" w:type="pct"/>
            <w:gridSpan w:val="2"/>
            <w:vMerge w:val="restart"/>
            <w:vAlign w:val="center"/>
          </w:tcPr>
          <w:p w14:paraId="1996C466">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生活固废</w:t>
            </w:r>
          </w:p>
        </w:tc>
        <w:tc>
          <w:tcPr>
            <w:tcW w:w="801" w:type="pct"/>
            <w:vAlign w:val="center"/>
          </w:tcPr>
          <w:p w14:paraId="36D25D0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000" w:type="pct"/>
            <w:gridSpan w:val="2"/>
            <w:vAlign w:val="center"/>
          </w:tcPr>
          <w:p w14:paraId="09463E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w:t>
            </w:r>
          </w:p>
        </w:tc>
        <w:tc>
          <w:tcPr>
            <w:tcW w:w="499" w:type="pct"/>
            <w:vAlign w:val="center"/>
          </w:tcPr>
          <w:p w14:paraId="2FFC5971">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c>
          <w:tcPr>
            <w:tcW w:w="801" w:type="pct"/>
            <w:gridSpan w:val="2"/>
            <w:vAlign w:val="center"/>
          </w:tcPr>
          <w:p w14:paraId="2617E176">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w:t>
            </w:r>
          </w:p>
        </w:tc>
        <w:tc>
          <w:tcPr>
            <w:tcW w:w="1312" w:type="pct"/>
            <w:vMerge w:val="restart"/>
            <w:vAlign w:val="center"/>
          </w:tcPr>
          <w:p w14:paraId="06D80DEF">
            <w:pPr>
              <w:tabs>
                <w:tab w:val="left" w:pos="567"/>
              </w:tabs>
              <w:snapToGrid w:val="0"/>
              <w:jc w:val="center"/>
              <w:rPr>
                <w:rFonts w:eastAsiaTheme="minorEastAsia"/>
                <w:color w:val="000000" w:themeColor="text1"/>
                <w:szCs w:val="21"/>
                <w14:textFill>
                  <w14:solidFill>
                    <w14:schemeClr w14:val="tx1"/>
                  </w14:solidFill>
                </w14:textFill>
              </w:rPr>
            </w:pPr>
            <w:r>
              <w:rPr>
                <w:color w:val="000000" w:themeColor="text1"/>
                <w:szCs w:val="21"/>
                <w14:textFill>
                  <w14:solidFill>
                    <w14:schemeClr w14:val="tx1"/>
                  </w14:solidFill>
                </w14:textFill>
              </w:rPr>
              <w:t>外运至最近村庄垃圾收集点处理</w:t>
            </w:r>
          </w:p>
        </w:tc>
      </w:tr>
      <w:tr w14:paraId="7802F6B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7815550C">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6F579968">
            <w:pPr>
              <w:jc w:val="center"/>
              <w:rPr>
                <w:rFonts w:eastAsiaTheme="minorEastAsia"/>
                <w:b/>
                <w:color w:val="000000" w:themeColor="text1"/>
                <w:szCs w:val="21"/>
                <w14:textFill>
                  <w14:solidFill>
                    <w14:schemeClr w14:val="tx1"/>
                  </w14:solidFill>
                </w14:textFill>
              </w:rPr>
            </w:pPr>
          </w:p>
        </w:tc>
        <w:tc>
          <w:tcPr>
            <w:tcW w:w="801" w:type="pct"/>
            <w:vAlign w:val="center"/>
          </w:tcPr>
          <w:p w14:paraId="3013989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食堂泔水</w:t>
            </w:r>
          </w:p>
        </w:tc>
        <w:tc>
          <w:tcPr>
            <w:tcW w:w="1000" w:type="pct"/>
            <w:gridSpan w:val="2"/>
            <w:vAlign w:val="center"/>
          </w:tcPr>
          <w:p w14:paraId="59794A9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499" w:type="pct"/>
            <w:vAlign w:val="center"/>
          </w:tcPr>
          <w:p w14:paraId="1FB763BE">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c>
          <w:tcPr>
            <w:tcW w:w="801" w:type="pct"/>
            <w:gridSpan w:val="2"/>
            <w:vAlign w:val="center"/>
          </w:tcPr>
          <w:p w14:paraId="5A078E97">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w:t>
            </w:r>
          </w:p>
        </w:tc>
        <w:tc>
          <w:tcPr>
            <w:tcW w:w="1312" w:type="pct"/>
            <w:vMerge w:val="continue"/>
            <w:vAlign w:val="center"/>
          </w:tcPr>
          <w:p w14:paraId="73DF58F3">
            <w:pPr>
              <w:tabs>
                <w:tab w:val="left" w:pos="567"/>
              </w:tabs>
              <w:snapToGrid w:val="0"/>
              <w:jc w:val="center"/>
              <w:rPr>
                <w:rFonts w:eastAsiaTheme="minorEastAsia"/>
                <w:color w:val="000000" w:themeColor="text1"/>
                <w:szCs w:val="21"/>
                <w14:textFill>
                  <w14:solidFill>
                    <w14:schemeClr w14:val="tx1"/>
                  </w14:solidFill>
                </w14:textFill>
              </w:rPr>
            </w:pPr>
          </w:p>
        </w:tc>
      </w:tr>
      <w:tr w14:paraId="562FC60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Merge w:val="continue"/>
            <w:vAlign w:val="center"/>
          </w:tcPr>
          <w:p w14:paraId="7E0F8BB3">
            <w:pPr>
              <w:jc w:val="center"/>
              <w:rPr>
                <w:rFonts w:eastAsiaTheme="minorEastAsia"/>
                <w:b/>
                <w:color w:val="000000" w:themeColor="text1"/>
                <w:szCs w:val="21"/>
                <w14:textFill>
                  <w14:solidFill>
                    <w14:schemeClr w14:val="tx1"/>
                  </w14:solidFill>
                </w14:textFill>
              </w:rPr>
            </w:pPr>
          </w:p>
        </w:tc>
        <w:tc>
          <w:tcPr>
            <w:tcW w:w="400" w:type="pct"/>
            <w:gridSpan w:val="2"/>
            <w:vMerge w:val="continue"/>
            <w:vAlign w:val="center"/>
          </w:tcPr>
          <w:p w14:paraId="70295C45">
            <w:pPr>
              <w:jc w:val="center"/>
              <w:rPr>
                <w:rFonts w:eastAsiaTheme="minorEastAsia"/>
                <w:b/>
                <w:color w:val="000000" w:themeColor="text1"/>
                <w:szCs w:val="21"/>
                <w14:textFill>
                  <w14:solidFill>
                    <w14:schemeClr w14:val="tx1"/>
                  </w14:solidFill>
                </w14:textFill>
              </w:rPr>
            </w:pPr>
          </w:p>
        </w:tc>
        <w:tc>
          <w:tcPr>
            <w:tcW w:w="801" w:type="pct"/>
            <w:vAlign w:val="center"/>
          </w:tcPr>
          <w:p w14:paraId="3C1003F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化粪池污泥</w:t>
            </w:r>
          </w:p>
        </w:tc>
        <w:tc>
          <w:tcPr>
            <w:tcW w:w="1000" w:type="pct"/>
            <w:gridSpan w:val="2"/>
            <w:vAlign w:val="center"/>
          </w:tcPr>
          <w:p w14:paraId="06A8C4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0.087</w:t>
            </w:r>
          </w:p>
        </w:tc>
        <w:tc>
          <w:tcPr>
            <w:tcW w:w="499" w:type="pct"/>
            <w:vAlign w:val="center"/>
          </w:tcPr>
          <w:p w14:paraId="6B61FAB1">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c>
          <w:tcPr>
            <w:tcW w:w="801" w:type="pct"/>
            <w:gridSpan w:val="2"/>
            <w:vAlign w:val="center"/>
          </w:tcPr>
          <w:p w14:paraId="205948A7">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w:t>
            </w:r>
          </w:p>
        </w:tc>
        <w:tc>
          <w:tcPr>
            <w:tcW w:w="1312" w:type="pct"/>
            <w:vAlign w:val="center"/>
          </w:tcPr>
          <w:p w14:paraId="292CAEAC">
            <w:pPr>
              <w:tabs>
                <w:tab w:val="left" w:pos="567"/>
              </w:tabs>
              <w:snapToGrid w:val="0"/>
              <w:jc w:val="center"/>
              <w:rPr>
                <w:rFonts w:eastAsiaTheme="minorEastAsia"/>
                <w:color w:val="000000" w:themeColor="text1"/>
                <w:szCs w:val="21"/>
                <w14:textFill>
                  <w14:solidFill>
                    <w14:schemeClr w14:val="tx1"/>
                  </w14:solidFill>
                </w14:textFill>
              </w:rPr>
            </w:pPr>
            <w:r>
              <w:rPr>
                <w:color w:val="000000" w:themeColor="text1"/>
                <w:szCs w:val="21"/>
                <w14:textFill>
                  <w14:solidFill>
                    <w14:schemeClr w14:val="tx1"/>
                  </w14:solidFill>
                </w14:textFill>
              </w:rPr>
              <w:t>作为农作物施肥</w:t>
            </w:r>
          </w:p>
        </w:tc>
      </w:tr>
      <w:tr w14:paraId="03EF284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 w:type="pct"/>
            <w:vAlign w:val="center"/>
          </w:tcPr>
          <w:p w14:paraId="5FB1B1CC">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噪声</w:t>
            </w:r>
          </w:p>
        </w:tc>
        <w:tc>
          <w:tcPr>
            <w:tcW w:w="1201" w:type="pct"/>
            <w:gridSpan w:val="3"/>
            <w:vAlign w:val="center"/>
          </w:tcPr>
          <w:p w14:paraId="02A43B15">
            <w:pPr>
              <w:tabs>
                <w:tab w:val="left" w:pos="567"/>
              </w:tabs>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破碎等dB（A）</w:t>
            </w:r>
          </w:p>
        </w:tc>
        <w:tc>
          <w:tcPr>
            <w:tcW w:w="1000" w:type="pct"/>
            <w:gridSpan w:val="2"/>
            <w:vAlign w:val="center"/>
          </w:tcPr>
          <w:p w14:paraId="48522F09">
            <w:pPr>
              <w:tabs>
                <w:tab w:val="left" w:pos="567"/>
              </w:tabs>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70~90</w:t>
            </w:r>
          </w:p>
        </w:tc>
        <w:tc>
          <w:tcPr>
            <w:tcW w:w="499" w:type="pct"/>
            <w:vAlign w:val="center"/>
          </w:tcPr>
          <w:p w14:paraId="0CC67669">
            <w:pPr>
              <w:tabs>
                <w:tab w:val="left" w:pos="567"/>
              </w:tabs>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c>
          <w:tcPr>
            <w:tcW w:w="801" w:type="pct"/>
            <w:gridSpan w:val="2"/>
            <w:vAlign w:val="center"/>
          </w:tcPr>
          <w:p w14:paraId="48736EC7">
            <w:pPr>
              <w:tabs>
                <w:tab w:val="left" w:pos="567"/>
              </w:tabs>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70~90</w:t>
            </w:r>
          </w:p>
        </w:tc>
        <w:tc>
          <w:tcPr>
            <w:tcW w:w="1312" w:type="pct"/>
            <w:vAlign w:val="center"/>
          </w:tcPr>
          <w:p w14:paraId="5658063B">
            <w:pPr>
              <w:tabs>
                <w:tab w:val="left" w:pos="567"/>
              </w:tabs>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厂房隔声</w:t>
            </w:r>
          </w:p>
        </w:tc>
      </w:tr>
    </w:tbl>
    <w:p w14:paraId="4B11D6E9">
      <w:pPr>
        <w:rPr>
          <w:color w:val="000000" w:themeColor="text1"/>
          <w14:textFill>
            <w14:solidFill>
              <w14:schemeClr w14:val="tx1"/>
            </w14:solidFill>
          </w14:textFill>
        </w:rPr>
        <w:sectPr>
          <w:pgSz w:w="16838" w:h="11906" w:orient="landscape"/>
          <w:pgMar w:top="1797" w:right="1440" w:bottom="1797" w:left="1440" w:header="851" w:footer="992" w:gutter="0"/>
          <w:cols w:space="425" w:num="1"/>
          <w:docGrid w:type="lines" w:linePitch="312" w:charSpace="0"/>
        </w:sectPr>
      </w:pPr>
    </w:p>
    <w:p w14:paraId="55379A66">
      <w:pPr>
        <w:pStyle w:val="4"/>
        <w:rPr>
          <w:rFonts w:ascii="Times New Roman" w:hAnsi="Times New Roman"/>
          <w:color w:val="000000" w:themeColor="text1"/>
          <w14:textFill>
            <w14:solidFill>
              <w14:schemeClr w14:val="tx1"/>
            </w14:solidFill>
          </w14:textFill>
        </w:rPr>
      </w:pPr>
      <w:bookmarkStart w:id="326" w:name="_Toc2773753"/>
      <w:bookmarkStart w:id="327" w:name="_Toc374151561"/>
      <w:bookmarkStart w:id="328" w:name="_Toc327800968"/>
      <w:bookmarkStart w:id="329" w:name="_Toc290295792"/>
      <w:bookmarkStart w:id="330" w:name="_Toc280621083"/>
      <w:r>
        <w:rPr>
          <w:rFonts w:ascii="Times New Roman" w:hAnsi="Times New Roman"/>
          <w:color w:val="000000" w:themeColor="text1"/>
          <w14:textFill>
            <w14:solidFill>
              <w14:schemeClr w14:val="tx1"/>
            </w14:solidFill>
          </w14:textFill>
        </w:rPr>
        <w:t>3.7 非正常排放</w:t>
      </w:r>
      <w:bookmarkEnd w:id="326"/>
    </w:p>
    <w:p w14:paraId="0AB2B722">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根据上述污染物排放情况，项目废气主要是造粒过程中产生的非甲烷总烃和颗粒物、食堂油烟以及无组织排放的非甲烷总烃和颗粒物等。</w:t>
      </w:r>
    </w:p>
    <w:p w14:paraId="772732B9">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无组织排放的非甲烷总烃和颗粒物排放主要在集气罩系统，其设备运行稳定，基本不会发生非正常排放。</w:t>
      </w:r>
    </w:p>
    <w:p w14:paraId="7F7D236B">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综上，从本项目工程分析可以看出，一般事故状态排污主要指的是造粒废气排污情况，本环评假设上述造粒废气污染物处置措施（</w:t>
      </w:r>
      <w:r>
        <w:rPr>
          <w:rFonts w:eastAsiaTheme="minorEastAsia"/>
          <w:bCs/>
          <w:color w:val="000000" w:themeColor="text1"/>
          <w:szCs w:val="28"/>
          <w14:textFill>
            <w14:solidFill>
              <w14:schemeClr w14:val="tx1"/>
            </w14:solidFill>
          </w14:textFill>
        </w:rPr>
        <w:t>过滤棉+活性炭吸附装置</w:t>
      </w:r>
      <w:r>
        <w:rPr>
          <w:color w:val="000000" w:themeColor="text1"/>
          <w14:textFill>
            <w14:solidFill>
              <w14:schemeClr w14:val="tx1"/>
            </w14:solidFill>
          </w14:textFill>
        </w:rPr>
        <w:t>）出现故障，导致颗粒物及非甲烷总烃去除效率降低至50%。</w:t>
      </w:r>
    </w:p>
    <w:p w14:paraId="577DFF61">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根据以上非正常工况假定，选取造粒工序热熔挤出估算出项目废气非正常排放条件及源强，详见下表3.7-1。</w:t>
      </w:r>
    </w:p>
    <w:p w14:paraId="4BD61558">
      <w:pPr>
        <w:autoSpaceDE w:val="0"/>
        <w:autoSpaceDN w:val="0"/>
        <w:adjustRightIn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表3.7-1   本项目废气非正常排放情况</w:t>
      </w:r>
    </w:p>
    <w:tbl>
      <w:tblPr>
        <w:tblStyle w:val="42"/>
        <w:tblW w:w="5000" w:type="pct"/>
        <w:tblInd w:w="0" w:type="dxa"/>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Layout w:type="autofit"/>
        <w:tblCellMar>
          <w:top w:w="0" w:type="dxa"/>
          <w:left w:w="108" w:type="dxa"/>
          <w:bottom w:w="0" w:type="dxa"/>
          <w:right w:w="108" w:type="dxa"/>
        </w:tblCellMar>
      </w:tblPr>
      <w:tblGrid>
        <w:gridCol w:w="1157"/>
        <w:gridCol w:w="731"/>
        <w:gridCol w:w="1053"/>
        <w:gridCol w:w="902"/>
        <w:gridCol w:w="1150"/>
        <w:gridCol w:w="1423"/>
        <w:gridCol w:w="711"/>
        <w:gridCol w:w="712"/>
        <w:gridCol w:w="683"/>
      </w:tblGrid>
      <w:tr w14:paraId="2A5F946E">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CellMar>
            <w:top w:w="0" w:type="dxa"/>
            <w:left w:w="108" w:type="dxa"/>
            <w:bottom w:w="0" w:type="dxa"/>
            <w:right w:w="108" w:type="dxa"/>
          </w:tblCellMar>
        </w:tblPrEx>
        <w:trPr>
          <w:trHeight w:val="20" w:hRule="atLeast"/>
        </w:trPr>
        <w:tc>
          <w:tcPr>
            <w:tcW w:w="679" w:type="pct"/>
            <w:vMerge w:val="restart"/>
            <w:vAlign w:val="center"/>
          </w:tcPr>
          <w:p w14:paraId="5DFDEB3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排放源</w:t>
            </w:r>
          </w:p>
        </w:tc>
        <w:tc>
          <w:tcPr>
            <w:tcW w:w="429" w:type="pct"/>
            <w:vMerge w:val="restart"/>
            <w:vAlign w:val="center"/>
          </w:tcPr>
          <w:p w14:paraId="55A0762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处理效率</w:t>
            </w:r>
          </w:p>
        </w:tc>
        <w:tc>
          <w:tcPr>
            <w:tcW w:w="618" w:type="pct"/>
            <w:vMerge w:val="restart"/>
            <w:vAlign w:val="center"/>
          </w:tcPr>
          <w:p w14:paraId="107A86F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529" w:type="pct"/>
            <w:vMerge w:val="restart"/>
            <w:vAlign w:val="center"/>
          </w:tcPr>
          <w:p w14:paraId="4F576DF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废气量</w:t>
            </w:r>
          </w:p>
        </w:tc>
        <w:tc>
          <w:tcPr>
            <w:tcW w:w="675" w:type="pct"/>
            <w:vMerge w:val="restart"/>
            <w:vAlign w:val="center"/>
          </w:tcPr>
          <w:p w14:paraId="0E644296">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排放量kg/h</w:t>
            </w:r>
          </w:p>
        </w:tc>
        <w:tc>
          <w:tcPr>
            <w:tcW w:w="835" w:type="pct"/>
            <w:vMerge w:val="restart"/>
            <w:vAlign w:val="center"/>
          </w:tcPr>
          <w:p w14:paraId="381C5CD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排放浓度mg/m</w:t>
            </w:r>
            <w:r>
              <w:rPr>
                <w:b/>
                <w:color w:val="000000" w:themeColor="text1"/>
                <w:szCs w:val="21"/>
                <w:vertAlign w:val="superscript"/>
                <w14:textFill>
                  <w14:solidFill>
                    <w14:schemeClr w14:val="tx1"/>
                  </w14:solidFill>
                </w14:textFill>
              </w:rPr>
              <w:t>3</w:t>
            </w:r>
          </w:p>
        </w:tc>
        <w:tc>
          <w:tcPr>
            <w:tcW w:w="835" w:type="pct"/>
            <w:gridSpan w:val="2"/>
            <w:vAlign w:val="center"/>
          </w:tcPr>
          <w:p w14:paraId="72A20F7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w:t>
            </w:r>
          </w:p>
        </w:tc>
        <w:tc>
          <w:tcPr>
            <w:tcW w:w="400" w:type="pct"/>
            <w:vMerge w:val="restart"/>
            <w:vAlign w:val="center"/>
          </w:tcPr>
          <w:p w14:paraId="0AAF074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温度</w:t>
            </w:r>
            <w:r>
              <w:rPr>
                <w:rFonts w:hint="eastAsia" w:ascii="宋体" w:hAnsi="宋体" w:cs="宋体"/>
                <w:b/>
                <w:color w:val="000000" w:themeColor="text1"/>
                <w:szCs w:val="21"/>
                <w14:textFill>
                  <w14:solidFill>
                    <w14:schemeClr w14:val="tx1"/>
                  </w14:solidFill>
                </w14:textFill>
              </w:rPr>
              <w:t>℃</w:t>
            </w:r>
          </w:p>
        </w:tc>
      </w:tr>
      <w:tr w14:paraId="656ECB32">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CellMar>
            <w:top w:w="0" w:type="dxa"/>
            <w:left w:w="108" w:type="dxa"/>
            <w:bottom w:w="0" w:type="dxa"/>
            <w:right w:w="108" w:type="dxa"/>
          </w:tblCellMar>
        </w:tblPrEx>
        <w:trPr>
          <w:trHeight w:val="20" w:hRule="atLeast"/>
        </w:trPr>
        <w:tc>
          <w:tcPr>
            <w:tcW w:w="679" w:type="pct"/>
            <w:vMerge w:val="continue"/>
            <w:vAlign w:val="center"/>
          </w:tcPr>
          <w:p w14:paraId="19B01399">
            <w:pPr>
              <w:jc w:val="center"/>
              <w:rPr>
                <w:b/>
                <w:color w:val="000000" w:themeColor="text1"/>
                <w:szCs w:val="21"/>
                <w14:textFill>
                  <w14:solidFill>
                    <w14:schemeClr w14:val="tx1"/>
                  </w14:solidFill>
                </w14:textFill>
              </w:rPr>
            </w:pPr>
          </w:p>
        </w:tc>
        <w:tc>
          <w:tcPr>
            <w:tcW w:w="429" w:type="pct"/>
            <w:vMerge w:val="continue"/>
            <w:vAlign w:val="center"/>
          </w:tcPr>
          <w:p w14:paraId="56CA9268">
            <w:pPr>
              <w:jc w:val="center"/>
              <w:rPr>
                <w:b/>
                <w:color w:val="000000" w:themeColor="text1"/>
                <w:szCs w:val="21"/>
                <w14:textFill>
                  <w14:solidFill>
                    <w14:schemeClr w14:val="tx1"/>
                  </w14:solidFill>
                </w14:textFill>
              </w:rPr>
            </w:pPr>
          </w:p>
        </w:tc>
        <w:tc>
          <w:tcPr>
            <w:tcW w:w="618" w:type="pct"/>
            <w:vMerge w:val="continue"/>
            <w:vAlign w:val="center"/>
          </w:tcPr>
          <w:p w14:paraId="2CC2CE5B">
            <w:pPr>
              <w:jc w:val="center"/>
              <w:rPr>
                <w:b/>
                <w:color w:val="000000" w:themeColor="text1"/>
                <w:szCs w:val="21"/>
                <w14:textFill>
                  <w14:solidFill>
                    <w14:schemeClr w14:val="tx1"/>
                  </w14:solidFill>
                </w14:textFill>
              </w:rPr>
            </w:pPr>
          </w:p>
        </w:tc>
        <w:tc>
          <w:tcPr>
            <w:tcW w:w="529" w:type="pct"/>
            <w:vMerge w:val="continue"/>
            <w:vAlign w:val="center"/>
          </w:tcPr>
          <w:p w14:paraId="792C3E8D">
            <w:pPr>
              <w:jc w:val="center"/>
              <w:rPr>
                <w:b/>
                <w:color w:val="000000" w:themeColor="text1"/>
                <w:szCs w:val="21"/>
                <w14:textFill>
                  <w14:solidFill>
                    <w14:schemeClr w14:val="tx1"/>
                  </w14:solidFill>
                </w14:textFill>
              </w:rPr>
            </w:pPr>
          </w:p>
        </w:tc>
        <w:tc>
          <w:tcPr>
            <w:tcW w:w="675" w:type="pct"/>
            <w:vMerge w:val="continue"/>
            <w:vAlign w:val="center"/>
          </w:tcPr>
          <w:p w14:paraId="48F99AE5">
            <w:pPr>
              <w:jc w:val="center"/>
              <w:rPr>
                <w:b/>
                <w:color w:val="000000" w:themeColor="text1"/>
                <w:szCs w:val="21"/>
                <w14:textFill>
                  <w14:solidFill>
                    <w14:schemeClr w14:val="tx1"/>
                  </w14:solidFill>
                </w14:textFill>
              </w:rPr>
            </w:pPr>
          </w:p>
        </w:tc>
        <w:tc>
          <w:tcPr>
            <w:tcW w:w="835" w:type="pct"/>
            <w:vMerge w:val="continue"/>
            <w:vAlign w:val="center"/>
          </w:tcPr>
          <w:p w14:paraId="0B12CD22">
            <w:pPr>
              <w:jc w:val="center"/>
              <w:rPr>
                <w:b/>
                <w:color w:val="000000" w:themeColor="text1"/>
                <w:szCs w:val="21"/>
                <w14:textFill>
                  <w14:solidFill>
                    <w14:schemeClr w14:val="tx1"/>
                  </w14:solidFill>
                </w14:textFill>
              </w:rPr>
            </w:pPr>
          </w:p>
        </w:tc>
        <w:tc>
          <w:tcPr>
            <w:tcW w:w="417" w:type="pct"/>
            <w:vAlign w:val="center"/>
          </w:tcPr>
          <w:p w14:paraId="3F43772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高度m</w:t>
            </w:r>
          </w:p>
        </w:tc>
        <w:tc>
          <w:tcPr>
            <w:tcW w:w="418" w:type="pct"/>
            <w:vAlign w:val="center"/>
          </w:tcPr>
          <w:p w14:paraId="483819E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内径m</w:t>
            </w:r>
          </w:p>
        </w:tc>
        <w:tc>
          <w:tcPr>
            <w:tcW w:w="400" w:type="pct"/>
            <w:vMerge w:val="continue"/>
            <w:vAlign w:val="center"/>
          </w:tcPr>
          <w:p w14:paraId="41FA0763">
            <w:pPr>
              <w:jc w:val="center"/>
              <w:rPr>
                <w:b/>
                <w:color w:val="000000" w:themeColor="text1"/>
                <w:szCs w:val="21"/>
                <w14:textFill>
                  <w14:solidFill>
                    <w14:schemeClr w14:val="tx1"/>
                  </w14:solidFill>
                </w14:textFill>
              </w:rPr>
            </w:pPr>
          </w:p>
        </w:tc>
      </w:tr>
      <w:tr w14:paraId="019086C6">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CellMar>
            <w:top w:w="0" w:type="dxa"/>
            <w:left w:w="108" w:type="dxa"/>
            <w:bottom w:w="0" w:type="dxa"/>
            <w:right w:w="108" w:type="dxa"/>
          </w:tblCellMar>
        </w:tblPrEx>
        <w:trPr>
          <w:trHeight w:val="260" w:hRule="atLeast"/>
        </w:trPr>
        <w:tc>
          <w:tcPr>
            <w:tcW w:w="679" w:type="pct"/>
            <w:vMerge w:val="restart"/>
            <w:vAlign w:val="center"/>
          </w:tcPr>
          <w:p w14:paraId="1F067ABD">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造粒工序热熔挤出</w:t>
            </w:r>
          </w:p>
        </w:tc>
        <w:tc>
          <w:tcPr>
            <w:tcW w:w="429" w:type="pct"/>
            <w:vMerge w:val="restart"/>
            <w:vAlign w:val="center"/>
          </w:tcPr>
          <w:p w14:paraId="020B9C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618" w:type="pct"/>
            <w:vAlign w:val="center"/>
          </w:tcPr>
          <w:p w14:paraId="0C9EDB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529" w:type="pct"/>
            <w:vMerge w:val="restart"/>
            <w:vAlign w:val="center"/>
          </w:tcPr>
          <w:p w14:paraId="3A2F36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1440万Nm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675" w:type="pct"/>
            <w:vAlign w:val="center"/>
          </w:tcPr>
          <w:p w14:paraId="13322A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0.046875</w:t>
            </w:r>
          </w:p>
        </w:tc>
        <w:tc>
          <w:tcPr>
            <w:tcW w:w="835" w:type="pct"/>
            <w:vAlign w:val="center"/>
          </w:tcPr>
          <w:p w14:paraId="7925B1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7.81 </w:t>
            </w:r>
          </w:p>
        </w:tc>
        <w:tc>
          <w:tcPr>
            <w:tcW w:w="417" w:type="pct"/>
            <w:vMerge w:val="restart"/>
            <w:vAlign w:val="center"/>
          </w:tcPr>
          <w:p w14:paraId="30C504B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418" w:type="pct"/>
            <w:vMerge w:val="restart"/>
            <w:vAlign w:val="center"/>
          </w:tcPr>
          <w:p w14:paraId="0935C9B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400" w:type="pct"/>
            <w:vMerge w:val="restart"/>
            <w:vAlign w:val="center"/>
          </w:tcPr>
          <w:p w14:paraId="252DA0AB">
            <w:pPr>
              <w:pStyle w:val="5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r>
      <w:tr w14:paraId="4FF14492">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CellMar>
            <w:top w:w="0" w:type="dxa"/>
            <w:left w:w="108" w:type="dxa"/>
            <w:bottom w:w="0" w:type="dxa"/>
            <w:right w:w="108" w:type="dxa"/>
          </w:tblCellMar>
        </w:tblPrEx>
        <w:trPr>
          <w:trHeight w:val="260" w:hRule="atLeast"/>
        </w:trPr>
        <w:tc>
          <w:tcPr>
            <w:tcW w:w="679" w:type="pct"/>
            <w:vMerge w:val="continue"/>
            <w:vAlign w:val="center"/>
          </w:tcPr>
          <w:p w14:paraId="2E406185">
            <w:pPr>
              <w:jc w:val="center"/>
              <w:rPr>
                <w:b/>
                <w:color w:val="000000" w:themeColor="text1"/>
                <w:szCs w:val="21"/>
                <w14:textFill>
                  <w14:solidFill>
                    <w14:schemeClr w14:val="tx1"/>
                  </w14:solidFill>
                </w14:textFill>
              </w:rPr>
            </w:pPr>
          </w:p>
        </w:tc>
        <w:tc>
          <w:tcPr>
            <w:tcW w:w="429" w:type="pct"/>
            <w:vMerge w:val="continue"/>
            <w:vAlign w:val="center"/>
          </w:tcPr>
          <w:p w14:paraId="7CECA41C">
            <w:pPr>
              <w:jc w:val="center"/>
              <w:rPr>
                <w:color w:val="000000" w:themeColor="text1"/>
                <w:szCs w:val="21"/>
                <w14:textFill>
                  <w14:solidFill>
                    <w14:schemeClr w14:val="tx1"/>
                  </w14:solidFill>
                </w14:textFill>
              </w:rPr>
            </w:pPr>
          </w:p>
        </w:tc>
        <w:tc>
          <w:tcPr>
            <w:tcW w:w="618" w:type="pct"/>
            <w:vAlign w:val="center"/>
          </w:tcPr>
          <w:p w14:paraId="71296F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529" w:type="pct"/>
            <w:vMerge w:val="continue"/>
            <w:vAlign w:val="center"/>
          </w:tcPr>
          <w:p w14:paraId="50DBBCCD">
            <w:pPr>
              <w:jc w:val="center"/>
              <w:rPr>
                <w:color w:val="000000" w:themeColor="text1"/>
                <w:szCs w:val="21"/>
                <w14:textFill>
                  <w14:solidFill>
                    <w14:schemeClr w14:val="tx1"/>
                  </w14:solidFill>
                </w14:textFill>
              </w:rPr>
            </w:pPr>
          </w:p>
        </w:tc>
        <w:tc>
          <w:tcPr>
            <w:tcW w:w="675" w:type="pct"/>
            <w:vAlign w:val="center"/>
          </w:tcPr>
          <w:p w14:paraId="315EA2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0.328125</w:t>
            </w:r>
          </w:p>
        </w:tc>
        <w:tc>
          <w:tcPr>
            <w:tcW w:w="835" w:type="pct"/>
            <w:vAlign w:val="center"/>
          </w:tcPr>
          <w:p w14:paraId="2C1F0D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54.69 </w:t>
            </w:r>
          </w:p>
        </w:tc>
        <w:tc>
          <w:tcPr>
            <w:tcW w:w="417" w:type="pct"/>
            <w:vMerge w:val="continue"/>
            <w:vAlign w:val="center"/>
          </w:tcPr>
          <w:p w14:paraId="7AB6A477">
            <w:pPr>
              <w:adjustRightInd w:val="0"/>
              <w:snapToGrid w:val="0"/>
              <w:jc w:val="center"/>
              <w:rPr>
                <w:color w:val="000000" w:themeColor="text1"/>
                <w:szCs w:val="21"/>
                <w14:textFill>
                  <w14:solidFill>
                    <w14:schemeClr w14:val="tx1"/>
                  </w14:solidFill>
                </w14:textFill>
              </w:rPr>
            </w:pPr>
          </w:p>
        </w:tc>
        <w:tc>
          <w:tcPr>
            <w:tcW w:w="418" w:type="pct"/>
            <w:vMerge w:val="continue"/>
            <w:vAlign w:val="center"/>
          </w:tcPr>
          <w:p w14:paraId="1A221F65">
            <w:pPr>
              <w:adjustRightInd w:val="0"/>
              <w:snapToGrid w:val="0"/>
              <w:jc w:val="center"/>
              <w:rPr>
                <w:color w:val="000000" w:themeColor="text1"/>
                <w:szCs w:val="21"/>
                <w14:textFill>
                  <w14:solidFill>
                    <w14:schemeClr w14:val="tx1"/>
                  </w14:solidFill>
                </w14:textFill>
              </w:rPr>
            </w:pPr>
          </w:p>
        </w:tc>
        <w:tc>
          <w:tcPr>
            <w:tcW w:w="400" w:type="pct"/>
            <w:vMerge w:val="continue"/>
            <w:vAlign w:val="center"/>
          </w:tcPr>
          <w:p w14:paraId="2800C1B6">
            <w:pPr>
              <w:pStyle w:val="59"/>
              <w:rPr>
                <w:color w:val="000000" w:themeColor="text1"/>
                <w:sz w:val="21"/>
                <w:szCs w:val="21"/>
                <w14:textFill>
                  <w14:solidFill>
                    <w14:schemeClr w14:val="tx1"/>
                  </w14:solidFill>
                </w14:textFill>
              </w:rPr>
            </w:pPr>
          </w:p>
        </w:tc>
      </w:tr>
    </w:tbl>
    <w:p w14:paraId="6E4A8724">
      <w:pPr>
        <w:pStyle w:val="116"/>
        <w:ind w:firstLine="480"/>
        <w:rPr>
          <w:color w:val="000000" w:themeColor="text1"/>
          <w14:textFill>
            <w14:solidFill>
              <w14:schemeClr w14:val="tx1"/>
            </w14:solidFill>
          </w14:textFill>
        </w:rPr>
      </w:pPr>
    </w:p>
    <w:p w14:paraId="56F96734">
      <w:pPr>
        <w:pStyle w:val="3"/>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331" w:name="_Toc2773754"/>
      <w:r>
        <w:rPr>
          <w:color w:val="000000" w:themeColor="text1"/>
          <w14:textFill>
            <w14:solidFill>
              <w14:schemeClr w14:val="tx1"/>
            </w14:solidFill>
          </w14:textFill>
        </w:rPr>
        <w:t>4</w:t>
      </w:r>
      <w:bookmarkEnd w:id="327"/>
      <w:bookmarkEnd w:id="328"/>
      <w:r>
        <w:rPr>
          <w:color w:val="000000" w:themeColor="text1"/>
          <w14:textFill>
            <w14:solidFill>
              <w14:schemeClr w14:val="tx1"/>
            </w14:solidFill>
          </w14:textFill>
        </w:rPr>
        <w:t>建设项目所在区域环境概况</w:t>
      </w:r>
      <w:bookmarkEnd w:id="331"/>
    </w:p>
    <w:p w14:paraId="16673355">
      <w:pPr>
        <w:pStyle w:val="4"/>
        <w:rPr>
          <w:rFonts w:ascii="Times New Roman" w:hAnsi="Times New Roman"/>
          <w:color w:val="000000" w:themeColor="text1"/>
          <w14:textFill>
            <w14:solidFill>
              <w14:schemeClr w14:val="tx1"/>
            </w14:solidFill>
          </w14:textFill>
        </w:rPr>
      </w:pPr>
      <w:bookmarkStart w:id="332" w:name="_Toc374151562"/>
      <w:bookmarkStart w:id="333" w:name="_Toc294958703"/>
      <w:bookmarkStart w:id="334" w:name="_Toc2773755"/>
      <w:bookmarkStart w:id="335" w:name="_Toc227360314"/>
      <w:bookmarkStart w:id="336" w:name="_Toc260056959"/>
      <w:bookmarkStart w:id="337" w:name="_Toc327800969"/>
      <w:bookmarkStart w:id="338" w:name="_Toc253050100"/>
      <w:bookmarkStart w:id="339" w:name="_Toc246761793"/>
      <w:r>
        <w:rPr>
          <w:rFonts w:ascii="Times New Roman" w:hAnsi="Times New Roman"/>
          <w:color w:val="000000" w:themeColor="text1"/>
          <w14:textFill>
            <w14:solidFill>
              <w14:schemeClr w14:val="tx1"/>
            </w14:solidFill>
          </w14:textFill>
        </w:rPr>
        <w:t>4.1自然环境概况</w:t>
      </w:r>
      <w:bookmarkEnd w:id="332"/>
      <w:bookmarkEnd w:id="333"/>
      <w:bookmarkEnd w:id="334"/>
      <w:bookmarkEnd w:id="335"/>
      <w:bookmarkEnd w:id="336"/>
      <w:bookmarkEnd w:id="337"/>
      <w:bookmarkEnd w:id="338"/>
      <w:bookmarkEnd w:id="339"/>
    </w:p>
    <w:p w14:paraId="233E1044">
      <w:pPr>
        <w:pStyle w:val="105"/>
        <w:rPr>
          <w:rFonts w:cs="Times New Roman"/>
          <w:color w:val="000000" w:themeColor="text1"/>
          <w14:textFill>
            <w14:solidFill>
              <w14:schemeClr w14:val="tx1"/>
            </w14:solidFill>
          </w14:textFill>
        </w:rPr>
      </w:pPr>
      <w:bookmarkStart w:id="340" w:name="_Toc443655424"/>
      <w:bookmarkStart w:id="341" w:name="_Toc508642458"/>
      <w:bookmarkStart w:id="342" w:name="_Toc471738008"/>
      <w:bookmarkStart w:id="343" w:name="_Toc393273286"/>
      <w:bookmarkStart w:id="344" w:name="_Toc319743105"/>
      <w:bookmarkStart w:id="345" w:name="_Toc299117692"/>
      <w:bookmarkStart w:id="346" w:name="_Toc454046523"/>
      <w:bookmarkStart w:id="347" w:name="_Toc374151564"/>
      <w:r>
        <w:rPr>
          <w:rFonts w:cs="Times New Roman"/>
          <w:color w:val="000000" w:themeColor="text1"/>
          <w14:textFill>
            <w14:solidFill>
              <w14:schemeClr w14:val="tx1"/>
            </w14:solidFill>
          </w14:textFill>
        </w:rPr>
        <w:t>4.1.1地形地貌</w:t>
      </w:r>
      <w:bookmarkEnd w:id="340"/>
      <w:bookmarkEnd w:id="341"/>
      <w:bookmarkEnd w:id="342"/>
      <w:bookmarkEnd w:id="343"/>
      <w:bookmarkEnd w:id="344"/>
      <w:bookmarkEnd w:id="345"/>
      <w:bookmarkEnd w:id="346"/>
    </w:p>
    <w:p w14:paraId="082D468F">
      <w:pPr>
        <w:spacing w:line="360" w:lineRule="auto"/>
        <w:ind w:firstLine="496" w:firstLineChars="200"/>
        <w:rPr>
          <w:color w:val="000000" w:themeColor="text1"/>
          <w:sz w:val="24"/>
          <w:szCs w:val="22"/>
          <w14:textFill>
            <w14:solidFill>
              <w14:schemeClr w14:val="tx1"/>
            </w14:solidFill>
          </w14:textFill>
        </w:rPr>
      </w:pPr>
      <w:r>
        <w:rPr>
          <w:bCs/>
          <w:color w:val="000000" w:themeColor="text1"/>
          <w:spacing w:val="4"/>
          <w:kern w:val="0"/>
          <w:sz w:val="24"/>
          <w:szCs w:val="22"/>
          <w14:textFill>
            <w14:solidFill>
              <w14:schemeClr w14:val="tx1"/>
            </w14:solidFill>
          </w14:textFill>
        </w:rPr>
        <w:t>德宏傣族景颇族自治州是横断山脉西南部、高黎贡山以西的一块自东北向南西倾斜的切割山原。地势的基本特点是东北高而陡峻，西南低而宽缓；峻岭峡谷相间</w:t>
      </w:r>
      <w:r>
        <w:rPr>
          <w:color w:val="000000" w:themeColor="text1"/>
          <w:sz w:val="24"/>
          <w:szCs w:val="22"/>
          <w14:textFill>
            <w14:solidFill>
              <w14:schemeClr w14:val="tx1"/>
            </w14:solidFill>
          </w14:textFill>
        </w:rPr>
        <w:t>排列，高山大河平行急下。</w:t>
      </w:r>
    </w:p>
    <w:p w14:paraId="589BE542">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芒市地处德宏州东南部，位于E98°05′～98°44′，N24°05′～24°39′之间，是德宏州府驻地，海拔920m。东西长约71km，南北宽约62km，总面积2987km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其中山区占74%，坝区（含海拔在1000m以下的低热河谷）占26%。东、东北接保山市龙陵县，西南连瑞丽市、畹町经济开发区，西、西北与梁河县、陇川县隔龙江（陇川江）相望，南与缅甸交界，国境线长68.3km，是德宏傣族景颇族自治州5个县市之一。</w:t>
      </w:r>
    </w:p>
    <w:p w14:paraId="52B6C834">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芒市</w:t>
      </w:r>
      <w:r>
        <w:rPr>
          <w:rFonts w:hint="eastAsia"/>
          <w:color w:val="000000" w:themeColor="text1"/>
          <w:sz w:val="24"/>
          <w:szCs w:val="22"/>
          <w14:textFill>
            <w14:solidFill>
              <w14:schemeClr w14:val="tx1"/>
            </w14:solidFill>
          </w14:textFill>
        </w:rPr>
        <w:t>地</w:t>
      </w:r>
      <w:r>
        <w:rPr>
          <w:color w:val="000000" w:themeColor="text1"/>
          <w:sz w:val="24"/>
          <w:szCs w:val="22"/>
          <w14:textFill>
            <w14:solidFill>
              <w14:schemeClr w14:val="tx1"/>
            </w14:solidFill>
          </w14:textFill>
        </w:rPr>
        <w:t>形地貌为东北高、西南低，为中切割的中山地势，山岭呈东北向延伸，与区外群山一脉相承，地势显西高东低，最高点三台山，海拔为1375m，最低点为拟建团结水电站大坝所在河谷，海拔高程约800m。区域地貌受构造所控制，多呈北东-南西向带状分布。</w:t>
      </w:r>
    </w:p>
    <w:p w14:paraId="0EDA0418">
      <w:pPr>
        <w:pStyle w:val="105"/>
        <w:rPr>
          <w:rFonts w:cs="Times New Roman"/>
          <w:color w:val="000000" w:themeColor="text1"/>
          <w14:textFill>
            <w14:solidFill>
              <w14:schemeClr w14:val="tx1"/>
            </w14:solidFill>
          </w14:textFill>
        </w:rPr>
      </w:pPr>
      <w:bookmarkStart w:id="348" w:name="_Toc319743108"/>
      <w:bookmarkStart w:id="349" w:name="_Toc471738013"/>
      <w:bookmarkStart w:id="350" w:name="_Toc443655428"/>
      <w:bookmarkStart w:id="351" w:name="_Toc393273291"/>
      <w:bookmarkStart w:id="352" w:name="_Toc454046528"/>
      <w:bookmarkStart w:id="353" w:name="_Toc508642459"/>
      <w:r>
        <w:rPr>
          <w:rFonts w:cs="Times New Roman"/>
          <w:color w:val="000000" w:themeColor="text1"/>
          <w14:textFill>
            <w14:solidFill>
              <w14:schemeClr w14:val="tx1"/>
            </w14:solidFill>
          </w14:textFill>
        </w:rPr>
        <w:t>4.1.</w:t>
      </w:r>
      <w:bookmarkEnd w:id="348"/>
      <w:bookmarkEnd w:id="349"/>
      <w:bookmarkEnd w:id="350"/>
      <w:bookmarkEnd w:id="351"/>
      <w:bookmarkEnd w:id="352"/>
      <w:r>
        <w:rPr>
          <w:rFonts w:cs="Times New Roman"/>
          <w:color w:val="000000" w:themeColor="text1"/>
          <w14:textFill>
            <w14:solidFill>
              <w14:schemeClr w14:val="tx1"/>
            </w14:solidFill>
          </w14:textFill>
        </w:rPr>
        <w:t>2气候与气象</w:t>
      </w:r>
      <w:bookmarkEnd w:id="353"/>
    </w:p>
    <w:p w14:paraId="076E3D91">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芒市地处高黎贡山西坡，按纬度划分，属低纬度高原区，太阳辐射较强，热量丰富；夏季受西南季风影响，水气丰沛，湿润多雨，而冬季受西方干暖气团影响，温暖少雨，具有干湿季分明的特征，属南亚热带气候。干季11月～4月主要受经由北非、中亚、印巴半岛等干热地区而来的西风南支气流控制，气候干燥，降水稀少。雨季5月～10月西风南支气流北退，青藏高压生成，太平洋副热带高压北进西伸，在两高的影响下盛行西南季风，主要受来自孟加拉湾暖湿气流控制，由于地处迎风坡及受高黎贡山的地形抬升作用，降雨充沛，单点暴雨突出，易形成较大的暴雨洪水。流域内多年平均降水量1876mm，实测最大年降水量3079mm。降雨量年际变化不大，据潞西气象站实测资料分析，最大年降雨量为最小年降雨量的1.98倍。但年内分配不均，主要降雨集中在5月～10月，其量占全年降雨量的85％以上。潞西气象站多年平均降雨量1657.6mm，多年平均气温18.3°C，最高气温34.0°C，最低气温-1.7°C，多年平均日照数2352.3h，蒸发量1723.6mm，无霜期315天。</w:t>
      </w:r>
    </w:p>
    <w:p w14:paraId="4DFA707F">
      <w:pPr>
        <w:pStyle w:val="105"/>
        <w:rPr>
          <w:rFonts w:cs="Times New Roman"/>
          <w:color w:val="000000" w:themeColor="text1"/>
          <w14:textFill>
            <w14:solidFill>
              <w14:schemeClr w14:val="tx1"/>
            </w14:solidFill>
          </w14:textFill>
        </w:rPr>
      </w:pPr>
      <w:bookmarkStart w:id="354" w:name="_Toc508642460"/>
      <w:r>
        <w:rPr>
          <w:rFonts w:cs="Times New Roman"/>
          <w:color w:val="000000" w:themeColor="text1"/>
          <w14:textFill>
            <w14:solidFill>
              <w14:schemeClr w14:val="tx1"/>
            </w14:solidFill>
          </w14:textFill>
        </w:rPr>
        <w:t>4.1.3地质</w:t>
      </w:r>
      <w:bookmarkEnd w:id="354"/>
    </w:p>
    <w:p w14:paraId="7DA52A54">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芒市位于青、藏、滇、缅、印尼“歹”字型构造西支中段偏北部位的遮放“入”字型构造地带，流域内有龙陵</w:t>
      </w:r>
      <w:r>
        <w:rPr>
          <w:color w:val="000000" w:themeColor="text1"/>
          <w:sz w:val="24"/>
          <w:szCs w:val="22"/>
          <w14:textFill>
            <w14:solidFill>
              <w14:schemeClr w14:val="tx1"/>
            </w14:solidFill>
          </w14:textFill>
        </w:rPr>
        <w:softHyphen/>
      </w:r>
      <w:r>
        <w:rPr>
          <w:color w:val="000000" w:themeColor="text1"/>
          <w:sz w:val="24"/>
          <w:szCs w:val="22"/>
          <w14:textFill>
            <w14:solidFill>
              <w14:schemeClr w14:val="tx1"/>
            </w14:solidFill>
          </w14:textFill>
        </w:rPr>
        <w:t>-瑞丽大断裂通过，主干断裂两盘地层岩性有明显差异，其断裂北、北西盘为寒武系下段花岗片麻岩，而断裂南西侧则出露有白垩系、侏罗系、二叠系地层。</w:t>
      </w:r>
    </w:p>
    <w:p w14:paraId="0333E2EA">
      <w:pPr>
        <w:pStyle w:val="105"/>
        <w:rPr>
          <w:rFonts w:cs="Times New Roman"/>
          <w:color w:val="000000" w:themeColor="text1"/>
          <w14:textFill>
            <w14:solidFill>
              <w14:schemeClr w14:val="tx1"/>
            </w14:solidFill>
          </w14:textFill>
        </w:rPr>
      </w:pPr>
      <w:bookmarkStart w:id="355" w:name="_Toc319743107"/>
      <w:bookmarkStart w:id="356" w:name="_Toc443655427"/>
      <w:bookmarkStart w:id="357" w:name="_Toc393273290"/>
      <w:bookmarkStart w:id="358" w:name="_Toc299117694"/>
      <w:bookmarkStart w:id="359" w:name="_Toc471738011"/>
      <w:bookmarkStart w:id="360" w:name="_Toc454046526"/>
      <w:bookmarkStart w:id="361" w:name="_Toc508642461"/>
      <w:r>
        <w:rPr>
          <w:rFonts w:cs="Times New Roman"/>
          <w:color w:val="000000" w:themeColor="text1"/>
          <w14:textFill>
            <w14:solidFill>
              <w14:schemeClr w14:val="tx1"/>
            </w14:solidFill>
          </w14:textFill>
        </w:rPr>
        <w:t>4.1.4水文</w:t>
      </w:r>
      <w:bookmarkEnd w:id="355"/>
      <w:bookmarkEnd w:id="356"/>
      <w:bookmarkEnd w:id="357"/>
      <w:bookmarkEnd w:id="358"/>
      <w:r>
        <w:rPr>
          <w:rFonts w:cs="Times New Roman"/>
          <w:color w:val="000000" w:themeColor="text1"/>
          <w14:textFill>
            <w14:solidFill>
              <w14:schemeClr w14:val="tx1"/>
            </w14:solidFill>
          </w14:textFill>
        </w:rPr>
        <w:t>水系</w:t>
      </w:r>
      <w:bookmarkEnd w:id="359"/>
      <w:bookmarkEnd w:id="360"/>
      <w:bookmarkEnd w:id="361"/>
    </w:p>
    <w:p w14:paraId="155595B2">
      <w:pPr>
        <w:spacing w:line="360" w:lineRule="auto"/>
        <w:ind w:firstLine="480" w:firstLineChars="200"/>
        <w:rPr>
          <w:color w:val="000000" w:themeColor="text1"/>
          <w:sz w:val="24"/>
          <w14:textFill>
            <w14:solidFill>
              <w14:schemeClr w14:val="tx1"/>
            </w14:solidFill>
          </w14:textFill>
        </w:rPr>
      </w:pPr>
      <w:bookmarkStart w:id="362" w:name="_Toc299117695"/>
      <w:r>
        <w:rPr>
          <w:rFonts w:hint="eastAsia"/>
          <w:bCs/>
          <w:color w:val="000000" w:themeColor="text1"/>
          <w:sz w:val="24"/>
          <w:szCs w:val="22"/>
          <w14:textFill>
            <w14:solidFill>
              <w14:schemeClr w14:val="tx1"/>
            </w14:solidFill>
          </w14:textFill>
        </w:rPr>
        <w:t>瑞丽江：云南西部的主要河流之一，属亚热带常流河，为伊洛瓦底江支流。瑞丽江在云南境内长</w:t>
      </w:r>
      <w:r>
        <w:rPr>
          <w:bCs/>
          <w:color w:val="000000" w:themeColor="text1"/>
          <w:sz w:val="24"/>
          <w:szCs w:val="22"/>
          <w14:textFill>
            <w14:solidFill>
              <w14:schemeClr w14:val="tx1"/>
            </w14:solidFill>
          </w14:textFill>
        </w:rPr>
        <w:t>53km</w:t>
      </w:r>
      <w:r>
        <w:rPr>
          <w:rFonts w:hint="eastAsia"/>
          <w:bCs/>
          <w:color w:val="000000" w:themeColor="text1"/>
          <w:sz w:val="24"/>
          <w:szCs w:val="22"/>
          <w14:textFill>
            <w14:solidFill>
              <w14:schemeClr w14:val="tx1"/>
            </w14:solidFill>
          </w14:textFill>
        </w:rPr>
        <w:t>，其发源于腾冲境内的高黎贡山西侧，源头高程</w:t>
      </w:r>
      <w:r>
        <w:rPr>
          <w:bCs/>
          <w:color w:val="000000" w:themeColor="text1"/>
          <w:sz w:val="24"/>
          <w:szCs w:val="22"/>
          <w14:textFill>
            <w14:solidFill>
              <w14:schemeClr w14:val="tx1"/>
            </w14:solidFill>
          </w14:textFill>
        </w:rPr>
        <w:t>3120m</w:t>
      </w:r>
      <w:r>
        <w:rPr>
          <w:rFonts w:hint="eastAsia"/>
          <w:bCs/>
          <w:color w:val="000000" w:themeColor="text1"/>
          <w:sz w:val="24"/>
          <w:szCs w:val="22"/>
          <w14:textFill>
            <w14:solidFill>
              <w14:schemeClr w14:val="tx1"/>
            </w14:solidFill>
          </w14:textFill>
        </w:rPr>
        <w:t>，由北向南流经腾冲、龙陵、梁河、陇川县及芒市，其上游段称为龙江，在芒市嘎中村汇入芒市大河，交口以下称瑞丽江，后进入河谷，出谷后进入瑞丽坝区；在畹町索阳处由畹町河汇入，在瑞丽市弄岛乡的容棒旺与南畹河交汇流入缅甸，归入伊洛瓦底江。</w:t>
      </w:r>
      <w:r>
        <w:rPr>
          <w:color w:val="000000" w:themeColor="text1"/>
          <w:sz w:val="24"/>
          <w14:textFill>
            <w14:solidFill>
              <w14:schemeClr w14:val="tx1"/>
            </w14:solidFill>
          </w14:textFill>
        </w:rPr>
        <w:t>评价区域水系图见附图4。</w:t>
      </w:r>
    </w:p>
    <w:p w14:paraId="0176EF08">
      <w:pPr>
        <w:pStyle w:val="105"/>
        <w:rPr>
          <w:rFonts w:cs="Times New Roman"/>
          <w:color w:val="000000" w:themeColor="text1"/>
          <w14:textFill>
            <w14:solidFill>
              <w14:schemeClr w14:val="tx1"/>
            </w14:solidFill>
          </w14:textFill>
        </w:rPr>
      </w:pPr>
      <w:bookmarkStart w:id="363" w:name="_Toc393273292"/>
      <w:bookmarkStart w:id="364" w:name="_Toc443655429"/>
      <w:bookmarkStart w:id="365" w:name="_Toc319743109"/>
      <w:bookmarkStart w:id="366" w:name="_Toc471738014"/>
      <w:bookmarkStart w:id="367" w:name="_Toc454046529"/>
      <w:bookmarkStart w:id="368" w:name="_Toc508642464"/>
      <w:r>
        <w:rPr>
          <w:rFonts w:cs="Times New Roman"/>
          <w:color w:val="000000" w:themeColor="text1"/>
          <w14:textFill>
            <w14:solidFill>
              <w14:schemeClr w14:val="tx1"/>
            </w14:solidFill>
          </w14:textFill>
        </w:rPr>
        <w:t>4.1.5土壤</w:t>
      </w:r>
      <w:bookmarkEnd w:id="363"/>
      <w:bookmarkEnd w:id="364"/>
      <w:bookmarkEnd w:id="365"/>
      <w:bookmarkEnd w:id="366"/>
      <w:bookmarkEnd w:id="367"/>
      <w:bookmarkEnd w:id="368"/>
    </w:p>
    <w:bookmarkEnd w:id="362"/>
    <w:p w14:paraId="393D3F0D">
      <w:pPr>
        <w:spacing w:line="360" w:lineRule="auto"/>
        <w:ind w:firstLine="480" w:firstLineChars="200"/>
        <w:rPr>
          <w:color w:val="000000" w:themeColor="text1"/>
          <w:sz w:val="24"/>
          <w:szCs w:val="21"/>
          <w14:textFill>
            <w14:solidFill>
              <w14:schemeClr w14:val="tx1"/>
            </w14:solidFill>
          </w14:textFill>
        </w:rPr>
      </w:pPr>
      <w:r>
        <w:rPr>
          <w:color w:val="000000" w:themeColor="text1"/>
          <w:sz w:val="24"/>
          <w:szCs w:val="22"/>
          <w14:textFill>
            <w14:solidFill>
              <w14:schemeClr w14:val="tx1"/>
            </w14:solidFill>
          </w14:textFill>
        </w:rPr>
        <w:t>据芒市土壤普查资料分析，芒市从低到高依次呈地带性分布的土壤类型有赤红壤、红壤、黄壤。流域因降水丰富，因而土壤垂直带具有偏湿型特色，表现为红壤、黄色砖红壤性红壤亚类占优势。其意义是，土壤含水率较高，耐旱性较好，生物积蓄较强，有机质含量相对较高，但盐基淋溶作用也强，引起土壤偏酸。</w:t>
      </w:r>
    </w:p>
    <w:p w14:paraId="1A7A4898">
      <w:pPr>
        <w:pStyle w:val="105"/>
        <w:rPr>
          <w:rFonts w:cs="Times New Roman"/>
          <w:color w:val="000000" w:themeColor="text1"/>
          <w14:textFill>
            <w14:solidFill>
              <w14:schemeClr w14:val="tx1"/>
            </w14:solidFill>
          </w14:textFill>
        </w:rPr>
      </w:pPr>
      <w:bookmarkStart w:id="369" w:name="_Toc508642465"/>
      <w:bookmarkStart w:id="370" w:name="_Toc471738015"/>
      <w:bookmarkStart w:id="371" w:name="_Toc393273293"/>
      <w:bookmarkStart w:id="372" w:name="_Toc443655430"/>
      <w:bookmarkStart w:id="373" w:name="_Toc454046530"/>
      <w:r>
        <w:rPr>
          <w:rFonts w:cs="Times New Roman"/>
          <w:color w:val="000000" w:themeColor="text1"/>
          <w14:textFill>
            <w14:solidFill>
              <w14:schemeClr w14:val="tx1"/>
            </w14:solidFill>
          </w14:textFill>
        </w:rPr>
        <w:t>4.1.6植被</w:t>
      </w:r>
      <w:bookmarkEnd w:id="369"/>
      <w:bookmarkEnd w:id="370"/>
      <w:bookmarkEnd w:id="371"/>
      <w:bookmarkEnd w:id="372"/>
      <w:bookmarkEnd w:id="373"/>
    </w:p>
    <w:p w14:paraId="6E75193C">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评价区主要为“季风热带北缘雨林季雨林地带”-“滇南、滇西南间山盆地季节雨林和半常绿季雨林区”-“滇西南中山宽谷高榕、麻楝亚区”。区内植被类型主要为</w:t>
      </w:r>
      <w:r>
        <w:rPr>
          <w:color w:val="000000" w:themeColor="text1"/>
          <w:kern w:val="0"/>
          <w:sz w:val="24"/>
          <w:szCs w:val="22"/>
          <w14:textFill>
            <w14:solidFill>
              <w14:schemeClr w14:val="tx1"/>
            </w14:solidFill>
          </w14:textFill>
        </w:rPr>
        <w:t>常绿落叶阔叶混交林，分布有西南桦、红木荷林；热性稀树灌草丛，分布有含毛麻楝、黄牛木的中草草丛；</w:t>
      </w:r>
      <w:r>
        <w:rPr>
          <w:bCs/>
          <w:color w:val="000000" w:themeColor="text1"/>
          <w:kern w:val="0"/>
          <w:sz w:val="24"/>
          <w:szCs w:val="22"/>
          <w14:textFill>
            <w14:solidFill>
              <w14:schemeClr w14:val="tx1"/>
            </w14:solidFill>
          </w14:textFill>
        </w:rPr>
        <w:t>暖热性竹林，主要为凤尾竹林；草丛主要包括肿柄菊草丛、飞机草草丛和卡开芦草丛等。</w:t>
      </w:r>
    </w:p>
    <w:p w14:paraId="5D422F61">
      <w:pPr>
        <w:pStyle w:val="4"/>
        <w:rPr>
          <w:rFonts w:ascii="Times New Roman" w:hAnsi="Times New Roman"/>
          <w:color w:val="000000" w:themeColor="text1"/>
          <w14:textFill>
            <w14:solidFill>
              <w14:schemeClr w14:val="tx1"/>
            </w14:solidFill>
          </w14:textFill>
        </w:rPr>
      </w:pPr>
      <w:bookmarkStart w:id="374" w:name="_Toc2773756"/>
      <w:r>
        <w:rPr>
          <w:rFonts w:ascii="Times New Roman" w:hAnsi="Times New Roman"/>
          <w:color w:val="000000" w:themeColor="text1"/>
          <w14:textFill>
            <w14:solidFill>
              <w14:schemeClr w14:val="tx1"/>
            </w14:solidFill>
          </w14:textFill>
        </w:rPr>
        <w:t>4.2环境质量现状</w:t>
      </w:r>
      <w:bookmarkEnd w:id="347"/>
      <w:bookmarkEnd w:id="374"/>
    </w:p>
    <w:p w14:paraId="4AB527E3">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为了掌握本项目区域及周围的环境质量现状，建设方委托</w:t>
      </w:r>
      <w:r>
        <w:rPr>
          <w:bCs/>
          <w:color w:val="000000" w:themeColor="text1"/>
          <w:sz w:val="24"/>
          <w14:textFill>
            <w14:solidFill>
              <w14:schemeClr w14:val="tx1"/>
            </w14:solidFill>
          </w14:textFill>
        </w:rPr>
        <w:t>云南环绿环境检测技术有限公司</w:t>
      </w:r>
      <w:r>
        <w:rPr>
          <w:color w:val="000000" w:themeColor="text1"/>
          <w:sz w:val="24"/>
          <w14:textFill>
            <w14:solidFill>
              <w14:schemeClr w14:val="tx1"/>
            </w14:solidFill>
          </w14:textFill>
        </w:rPr>
        <w:t>开展环境质量现状监测工作，布设环境现状监测点，具体位置见评价范围及监测布点图。</w:t>
      </w:r>
    </w:p>
    <w:p w14:paraId="4CE4E4C8">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4.2.1环境空气质量现状</w:t>
      </w:r>
    </w:p>
    <w:p w14:paraId="0778D213">
      <w:pPr>
        <w:adjustRightInd w:val="0"/>
        <w:snapToGrid w:val="0"/>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1、区域基本污染物达标分析</w:t>
      </w:r>
    </w:p>
    <w:p w14:paraId="2894E347">
      <w:pPr>
        <w:pStyle w:val="297"/>
        <w:ind w:firstLine="480"/>
        <w:rPr>
          <w:color w:val="000000" w:themeColor="text1"/>
          <w14:textFill>
            <w14:solidFill>
              <w14:schemeClr w14:val="tx1"/>
            </w14:solidFill>
          </w14:textFill>
        </w:rPr>
      </w:pPr>
      <w:r>
        <w:rPr>
          <w:color w:val="000000" w:themeColor="text1"/>
          <w14:textFill>
            <w14:solidFill>
              <w14:schemeClr w14:val="tx1"/>
            </w14:solidFill>
          </w14:textFill>
        </w:rPr>
        <w:t>本项目大气环境评价为二级，根据《环境影响评价技术导则 大气环境》</w:t>
      </w:r>
    </w:p>
    <w:p w14:paraId="04174424">
      <w:pPr>
        <w:pStyle w:val="297"/>
        <w:ind w:firstLine="476"/>
        <w:rPr>
          <w:color w:val="000000" w:themeColor="text1"/>
          <w14:textFill>
            <w14:solidFill>
              <w14:schemeClr w14:val="tx1"/>
            </w14:solidFill>
          </w14:textFill>
        </w:rPr>
      </w:pPr>
      <w:r>
        <w:rPr>
          <w:color w:val="000000" w:themeColor="text1"/>
          <w:spacing w:val="-1"/>
          <w14:textFill>
            <w14:solidFill>
              <w14:schemeClr w14:val="tx1"/>
            </w14:solidFill>
          </w14:textFill>
        </w:rPr>
        <w:t>（HJ2.2-2018），应调查所在区域环境质量达标情况，本次评价采用德宏州环境</w:t>
      </w:r>
      <w:r>
        <w:rPr>
          <w:color w:val="000000" w:themeColor="text1"/>
          <w:spacing w:val="-5"/>
          <w14:textFill>
            <w14:solidFill>
              <w14:schemeClr w14:val="tx1"/>
            </w14:solidFill>
          </w14:textFill>
        </w:rPr>
        <w:t>保护局发布的《</w:t>
      </w:r>
      <w:r>
        <w:rPr>
          <w:rFonts w:hint="eastAsia"/>
          <w:color w:val="000000" w:themeColor="text1"/>
          <w:spacing w:val="-5"/>
          <w14:textFill>
            <w14:solidFill>
              <w14:schemeClr w14:val="tx1"/>
            </w14:solidFill>
          </w14:textFill>
        </w:rPr>
        <w:t>德宏州 2017 年环境质量状况公报</w:t>
      </w:r>
      <w:r>
        <w:rPr>
          <w:color w:val="000000" w:themeColor="text1"/>
          <w14:textFill>
            <w14:solidFill>
              <w14:schemeClr w14:val="tx1"/>
            </w14:solidFill>
          </w14:textFill>
        </w:rPr>
        <w:t xml:space="preserve">》中的数据和结论， </w:t>
      </w:r>
      <w:r>
        <w:rPr>
          <w:color w:val="000000" w:themeColor="text1"/>
          <w:spacing w:val="-6"/>
          <w14:textFill>
            <w14:solidFill>
              <w14:schemeClr w14:val="tx1"/>
            </w14:solidFill>
          </w14:textFill>
        </w:rPr>
        <w:t xml:space="preserve">区域监测数据统计见表 </w:t>
      </w:r>
      <w:r>
        <w:rPr>
          <w:color w:val="000000" w:themeColor="text1"/>
          <w14:textFill>
            <w14:solidFill>
              <w14:schemeClr w14:val="tx1"/>
            </w14:solidFill>
          </w14:textFill>
        </w:rPr>
        <w:t>4.2-1。</w:t>
      </w:r>
    </w:p>
    <w:p w14:paraId="07E4DC9B">
      <w:pPr>
        <w:autoSpaceDE w:val="0"/>
        <w:autoSpaceDN w:val="0"/>
        <w:spacing w:before="153"/>
        <w:ind w:left="220" w:right="219"/>
        <w:jc w:val="center"/>
        <w:rPr>
          <w:rFonts w:ascii="宋体" w:hAnsi="宋体" w:cs="宋体"/>
          <w:b/>
          <w:bCs/>
          <w:color w:val="000000" w:themeColor="text1"/>
          <w:kern w:val="0"/>
          <w:sz w:val="24"/>
          <w14:textFill>
            <w14:solidFill>
              <w14:schemeClr w14:val="tx1"/>
            </w14:solidFill>
          </w14:textFill>
        </w:rPr>
      </w:pPr>
      <w:r>
        <w:rPr>
          <w:rFonts w:ascii="宋体" w:hAnsi="宋体" w:cs="宋体"/>
          <w:b/>
          <w:bCs/>
          <w:color w:val="000000" w:themeColor="text1"/>
          <w:kern w:val="0"/>
          <w:sz w:val="24"/>
          <w14:textFill>
            <w14:solidFill>
              <w14:schemeClr w14:val="tx1"/>
            </w14:solidFill>
          </w14:textFill>
        </w:rPr>
        <w:t>表</w:t>
      </w:r>
      <w:r>
        <w:rPr>
          <w:rFonts w:ascii="宋体" w:hAnsi="宋体" w:cs="宋体"/>
          <w:b/>
          <w:bCs/>
          <w:color w:val="000000" w:themeColor="text1"/>
          <w:spacing w:val="-60"/>
          <w:kern w:val="0"/>
          <w:sz w:val="24"/>
          <w14:textFill>
            <w14:solidFill>
              <w14:schemeClr w14:val="tx1"/>
            </w14:solidFill>
          </w14:textFill>
        </w:rPr>
        <w:t xml:space="preserve"> </w:t>
      </w:r>
      <w:r>
        <w:rPr>
          <w:rFonts w:hAnsi="宋体" w:eastAsia="Times New Roman" w:cs="宋体"/>
          <w:b/>
          <w:bCs/>
          <w:color w:val="000000" w:themeColor="text1"/>
          <w:kern w:val="0"/>
          <w:sz w:val="24"/>
          <w14:textFill>
            <w14:solidFill>
              <w14:schemeClr w14:val="tx1"/>
            </w14:solidFill>
          </w14:textFill>
        </w:rPr>
        <w:t>4.2-1</w:t>
      </w:r>
      <w:r>
        <w:rPr>
          <w:rFonts w:hAnsi="宋体" w:eastAsia="Times New Roman" w:cs="宋体"/>
          <w:b/>
          <w:bCs/>
          <w:color w:val="000000" w:themeColor="text1"/>
          <w:kern w:val="0"/>
          <w:sz w:val="24"/>
          <w14:textFill>
            <w14:solidFill>
              <w14:schemeClr w14:val="tx1"/>
            </w14:solidFill>
          </w14:textFill>
        </w:rPr>
        <w:tab/>
      </w:r>
      <w:r>
        <w:rPr>
          <w:rFonts w:ascii="宋体" w:hAnsi="宋体" w:cs="宋体"/>
          <w:b/>
          <w:bCs/>
          <w:color w:val="000000" w:themeColor="text1"/>
          <w:w w:val="95"/>
          <w:kern w:val="0"/>
          <w:sz w:val="24"/>
          <w14:textFill>
            <w14:solidFill>
              <w14:schemeClr w14:val="tx1"/>
            </w14:solidFill>
          </w14:textFill>
        </w:rPr>
        <w:t>区域基本污染物环境质量现状</w:t>
      </w:r>
    </w:p>
    <w:tbl>
      <w:tblPr>
        <w:tblStyle w:val="280"/>
        <w:tblW w:w="528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03"/>
        <w:gridCol w:w="580"/>
        <w:gridCol w:w="977"/>
        <w:gridCol w:w="1166"/>
        <w:gridCol w:w="1270"/>
        <w:gridCol w:w="1131"/>
        <w:gridCol w:w="708"/>
        <w:gridCol w:w="1274"/>
        <w:gridCol w:w="1274"/>
      </w:tblGrid>
      <w:tr w14:paraId="0AFA60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16" w:type="pct"/>
            <w:gridSpan w:val="3"/>
            <w:vAlign w:val="center"/>
          </w:tcPr>
          <w:p w14:paraId="4A8662A1">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监测指标</w:t>
            </w:r>
          </w:p>
        </w:tc>
        <w:tc>
          <w:tcPr>
            <w:tcW w:w="664" w:type="pct"/>
            <w:vAlign w:val="center"/>
          </w:tcPr>
          <w:p w14:paraId="7560F5EE">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SO</w:t>
            </w:r>
            <w:r>
              <w:rPr>
                <w:rFonts w:ascii="Times New Roman" w:hAnsi="Times New Roman" w:cs="Times New Roman"/>
                <w:color w:val="000000" w:themeColor="text1"/>
                <w:position w:val="-2"/>
                <w:sz w:val="9"/>
                <w14:textFill>
                  <w14:solidFill>
                    <w14:schemeClr w14:val="tx1"/>
                  </w14:solidFill>
                </w14:textFill>
              </w:rPr>
              <w:t>2</w:t>
            </w:r>
            <w:r>
              <w:rPr>
                <w:rFonts w:ascii="Times New Roman" w:hAnsi="Times New Roman" w:cs="Times New Roman"/>
                <w:color w:val="000000" w:themeColor="text1"/>
                <w:sz w:val="18"/>
                <w14:textFill>
                  <w14:solidFill>
                    <w14:schemeClr w14:val="tx1"/>
                  </w14:solidFill>
                </w14:textFill>
              </w:rPr>
              <w:t>(mg/ m</w:t>
            </w:r>
            <w:r>
              <w:rPr>
                <w:rFonts w:ascii="Times New Roman" w:hAnsi="Times New Roman" w:cs="Times New Roman"/>
                <w:color w:val="000000" w:themeColor="text1"/>
                <w:position w:val="9"/>
                <w:sz w:val="9"/>
                <w14:textFill>
                  <w14:solidFill>
                    <w14:schemeClr w14:val="tx1"/>
                  </w14:solidFill>
                </w14:textFill>
              </w:rPr>
              <w:t>3</w:t>
            </w:r>
            <w:r>
              <w:rPr>
                <w:rFonts w:ascii="Times New Roman" w:hAnsi="Times New Roman" w:cs="Times New Roman"/>
                <w:color w:val="000000" w:themeColor="text1"/>
                <w:sz w:val="18"/>
                <w14:textFill>
                  <w14:solidFill>
                    <w14:schemeClr w14:val="tx1"/>
                  </w14:solidFill>
                </w14:textFill>
              </w:rPr>
              <w:t>)</w:t>
            </w:r>
          </w:p>
        </w:tc>
        <w:tc>
          <w:tcPr>
            <w:tcW w:w="723" w:type="pct"/>
            <w:vAlign w:val="center"/>
          </w:tcPr>
          <w:p w14:paraId="3E312FB7">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NO</w:t>
            </w:r>
            <w:r>
              <w:rPr>
                <w:rFonts w:ascii="Times New Roman" w:hAnsi="Times New Roman" w:cs="Times New Roman"/>
                <w:color w:val="000000" w:themeColor="text1"/>
                <w:position w:val="-2"/>
                <w:sz w:val="9"/>
                <w14:textFill>
                  <w14:solidFill>
                    <w14:schemeClr w14:val="tx1"/>
                  </w14:solidFill>
                </w14:textFill>
              </w:rPr>
              <w:t>2</w:t>
            </w:r>
            <w:r>
              <w:rPr>
                <w:rFonts w:ascii="Times New Roman" w:hAnsi="Times New Roman" w:cs="Times New Roman"/>
                <w:color w:val="000000" w:themeColor="text1"/>
                <w:sz w:val="18"/>
                <w14:textFill>
                  <w14:solidFill>
                    <w14:schemeClr w14:val="tx1"/>
                  </w14:solidFill>
                </w14:textFill>
              </w:rPr>
              <w:t>(mg/ m</w:t>
            </w:r>
            <w:r>
              <w:rPr>
                <w:rFonts w:ascii="Times New Roman" w:hAnsi="Times New Roman" w:cs="Times New Roman"/>
                <w:color w:val="000000" w:themeColor="text1"/>
                <w:position w:val="9"/>
                <w:sz w:val="9"/>
                <w14:textFill>
                  <w14:solidFill>
                    <w14:schemeClr w14:val="tx1"/>
                  </w14:solidFill>
                </w14:textFill>
              </w:rPr>
              <w:t>3</w:t>
            </w:r>
            <w:r>
              <w:rPr>
                <w:rFonts w:ascii="Times New Roman" w:hAnsi="Times New Roman" w:cs="Times New Roman"/>
                <w:color w:val="000000" w:themeColor="text1"/>
                <w:spacing w:val="-50"/>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w:t>
            </w:r>
          </w:p>
        </w:tc>
        <w:tc>
          <w:tcPr>
            <w:tcW w:w="644" w:type="pct"/>
            <w:vAlign w:val="center"/>
          </w:tcPr>
          <w:p w14:paraId="1E881595">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co(mg/ m</w:t>
            </w:r>
            <w:r>
              <w:rPr>
                <w:rFonts w:ascii="Times New Roman" w:hAnsi="Times New Roman" w:cs="Times New Roman"/>
                <w:color w:val="000000" w:themeColor="text1"/>
                <w:position w:val="9"/>
                <w:sz w:val="9"/>
                <w14:textFill>
                  <w14:solidFill>
                    <w14:schemeClr w14:val="tx1"/>
                  </w14:solidFill>
                </w14:textFill>
              </w:rPr>
              <w:t>3</w:t>
            </w:r>
            <w:r>
              <w:rPr>
                <w:rFonts w:ascii="Times New Roman" w:hAnsi="Times New Roman" w:cs="Times New Roman"/>
                <w:color w:val="000000" w:themeColor="text1"/>
                <w:sz w:val="18"/>
                <w14:textFill>
                  <w14:solidFill>
                    <w14:schemeClr w14:val="tx1"/>
                  </w14:solidFill>
                </w14:textFill>
              </w:rPr>
              <w:t>)</w:t>
            </w:r>
          </w:p>
        </w:tc>
        <w:tc>
          <w:tcPr>
            <w:tcW w:w="403" w:type="pct"/>
            <w:vAlign w:val="center"/>
          </w:tcPr>
          <w:p w14:paraId="66B628D6">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O</w:t>
            </w:r>
            <w:r>
              <w:rPr>
                <w:rFonts w:ascii="Times New Roman" w:hAnsi="Times New Roman" w:cs="Times New Roman"/>
                <w:color w:val="000000" w:themeColor="text1"/>
                <w:position w:val="-2"/>
                <w:sz w:val="9"/>
                <w14:textFill>
                  <w14:solidFill>
                    <w14:schemeClr w14:val="tx1"/>
                  </w14:solidFill>
                </w14:textFill>
              </w:rPr>
              <w:t>3</w:t>
            </w:r>
            <w:r>
              <w:rPr>
                <w:rFonts w:ascii="Times New Roman" w:hAnsi="Times New Roman" w:cs="Times New Roman"/>
                <w:color w:val="000000" w:themeColor="text1"/>
                <w:sz w:val="18"/>
                <w14:textFill>
                  <w14:solidFill>
                    <w14:schemeClr w14:val="tx1"/>
                  </w14:solidFill>
                </w14:textFill>
              </w:rPr>
              <w:t>-8</w:t>
            </w:r>
          </w:p>
        </w:tc>
        <w:tc>
          <w:tcPr>
            <w:tcW w:w="725" w:type="pct"/>
            <w:vAlign w:val="center"/>
          </w:tcPr>
          <w:p w14:paraId="0B0D9368">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PM</w:t>
            </w:r>
            <w:r>
              <w:rPr>
                <w:rFonts w:ascii="Times New Roman" w:hAnsi="Times New Roman" w:cs="Times New Roman"/>
                <w:color w:val="000000" w:themeColor="text1"/>
                <w:position w:val="-2"/>
                <w:sz w:val="9"/>
                <w14:textFill>
                  <w14:solidFill>
                    <w14:schemeClr w14:val="tx1"/>
                  </w14:solidFill>
                </w14:textFill>
              </w:rPr>
              <w:t>10</w:t>
            </w:r>
            <w:r>
              <w:rPr>
                <w:rFonts w:ascii="Times New Roman" w:hAnsi="Times New Roman" w:cs="Times New Roman"/>
                <w:color w:val="000000" w:themeColor="text1"/>
                <w:sz w:val="18"/>
                <w14:textFill>
                  <w14:solidFill>
                    <w14:schemeClr w14:val="tx1"/>
                  </w14:solidFill>
                </w14:textFill>
              </w:rPr>
              <w:t>(mg/ m</w:t>
            </w:r>
            <w:r>
              <w:rPr>
                <w:rFonts w:ascii="Times New Roman" w:hAnsi="Times New Roman" w:cs="Times New Roman"/>
                <w:color w:val="000000" w:themeColor="text1"/>
                <w:position w:val="9"/>
                <w:sz w:val="9"/>
                <w14:textFill>
                  <w14:solidFill>
                    <w14:schemeClr w14:val="tx1"/>
                  </w14:solidFill>
                </w14:textFill>
              </w:rPr>
              <w:t>3</w:t>
            </w:r>
            <w:r>
              <w:rPr>
                <w:rFonts w:ascii="Times New Roman" w:hAnsi="Times New Roman" w:cs="Times New Roman"/>
                <w:color w:val="000000" w:themeColor="text1"/>
                <w:sz w:val="18"/>
                <w14:textFill>
                  <w14:solidFill>
                    <w14:schemeClr w14:val="tx1"/>
                  </w14:solidFill>
                </w14:textFill>
              </w:rPr>
              <w:t xml:space="preserve"> )</w:t>
            </w:r>
          </w:p>
        </w:tc>
        <w:tc>
          <w:tcPr>
            <w:tcW w:w="725" w:type="pct"/>
            <w:vAlign w:val="center"/>
          </w:tcPr>
          <w:p w14:paraId="2B37F10E">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PM</w:t>
            </w:r>
            <w:r>
              <w:rPr>
                <w:rFonts w:ascii="Times New Roman" w:hAnsi="Times New Roman" w:cs="Times New Roman"/>
                <w:color w:val="000000" w:themeColor="text1"/>
                <w:position w:val="-2"/>
                <w:sz w:val="9"/>
                <w14:textFill>
                  <w14:solidFill>
                    <w14:schemeClr w14:val="tx1"/>
                  </w14:solidFill>
                </w14:textFill>
              </w:rPr>
              <w:t>2.5</w:t>
            </w:r>
            <w:r>
              <w:rPr>
                <w:rFonts w:ascii="Times New Roman" w:hAnsi="Times New Roman" w:cs="Times New Roman"/>
                <w:color w:val="000000" w:themeColor="text1"/>
                <w:sz w:val="18"/>
                <w14:textFill>
                  <w14:solidFill>
                    <w14:schemeClr w14:val="tx1"/>
                  </w14:solidFill>
                </w14:textFill>
              </w:rPr>
              <w:t>(mg/ m</w:t>
            </w:r>
            <w:r>
              <w:rPr>
                <w:rFonts w:ascii="Times New Roman" w:hAnsi="Times New Roman" w:cs="Times New Roman"/>
                <w:color w:val="000000" w:themeColor="text1"/>
                <w:position w:val="9"/>
                <w:sz w:val="9"/>
                <w14:textFill>
                  <w14:solidFill>
                    <w14:schemeClr w14:val="tx1"/>
                  </w14:solidFill>
                </w14:textFill>
              </w:rPr>
              <w:t>3</w:t>
            </w:r>
            <w:r>
              <w:rPr>
                <w:rFonts w:ascii="Times New Roman" w:hAnsi="Times New Roman" w:cs="Times New Roman"/>
                <w:color w:val="000000" w:themeColor="text1"/>
                <w:spacing w:val="-5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w:t>
            </w:r>
          </w:p>
        </w:tc>
      </w:tr>
      <w:tr w14:paraId="0AB385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30" w:type="pct"/>
            <w:vMerge w:val="restart"/>
            <w:vAlign w:val="center"/>
          </w:tcPr>
          <w:p w14:paraId="3FBFED72">
            <w:pPr>
              <w:adjustRightInd w:val="0"/>
              <w:snapToGrid w:val="0"/>
              <w:ind w:left="105" w:leftChars="50" w:right="105" w:rightChars="50"/>
              <w:rPr>
                <w:rFonts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t>芒市</w:t>
            </w:r>
          </w:p>
        </w:tc>
        <w:tc>
          <w:tcPr>
            <w:tcW w:w="330" w:type="pct"/>
            <w:vMerge w:val="restart"/>
            <w:vAlign w:val="center"/>
          </w:tcPr>
          <w:p w14:paraId="1768E120">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2017</w:t>
            </w:r>
            <w:r>
              <w:rPr>
                <w:rFonts w:ascii="Times New Roman" w:hAnsi="Times New Roman" w:cs="Times New Roman"/>
                <w:color w:val="000000" w:themeColor="text1"/>
                <w:spacing w:val="-23"/>
                <w:sz w:val="18"/>
                <w14:textFill>
                  <w14:solidFill>
                    <w14:schemeClr w14:val="tx1"/>
                  </w14:solidFill>
                </w14:textFill>
              </w:rPr>
              <w:t xml:space="preserve"> 年</w:t>
            </w:r>
          </w:p>
        </w:tc>
        <w:tc>
          <w:tcPr>
            <w:tcW w:w="556" w:type="pct"/>
            <w:vAlign w:val="center"/>
          </w:tcPr>
          <w:p w14:paraId="2118EFF2">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年均值</w:t>
            </w:r>
          </w:p>
        </w:tc>
        <w:tc>
          <w:tcPr>
            <w:tcW w:w="664" w:type="pct"/>
            <w:vAlign w:val="center"/>
          </w:tcPr>
          <w:p w14:paraId="091753A4">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0.013</w:t>
            </w:r>
          </w:p>
        </w:tc>
        <w:tc>
          <w:tcPr>
            <w:tcW w:w="723" w:type="pct"/>
            <w:vAlign w:val="center"/>
          </w:tcPr>
          <w:p w14:paraId="6BEAC5FC">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0.021</w:t>
            </w:r>
          </w:p>
        </w:tc>
        <w:tc>
          <w:tcPr>
            <w:tcW w:w="644" w:type="pct"/>
            <w:vAlign w:val="center"/>
          </w:tcPr>
          <w:p w14:paraId="04177E65">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w:t>
            </w:r>
          </w:p>
        </w:tc>
        <w:tc>
          <w:tcPr>
            <w:tcW w:w="403" w:type="pct"/>
            <w:vAlign w:val="center"/>
          </w:tcPr>
          <w:p w14:paraId="37DEC287">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0.084</w:t>
            </w:r>
          </w:p>
        </w:tc>
        <w:tc>
          <w:tcPr>
            <w:tcW w:w="725" w:type="pct"/>
            <w:vAlign w:val="center"/>
          </w:tcPr>
          <w:p w14:paraId="39FD360F">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0.046</w:t>
            </w:r>
          </w:p>
        </w:tc>
        <w:tc>
          <w:tcPr>
            <w:tcW w:w="725" w:type="pct"/>
            <w:vAlign w:val="center"/>
          </w:tcPr>
          <w:p w14:paraId="6C40EE00">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0.030</w:t>
            </w:r>
          </w:p>
        </w:tc>
      </w:tr>
      <w:tr w14:paraId="2107862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30" w:type="pct"/>
            <w:vMerge w:val="continue"/>
            <w:vAlign w:val="center"/>
          </w:tcPr>
          <w:p w14:paraId="11FBBA2E">
            <w:pPr>
              <w:adjustRightInd w:val="0"/>
              <w:snapToGrid w:val="0"/>
              <w:ind w:left="105" w:leftChars="50" w:right="105" w:rightChars="50"/>
              <w:rPr>
                <w:rFonts w:ascii="Times New Roman" w:hAnsi="Times New Roman" w:cs="Times New Roman" w:eastAsiaTheme="minorEastAsia"/>
                <w:color w:val="000000" w:themeColor="text1"/>
                <w:lang w:eastAsia="en-US"/>
                <w14:textFill>
                  <w14:solidFill>
                    <w14:schemeClr w14:val="tx1"/>
                  </w14:solidFill>
                </w14:textFill>
              </w:rPr>
            </w:pPr>
          </w:p>
        </w:tc>
        <w:tc>
          <w:tcPr>
            <w:tcW w:w="330" w:type="pct"/>
            <w:vMerge w:val="continue"/>
            <w:vAlign w:val="center"/>
          </w:tcPr>
          <w:p w14:paraId="394F6926">
            <w:pPr>
              <w:adjustRightInd w:val="0"/>
              <w:snapToGrid w:val="0"/>
              <w:ind w:left="105" w:leftChars="50" w:right="105" w:rightChars="50"/>
              <w:jc w:val="center"/>
              <w:rPr>
                <w:rFonts w:ascii="Times New Roman" w:hAnsi="Times New Roman" w:cs="Times New Roman" w:eastAsiaTheme="minorEastAsia"/>
                <w:color w:val="000000" w:themeColor="text1"/>
                <w:lang w:eastAsia="en-US"/>
                <w14:textFill>
                  <w14:solidFill>
                    <w14:schemeClr w14:val="tx1"/>
                  </w14:solidFill>
                </w14:textFill>
              </w:rPr>
            </w:pPr>
          </w:p>
        </w:tc>
        <w:tc>
          <w:tcPr>
            <w:tcW w:w="556" w:type="pct"/>
            <w:vAlign w:val="center"/>
          </w:tcPr>
          <w:p w14:paraId="5060F402">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日均浓度范围</w:t>
            </w:r>
          </w:p>
        </w:tc>
        <w:tc>
          <w:tcPr>
            <w:tcW w:w="664" w:type="pct"/>
            <w:vAlign w:val="center"/>
          </w:tcPr>
          <w:p w14:paraId="34E03A85">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0.006-0.033</w:t>
            </w:r>
          </w:p>
        </w:tc>
        <w:tc>
          <w:tcPr>
            <w:tcW w:w="723" w:type="pct"/>
            <w:vAlign w:val="center"/>
          </w:tcPr>
          <w:p w14:paraId="4C1FA037">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0.006-0.044</w:t>
            </w:r>
          </w:p>
        </w:tc>
        <w:tc>
          <w:tcPr>
            <w:tcW w:w="644" w:type="pct"/>
            <w:vAlign w:val="center"/>
          </w:tcPr>
          <w:p w14:paraId="33148AA8">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0.4-1.3</w:t>
            </w:r>
          </w:p>
        </w:tc>
        <w:tc>
          <w:tcPr>
            <w:tcW w:w="403" w:type="pct"/>
            <w:vAlign w:val="center"/>
          </w:tcPr>
          <w:p w14:paraId="161C097A">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0.008-0.190</w:t>
            </w:r>
          </w:p>
        </w:tc>
        <w:tc>
          <w:tcPr>
            <w:tcW w:w="725" w:type="pct"/>
            <w:vAlign w:val="center"/>
          </w:tcPr>
          <w:p w14:paraId="65BA2B3C">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0.016-0.128</w:t>
            </w:r>
          </w:p>
        </w:tc>
        <w:tc>
          <w:tcPr>
            <w:tcW w:w="725" w:type="pct"/>
            <w:vAlign w:val="center"/>
          </w:tcPr>
          <w:p w14:paraId="076F8888">
            <w:pPr>
              <w:pStyle w:val="281"/>
              <w:adjustRightInd w:val="0"/>
              <w:snapToGrid w:val="0"/>
              <w:ind w:left="105" w:leftChars="50" w:right="105" w:rightChars="5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0.006-0.124</w:t>
            </w:r>
          </w:p>
        </w:tc>
      </w:tr>
    </w:tbl>
    <w:p w14:paraId="2252CFD4">
      <w:pPr>
        <w:adjustRightInd w:val="0"/>
        <w:snapToGrid w:val="0"/>
        <w:spacing w:line="360" w:lineRule="auto"/>
        <w:ind w:firstLine="460" w:firstLineChars="200"/>
        <w:rPr>
          <w:rFonts w:ascii="宋体" w:hAnsi="宋体" w:cs="宋体"/>
          <w:color w:val="000000" w:themeColor="text1"/>
          <w:kern w:val="0"/>
          <w:sz w:val="24"/>
          <w14:textFill>
            <w14:solidFill>
              <w14:schemeClr w14:val="tx1"/>
            </w14:solidFill>
          </w14:textFill>
        </w:rPr>
      </w:pPr>
      <w:r>
        <w:rPr>
          <w:rFonts w:ascii="宋体" w:hAnsi="宋体" w:cs="宋体"/>
          <w:color w:val="000000" w:themeColor="text1"/>
          <w:spacing w:val="-5"/>
          <w:kern w:val="0"/>
          <w:sz w:val="24"/>
          <w14:textFill>
            <w14:solidFill>
              <w14:schemeClr w14:val="tx1"/>
            </w14:solidFill>
          </w14:textFill>
        </w:rPr>
        <w:t>根据《</w:t>
      </w:r>
      <w:r>
        <w:rPr>
          <w:rFonts w:hint="eastAsia" w:ascii="宋体" w:hAnsi="宋体" w:cs="宋体"/>
          <w:color w:val="000000" w:themeColor="text1"/>
          <w:spacing w:val="-5"/>
          <w:kern w:val="0"/>
          <w:sz w:val="24"/>
          <w14:textFill>
            <w14:solidFill>
              <w14:schemeClr w14:val="tx1"/>
            </w14:solidFill>
          </w14:textFill>
        </w:rPr>
        <w:t>德宏州 2017 年环境质量状况公报</w:t>
      </w:r>
      <w:r>
        <w:rPr>
          <w:rFonts w:ascii="宋体" w:hAnsi="宋体" w:cs="宋体"/>
          <w:color w:val="000000" w:themeColor="text1"/>
          <w:spacing w:val="-4"/>
          <w:kern w:val="0"/>
          <w:sz w:val="24"/>
          <w14:textFill>
            <w14:solidFill>
              <w14:schemeClr w14:val="tx1"/>
            </w14:solidFill>
          </w14:textFill>
        </w:rPr>
        <w:t>》，</w:t>
      </w:r>
      <w:r>
        <w:rPr>
          <w:rFonts w:hint="eastAsia" w:ascii="宋体" w:hAnsi="宋体" w:cs="宋体"/>
          <w:color w:val="000000" w:themeColor="text1"/>
          <w:spacing w:val="-4"/>
          <w:kern w:val="0"/>
          <w:sz w:val="24"/>
          <w14:textFill>
            <w14:solidFill>
              <w14:schemeClr w14:val="tx1"/>
            </w14:solidFill>
          </w14:textFill>
        </w:rPr>
        <w:t>芒</w:t>
      </w:r>
      <w:r>
        <w:rPr>
          <w:rFonts w:ascii="宋体" w:hAnsi="宋体" w:cs="宋体"/>
          <w:color w:val="000000" w:themeColor="text1"/>
          <w:spacing w:val="-4"/>
          <w:kern w:val="0"/>
          <w:sz w:val="24"/>
          <w14:textFill>
            <w14:solidFill>
              <w14:schemeClr w14:val="tx1"/>
            </w14:solidFill>
          </w14:textFill>
        </w:rPr>
        <w:t xml:space="preserve">市 </w:t>
      </w:r>
      <w:r>
        <w:rPr>
          <w:rFonts w:hAnsi="宋体" w:eastAsia="Times New Roman" w:cs="宋体"/>
          <w:color w:val="000000" w:themeColor="text1"/>
          <w:kern w:val="0"/>
          <w:sz w:val="24"/>
          <w14:textFill>
            <w14:solidFill>
              <w14:schemeClr w14:val="tx1"/>
            </w14:solidFill>
          </w14:textFill>
        </w:rPr>
        <w:t>2017</w:t>
      </w:r>
      <w:r>
        <w:rPr>
          <w:rFonts w:ascii="宋体" w:hAnsi="宋体" w:cs="宋体"/>
          <w:color w:val="000000" w:themeColor="text1"/>
          <w:spacing w:val="-24"/>
          <w:kern w:val="0"/>
          <w:sz w:val="24"/>
          <w14:textFill>
            <w14:solidFill>
              <w14:schemeClr w14:val="tx1"/>
            </w14:solidFill>
          </w14:textFill>
        </w:rPr>
        <w:t xml:space="preserve">年 </w:t>
      </w:r>
      <w:r>
        <w:rPr>
          <w:rFonts w:hAnsi="宋体" w:eastAsia="Times New Roman" w:cs="宋体"/>
          <w:color w:val="000000" w:themeColor="text1"/>
          <w:kern w:val="0"/>
          <w:sz w:val="24"/>
          <w14:textFill>
            <w14:solidFill>
              <w14:schemeClr w14:val="tx1"/>
            </w14:solidFill>
          </w14:textFill>
        </w:rPr>
        <w:t>SO</w:t>
      </w:r>
      <w:r>
        <w:rPr>
          <w:rFonts w:hAnsi="宋体" w:eastAsia="Times New Roman" w:cs="宋体"/>
          <w:color w:val="000000" w:themeColor="text1"/>
          <w:kern w:val="0"/>
          <w:position w:val="-2"/>
          <w:sz w:val="16"/>
          <w14:textFill>
            <w14:solidFill>
              <w14:schemeClr w14:val="tx1"/>
            </w14:solidFill>
          </w14:textFill>
        </w:rPr>
        <w:t>2</w:t>
      </w:r>
      <w:r>
        <w:rPr>
          <w:rFonts w:ascii="宋体" w:hAnsi="宋体" w:cs="宋体"/>
          <w:color w:val="000000" w:themeColor="text1"/>
          <w:kern w:val="0"/>
          <w:sz w:val="24"/>
          <w14:textFill>
            <w14:solidFill>
              <w14:schemeClr w14:val="tx1"/>
            </w14:solidFill>
          </w14:textFill>
        </w:rPr>
        <w:t>、</w:t>
      </w:r>
      <w:r>
        <w:rPr>
          <w:rFonts w:hAnsi="宋体" w:eastAsia="Times New Roman" w:cs="宋体"/>
          <w:color w:val="000000" w:themeColor="text1"/>
          <w:kern w:val="0"/>
          <w:sz w:val="24"/>
          <w14:textFill>
            <w14:solidFill>
              <w14:schemeClr w14:val="tx1"/>
            </w14:solidFill>
          </w14:textFill>
        </w:rPr>
        <w:t>NO</w:t>
      </w:r>
      <w:r>
        <w:rPr>
          <w:rFonts w:hAnsi="宋体" w:eastAsia="Times New Roman" w:cs="宋体"/>
          <w:color w:val="000000" w:themeColor="text1"/>
          <w:kern w:val="0"/>
          <w:position w:val="-2"/>
          <w:sz w:val="16"/>
          <w14:textFill>
            <w14:solidFill>
              <w14:schemeClr w14:val="tx1"/>
            </w14:solidFill>
          </w14:textFill>
        </w:rPr>
        <w:t>2</w:t>
      </w:r>
      <w:r>
        <w:rPr>
          <w:rFonts w:ascii="宋体" w:hAnsi="宋体" w:cs="宋体"/>
          <w:color w:val="000000" w:themeColor="text1"/>
          <w:kern w:val="0"/>
          <w:sz w:val="24"/>
          <w14:textFill>
            <w14:solidFill>
              <w14:schemeClr w14:val="tx1"/>
            </w14:solidFill>
          </w14:textFill>
        </w:rPr>
        <w:t>、</w:t>
      </w:r>
      <w:r>
        <w:rPr>
          <w:rFonts w:hAnsi="宋体" w:eastAsia="Times New Roman" w:cs="宋体"/>
          <w:color w:val="000000" w:themeColor="text1"/>
          <w:kern w:val="0"/>
          <w:sz w:val="24"/>
          <w14:textFill>
            <w14:solidFill>
              <w14:schemeClr w14:val="tx1"/>
            </w14:solidFill>
          </w14:textFill>
        </w:rPr>
        <w:t>CO</w:t>
      </w:r>
      <w:r>
        <w:rPr>
          <w:rFonts w:hint="eastAsia" w:hAnsi="宋体" w:cs="宋体" w:eastAsiaTheme="minorEastAsia"/>
          <w:color w:val="000000" w:themeColor="text1"/>
          <w:spacing w:val="58"/>
          <w:kern w:val="0"/>
          <w:sz w:val="24"/>
          <w14:textFill>
            <w14:solidFill>
              <w14:schemeClr w14:val="tx1"/>
            </w14:solidFill>
          </w14:textFill>
        </w:rPr>
        <w:t>、</w:t>
      </w:r>
      <w:r>
        <w:rPr>
          <w:rFonts w:hAnsi="宋体" w:eastAsia="Times New Roman" w:cs="宋体"/>
          <w:color w:val="000000" w:themeColor="text1"/>
          <w:kern w:val="0"/>
          <w:sz w:val="24"/>
          <w14:textFill>
            <w14:solidFill>
              <w14:schemeClr w14:val="tx1"/>
            </w14:solidFill>
          </w14:textFill>
        </w:rPr>
        <w:t>PM</w:t>
      </w:r>
      <w:r>
        <w:rPr>
          <w:rFonts w:hAnsi="宋体" w:eastAsia="Times New Roman" w:cs="宋体"/>
          <w:color w:val="000000" w:themeColor="text1"/>
          <w:kern w:val="0"/>
          <w:position w:val="-2"/>
          <w:sz w:val="16"/>
          <w14:textFill>
            <w14:solidFill>
              <w14:schemeClr w14:val="tx1"/>
            </w14:solidFill>
          </w14:textFill>
        </w:rPr>
        <w:t>10</w:t>
      </w:r>
      <w:r>
        <w:rPr>
          <w:rFonts w:ascii="宋体" w:hAnsi="宋体" w:cs="宋体"/>
          <w:color w:val="000000" w:themeColor="text1"/>
          <w:kern w:val="0"/>
          <w:sz w:val="24"/>
          <w14:textFill>
            <w14:solidFill>
              <w14:schemeClr w14:val="tx1"/>
            </w14:solidFill>
          </w14:textFill>
        </w:rPr>
        <w:t>、</w:t>
      </w:r>
      <w:r>
        <w:rPr>
          <w:rFonts w:hAnsi="宋体" w:eastAsia="Times New Roman" w:cs="宋体"/>
          <w:color w:val="000000" w:themeColor="text1"/>
          <w:kern w:val="0"/>
          <w:sz w:val="24"/>
          <w14:textFill>
            <w14:solidFill>
              <w14:schemeClr w14:val="tx1"/>
            </w14:solidFill>
          </w14:textFill>
        </w:rPr>
        <w:t>PM</w:t>
      </w:r>
      <w:r>
        <w:rPr>
          <w:rFonts w:hAnsi="宋体" w:eastAsia="Times New Roman" w:cs="宋体"/>
          <w:color w:val="000000" w:themeColor="text1"/>
          <w:kern w:val="0"/>
          <w:position w:val="-2"/>
          <w:sz w:val="16"/>
          <w14:textFill>
            <w14:solidFill>
              <w14:schemeClr w14:val="tx1"/>
            </w14:solidFill>
          </w14:textFill>
        </w:rPr>
        <w:t xml:space="preserve">2.5 </w:t>
      </w:r>
      <w:r>
        <w:rPr>
          <w:rFonts w:ascii="宋体" w:hAnsi="宋体" w:cs="宋体"/>
          <w:color w:val="000000" w:themeColor="text1"/>
          <w:spacing w:val="-10"/>
          <w:kern w:val="0"/>
          <w:sz w:val="24"/>
          <w14:textFill>
            <w14:solidFill>
              <w14:schemeClr w14:val="tx1"/>
            </w14:solidFill>
          </w14:textFill>
        </w:rPr>
        <w:t>年均浓度分别为</w:t>
      </w:r>
      <w:r>
        <w:rPr>
          <w:rFonts w:hAnsi="宋体" w:eastAsia="Times New Roman" w:cs="宋体"/>
          <w:color w:val="000000" w:themeColor="text1"/>
          <w:kern w:val="0"/>
          <w:sz w:val="24"/>
          <w14:textFill>
            <w14:solidFill>
              <w14:schemeClr w14:val="tx1"/>
            </w14:solidFill>
          </w14:textFill>
        </w:rPr>
        <w:t>0.013ug/m</w:t>
      </w:r>
      <w:r>
        <w:rPr>
          <w:rFonts w:hAnsi="宋体" w:eastAsia="Times New Roman" w:cs="宋体"/>
          <w:color w:val="000000" w:themeColor="text1"/>
          <w:kern w:val="0"/>
          <w:position w:val="11"/>
          <w:sz w:val="16"/>
          <w14:textFill>
            <w14:solidFill>
              <w14:schemeClr w14:val="tx1"/>
            </w14:solidFill>
          </w14:textFill>
        </w:rPr>
        <w:t>3</w:t>
      </w:r>
      <w:r>
        <w:rPr>
          <w:rFonts w:ascii="宋体" w:hAnsi="宋体" w:cs="宋体"/>
          <w:color w:val="000000" w:themeColor="text1"/>
          <w:kern w:val="0"/>
          <w:sz w:val="24"/>
          <w14:textFill>
            <w14:solidFill>
              <w14:schemeClr w14:val="tx1"/>
            </w14:solidFill>
          </w14:textFill>
        </w:rPr>
        <w:t>、</w:t>
      </w:r>
      <w:r>
        <w:rPr>
          <w:rFonts w:hAnsi="宋体" w:eastAsia="Times New Roman" w:cs="宋体"/>
          <w:color w:val="000000" w:themeColor="text1"/>
          <w:kern w:val="0"/>
          <w:sz w:val="24"/>
          <w14:textFill>
            <w14:solidFill>
              <w14:schemeClr w14:val="tx1"/>
            </w14:solidFill>
          </w14:textFill>
        </w:rPr>
        <w:t>0.021 ug/m</w:t>
      </w:r>
      <w:r>
        <w:rPr>
          <w:rFonts w:hAnsi="宋体" w:eastAsia="Times New Roman" w:cs="宋体"/>
          <w:color w:val="000000" w:themeColor="text1"/>
          <w:kern w:val="0"/>
          <w:position w:val="11"/>
          <w:sz w:val="16"/>
          <w14:textFill>
            <w14:solidFill>
              <w14:schemeClr w14:val="tx1"/>
            </w14:solidFill>
          </w14:textFill>
        </w:rPr>
        <w:t>3</w:t>
      </w:r>
      <w:r>
        <w:rPr>
          <w:rFonts w:ascii="宋体" w:hAnsi="宋体" w:cs="宋体"/>
          <w:color w:val="000000" w:themeColor="text1"/>
          <w:kern w:val="0"/>
          <w:sz w:val="24"/>
          <w14:textFill>
            <w14:solidFill>
              <w14:schemeClr w14:val="tx1"/>
            </w14:solidFill>
          </w14:textFill>
        </w:rPr>
        <w:t>、</w:t>
      </w:r>
      <w:r>
        <w:rPr>
          <w:rFonts w:hAnsi="宋体" w:eastAsia="Times New Roman" w:cs="宋体"/>
          <w:color w:val="000000" w:themeColor="text1"/>
          <w:kern w:val="0"/>
          <w:sz w:val="24"/>
          <w14:textFill>
            <w14:solidFill>
              <w14:schemeClr w14:val="tx1"/>
            </w14:solidFill>
          </w14:textFill>
        </w:rPr>
        <w:t>0.8 ug/m</w:t>
      </w:r>
      <w:r>
        <w:rPr>
          <w:rFonts w:hAnsi="宋体" w:eastAsia="Times New Roman" w:cs="宋体"/>
          <w:color w:val="000000" w:themeColor="text1"/>
          <w:kern w:val="0"/>
          <w:position w:val="11"/>
          <w:sz w:val="16"/>
          <w14:textFill>
            <w14:solidFill>
              <w14:schemeClr w14:val="tx1"/>
            </w14:solidFill>
          </w14:textFill>
        </w:rPr>
        <w:t>3</w:t>
      </w:r>
      <w:r>
        <w:rPr>
          <w:rFonts w:ascii="宋体" w:hAnsi="宋体" w:cs="宋体"/>
          <w:color w:val="000000" w:themeColor="text1"/>
          <w:kern w:val="0"/>
          <w:sz w:val="24"/>
          <w14:textFill>
            <w14:solidFill>
              <w14:schemeClr w14:val="tx1"/>
            </w14:solidFill>
          </w14:textFill>
        </w:rPr>
        <w:t>、</w:t>
      </w:r>
      <w:r>
        <w:rPr>
          <w:rFonts w:hAnsi="宋体" w:eastAsia="Times New Roman" w:cs="宋体"/>
          <w:color w:val="000000" w:themeColor="text1"/>
          <w:kern w:val="0"/>
          <w:sz w:val="24"/>
          <w14:textFill>
            <w14:solidFill>
              <w14:schemeClr w14:val="tx1"/>
            </w14:solidFill>
          </w14:textFill>
        </w:rPr>
        <w:t>0.046ug/m</w:t>
      </w:r>
      <w:r>
        <w:rPr>
          <w:rFonts w:hAnsi="宋体" w:eastAsia="Times New Roman" w:cs="宋体"/>
          <w:color w:val="000000" w:themeColor="text1"/>
          <w:kern w:val="0"/>
          <w:position w:val="11"/>
          <w:sz w:val="16"/>
          <w14:textFill>
            <w14:solidFill>
              <w14:schemeClr w14:val="tx1"/>
            </w14:solidFill>
          </w14:textFill>
        </w:rPr>
        <w:t>3</w:t>
      </w:r>
      <w:r>
        <w:rPr>
          <w:rFonts w:ascii="宋体" w:hAnsi="宋体" w:cs="宋体"/>
          <w:color w:val="000000" w:themeColor="text1"/>
          <w:kern w:val="0"/>
          <w:sz w:val="24"/>
          <w14:textFill>
            <w14:solidFill>
              <w14:schemeClr w14:val="tx1"/>
            </w14:solidFill>
          </w14:textFill>
        </w:rPr>
        <w:t>、</w:t>
      </w:r>
      <w:r>
        <w:rPr>
          <w:rFonts w:hAnsi="宋体" w:eastAsia="Times New Roman" w:cs="宋体"/>
          <w:color w:val="000000" w:themeColor="text1"/>
          <w:kern w:val="0"/>
          <w:sz w:val="24"/>
          <w14:textFill>
            <w14:solidFill>
              <w14:schemeClr w14:val="tx1"/>
            </w14:solidFill>
          </w14:textFill>
        </w:rPr>
        <w:t>0.030ug/m</w:t>
      </w:r>
      <w:r>
        <w:rPr>
          <w:rFonts w:hAnsi="宋体" w:eastAsia="Times New Roman" w:cs="宋体"/>
          <w:color w:val="000000" w:themeColor="text1"/>
          <w:kern w:val="0"/>
          <w:position w:val="11"/>
          <w:sz w:val="16"/>
          <w14:textFill>
            <w14:solidFill>
              <w14:schemeClr w14:val="tx1"/>
            </w14:solidFill>
          </w14:textFill>
        </w:rPr>
        <w:t>3</w:t>
      </w:r>
      <w:r>
        <w:rPr>
          <w:rFonts w:ascii="宋体" w:hAnsi="宋体" w:cs="宋体"/>
          <w:color w:val="000000" w:themeColor="text1"/>
          <w:kern w:val="0"/>
          <w:sz w:val="24"/>
          <w14:textFill>
            <w14:solidFill>
              <w14:schemeClr w14:val="tx1"/>
            </w14:solidFill>
          </w14:textFill>
        </w:rPr>
        <w:t>；</w:t>
      </w:r>
      <w:r>
        <w:rPr>
          <w:rFonts w:ascii="宋体" w:hAnsi="宋体" w:cs="宋体"/>
          <w:color w:val="000000" w:themeColor="text1"/>
          <w:spacing w:val="-8"/>
          <w:kern w:val="0"/>
          <w:sz w:val="24"/>
          <w14:textFill>
            <w14:solidFill>
              <w14:schemeClr w14:val="tx1"/>
            </w14:solidFill>
          </w14:textFill>
        </w:rPr>
        <w:t>各污染物平均浓度均优于《环境空气质量标准</w:t>
      </w:r>
      <w:r>
        <w:rPr>
          <w:rFonts w:ascii="宋体" w:hAnsi="宋体" w:cs="宋体"/>
          <w:color w:val="000000" w:themeColor="text1"/>
          <w:spacing w:val="-180"/>
          <w:kern w:val="0"/>
          <w:sz w:val="24"/>
          <w14:textFill>
            <w14:solidFill>
              <w14:schemeClr w14:val="tx1"/>
            </w14:solidFill>
          </w14:textFill>
        </w:rPr>
        <w:t>》</w:t>
      </w:r>
      <w:r>
        <w:rPr>
          <w:rFonts w:ascii="宋体" w:hAnsi="宋体" w:cs="宋体"/>
          <w:color w:val="000000" w:themeColor="text1"/>
          <w:kern w:val="0"/>
          <w:sz w:val="24"/>
          <w14:textFill>
            <w14:solidFill>
              <w14:schemeClr w14:val="tx1"/>
            </w14:solidFill>
          </w14:textFill>
        </w:rPr>
        <w:t>（</w:t>
      </w:r>
      <w:r>
        <w:rPr>
          <w:rFonts w:hAnsi="宋体" w:eastAsia="Times New Roman" w:cs="宋体"/>
          <w:color w:val="000000" w:themeColor="text1"/>
          <w:kern w:val="0"/>
          <w:sz w:val="24"/>
          <w14:textFill>
            <w14:solidFill>
              <w14:schemeClr w14:val="tx1"/>
            </w14:solidFill>
          </w14:textFill>
        </w:rPr>
        <w:t>GB3095-2012</w:t>
      </w:r>
      <w:r>
        <w:rPr>
          <w:rFonts w:ascii="宋体" w:hAnsi="宋体" w:cs="宋体"/>
          <w:color w:val="000000" w:themeColor="text1"/>
          <w:kern w:val="0"/>
          <w:sz w:val="24"/>
          <w14:textFill>
            <w14:solidFill>
              <w14:schemeClr w14:val="tx1"/>
            </w14:solidFill>
          </w14:textFill>
        </w:rPr>
        <w:t>） 中二级标准限值，属于达标区。</w:t>
      </w:r>
    </w:p>
    <w:p w14:paraId="62BE0EA6">
      <w:pPr>
        <w:adjustRightInd w:val="0"/>
        <w:snapToGrid w:val="0"/>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2、补充监测</w:t>
      </w:r>
    </w:p>
    <w:p w14:paraId="306777FB">
      <w:pPr>
        <w:adjustRightInd w:val="0"/>
        <w:snapToGrid w:val="0"/>
        <w:spacing w:line="360" w:lineRule="auto"/>
        <w:ind w:firstLine="480"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监测点布设</w:t>
      </w:r>
    </w:p>
    <w:p w14:paraId="48AB530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根据评价区主导风向、风频、区域的环境特征，综合参考区域内城镇、居民点分布情况，在评价范围内共布设了2个环境空气质量现状监测点（项目区上风向户焕1#、项目区下风向四分场四队2#）。</w:t>
      </w:r>
    </w:p>
    <w:p w14:paraId="71FFB25A">
      <w:pPr>
        <w:adjustRightInd w:val="0"/>
        <w:snapToGrid w:val="0"/>
        <w:spacing w:line="360" w:lineRule="auto"/>
        <w:ind w:firstLine="480"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监测项目、时间与频次</w:t>
      </w:r>
    </w:p>
    <w:p w14:paraId="7F246C44">
      <w:pPr>
        <w:adjustRightInd w:val="0"/>
        <w:snapToGrid w:val="0"/>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监测项目：</w:t>
      </w:r>
      <w:r>
        <w:rPr>
          <w:color w:val="000000" w:themeColor="text1"/>
          <w:sz w:val="24"/>
          <w14:textFill>
            <w14:solidFill>
              <w14:schemeClr w14:val="tx1"/>
            </w14:solidFill>
          </w14:textFill>
        </w:rPr>
        <w:t>TSP、PM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、非甲烷总烃，共6项。</w:t>
      </w:r>
    </w:p>
    <w:p w14:paraId="424450DD">
      <w:pPr>
        <w:adjustRightInd w:val="0"/>
        <w:snapToGrid w:val="0"/>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监测时间：</w:t>
      </w:r>
      <w:r>
        <w:rPr>
          <w:color w:val="000000" w:themeColor="text1"/>
          <w:sz w:val="24"/>
          <w14:textFill>
            <w14:solidFill>
              <w14:schemeClr w14:val="tx1"/>
            </w14:solidFill>
          </w14:textFill>
        </w:rPr>
        <w:t>2018年12月19日~26日；</w:t>
      </w:r>
    </w:p>
    <w:p w14:paraId="1545315F">
      <w:pPr>
        <w:adjustRightInd w:val="0"/>
        <w:snapToGrid w:val="0"/>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监测频次：</w:t>
      </w:r>
      <w:r>
        <w:rPr>
          <w:color w:val="000000" w:themeColor="text1"/>
          <w:sz w:val="24"/>
          <w14:textFill>
            <w14:solidFill>
              <w14:schemeClr w14:val="tx1"/>
            </w14:solidFill>
          </w14:textFill>
        </w:rPr>
        <w:t>连续7天监测，NO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 xml:space="preserve"> 包括 1 小时平均浓度（4 个时段）和 24 小时平均浓度，TSP、PM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 xml:space="preserve"> 包括 24 小时平均浓度，非甲烷总烃 1 小时平均浓 度（4 个时段）。 </w:t>
      </w:r>
    </w:p>
    <w:p w14:paraId="70A44682">
      <w:pPr>
        <w:adjustRightInd w:val="0"/>
        <w:snapToGrid w:val="0"/>
        <w:spacing w:line="360" w:lineRule="auto"/>
        <w:ind w:firstLine="480"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监测结果统计与评价</w:t>
      </w:r>
    </w:p>
    <w:p w14:paraId="2A6D97B1">
      <w:pPr>
        <w:adjustRightInd w:val="0"/>
        <w:snapToGrid w:val="0"/>
        <w:spacing w:line="360" w:lineRule="auto"/>
        <w:ind w:firstLine="420" w:firstLineChars="200"/>
        <w:rPr>
          <w:color w:val="000000" w:themeColor="text1"/>
          <w:sz w:val="24"/>
          <w14:textFill>
            <w14:solidFill>
              <w14:schemeClr w14:val="tx1"/>
            </w14:solidFill>
          </w14:textFill>
        </w:rPr>
      </w:pPr>
      <w:r>
        <w:fldChar w:fldCharType="begin"/>
      </w:r>
      <w:r>
        <w:instrText xml:space="preserve"> HYPERLINK \l "_bookmark127" </w:instrText>
      </w:r>
      <w:r>
        <w:fldChar w:fldCharType="separate"/>
      </w:r>
      <w:r>
        <w:rPr>
          <w:color w:val="000000" w:themeColor="text1"/>
          <w:sz w:val="24"/>
          <w14:textFill>
            <w14:solidFill>
              <w14:schemeClr w14:val="tx1"/>
            </w14:solidFill>
          </w14:textFill>
        </w:rPr>
        <w:t>环境空气质量现状监测汇总统计结果见表4.5-1~4.5-2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w:t>
      </w:r>
    </w:p>
    <w:p w14:paraId="4185CFF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TSP、PM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、非甲烷总烃，监测值对照 GB3095-2012《环境空气质量标准》评价。</w:t>
      </w:r>
    </w:p>
    <w:p w14:paraId="4BA9EAE0">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表4.2-2  空气质量日均浓度统计及评价</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74"/>
        <w:gridCol w:w="2086"/>
        <w:gridCol w:w="990"/>
        <w:gridCol w:w="750"/>
        <w:gridCol w:w="807"/>
        <w:gridCol w:w="750"/>
        <w:gridCol w:w="750"/>
        <w:gridCol w:w="1315"/>
      </w:tblGrid>
      <w:tr w14:paraId="56CBBA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01" w:type="dxa"/>
            <w:shd w:val="clear" w:color="auto" w:fill="auto"/>
            <w:vAlign w:val="center"/>
          </w:tcPr>
          <w:p w14:paraId="3C2BBDC2">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监测点位</w:t>
            </w:r>
          </w:p>
        </w:tc>
        <w:tc>
          <w:tcPr>
            <w:tcW w:w="2126" w:type="dxa"/>
            <w:shd w:val="clear" w:color="auto" w:fill="auto"/>
            <w:vAlign w:val="center"/>
          </w:tcPr>
          <w:p w14:paraId="37E3BE51">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w:t>
            </w:r>
          </w:p>
        </w:tc>
        <w:tc>
          <w:tcPr>
            <w:tcW w:w="992" w:type="dxa"/>
            <w:shd w:val="clear" w:color="auto" w:fill="auto"/>
            <w:vAlign w:val="center"/>
          </w:tcPr>
          <w:p w14:paraId="3D840EFE">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TSP</w:t>
            </w:r>
          </w:p>
        </w:tc>
        <w:tc>
          <w:tcPr>
            <w:tcW w:w="750" w:type="dxa"/>
            <w:shd w:val="clear" w:color="auto" w:fill="auto"/>
            <w:vAlign w:val="center"/>
          </w:tcPr>
          <w:p w14:paraId="3CF37FC0">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PM</w:t>
            </w:r>
            <w:r>
              <w:rPr>
                <w:b/>
                <w:color w:val="000000" w:themeColor="text1"/>
                <w:szCs w:val="21"/>
                <w:vertAlign w:val="subscript"/>
                <w14:textFill>
                  <w14:solidFill>
                    <w14:schemeClr w14:val="tx1"/>
                  </w14:solidFill>
                </w14:textFill>
              </w:rPr>
              <w:t>10</w:t>
            </w:r>
          </w:p>
        </w:tc>
        <w:tc>
          <w:tcPr>
            <w:tcW w:w="809" w:type="dxa"/>
            <w:vAlign w:val="center"/>
          </w:tcPr>
          <w:p w14:paraId="617BCC38">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PM</w:t>
            </w:r>
            <w:r>
              <w:rPr>
                <w:b/>
                <w:color w:val="000000" w:themeColor="text1"/>
                <w:szCs w:val="21"/>
                <w:vertAlign w:val="subscript"/>
                <w14:textFill>
                  <w14:solidFill>
                    <w14:schemeClr w14:val="tx1"/>
                  </w14:solidFill>
                </w14:textFill>
              </w:rPr>
              <w:t>2.5</w:t>
            </w:r>
          </w:p>
        </w:tc>
        <w:tc>
          <w:tcPr>
            <w:tcW w:w="750" w:type="dxa"/>
            <w:shd w:val="clear" w:color="auto" w:fill="auto"/>
            <w:vAlign w:val="center"/>
          </w:tcPr>
          <w:p w14:paraId="67CAD401">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SO</w:t>
            </w:r>
            <w:r>
              <w:rPr>
                <w:b/>
                <w:color w:val="000000" w:themeColor="text1"/>
                <w:szCs w:val="21"/>
                <w:vertAlign w:val="subscript"/>
                <w14:textFill>
                  <w14:solidFill>
                    <w14:schemeClr w14:val="tx1"/>
                  </w14:solidFill>
                </w14:textFill>
              </w:rPr>
              <w:t>2</w:t>
            </w:r>
          </w:p>
        </w:tc>
        <w:tc>
          <w:tcPr>
            <w:tcW w:w="668" w:type="dxa"/>
            <w:shd w:val="clear" w:color="auto" w:fill="auto"/>
            <w:vAlign w:val="center"/>
          </w:tcPr>
          <w:p w14:paraId="3E9834DA">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NO</w:t>
            </w:r>
            <w:r>
              <w:rPr>
                <w:b/>
                <w:color w:val="000000" w:themeColor="text1"/>
                <w:szCs w:val="21"/>
                <w:vertAlign w:val="subscript"/>
                <w14:textFill>
                  <w14:solidFill>
                    <w14:schemeClr w14:val="tx1"/>
                  </w14:solidFill>
                </w14:textFill>
              </w:rPr>
              <w:t>2</w:t>
            </w:r>
          </w:p>
        </w:tc>
        <w:tc>
          <w:tcPr>
            <w:tcW w:w="1326" w:type="dxa"/>
            <w:vAlign w:val="center"/>
          </w:tcPr>
          <w:p w14:paraId="2215AA10">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非甲烷总烃</w:t>
            </w:r>
          </w:p>
        </w:tc>
      </w:tr>
      <w:tr w14:paraId="602222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01" w:type="dxa"/>
            <w:vMerge w:val="restart"/>
            <w:shd w:val="clear" w:color="auto" w:fill="auto"/>
            <w:vAlign w:val="center"/>
          </w:tcPr>
          <w:p w14:paraId="1ADF57BF">
            <w:pPr>
              <w:widowControl/>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户焕1#</w:t>
            </w:r>
          </w:p>
        </w:tc>
        <w:tc>
          <w:tcPr>
            <w:tcW w:w="2126" w:type="dxa"/>
            <w:shd w:val="clear" w:color="auto" w:fill="auto"/>
            <w:vAlign w:val="center"/>
          </w:tcPr>
          <w:p w14:paraId="062088F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日均值范围（ug/m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992" w:type="dxa"/>
            <w:shd w:val="clear" w:color="auto" w:fill="auto"/>
            <w:vAlign w:val="center"/>
          </w:tcPr>
          <w:p w14:paraId="435F79BF">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86~105</w:t>
            </w:r>
          </w:p>
        </w:tc>
        <w:tc>
          <w:tcPr>
            <w:tcW w:w="750" w:type="dxa"/>
            <w:shd w:val="clear" w:color="auto" w:fill="auto"/>
            <w:noWrap/>
            <w:vAlign w:val="center"/>
          </w:tcPr>
          <w:p w14:paraId="2C32127E">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46~62</w:t>
            </w:r>
          </w:p>
        </w:tc>
        <w:tc>
          <w:tcPr>
            <w:tcW w:w="809" w:type="dxa"/>
            <w:vAlign w:val="center"/>
          </w:tcPr>
          <w:p w14:paraId="5F59CCC6">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26~33</w:t>
            </w:r>
          </w:p>
        </w:tc>
        <w:tc>
          <w:tcPr>
            <w:tcW w:w="750" w:type="dxa"/>
            <w:shd w:val="clear" w:color="auto" w:fill="auto"/>
            <w:noWrap/>
            <w:vAlign w:val="center"/>
          </w:tcPr>
          <w:p w14:paraId="287AF13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9~13</w:t>
            </w:r>
          </w:p>
        </w:tc>
        <w:tc>
          <w:tcPr>
            <w:tcW w:w="668" w:type="dxa"/>
            <w:shd w:val="clear" w:color="auto" w:fill="auto"/>
            <w:noWrap/>
            <w:vAlign w:val="center"/>
          </w:tcPr>
          <w:p w14:paraId="5E08ADC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10~13</w:t>
            </w:r>
          </w:p>
        </w:tc>
        <w:tc>
          <w:tcPr>
            <w:tcW w:w="1326" w:type="dxa"/>
            <w:vAlign w:val="center"/>
          </w:tcPr>
          <w:p w14:paraId="0ED0D728">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0.67~1.41</w:t>
            </w:r>
          </w:p>
        </w:tc>
      </w:tr>
      <w:tr w14:paraId="504AD1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 w:hRule="atLeast"/>
          <w:jc w:val="center"/>
        </w:trPr>
        <w:tc>
          <w:tcPr>
            <w:tcW w:w="1101" w:type="dxa"/>
            <w:vMerge w:val="continue"/>
            <w:vAlign w:val="center"/>
          </w:tcPr>
          <w:p w14:paraId="1A3E63F5">
            <w:pPr>
              <w:widowControl/>
              <w:jc w:val="center"/>
              <w:rPr>
                <w:b/>
                <w:color w:val="000000" w:themeColor="text1"/>
                <w:szCs w:val="21"/>
                <w14:textFill>
                  <w14:solidFill>
                    <w14:schemeClr w14:val="tx1"/>
                  </w14:solidFill>
                </w14:textFill>
              </w:rPr>
            </w:pPr>
          </w:p>
        </w:tc>
        <w:tc>
          <w:tcPr>
            <w:tcW w:w="2126" w:type="dxa"/>
            <w:shd w:val="clear" w:color="auto" w:fill="auto"/>
            <w:vAlign w:val="center"/>
          </w:tcPr>
          <w:p w14:paraId="63013D8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 （ug/m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992" w:type="dxa"/>
            <w:shd w:val="clear" w:color="auto" w:fill="auto"/>
            <w:vAlign w:val="center"/>
          </w:tcPr>
          <w:p w14:paraId="451C989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750" w:type="dxa"/>
            <w:shd w:val="clear" w:color="auto" w:fill="auto"/>
            <w:vAlign w:val="center"/>
          </w:tcPr>
          <w:p w14:paraId="52D5A5DF">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809" w:type="dxa"/>
            <w:vAlign w:val="center"/>
          </w:tcPr>
          <w:p w14:paraId="4F61D60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750" w:type="dxa"/>
            <w:shd w:val="clear" w:color="auto" w:fill="auto"/>
            <w:vAlign w:val="center"/>
          </w:tcPr>
          <w:p w14:paraId="581C2333">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668" w:type="dxa"/>
            <w:shd w:val="clear" w:color="auto" w:fill="auto"/>
            <w:vAlign w:val="center"/>
          </w:tcPr>
          <w:p w14:paraId="3E82B18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1326" w:type="dxa"/>
            <w:vAlign w:val="center"/>
          </w:tcPr>
          <w:p w14:paraId="6A0469D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14:paraId="3BDA10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01" w:type="dxa"/>
            <w:vMerge w:val="continue"/>
            <w:vAlign w:val="center"/>
          </w:tcPr>
          <w:p w14:paraId="60598FAA">
            <w:pPr>
              <w:widowControl/>
              <w:jc w:val="center"/>
              <w:rPr>
                <w:b/>
                <w:color w:val="000000" w:themeColor="text1"/>
                <w:szCs w:val="21"/>
                <w14:textFill>
                  <w14:solidFill>
                    <w14:schemeClr w14:val="tx1"/>
                  </w14:solidFill>
                </w14:textFill>
              </w:rPr>
            </w:pPr>
          </w:p>
        </w:tc>
        <w:tc>
          <w:tcPr>
            <w:tcW w:w="2126" w:type="dxa"/>
            <w:shd w:val="clear" w:color="auto" w:fill="auto"/>
            <w:vAlign w:val="center"/>
          </w:tcPr>
          <w:p w14:paraId="58DA0C3F">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达标分析</w:t>
            </w:r>
          </w:p>
        </w:tc>
        <w:tc>
          <w:tcPr>
            <w:tcW w:w="992" w:type="dxa"/>
            <w:shd w:val="clear" w:color="auto" w:fill="auto"/>
            <w:vAlign w:val="center"/>
          </w:tcPr>
          <w:p w14:paraId="7B8A878C">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50" w:type="dxa"/>
            <w:shd w:val="clear" w:color="auto" w:fill="auto"/>
            <w:vAlign w:val="center"/>
          </w:tcPr>
          <w:p w14:paraId="603A350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809" w:type="dxa"/>
            <w:vAlign w:val="center"/>
          </w:tcPr>
          <w:p w14:paraId="21B1502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50" w:type="dxa"/>
            <w:shd w:val="clear" w:color="auto" w:fill="auto"/>
            <w:vAlign w:val="center"/>
          </w:tcPr>
          <w:p w14:paraId="09F8217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668" w:type="dxa"/>
            <w:shd w:val="clear" w:color="auto" w:fill="auto"/>
            <w:vAlign w:val="center"/>
          </w:tcPr>
          <w:p w14:paraId="3365833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1326" w:type="dxa"/>
            <w:vAlign w:val="center"/>
          </w:tcPr>
          <w:p w14:paraId="4A07BC1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78C8DF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01" w:type="dxa"/>
            <w:vMerge w:val="restart"/>
            <w:shd w:val="clear" w:color="auto" w:fill="auto"/>
            <w:vAlign w:val="center"/>
          </w:tcPr>
          <w:p w14:paraId="16AC6169">
            <w:pPr>
              <w:widowControl/>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四分场四队2#</w:t>
            </w:r>
          </w:p>
        </w:tc>
        <w:tc>
          <w:tcPr>
            <w:tcW w:w="2126" w:type="dxa"/>
            <w:shd w:val="clear" w:color="auto" w:fill="auto"/>
            <w:vAlign w:val="center"/>
          </w:tcPr>
          <w:p w14:paraId="469ED50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日均值范围（ug/m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992" w:type="dxa"/>
            <w:shd w:val="clear" w:color="auto" w:fill="auto"/>
            <w:vAlign w:val="center"/>
          </w:tcPr>
          <w:p w14:paraId="3D68BCB3">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119~150</w:t>
            </w:r>
          </w:p>
        </w:tc>
        <w:tc>
          <w:tcPr>
            <w:tcW w:w="750" w:type="dxa"/>
            <w:shd w:val="clear" w:color="auto" w:fill="auto"/>
            <w:noWrap/>
            <w:vAlign w:val="center"/>
          </w:tcPr>
          <w:p w14:paraId="557B8F53">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66~81</w:t>
            </w:r>
          </w:p>
        </w:tc>
        <w:tc>
          <w:tcPr>
            <w:tcW w:w="809" w:type="dxa"/>
            <w:vAlign w:val="center"/>
          </w:tcPr>
          <w:p w14:paraId="1715654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35~43</w:t>
            </w:r>
          </w:p>
        </w:tc>
        <w:tc>
          <w:tcPr>
            <w:tcW w:w="750" w:type="dxa"/>
            <w:shd w:val="clear" w:color="auto" w:fill="auto"/>
            <w:noWrap/>
            <w:vAlign w:val="center"/>
          </w:tcPr>
          <w:p w14:paraId="2273704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12~14</w:t>
            </w:r>
          </w:p>
        </w:tc>
        <w:tc>
          <w:tcPr>
            <w:tcW w:w="668" w:type="dxa"/>
            <w:shd w:val="clear" w:color="auto" w:fill="auto"/>
            <w:noWrap/>
            <w:vAlign w:val="center"/>
          </w:tcPr>
          <w:p w14:paraId="3EBC47AD">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13~15</w:t>
            </w:r>
          </w:p>
        </w:tc>
        <w:tc>
          <w:tcPr>
            <w:tcW w:w="1326" w:type="dxa"/>
            <w:vAlign w:val="center"/>
          </w:tcPr>
          <w:p w14:paraId="6832B20E">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0.71~1.68</w:t>
            </w:r>
          </w:p>
        </w:tc>
      </w:tr>
      <w:tr w14:paraId="6613A3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01" w:type="dxa"/>
            <w:vMerge w:val="continue"/>
            <w:vAlign w:val="center"/>
          </w:tcPr>
          <w:p w14:paraId="547F52F0">
            <w:pPr>
              <w:widowControl/>
              <w:jc w:val="center"/>
              <w:rPr>
                <w:b/>
                <w:color w:val="000000" w:themeColor="text1"/>
                <w:szCs w:val="21"/>
                <w14:textFill>
                  <w14:solidFill>
                    <w14:schemeClr w14:val="tx1"/>
                  </w14:solidFill>
                </w14:textFill>
              </w:rPr>
            </w:pPr>
          </w:p>
        </w:tc>
        <w:tc>
          <w:tcPr>
            <w:tcW w:w="2126" w:type="dxa"/>
            <w:shd w:val="clear" w:color="auto" w:fill="auto"/>
            <w:vAlign w:val="center"/>
          </w:tcPr>
          <w:p w14:paraId="25D069A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标准值（ug/m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992" w:type="dxa"/>
            <w:shd w:val="clear" w:color="auto" w:fill="auto"/>
            <w:vAlign w:val="center"/>
          </w:tcPr>
          <w:p w14:paraId="68C1A3D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750" w:type="dxa"/>
            <w:shd w:val="clear" w:color="auto" w:fill="auto"/>
            <w:vAlign w:val="center"/>
          </w:tcPr>
          <w:p w14:paraId="40D7A9D9">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809" w:type="dxa"/>
            <w:vAlign w:val="center"/>
          </w:tcPr>
          <w:p w14:paraId="18ABCD96">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750" w:type="dxa"/>
            <w:shd w:val="clear" w:color="auto" w:fill="auto"/>
            <w:vAlign w:val="center"/>
          </w:tcPr>
          <w:p w14:paraId="2F8B84D9">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668" w:type="dxa"/>
            <w:shd w:val="clear" w:color="auto" w:fill="auto"/>
            <w:vAlign w:val="center"/>
          </w:tcPr>
          <w:p w14:paraId="322CC60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1326" w:type="dxa"/>
            <w:vAlign w:val="center"/>
          </w:tcPr>
          <w:p w14:paraId="5CBF612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14:paraId="745FD1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01" w:type="dxa"/>
            <w:vMerge w:val="continue"/>
            <w:vAlign w:val="center"/>
          </w:tcPr>
          <w:p w14:paraId="6F66DADB">
            <w:pPr>
              <w:widowControl/>
              <w:jc w:val="center"/>
              <w:rPr>
                <w:b/>
                <w:color w:val="000000" w:themeColor="text1"/>
                <w:szCs w:val="21"/>
                <w14:textFill>
                  <w14:solidFill>
                    <w14:schemeClr w14:val="tx1"/>
                  </w14:solidFill>
                </w14:textFill>
              </w:rPr>
            </w:pPr>
          </w:p>
        </w:tc>
        <w:tc>
          <w:tcPr>
            <w:tcW w:w="2126" w:type="dxa"/>
            <w:shd w:val="clear" w:color="auto" w:fill="auto"/>
            <w:vAlign w:val="center"/>
          </w:tcPr>
          <w:p w14:paraId="432780D4">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达标分析</w:t>
            </w:r>
          </w:p>
        </w:tc>
        <w:tc>
          <w:tcPr>
            <w:tcW w:w="992" w:type="dxa"/>
            <w:shd w:val="clear" w:color="auto" w:fill="auto"/>
            <w:vAlign w:val="center"/>
          </w:tcPr>
          <w:p w14:paraId="7DE514AE">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50" w:type="dxa"/>
            <w:shd w:val="clear" w:color="auto" w:fill="auto"/>
            <w:vAlign w:val="center"/>
          </w:tcPr>
          <w:p w14:paraId="3B6DCC7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809" w:type="dxa"/>
            <w:vAlign w:val="center"/>
          </w:tcPr>
          <w:p w14:paraId="4141CC7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50" w:type="dxa"/>
            <w:shd w:val="clear" w:color="auto" w:fill="auto"/>
            <w:vAlign w:val="center"/>
          </w:tcPr>
          <w:p w14:paraId="5DC97BB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668" w:type="dxa"/>
            <w:shd w:val="clear" w:color="auto" w:fill="auto"/>
            <w:vAlign w:val="center"/>
          </w:tcPr>
          <w:p w14:paraId="4BC511F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1326" w:type="dxa"/>
            <w:vAlign w:val="center"/>
          </w:tcPr>
          <w:p w14:paraId="45BD6FC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bl>
    <w:p w14:paraId="3F746D29">
      <w:pPr>
        <w:jc w:val="center"/>
        <w:rPr>
          <w:b/>
          <w:bCs/>
          <w:color w:val="000000" w:themeColor="text1"/>
          <w:sz w:val="24"/>
          <w14:textFill>
            <w14:solidFill>
              <w14:schemeClr w14:val="tx1"/>
            </w14:solidFill>
          </w14:textFill>
        </w:rPr>
      </w:pPr>
    </w:p>
    <w:p w14:paraId="05577B43">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表4.2-3   空气质量小时浓度统计</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9"/>
        <w:gridCol w:w="1273"/>
        <w:gridCol w:w="1254"/>
        <w:gridCol w:w="910"/>
        <w:gridCol w:w="994"/>
        <w:gridCol w:w="1271"/>
        <w:gridCol w:w="849"/>
        <w:gridCol w:w="1035"/>
        <w:gridCol w:w="7"/>
      </w:tblGrid>
      <w:tr w14:paraId="0479AB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0" w:hRule="atLeast"/>
          <w:jc w:val="center"/>
        </w:trPr>
        <w:tc>
          <w:tcPr>
            <w:tcW w:w="545" w:type="pct"/>
            <w:vMerge w:val="restart"/>
            <w:shd w:val="clear" w:color="auto" w:fill="auto"/>
            <w:vAlign w:val="center"/>
          </w:tcPr>
          <w:p w14:paraId="277BC2D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监测因子</w:t>
            </w:r>
          </w:p>
        </w:tc>
        <w:tc>
          <w:tcPr>
            <w:tcW w:w="747" w:type="pct"/>
            <w:vMerge w:val="restart"/>
            <w:shd w:val="clear" w:color="auto" w:fill="auto"/>
            <w:vAlign w:val="center"/>
          </w:tcPr>
          <w:p w14:paraId="0696076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日期</w:t>
            </w:r>
          </w:p>
        </w:tc>
        <w:tc>
          <w:tcPr>
            <w:tcW w:w="1853" w:type="pct"/>
            <w:gridSpan w:val="3"/>
            <w:shd w:val="clear" w:color="auto" w:fill="auto"/>
            <w:vAlign w:val="center"/>
          </w:tcPr>
          <w:p w14:paraId="785EDEF1">
            <w:pPr>
              <w:widowControl/>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户焕1#</w:t>
            </w:r>
          </w:p>
        </w:tc>
        <w:tc>
          <w:tcPr>
            <w:tcW w:w="1855" w:type="pct"/>
            <w:gridSpan w:val="4"/>
            <w:shd w:val="clear" w:color="auto" w:fill="auto"/>
            <w:vAlign w:val="center"/>
          </w:tcPr>
          <w:p w14:paraId="5A4CCE4B">
            <w:pPr>
              <w:widowControl/>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四分场四队2#</w:t>
            </w:r>
          </w:p>
        </w:tc>
      </w:tr>
      <w:tr w14:paraId="331900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shd w:val="clear" w:color="auto" w:fill="auto"/>
            <w:vAlign w:val="center"/>
          </w:tcPr>
          <w:p w14:paraId="197FBAAD">
            <w:pPr>
              <w:widowControl/>
              <w:jc w:val="center"/>
              <w:rPr>
                <w:b/>
                <w:color w:val="000000" w:themeColor="text1"/>
                <w:szCs w:val="21"/>
                <w14:textFill>
                  <w14:solidFill>
                    <w14:schemeClr w14:val="tx1"/>
                  </w14:solidFill>
                </w14:textFill>
              </w:rPr>
            </w:pPr>
          </w:p>
        </w:tc>
        <w:tc>
          <w:tcPr>
            <w:tcW w:w="747" w:type="pct"/>
            <w:vMerge w:val="continue"/>
            <w:shd w:val="clear" w:color="auto" w:fill="auto"/>
            <w:vAlign w:val="center"/>
          </w:tcPr>
          <w:p w14:paraId="6AADB080">
            <w:pPr>
              <w:widowControl/>
              <w:jc w:val="center"/>
              <w:rPr>
                <w:b/>
                <w:color w:val="000000" w:themeColor="text1"/>
                <w:szCs w:val="21"/>
                <w14:textFill>
                  <w14:solidFill>
                    <w14:schemeClr w14:val="tx1"/>
                  </w14:solidFill>
                </w14:textFill>
              </w:rPr>
            </w:pPr>
          </w:p>
        </w:tc>
        <w:tc>
          <w:tcPr>
            <w:tcW w:w="736" w:type="pct"/>
            <w:shd w:val="clear" w:color="auto" w:fill="auto"/>
            <w:vAlign w:val="center"/>
          </w:tcPr>
          <w:p w14:paraId="6B205E33">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监测数据ug/m</w:t>
            </w:r>
            <w:r>
              <w:rPr>
                <w:b/>
                <w:color w:val="000000" w:themeColor="text1"/>
                <w:szCs w:val="21"/>
                <w:vertAlign w:val="superscript"/>
                <w14:textFill>
                  <w14:solidFill>
                    <w14:schemeClr w14:val="tx1"/>
                  </w14:solidFill>
                </w14:textFill>
              </w:rPr>
              <w:t>3</w:t>
            </w:r>
          </w:p>
        </w:tc>
        <w:tc>
          <w:tcPr>
            <w:tcW w:w="534" w:type="pct"/>
            <w:shd w:val="clear" w:color="auto" w:fill="auto"/>
            <w:vAlign w:val="center"/>
          </w:tcPr>
          <w:p w14:paraId="76AA8EC2">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标准值ug/m</w:t>
            </w:r>
            <w:r>
              <w:rPr>
                <w:b/>
                <w:color w:val="000000" w:themeColor="text1"/>
                <w:szCs w:val="21"/>
                <w:vertAlign w:val="superscript"/>
                <w14:textFill>
                  <w14:solidFill>
                    <w14:schemeClr w14:val="tx1"/>
                  </w14:solidFill>
                </w14:textFill>
              </w:rPr>
              <w:t>3</w:t>
            </w:r>
          </w:p>
        </w:tc>
        <w:tc>
          <w:tcPr>
            <w:tcW w:w="583" w:type="pct"/>
            <w:shd w:val="clear" w:color="auto" w:fill="auto"/>
            <w:vAlign w:val="center"/>
          </w:tcPr>
          <w:p w14:paraId="78AE67A0">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达标评价</w:t>
            </w:r>
          </w:p>
        </w:tc>
        <w:tc>
          <w:tcPr>
            <w:tcW w:w="746" w:type="pct"/>
            <w:shd w:val="clear" w:color="auto" w:fill="auto"/>
            <w:vAlign w:val="center"/>
          </w:tcPr>
          <w:p w14:paraId="1DAA0285">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监测数据ug/m</w:t>
            </w:r>
            <w:r>
              <w:rPr>
                <w:b/>
                <w:color w:val="000000" w:themeColor="text1"/>
                <w:szCs w:val="21"/>
                <w:vertAlign w:val="superscript"/>
                <w14:textFill>
                  <w14:solidFill>
                    <w14:schemeClr w14:val="tx1"/>
                  </w14:solidFill>
                </w14:textFill>
              </w:rPr>
              <w:t>3</w:t>
            </w:r>
          </w:p>
        </w:tc>
        <w:tc>
          <w:tcPr>
            <w:tcW w:w="498" w:type="pct"/>
            <w:shd w:val="clear" w:color="auto" w:fill="auto"/>
            <w:vAlign w:val="center"/>
          </w:tcPr>
          <w:p w14:paraId="65A92ACA">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标准值ug/m</w:t>
            </w:r>
            <w:r>
              <w:rPr>
                <w:b/>
                <w:color w:val="000000" w:themeColor="text1"/>
                <w:szCs w:val="21"/>
                <w:vertAlign w:val="superscript"/>
                <w14:textFill>
                  <w14:solidFill>
                    <w14:schemeClr w14:val="tx1"/>
                  </w14:solidFill>
                </w14:textFill>
              </w:rPr>
              <w:t>3</w:t>
            </w:r>
          </w:p>
        </w:tc>
        <w:tc>
          <w:tcPr>
            <w:tcW w:w="607" w:type="pct"/>
            <w:shd w:val="clear" w:color="auto" w:fill="auto"/>
            <w:vAlign w:val="center"/>
          </w:tcPr>
          <w:p w14:paraId="5D66C7A2">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达标评价</w:t>
            </w:r>
          </w:p>
        </w:tc>
      </w:tr>
      <w:tr w14:paraId="5F4DA0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restart"/>
            <w:shd w:val="clear" w:color="auto" w:fill="auto"/>
            <w:vAlign w:val="center"/>
          </w:tcPr>
          <w:p w14:paraId="579F1696">
            <w:pPr>
              <w:widowControl/>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SO</w:t>
            </w:r>
            <w:r>
              <w:rPr>
                <w:b/>
                <w:color w:val="000000" w:themeColor="text1"/>
                <w:szCs w:val="21"/>
                <w:vertAlign w:val="subscript"/>
                <w14:textFill>
                  <w14:solidFill>
                    <w14:schemeClr w14:val="tx1"/>
                  </w14:solidFill>
                </w14:textFill>
              </w:rPr>
              <w:t>2</w:t>
            </w:r>
          </w:p>
        </w:tc>
        <w:tc>
          <w:tcPr>
            <w:tcW w:w="747" w:type="pct"/>
            <w:shd w:val="clear" w:color="auto" w:fill="auto"/>
            <w:vAlign w:val="center"/>
          </w:tcPr>
          <w:p w14:paraId="3BCAEA87">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20181219</w:t>
            </w:r>
          </w:p>
        </w:tc>
        <w:tc>
          <w:tcPr>
            <w:tcW w:w="736" w:type="pct"/>
            <w:shd w:val="clear" w:color="auto" w:fill="auto"/>
            <w:vAlign w:val="center"/>
          </w:tcPr>
          <w:p w14:paraId="5ECAFBCD">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534" w:type="pct"/>
            <w:shd w:val="clear" w:color="auto" w:fill="auto"/>
            <w:vAlign w:val="center"/>
          </w:tcPr>
          <w:p w14:paraId="25BCFD5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83" w:type="pct"/>
            <w:shd w:val="clear" w:color="auto" w:fill="auto"/>
            <w:vAlign w:val="center"/>
          </w:tcPr>
          <w:p w14:paraId="647D21BF">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5E7186E8">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498" w:type="pct"/>
            <w:shd w:val="clear" w:color="auto" w:fill="auto"/>
            <w:vAlign w:val="center"/>
          </w:tcPr>
          <w:p w14:paraId="7F41609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607" w:type="pct"/>
            <w:shd w:val="clear" w:color="auto" w:fill="auto"/>
            <w:vAlign w:val="center"/>
          </w:tcPr>
          <w:p w14:paraId="1B9FBD12">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2FCD81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vAlign w:val="center"/>
          </w:tcPr>
          <w:p w14:paraId="050E0CF6">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6DBB1903">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20181220</w:t>
            </w:r>
          </w:p>
        </w:tc>
        <w:tc>
          <w:tcPr>
            <w:tcW w:w="736" w:type="pct"/>
            <w:shd w:val="clear" w:color="auto" w:fill="auto"/>
            <w:vAlign w:val="center"/>
          </w:tcPr>
          <w:p w14:paraId="3B829B75">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534" w:type="pct"/>
            <w:shd w:val="clear" w:color="auto" w:fill="auto"/>
            <w:vAlign w:val="center"/>
          </w:tcPr>
          <w:p w14:paraId="10EB24FD">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83" w:type="pct"/>
            <w:shd w:val="clear" w:color="auto" w:fill="auto"/>
            <w:vAlign w:val="center"/>
          </w:tcPr>
          <w:p w14:paraId="14695E7C">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5411D6BC">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498" w:type="pct"/>
            <w:shd w:val="clear" w:color="auto" w:fill="auto"/>
            <w:vAlign w:val="center"/>
          </w:tcPr>
          <w:p w14:paraId="1A7CCE8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607" w:type="pct"/>
            <w:shd w:val="clear" w:color="auto" w:fill="auto"/>
            <w:vAlign w:val="center"/>
          </w:tcPr>
          <w:p w14:paraId="5D5FD693">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5377AF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vAlign w:val="center"/>
          </w:tcPr>
          <w:p w14:paraId="0791A274">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6B0A8475">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20181221</w:t>
            </w:r>
          </w:p>
        </w:tc>
        <w:tc>
          <w:tcPr>
            <w:tcW w:w="736" w:type="pct"/>
            <w:shd w:val="clear" w:color="auto" w:fill="auto"/>
            <w:vAlign w:val="center"/>
          </w:tcPr>
          <w:p w14:paraId="7D2A42B0">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534" w:type="pct"/>
            <w:shd w:val="clear" w:color="auto" w:fill="auto"/>
            <w:vAlign w:val="center"/>
          </w:tcPr>
          <w:p w14:paraId="694554D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83" w:type="pct"/>
            <w:shd w:val="clear" w:color="auto" w:fill="auto"/>
            <w:vAlign w:val="center"/>
          </w:tcPr>
          <w:p w14:paraId="57C61E0F">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500F18B3">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498" w:type="pct"/>
            <w:shd w:val="clear" w:color="auto" w:fill="auto"/>
            <w:vAlign w:val="center"/>
          </w:tcPr>
          <w:p w14:paraId="1B9BFC2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607" w:type="pct"/>
            <w:shd w:val="clear" w:color="auto" w:fill="auto"/>
            <w:vAlign w:val="center"/>
          </w:tcPr>
          <w:p w14:paraId="70DE5FDE">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449687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vAlign w:val="center"/>
          </w:tcPr>
          <w:p w14:paraId="6A3F41EC">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6DC98C2A">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20181222</w:t>
            </w:r>
          </w:p>
        </w:tc>
        <w:tc>
          <w:tcPr>
            <w:tcW w:w="736" w:type="pct"/>
            <w:shd w:val="clear" w:color="auto" w:fill="auto"/>
            <w:vAlign w:val="center"/>
          </w:tcPr>
          <w:p w14:paraId="4D8F48E9">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534" w:type="pct"/>
            <w:shd w:val="clear" w:color="auto" w:fill="auto"/>
            <w:vAlign w:val="center"/>
          </w:tcPr>
          <w:p w14:paraId="2E3F124E">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83" w:type="pct"/>
            <w:shd w:val="clear" w:color="auto" w:fill="auto"/>
            <w:vAlign w:val="center"/>
          </w:tcPr>
          <w:p w14:paraId="338C4DBA">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36D23FA6">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498" w:type="pct"/>
            <w:shd w:val="clear" w:color="auto" w:fill="auto"/>
            <w:vAlign w:val="center"/>
          </w:tcPr>
          <w:p w14:paraId="4ABC0C0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607" w:type="pct"/>
            <w:shd w:val="clear" w:color="auto" w:fill="auto"/>
            <w:vAlign w:val="center"/>
          </w:tcPr>
          <w:p w14:paraId="39505E06">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270370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vAlign w:val="center"/>
          </w:tcPr>
          <w:p w14:paraId="602A8988">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62583024">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20181223</w:t>
            </w:r>
          </w:p>
        </w:tc>
        <w:tc>
          <w:tcPr>
            <w:tcW w:w="736" w:type="pct"/>
            <w:shd w:val="clear" w:color="auto" w:fill="auto"/>
            <w:vAlign w:val="center"/>
          </w:tcPr>
          <w:p w14:paraId="2BF7C3FE">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534" w:type="pct"/>
            <w:shd w:val="clear" w:color="auto" w:fill="auto"/>
            <w:vAlign w:val="center"/>
          </w:tcPr>
          <w:p w14:paraId="6E8D07D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83" w:type="pct"/>
            <w:shd w:val="clear" w:color="auto" w:fill="auto"/>
            <w:vAlign w:val="center"/>
          </w:tcPr>
          <w:p w14:paraId="4440F50F">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78E2878E">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498" w:type="pct"/>
            <w:shd w:val="clear" w:color="auto" w:fill="auto"/>
            <w:vAlign w:val="center"/>
          </w:tcPr>
          <w:p w14:paraId="0256F351">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607" w:type="pct"/>
            <w:shd w:val="clear" w:color="auto" w:fill="auto"/>
            <w:vAlign w:val="center"/>
          </w:tcPr>
          <w:p w14:paraId="044A492E">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672450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vAlign w:val="center"/>
          </w:tcPr>
          <w:p w14:paraId="156BC5A1">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0129DC09">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20181224</w:t>
            </w:r>
          </w:p>
        </w:tc>
        <w:tc>
          <w:tcPr>
            <w:tcW w:w="736" w:type="pct"/>
            <w:shd w:val="clear" w:color="auto" w:fill="auto"/>
            <w:vAlign w:val="center"/>
          </w:tcPr>
          <w:p w14:paraId="45E35982">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534" w:type="pct"/>
            <w:shd w:val="clear" w:color="auto" w:fill="auto"/>
            <w:vAlign w:val="center"/>
          </w:tcPr>
          <w:p w14:paraId="4874519B">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83" w:type="pct"/>
            <w:shd w:val="clear" w:color="auto" w:fill="auto"/>
            <w:vAlign w:val="center"/>
          </w:tcPr>
          <w:p w14:paraId="3D674D56">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70DEFC8E">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498" w:type="pct"/>
            <w:shd w:val="clear" w:color="auto" w:fill="auto"/>
            <w:vAlign w:val="center"/>
          </w:tcPr>
          <w:p w14:paraId="18E11AA9">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607" w:type="pct"/>
            <w:shd w:val="clear" w:color="auto" w:fill="auto"/>
            <w:vAlign w:val="center"/>
          </w:tcPr>
          <w:p w14:paraId="4CA84162">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2046E4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vAlign w:val="center"/>
          </w:tcPr>
          <w:p w14:paraId="7E5E4712">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4112FE35">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20181225</w:t>
            </w:r>
          </w:p>
        </w:tc>
        <w:tc>
          <w:tcPr>
            <w:tcW w:w="736" w:type="pct"/>
            <w:shd w:val="clear" w:color="auto" w:fill="auto"/>
            <w:vAlign w:val="center"/>
          </w:tcPr>
          <w:p w14:paraId="5CCFAA6D">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534" w:type="pct"/>
            <w:shd w:val="clear" w:color="auto" w:fill="auto"/>
            <w:vAlign w:val="center"/>
          </w:tcPr>
          <w:p w14:paraId="77A2EE4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83" w:type="pct"/>
            <w:shd w:val="clear" w:color="auto" w:fill="auto"/>
            <w:vAlign w:val="center"/>
          </w:tcPr>
          <w:p w14:paraId="7BE2B4AD">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50FB4420">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498" w:type="pct"/>
            <w:shd w:val="clear" w:color="auto" w:fill="auto"/>
            <w:vAlign w:val="center"/>
          </w:tcPr>
          <w:p w14:paraId="2E1D3A19">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607" w:type="pct"/>
            <w:shd w:val="clear" w:color="auto" w:fill="auto"/>
            <w:vAlign w:val="center"/>
          </w:tcPr>
          <w:p w14:paraId="0E3F93C8">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47395E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gridAfter w:val="1"/>
          <w:wAfter w:w="4" w:type="pct"/>
          <w:trHeight w:val="20" w:hRule="atLeast"/>
          <w:jc w:val="center"/>
        </w:trPr>
        <w:tc>
          <w:tcPr>
            <w:tcW w:w="545" w:type="pct"/>
            <w:vMerge w:val="restart"/>
            <w:shd w:val="clear" w:color="auto" w:fill="auto"/>
            <w:vAlign w:val="center"/>
          </w:tcPr>
          <w:p w14:paraId="2E6010D3">
            <w:pPr>
              <w:widowControl/>
              <w:jc w:val="center"/>
              <w:rPr>
                <w:color w:val="000000" w:themeColor="text1"/>
                <w:szCs w:val="21"/>
                <w14:textFill>
                  <w14:solidFill>
                    <w14:schemeClr w14:val="tx1"/>
                  </w14:solidFill>
                </w14:textFill>
              </w:rPr>
            </w:pPr>
          </w:p>
          <w:p w14:paraId="4A6F45FA">
            <w:pPr>
              <w:widowControl/>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NO</w:t>
            </w:r>
            <w:r>
              <w:rPr>
                <w:b/>
                <w:color w:val="000000" w:themeColor="text1"/>
                <w:szCs w:val="21"/>
                <w:vertAlign w:val="subscript"/>
                <w14:textFill>
                  <w14:solidFill>
                    <w14:schemeClr w14:val="tx1"/>
                  </w14:solidFill>
                </w14:textFill>
              </w:rPr>
              <w:t>2</w:t>
            </w:r>
          </w:p>
        </w:tc>
        <w:tc>
          <w:tcPr>
            <w:tcW w:w="747" w:type="pct"/>
            <w:shd w:val="clear" w:color="auto" w:fill="auto"/>
            <w:vAlign w:val="center"/>
          </w:tcPr>
          <w:p w14:paraId="2B48C1C5">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20181219</w:t>
            </w:r>
          </w:p>
        </w:tc>
        <w:tc>
          <w:tcPr>
            <w:tcW w:w="736" w:type="pct"/>
            <w:shd w:val="clear" w:color="auto" w:fill="auto"/>
          </w:tcPr>
          <w:p w14:paraId="04B15918">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534" w:type="pct"/>
            <w:shd w:val="clear" w:color="auto" w:fill="auto"/>
            <w:vAlign w:val="center"/>
          </w:tcPr>
          <w:p w14:paraId="6AA074C9">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583" w:type="pct"/>
            <w:shd w:val="clear" w:color="auto" w:fill="auto"/>
            <w:vAlign w:val="center"/>
          </w:tcPr>
          <w:p w14:paraId="6E61E9F8">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7D138FF0">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498" w:type="pct"/>
            <w:shd w:val="clear" w:color="auto" w:fill="auto"/>
            <w:vAlign w:val="center"/>
          </w:tcPr>
          <w:p w14:paraId="24B221BB">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07" w:type="pct"/>
            <w:shd w:val="clear" w:color="auto" w:fill="auto"/>
            <w:vAlign w:val="center"/>
          </w:tcPr>
          <w:p w14:paraId="1732FB7B">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44806A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vAlign w:val="center"/>
          </w:tcPr>
          <w:p w14:paraId="4D9B68AF">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6787E4E6">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20181220</w:t>
            </w:r>
          </w:p>
        </w:tc>
        <w:tc>
          <w:tcPr>
            <w:tcW w:w="736" w:type="pct"/>
            <w:shd w:val="clear" w:color="auto" w:fill="auto"/>
          </w:tcPr>
          <w:p w14:paraId="7FD57791">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534" w:type="pct"/>
            <w:shd w:val="clear" w:color="auto" w:fill="auto"/>
            <w:vAlign w:val="center"/>
          </w:tcPr>
          <w:p w14:paraId="04F77AD3">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583" w:type="pct"/>
            <w:shd w:val="clear" w:color="auto" w:fill="auto"/>
            <w:vAlign w:val="center"/>
          </w:tcPr>
          <w:p w14:paraId="5D6114F6">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0F88555B">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498" w:type="pct"/>
            <w:shd w:val="clear" w:color="auto" w:fill="auto"/>
            <w:vAlign w:val="center"/>
          </w:tcPr>
          <w:p w14:paraId="6A52A97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07" w:type="pct"/>
            <w:shd w:val="clear" w:color="auto" w:fill="auto"/>
            <w:vAlign w:val="center"/>
          </w:tcPr>
          <w:p w14:paraId="70A43373">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7D5360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vAlign w:val="center"/>
          </w:tcPr>
          <w:p w14:paraId="45D5C1FE">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5236C38F">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20181221</w:t>
            </w:r>
          </w:p>
        </w:tc>
        <w:tc>
          <w:tcPr>
            <w:tcW w:w="736" w:type="pct"/>
            <w:shd w:val="clear" w:color="auto" w:fill="auto"/>
          </w:tcPr>
          <w:p w14:paraId="3563FCAE">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534" w:type="pct"/>
            <w:shd w:val="clear" w:color="auto" w:fill="auto"/>
            <w:vAlign w:val="center"/>
          </w:tcPr>
          <w:p w14:paraId="0E26B7DE">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583" w:type="pct"/>
            <w:shd w:val="clear" w:color="auto" w:fill="auto"/>
            <w:vAlign w:val="center"/>
          </w:tcPr>
          <w:p w14:paraId="520D15FF">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13333939">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498" w:type="pct"/>
            <w:shd w:val="clear" w:color="auto" w:fill="auto"/>
            <w:vAlign w:val="center"/>
          </w:tcPr>
          <w:p w14:paraId="1BC5BDB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07" w:type="pct"/>
            <w:shd w:val="clear" w:color="auto" w:fill="auto"/>
            <w:vAlign w:val="center"/>
          </w:tcPr>
          <w:p w14:paraId="525603CE">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43DC1F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vAlign w:val="center"/>
          </w:tcPr>
          <w:p w14:paraId="51034DA2">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0C22E736">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20181222</w:t>
            </w:r>
          </w:p>
        </w:tc>
        <w:tc>
          <w:tcPr>
            <w:tcW w:w="736" w:type="pct"/>
            <w:shd w:val="clear" w:color="auto" w:fill="auto"/>
          </w:tcPr>
          <w:p w14:paraId="5314EA45">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534" w:type="pct"/>
            <w:shd w:val="clear" w:color="auto" w:fill="auto"/>
            <w:vAlign w:val="center"/>
          </w:tcPr>
          <w:p w14:paraId="02D4C49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583" w:type="pct"/>
            <w:shd w:val="clear" w:color="auto" w:fill="auto"/>
            <w:vAlign w:val="center"/>
          </w:tcPr>
          <w:p w14:paraId="2AEC66F0">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6A44D3FD">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498" w:type="pct"/>
            <w:shd w:val="clear" w:color="auto" w:fill="auto"/>
            <w:vAlign w:val="center"/>
          </w:tcPr>
          <w:p w14:paraId="766A524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07" w:type="pct"/>
            <w:shd w:val="clear" w:color="auto" w:fill="auto"/>
            <w:vAlign w:val="center"/>
          </w:tcPr>
          <w:p w14:paraId="17BB3D23">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6EB5F0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shd w:val="clear" w:color="auto" w:fill="auto"/>
            <w:vAlign w:val="center"/>
          </w:tcPr>
          <w:p w14:paraId="690930E0">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75392553">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20181223</w:t>
            </w:r>
          </w:p>
        </w:tc>
        <w:tc>
          <w:tcPr>
            <w:tcW w:w="736" w:type="pct"/>
            <w:shd w:val="clear" w:color="auto" w:fill="auto"/>
          </w:tcPr>
          <w:p w14:paraId="08113A5B">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534" w:type="pct"/>
            <w:shd w:val="clear" w:color="auto" w:fill="auto"/>
            <w:vAlign w:val="center"/>
          </w:tcPr>
          <w:p w14:paraId="347BF89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583" w:type="pct"/>
            <w:shd w:val="clear" w:color="auto" w:fill="auto"/>
            <w:vAlign w:val="center"/>
          </w:tcPr>
          <w:p w14:paraId="0BE597A1">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2BAABD39">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498" w:type="pct"/>
            <w:shd w:val="clear" w:color="auto" w:fill="auto"/>
            <w:vAlign w:val="center"/>
          </w:tcPr>
          <w:p w14:paraId="5A0F673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07" w:type="pct"/>
            <w:shd w:val="clear" w:color="auto" w:fill="auto"/>
            <w:vAlign w:val="center"/>
          </w:tcPr>
          <w:p w14:paraId="437C0041">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48FBBB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shd w:val="clear" w:color="auto" w:fill="auto"/>
            <w:vAlign w:val="center"/>
          </w:tcPr>
          <w:p w14:paraId="3C2F7376">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63C1BB52">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20181224</w:t>
            </w:r>
          </w:p>
        </w:tc>
        <w:tc>
          <w:tcPr>
            <w:tcW w:w="736" w:type="pct"/>
            <w:shd w:val="clear" w:color="auto" w:fill="auto"/>
          </w:tcPr>
          <w:p w14:paraId="49D3F875">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534" w:type="pct"/>
            <w:shd w:val="clear" w:color="auto" w:fill="auto"/>
            <w:vAlign w:val="center"/>
          </w:tcPr>
          <w:p w14:paraId="1E849E4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583" w:type="pct"/>
            <w:shd w:val="clear" w:color="auto" w:fill="auto"/>
            <w:vAlign w:val="center"/>
          </w:tcPr>
          <w:p w14:paraId="1C0F288C">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6B846F7C">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498" w:type="pct"/>
            <w:shd w:val="clear" w:color="auto" w:fill="auto"/>
            <w:vAlign w:val="center"/>
          </w:tcPr>
          <w:p w14:paraId="069CFEB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07" w:type="pct"/>
            <w:shd w:val="clear" w:color="auto" w:fill="auto"/>
            <w:vAlign w:val="center"/>
          </w:tcPr>
          <w:p w14:paraId="3E58BB13">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r w14:paraId="181DAC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0" w:hRule="atLeast"/>
          <w:jc w:val="center"/>
        </w:trPr>
        <w:tc>
          <w:tcPr>
            <w:tcW w:w="545" w:type="pct"/>
            <w:vMerge w:val="continue"/>
            <w:shd w:val="clear" w:color="auto" w:fill="auto"/>
            <w:vAlign w:val="center"/>
          </w:tcPr>
          <w:p w14:paraId="5BCCCFB7">
            <w:pPr>
              <w:widowControl/>
              <w:jc w:val="center"/>
              <w:rPr>
                <w:color w:val="000000" w:themeColor="text1"/>
                <w:szCs w:val="21"/>
                <w14:textFill>
                  <w14:solidFill>
                    <w14:schemeClr w14:val="tx1"/>
                  </w14:solidFill>
                </w14:textFill>
              </w:rPr>
            </w:pPr>
          </w:p>
        </w:tc>
        <w:tc>
          <w:tcPr>
            <w:tcW w:w="747" w:type="pct"/>
            <w:shd w:val="clear" w:color="auto" w:fill="auto"/>
            <w:vAlign w:val="center"/>
          </w:tcPr>
          <w:p w14:paraId="1AD9D763">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20181225</w:t>
            </w:r>
          </w:p>
        </w:tc>
        <w:tc>
          <w:tcPr>
            <w:tcW w:w="736" w:type="pct"/>
            <w:shd w:val="clear" w:color="auto" w:fill="auto"/>
          </w:tcPr>
          <w:p w14:paraId="54D236B5">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534" w:type="pct"/>
            <w:shd w:val="clear" w:color="auto" w:fill="auto"/>
            <w:vAlign w:val="center"/>
          </w:tcPr>
          <w:p w14:paraId="712475E9">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583" w:type="pct"/>
            <w:shd w:val="clear" w:color="auto" w:fill="auto"/>
            <w:vAlign w:val="center"/>
          </w:tcPr>
          <w:p w14:paraId="137D3AC9">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c>
          <w:tcPr>
            <w:tcW w:w="746" w:type="pct"/>
            <w:shd w:val="clear" w:color="auto" w:fill="auto"/>
          </w:tcPr>
          <w:p w14:paraId="0AB7F1A2">
            <w:pPr>
              <w:ind w:left="103" w:hanging="102" w:hangingChars="4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498" w:type="pct"/>
            <w:shd w:val="clear" w:color="auto" w:fill="auto"/>
            <w:vAlign w:val="center"/>
          </w:tcPr>
          <w:p w14:paraId="5B4F0DD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07" w:type="pct"/>
            <w:shd w:val="clear" w:color="auto" w:fill="auto"/>
            <w:vAlign w:val="center"/>
          </w:tcPr>
          <w:p w14:paraId="3D595438">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w:t>
            </w:r>
          </w:p>
        </w:tc>
      </w:tr>
    </w:tbl>
    <w:p w14:paraId="5F958888">
      <w:pPr>
        <w:spacing w:line="360" w:lineRule="auto"/>
        <w:ind w:firstLine="472"/>
        <w:jc w:val="left"/>
        <w:rPr>
          <w:b/>
          <w:color w:val="000000" w:themeColor="text1"/>
          <w:spacing w:val="-5"/>
          <w:sz w:val="24"/>
          <w14:textFill>
            <w14:solidFill>
              <w14:schemeClr w14:val="tx1"/>
            </w14:solidFill>
          </w14:textFill>
        </w:rPr>
      </w:pPr>
      <w:r>
        <w:rPr>
          <w:b/>
          <w:color w:val="000000" w:themeColor="text1"/>
          <w:spacing w:val="-5"/>
          <w:sz w:val="24"/>
          <w14:textFill>
            <w14:solidFill>
              <w14:schemeClr w14:val="tx1"/>
            </w14:solidFill>
          </w14:textFill>
        </w:rPr>
        <w:t>环境空气监测结果评价：</w:t>
      </w:r>
    </w:p>
    <w:p w14:paraId="345DBF3C">
      <w:pPr>
        <w:spacing w:line="360" w:lineRule="auto"/>
        <w:ind w:firstLine="470"/>
        <w:jc w:val="left"/>
        <w:rPr>
          <w:color w:val="000000" w:themeColor="text1"/>
          <w:sz w:val="24"/>
          <w14:textFill>
            <w14:solidFill>
              <w14:schemeClr w14:val="tx1"/>
            </w14:solidFill>
          </w14:textFill>
        </w:rPr>
      </w:pPr>
      <w:r>
        <w:rPr>
          <w:color w:val="000000" w:themeColor="text1"/>
          <w:spacing w:val="-5"/>
          <w:sz w:val="24"/>
          <w14:textFill>
            <w14:solidFill>
              <w14:schemeClr w14:val="tx1"/>
            </w14:solidFill>
          </w14:textFill>
        </w:rPr>
        <w:t>由上表可知，各监测点</w:t>
      </w:r>
      <w:r>
        <w:rPr>
          <w:color w:val="000000" w:themeColor="text1"/>
          <w:spacing w:val="-10"/>
          <w:sz w:val="24"/>
          <w14:textFill>
            <w14:solidFill>
              <w14:schemeClr w14:val="tx1"/>
            </w14:solidFill>
          </w14:textFill>
        </w:rPr>
        <w:t>TSP（日均）、PM</w:t>
      </w:r>
      <w:r>
        <w:rPr>
          <w:color w:val="000000" w:themeColor="text1"/>
          <w:spacing w:val="-10"/>
          <w:position w:val="-2"/>
          <w:sz w:val="24"/>
          <w:vertAlign w:val="subscript"/>
          <w14:textFill>
            <w14:solidFill>
              <w14:schemeClr w14:val="tx1"/>
            </w14:solidFill>
          </w14:textFill>
        </w:rPr>
        <w:t>10</w:t>
      </w:r>
      <w:r>
        <w:rPr>
          <w:color w:val="000000" w:themeColor="text1"/>
          <w:spacing w:val="-10"/>
          <w:sz w:val="24"/>
          <w14:textFill>
            <w14:solidFill>
              <w14:schemeClr w14:val="tx1"/>
            </w14:solidFill>
          </w14:textFill>
        </w:rPr>
        <w:t>（日均）、SO</w:t>
      </w:r>
      <w:r>
        <w:rPr>
          <w:color w:val="000000" w:themeColor="text1"/>
          <w:spacing w:val="-10"/>
          <w:position w:val="-2"/>
          <w:sz w:val="24"/>
          <w:vertAlign w:val="subscript"/>
          <w14:textFill>
            <w14:solidFill>
              <w14:schemeClr w14:val="tx1"/>
            </w14:solidFill>
          </w14:textFill>
        </w:rPr>
        <w:t>2</w:t>
      </w:r>
      <w:r>
        <w:rPr>
          <w:color w:val="000000" w:themeColor="text1"/>
          <w:spacing w:val="-10"/>
          <w:sz w:val="24"/>
          <w14:textFill>
            <w14:solidFill>
              <w14:schemeClr w14:val="tx1"/>
            </w14:solidFill>
          </w14:textFill>
        </w:rPr>
        <w:t>（日均、小时）、NO</w:t>
      </w:r>
      <w:r>
        <w:rPr>
          <w:color w:val="000000" w:themeColor="text1"/>
          <w:spacing w:val="-10"/>
          <w:position w:val="-2"/>
          <w:sz w:val="24"/>
          <w:vertAlign w:val="subscript"/>
          <w14:textFill>
            <w14:solidFill>
              <w14:schemeClr w14:val="tx1"/>
            </w14:solidFill>
          </w14:textFill>
        </w:rPr>
        <w:t>2</w:t>
      </w:r>
      <w:r>
        <w:rPr>
          <w:color w:val="000000" w:themeColor="text1"/>
          <w:spacing w:val="-10"/>
          <w:sz w:val="24"/>
          <w14:textFill>
            <w14:solidFill>
              <w14:schemeClr w14:val="tx1"/>
            </w14:solidFill>
          </w14:textFill>
        </w:rPr>
        <w:t>（日均、小时）</w:t>
      </w:r>
      <w:r>
        <w:rPr>
          <w:color w:val="000000" w:themeColor="text1"/>
          <w:spacing w:val="-5"/>
          <w:sz w:val="24"/>
          <w14:textFill>
            <w14:solidFill>
              <w14:schemeClr w14:val="tx1"/>
            </w14:solidFill>
          </w14:textFill>
        </w:rPr>
        <w:t>浓度满足</w:t>
      </w:r>
      <w:r>
        <w:rPr>
          <w:color w:val="000000" w:themeColor="text1"/>
          <w:sz w:val="24"/>
          <w14:textFill>
            <w14:solidFill>
              <w14:schemeClr w14:val="tx1"/>
            </w14:solidFill>
          </w14:textFill>
        </w:rPr>
        <w:t>GB3095-2012</w:t>
      </w:r>
      <w:r>
        <w:rPr>
          <w:color w:val="000000" w:themeColor="text1"/>
          <w:spacing w:val="-5"/>
          <w:sz w:val="24"/>
          <w14:textFill>
            <w14:solidFill>
              <w14:schemeClr w14:val="tx1"/>
            </w14:solidFill>
          </w14:textFill>
        </w:rPr>
        <w:t>《环</w:t>
      </w:r>
      <w:r>
        <w:rPr>
          <w:color w:val="000000" w:themeColor="text1"/>
          <w:sz w:val="24"/>
          <w14:textFill>
            <w14:solidFill>
              <w14:schemeClr w14:val="tx1"/>
            </w14:solidFill>
          </w14:textFill>
        </w:rPr>
        <w:t>境空气质量标准》标准要求；</w:t>
      </w:r>
    </w:p>
    <w:p w14:paraId="74DF52D1">
      <w:pPr>
        <w:spacing w:line="360" w:lineRule="auto"/>
        <w:ind w:firstLine="466"/>
        <w:jc w:val="left"/>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非甲烷总烃日均浓度</w:t>
      </w:r>
      <w:r>
        <w:rPr>
          <w:color w:val="000000" w:themeColor="text1"/>
          <w:sz w:val="24"/>
          <w14:textFill>
            <w14:solidFill>
              <w14:schemeClr w14:val="tx1"/>
            </w14:solidFill>
          </w14:textFill>
        </w:rPr>
        <w:t>的监测浓度小于0.0005Lug/m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，满足GB/T18883-2002《室内空气质量标准》0.6mg/m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要求；</w:t>
      </w:r>
    </w:p>
    <w:p w14:paraId="5A2EB117">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统计监测统计结果显示，项目周边大气环境空气质量良好。</w:t>
      </w:r>
    </w:p>
    <w:p w14:paraId="1F53DB3F">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4.2.2地表水环境质量现状</w:t>
      </w:r>
    </w:p>
    <w:p w14:paraId="3D044BF2">
      <w:pPr>
        <w:pStyle w:val="138"/>
        <w:tabs>
          <w:tab w:val="left" w:pos="5352"/>
        </w:tabs>
        <w:ind w:firstLine="480" w:firstLineChars="200"/>
        <w:jc w:val="left"/>
        <w:rPr>
          <w:rFonts w:eastAsia="Times New Roman"/>
          <w:b/>
          <w:color w:val="000000" w:themeColor="text1"/>
          <w14:textFill>
            <w14:solidFill>
              <w14:schemeClr w14:val="tx1"/>
            </w14:solidFill>
          </w14:textFill>
        </w:rPr>
      </w:pPr>
      <w:r>
        <w:rPr>
          <w:rFonts w:eastAsiaTheme="minorEastAsia"/>
          <w:b/>
          <w:color w:val="000000" w:themeColor="text1"/>
          <w14:textFill>
            <w14:solidFill>
              <w14:schemeClr w14:val="tx1"/>
            </w14:solidFill>
          </w14:textFill>
        </w:rPr>
        <w:t>1、</w:t>
      </w:r>
      <w:r>
        <w:rPr>
          <w:b/>
          <w:color w:val="000000" w:themeColor="text1"/>
          <w14:textFill>
            <w14:solidFill>
              <w14:schemeClr w14:val="tx1"/>
            </w14:solidFill>
          </w14:textFill>
        </w:rPr>
        <w:t>监测点布设</w:t>
      </w:r>
    </w:p>
    <w:p w14:paraId="683F347D">
      <w:pPr>
        <w:pStyle w:val="138"/>
        <w:tabs>
          <w:tab w:val="left" w:pos="5352"/>
        </w:tabs>
        <w:ind w:firstLine="480" w:firstLineChars="200"/>
        <w:jc w:val="left"/>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区域内共布设</w:t>
      </w:r>
      <w:r>
        <w:rPr>
          <w:rFonts w:eastAsiaTheme="minorEastAsia"/>
          <w:color w:val="000000" w:themeColor="text1"/>
          <w14:textFill>
            <w14:solidFill>
              <w14:schemeClr w14:val="tx1"/>
            </w14:solidFill>
          </w14:textFill>
        </w:rPr>
        <w:t>2</w:t>
      </w:r>
      <w:r>
        <w:rPr>
          <w:rFonts w:eastAsia="Times New Roman"/>
          <w:color w:val="000000" w:themeColor="text1"/>
          <w14:textFill>
            <w14:solidFill>
              <w14:schemeClr w14:val="tx1"/>
            </w14:solidFill>
          </w14:textFill>
        </w:rPr>
        <w:t xml:space="preserve"> </w:t>
      </w:r>
      <w:r>
        <w:rPr>
          <w:color w:val="000000" w:themeColor="text1"/>
          <w14:textFill>
            <w14:solidFill>
              <w14:schemeClr w14:val="tx1"/>
            </w14:solidFill>
          </w14:textFill>
        </w:rPr>
        <w:t>个监测断面，上游</w:t>
      </w:r>
      <w:r>
        <w:rPr>
          <w:color w:val="000000" w:themeColor="text1"/>
          <w:spacing w:val="-67"/>
          <w14:textFill>
            <w14:solidFill>
              <w14:schemeClr w14:val="tx1"/>
            </w14:solidFill>
          </w14:textFill>
        </w:rPr>
        <w:t xml:space="preserve"> </w:t>
      </w:r>
      <w:r>
        <w:rPr>
          <w:rFonts w:eastAsia="Times New Roman"/>
          <w:color w:val="000000" w:themeColor="text1"/>
          <w14:textFill>
            <w14:solidFill>
              <w14:schemeClr w14:val="tx1"/>
            </w14:solidFill>
          </w14:textFill>
        </w:rPr>
        <w:t xml:space="preserve">500m </w:t>
      </w:r>
      <w:r>
        <w:rPr>
          <w:color w:val="000000" w:themeColor="text1"/>
          <w14:textFill>
            <w14:solidFill>
              <w14:schemeClr w14:val="tx1"/>
            </w14:solidFill>
          </w14:textFill>
        </w:rPr>
        <w:t>断面，下游</w:t>
      </w:r>
      <w:r>
        <w:rPr>
          <w:color w:val="000000" w:themeColor="text1"/>
          <w:spacing w:val="-83"/>
          <w14:textFill>
            <w14:solidFill>
              <w14:schemeClr w14:val="tx1"/>
            </w14:solidFill>
          </w14:textFill>
        </w:rPr>
        <w:t xml:space="preserve"> </w:t>
      </w:r>
      <w:r>
        <w:rPr>
          <w:rFonts w:eastAsiaTheme="minorEastAsia"/>
          <w:color w:val="000000" w:themeColor="text1"/>
          <w14:textFill>
            <w14:solidFill>
              <w14:schemeClr w14:val="tx1"/>
            </w14:solidFill>
          </w14:textFill>
        </w:rPr>
        <w:t>1</w:t>
      </w:r>
      <w:r>
        <w:rPr>
          <w:rFonts w:eastAsia="Times New Roman"/>
          <w:color w:val="000000" w:themeColor="text1"/>
          <w14:textFill>
            <w14:solidFill>
              <w14:schemeClr w14:val="tx1"/>
            </w14:solidFill>
          </w14:textFill>
        </w:rPr>
        <w:t xml:space="preserve">000m </w:t>
      </w:r>
      <w:r>
        <w:rPr>
          <w:color w:val="000000" w:themeColor="text1"/>
          <w14:textFill>
            <w14:solidFill>
              <w14:schemeClr w14:val="tx1"/>
            </w14:solidFill>
          </w14:textFill>
        </w:rPr>
        <w:t>断面。</w:t>
      </w:r>
    </w:p>
    <w:p w14:paraId="205909E7">
      <w:pPr>
        <w:spacing w:line="360" w:lineRule="auto"/>
        <w:ind w:firstLine="482"/>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2、监测项目、时间与频次</w:t>
      </w:r>
    </w:p>
    <w:p w14:paraId="722C80FB">
      <w:pPr>
        <w:spacing w:line="360" w:lineRule="auto"/>
        <w:ind w:firstLine="480"/>
        <w:jc w:val="left"/>
        <w:rPr>
          <w:color w:val="000000" w:themeColor="text1"/>
          <w:spacing w:val="-4"/>
          <w:sz w:val="24"/>
          <w14:textFill>
            <w14:solidFill>
              <w14:schemeClr w14:val="tx1"/>
            </w14:solidFill>
          </w14:textFill>
        </w:rPr>
      </w:pPr>
      <w:r>
        <w:rPr>
          <w:color w:val="000000" w:themeColor="text1"/>
          <w:spacing w:val="-4"/>
          <w:sz w:val="24"/>
          <w14:textFill>
            <w14:solidFill>
              <w14:schemeClr w14:val="tx1"/>
            </w14:solidFill>
          </w14:textFill>
        </w:rPr>
        <w:t>（1）监测项目：水温、pH、BOD</w:t>
      </w:r>
      <w:r>
        <w:rPr>
          <w:color w:val="000000" w:themeColor="text1"/>
          <w:spacing w:val="-4"/>
          <w:sz w:val="24"/>
          <w:vertAlign w:val="subscript"/>
          <w14:textFill>
            <w14:solidFill>
              <w14:schemeClr w14:val="tx1"/>
            </w14:solidFill>
          </w14:textFill>
        </w:rPr>
        <w:t>5</w:t>
      </w:r>
      <w:r>
        <w:rPr>
          <w:color w:val="000000" w:themeColor="text1"/>
          <w:spacing w:val="-4"/>
          <w:sz w:val="24"/>
          <w14:textFill>
            <w14:solidFill>
              <w14:schemeClr w14:val="tx1"/>
            </w14:solidFill>
          </w14:textFill>
        </w:rPr>
        <w:t>、CODcr、溶解氧、SS、氨氮、总氮、总磷、石油类</w:t>
      </w:r>
      <w:r>
        <w:rPr>
          <w:color w:val="000000" w:themeColor="text1"/>
          <w:sz w:val="24"/>
          <w14:textFill>
            <w14:solidFill>
              <w14:schemeClr w14:val="tx1"/>
            </w14:solidFill>
          </w14:textFill>
        </w:rPr>
        <w:t>。</w:t>
      </w:r>
    </w:p>
    <w:p w14:paraId="470A847E">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（2）监测时间：2018年12月20日~22日；</w:t>
      </w:r>
    </w:p>
    <w:p w14:paraId="0EA30094">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（3）监测频次：每期连续监测3天，每天采集1个混合样。</w:t>
      </w:r>
    </w:p>
    <w:p w14:paraId="1E4EB33A">
      <w:pPr>
        <w:spacing w:line="360" w:lineRule="auto"/>
        <w:ind w:firstLine="482"/>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3、评价标准</w:t>
      </w:r>
    </w:p>
    <w:p w14:paraId="580904A1">
      <w:pPr>
        <w:pStyle w:val="138"/>
        <w:tabs>
          <w:tab w:val="left" w:pos="5352"/>
        </w:tabs>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项目区周边地表水瑞丽江，</w:t>
      </w:r>
      <w:r>
        <w:rPr>
          <w:color w:val="000000" w:themeColor="text1"/>
          <w:spacing w:val="-7"/>
          <w14:textFill>
            <w14:solidFill>
              <w14:schemeClr w14:val="tx1"/>
            </w14:solidFill>
          </w14:textFill>
        </w:rPr>
        <w:t>根据《云南省</w:t>
      </w:r>
      <w:r>
        <w:rPr>
          <w:color w:val="000000" w:themeColor="text1"/>
          <w14:textFill>
            <w14:solidFill>
              <w14:schemeClr w14:val="tx1"/>
            </w14:solidFill>
          </w14:textFill>
        </w:rPr>
        <w:t>地表水环境功能区划（</w:t>
      </w:r>
      <w:r>
        <w:rPr>
          <w:rFonts w:eastAsia="Times New Roman"/>
          <w:color w:val="000000" w:themeColor="text1"/>
          <w14:textFill>
            <w14:solidFill>
              <w14:schemeClr w14:val="tx1"/>
            </w14:solidFill>
          </w14:textFill>
        </w:rPr>
        <w:t>2010-2020</w:t>
      </w:r>
      <w:r>
        <w:rPr>
          <w:color w:val="000000" w:themeColor="text1"/>
          <w14:textFill>
            <w14:solidFill>
              <w14:schemeClr w14:val="tx1"/>
            </w14:solidFill>
          </w14:textFill>
        </w:rPr>
        <w:t>）》，该河段“源头—入瑞丽江口”水环境功能为 “饮用二级”，水质类别为</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w:t>
      </w:r>
    </w:p>
    <w:p w14:paraId="004BFBCD">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本次评价地表水环境执行GB3838-2002《地表水环境质量标准》中III类标准。</w:t>
      </w:r>
    </w:p>
    <w:p w14:paraId="7EBA6D30">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表4.2-4  地表水环境质量现状监测统计评价表  单位：mg/L</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15" w:type="dxa"/>
          <w:left w:w="15" w:type="dxa"/>
          <w:bottom w:w="15" w:type="dxa"/>
          <w:right w:w="15" w:type="dxa"/>
        </w:tblCellMar>
      </w:tblPr>
      <w:tblGrid>
        <w:gridCol w:w="438"/>
        <w:gridCol w:w="1450"/>
        <w:gridCol w:w="1080"/>
        <w:gridCol w:w="1080"/>
        <w:gridCol w:w="1080"/>
        <w:gridCol w:w="1081"/>
        <w:gridCol w:w="1081"/>
        <w:gridCol w:w="1046"/>
      </w:tblGrid>
      <w:tr w14:paraId="2B3137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1133" w:type="pct"/>
            <w:gridSpan w:val="2"/>
            <w:vAlign w:val="center"/>
          </w:tcPr>
          <w:p w14:paraId="10125C9D">
            <w:pPr>
              <w:ind w:left="103" w:hanging="102" w:hangingChars="49"/>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监测点位</w:t>
            </w:r>
          </w:p>
        </w:tc>
        <w:tc>
          <w:tcPr>
            <w:tcW w:w="1943" w:type="pct"/>
            <w:gridSpan w:val="3"/>
            <w:vAlign w:val="center"/>
          </w:tcPr>
          <w:p w14:paraId="519B9DAA">
            <w:pPr>
              <w:tabs>
                <w:tab w:val="left" w:pos="210"/>
                <w:tab w:val="center" w:pos="1965"/>
              </w:tabs>
              <w:ind w:left="103" w:hanging="102" w:hangingChars="49"/>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项目区东面瑞丽江上游500m</w:t>
            </w:r>
          </w:p>
        </w:tc>
        <w:tc>
          <w:tcPr>
            <w:tcW w:w="1924" w:type="pct"/>
            <w:gridSpan w:val="3"/>
            <w:vAlign w:val="center"/>
          </w:tcPr>
          <w:p w14:paraId="6AF541BF">
            <w:pPr>
              <w:ind w:left="103" w:hanging="102" w:hangingChars="49"/>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项目区东面瑞丽江下游1000m</w:t>
            </w:r>
          </w:p>
        </w:tc>
      </w:tr>
      <w:tr w14:paraId="1C67D6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1133" w:type="pct"/>
            <w:gridSpan w:val="2"/>
            <w:vAlign w:val="center"/>
          </w:tcPr>
          <w:p w14:paraId="2CB1EB9A">
            <w:pPr>
              <w:ind w:left="103" w:hanging="102" w:hangingChars="49"/>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采样时间</w:t>
            </w:r>
          </w:p>
        </w:tc>
        <w:tc>
          <w:tcPr>
            <w:tcW w:w="648" w:type="pct"/>
            <w:vAlign w:val="center"/>
          </w:tcPr>
          <w:p w14:paraId="1E99A834">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20181220</w:t>
            </w:r>
          </w:p>
        </w:tc>
        <w:tc>
          <w:tcPr>
            <w:tcW w:w="648" w:type="pct"/>
          </w:tcPr>
          <w:p w14:paraId="0B4C2634">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20181221</w:t>
            </w:r>
          </w:p>
        </w:tc>
        <w:tc>
          <w:tcPr>
            <w:tcW w:w="648" w:type="pct"/>
          </w:tcPr>
          <w:p w14:paraId="22B77627">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20181222</w:t>
            </w:r>
          </w:p>
        </w:tc>
        <w:tc>
          <w:tcPr>
            <w:tcW w:w="648" w:type="pct"/>
            <w:vAlign w:val="center"/>
          </w:tcPr>
          <w:p w14:paraId="53B4BC89">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20181220</w:t>
            </w:r>
          </w:p>
        </w:tc>
        <w:tc>
          <w:tcPr>
            <w:tcW w:w="648" w:type="pct"/>
          </w:tcPr>
          <w:p w14:paraId="1994FF11">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20181221</w:t>
            </w:r>
          </w:p>
        </w:tc>
        <w:tc>
          <w:tcPr>
            <w:tcW w:w="628" w:type="pct"/>
          </w:tcPr>
          <w:p w14:paraId="6D641502">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20181222</w:t>
            </w:r>
          </w:p>
        </w:tc>
      </w:tr>
      <w:tr w14:paraId="7C07E3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restart"/>
            <w:vAlign w:val="center"/>
          </w:tcPr>
          <w:p w14:paraId="0C86B99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分</w:t>
            </w:r>
          </w:p>
          <w:p w14:paraId="4CA22F5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析</w:t>
            </w:r>
          </w:p>
          <w:p w14:paraId="00918DB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w:t>
            </w:r>
          </w:p>
          <w:p w14:paraId="26B8F7B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目</w:t>
            </w:r>
          </w:p>
        </w:tc>
        <w:tc>
          <w:tcPr>
            <w:tcW w:w="870" w:type="pct"/>
            <w:vAlign w:val="center"/>
          </w:tcPr>
          <w:p w14:paraId="497D425E">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水温</w:t>
            </w:r>
          </w:p>
        </w:tc>
        <w:tc>
          <w:tcPr>
            <w:tcW w:w="648" w:type="pct"/>
            <w:vAlign w:val="center"/>
          </w:tcPr>
          <w:p w14:paraId="1509104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24.4</w:t>
            </w:r>
          </w:p>
        </w:tc>
        <w:tc>
          <w:tcPr>
            <w:tcW w:w="648" w:type="pct"/>
            <w:vAlign w:val="center"/>
          </w:tcPr>
          <w:p w14:paraId="041239F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24.7</w:t>
            </w:r>
          </w:p>
        </w:tc>
        <w:tc>
          <w:tcPr>
            <w:tcW w:w="648" w:type="pct"/>
            <w:vAlign w:val="center"/>
          </w:tcPr>
          <w:p w14:paraId="57112F9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24.2</w:t>
            </w:r>
          </w:p>
        </w:tc>
        <w:tc>
          <w:tcPr>
            <w:tcW w:w="648" w:type="pct"/>
            <w:vAlign w:val="center"/>
          </w:tcPr>
          <w:p w14:paraId="52A23D3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24.6</w:t>
            </w:r>
          </w:p>
        </w:tc>
        <w:tc>
          <w:tcPr>
            <w:tcW w:w="648" w:type="pct"/>
            <w:vAlign w:val="center"/>
          </w:tcPr>
          <w:p w14:paraId="18158289">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24.9</w:t>
            </w:r>
          </w:p>
        </w:tc>
        <w:tc>
          <w:tcPr>
            <w:tcW w:w="628" w:type="pct"/>
            <w:vAlign w:val="center"/>
          </w:tcPr>
          <w:p w14:paraId="12EAAA7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24.7</w:t>
            </w:r>
          </w:p>
        </w:tc>
      </w:tr>
      <w:tr w14:paraId="3DBEB8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0DF19483">
            <w:pPr>
              <w:jc w:val="center"/>
              <w:rPr>
                <w:b/>
                <w:color w:val="000000" w:themeColor="text1"/>
                <w:szCs w:val="21"/>
                <w14:textFill>
                  <w14:solidFill>
                    <w14:schemeClr w14:val="tx1"/>
                  </w14:solidFill>
                </w14:textFill>
              </w:rPr>
            </w:pPr>
          </w:p>
        </w:tc>
        <w:tc>
          <w:tcPr>
            <w:tcW w:w="870" w:type="pct"/>
            <w:vAlign w:val="center"/>
          </w:tcPr>
          <w:p w14:paraId="7FA1530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pH（无量纲）</w:t>
            </w:r>
          </w:p>
        </w:tc>
        <w:tc>
          <w:tcPr>
            <w:tcW w:w="648" w:type="pct"/>
            <w:vAlign w:val="center"/>
          </w:tcPr>
          <w:p w14:paraId="1F9065F7">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7.27</w:t>
            </w:r>
          </w:p>
        </w:tc>
        <w:tc>
          <w:tcPr>
            <w:tcW w:w="648" w:type="pct"/>
            <w:vAlign w:val="center"/>
          </w:tcPr>
          <w:p w14:paraId="1B37BD3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7.29</w:t>
            </w:r>
          </w:p>
        </w:tc>
        <w:tc>
          <w:tcPr>
            <w:tcW w:w="648" w:type="pct"/>
            <w:vAlign w:val="center"/>
          </w:tcPr>
          <w:p w14:paraId="3703614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7.25</w:t>
            </w:r>
          </w:p>
        </w:tc>
        <w:tc>
          <w:tcPr>
            <w:tcW w:w="648" w:type="pct"/>
            <w:vAlign w:val="center"/>
          </w:tcPr>
          <w:p w14:paraId="0E5DCA8E">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7.32</w:t>
            </w:r>
          </w:p>
        </w:tc>
        <w:tc>
          <w:tcPr>
            <w:tcW w:w="648" w:type="pct"/>
            <w:vAlign w:val="center"/>
          </w:tcPr>
          <w:p w14:paraId="257CBDF1">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7.34</w:t>
            </w:r>
          </w:p>
        </w:tc>
        <w:tc>
          <w:tcPr>
            <w:tcW w:w="628" w:type="pct"/>
            <w:vAlign w:val="center"/>
          </w:tcPr>
          <w:p w14:paraId="31E250A1">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7.30</w:t>
            </w:r>
          </w:p>
        </w:tc>
      </w:tr>
      <w:tr w14:paraId="1B5102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5B14BEF">
            <w:pPr>
              <w:jc w:val="center"/>
              <w:rPr>
                <w:b/>
                <w:color w:val="000000" w:themeColor="text1"/>
                <w:szCs w:val="21"/>
                <w14:textFill>
                  <w14:solidFill>
                    <w14:schemeClr w14:val="tx1"/>
                  </w14:solidFill>
                </w14:textFill>
              </w:rPr>
            </w:pPr>
          </w:p>
        </w:tc>
        <w:tc>
          <w:tcPr>
            <w:tcW w:w="870" w:type="pct"/>
            <w:vAlign w:val="center"/>
          </w:tcPr>
          <w:p w14:paraId="32C62638">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48" w:type="pct"/>
          </w:tcPr>
          <w:p w14:paraId="55486EF6">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6~9</w:t>
            </w:r>
          </w:p>
        </w:tc>
        <w:tc>
          <w:tcPr>
            <w:tcW w:w="648" w:type="pct"/>
          </w:tcPr>
          <w:p w14:paraId="6ADA77F0">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6~9</w:t>
            </w:r>
          </w:p>
        </w:tc>
        <w:tc>
          <w:tcPr>
            <w:tcW w:w="648" w:type="pct"/>
          </w:tcPr>
          <w:p w14:paraId="62F1AA36">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6~9</w:t>
            </w:r>
          </w:p>
        </w:tc>
        <w:tc>
          <w:tcPr>
            <w:tcW w:w="648" w:type="pct"/>
          </w:tcPr>
          <w:p w14:paraId="3F9229DD">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6~9</w:t>
            </w:r>
          </w:p>
        </w:tc>
        <w:tc>
          <w:tcPr>
            <w:tcW w:w="648" w:type="pct"/>
          </w:tcPr>
          <w:p w14:paraId="1A780E68">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6~9</w:t>
            </w:r>
          </w:p>
        </w:tc>
        <w:tc>
          <w:tcPr>
            <w:tcW w:w="628" w:type="pct"/>
          </w:tcPr>
          <w:p w14:paraId="4F80E025">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6~9</w:t>
            </w:r>
          </w:p>
        </w:tc>
      </w:tr>
      <w:tr w14:paraId="5A2723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69828DFC">
            <w:pPr>
              <w:jc w:val="center"/>
              <w:rPr>
                <w:b/>
                <w:color w:val="000000" w:themeColor="text1"/>
                <w:szCs w:val="21"/>
                <w14:textFill>
                  <w14:solidFill>
                    <w14:schemeClr w14:val="tx1"/>
                  </w14:solidFill>
                </w14:textFill>
              </w:rPr>
            </w:pPr>
          </w:p>
        </w:tc>
        <w:tc>
          <w:tcPr>
            <w:tcW w:w="870" w:type="pct"/>
            <w:vAlign w:val="center"/>
          </w:tcPr>
          <w:p w14:paraId="702ED191">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48" w:type="pct"/>
            <w:vAlign w:val="center"/>
          </w:tcPr>
          <w:p w14:paraId="7B6DCB06">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7B97891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105DAD3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11315971">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3CD00BDB">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28" w:type="pct"/>
          </w:tcPr>
          <w:p w14:paraId="768F8681">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31D40F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0F98EFA4">
            <w:pPr>
              <w:jc w:val="center"/>
              <w:rPr>
                <w:b/>
                <w:color w:val="000000" w:themeColor="text1"/>
                <w:szCs w:val="21"/>
                <w14:textFill>
                  <w14:solidFill>
                    <w14:schemeClr w14:val="tx1"/>
                  </w14:solidFill>
                </w14:textFill>
              </w:rPr>
            </w:pPr>
          </w:p>
        </w:tc>
        <w:tc>
          <w:tcPr>
            <w:tcW w:w="870" w:type="pct"/>
            <w:vAlign w:val="center"/>
          </w:tcPr>
          <w:p w14:paraId="54077CA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C0Dcr</w:t>
            </w:r>
          </w:p>
        </w:tc>
        <w:tc>
          <w:tcPr>
            <w:tcW w:w="648" w:type="pct"/>
            <w:vAlign w:val="center"/>
          </w:tcPr>
          <w:p w14:paraId="537BE34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4L</w:t>
            </w:r>
          </w:p>
        </w:tc>
        <w:tc>
          <w:tcPr>
            <w:tcW w:w="648" w:type="pct"/>
            <w:vAlign w:val="center"/>
          </w:tcPr>
          <w:p w14:paraId="687CF43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4L</w:t>
            </w:r>
          </w:p>
        </w:tc>
        <w:tc>
          <w:tcPr>
            <w:tcW w:w="648" w:type="pct"/>
            <w:vAlign w:val="center"/>
          </w:tcPr>
          <w:p w14:paraId="0940FF4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4L</w:t>
            </w:r>
          </w:p>
        </w:tc>
        <w:tc>
          <w:tcPr>
            <w:tcW w:w="648" w:type="pct"/>
            <w:vAlign w:val="center"/>
          </w:tcPr>
          <w:p w14:paraId="02096C1E">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4L</w:t>
            </w:r>
          </w:p>
        </w:tc>
        <w:tc>
          <w:tcPr>
            <w:tcW w:w="648" w:type="pct"/>
            <w:vAlign w:val="center"/>
          </w:tcPr>
          <w:p w14:paraId="6E814EAD">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4L</w:t>
            </w:r>
          </w:p>
        </w:tc>
        <w:tc>
          <w:tcPr>
            <w:tcW w:w="628" w:type="pct"/>
            <w:vAlign w:val="center"/>
          </w:tcPr>
          <w:p w14:paraId="7CD17F4F">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4L</w:t>
            </w:r>
          </w:p>
        </w:tc>
      </w:tr>
      <w:tr w14:paraId="3A0C8D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16A313D">
            <w:pPr>
              <w:jc w:val="center"/>
              <w:rPr>
                <w:b/>
                <w:color w:val="000000" w:themeColor="text1"/>
                <w:szCs w:val="21"/>
                <w14:textFill>
                  <w14:solidFill>
                    <w14:schemeClr w14:val="tx1"/>
                  </w14:solidFill>
                </w14:textFill>
              </w:rPr>
            </w:pPr>
          </w:p>
        </w:tc>
        <w:tc>
          <w:tcPr>
            <w:tcW w:w="870" w:type="pct"/>
            <w:vAlign w:val="center"/>
          </w:tcPr>
          <w:p w14:paraId="61A693E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48" w:type="pct"/>
          </w:tcPr>
          <w:p w14:paraId="527BB78F">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20</w:t>
            </w:r>
          </w:p>
        </w:tc>
        <w:tc>
          <w:tcPr>
            <w:tcW w:w="648" w:type="pct"/>
          </w:tcPr>
          <w:p w14:paraId="5BD2F838">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20</w:t>
            </w:r>
          </w:p>
        </w:tc>
        <w:tc>
          <w:tcPr>
            <w:tcW w:w="648" w:type="pct"/>
          </w:tcPr>
          <w:p w14:paraId="335E50CC">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20</w:t>
            </w:r>
          </w:p>
        </w:tc>
        <w:tc>
          <w:tcPr>
            <w:tcW w:w="648" w:type="pct"/>
          </w:tcPr>
          <w:p w14:paraId="5AD991BA">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20</w:t>
            </w:r>
          </w:p>
        </w:tc>
        <w:tc>
          <w:tcPr>
            <w:tcW w:w="648" w:type="pct"/>
          </w:tcPr>
          <w:p w14:paraId="5249FEF4">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20</w:t>
            </w:r>
          </w:p>
        </w:tc>
        <w:tc>
          <w:tcPr>
            <w:tcW w:w="628" w:type="pct"/>
          </w:tcPr>
          <w:p w14:paraId="26CA580D">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20</w:t>
            </w:r>
          </w:p>
        </w:tc>
      </w:tr>
      <w:tr w14:paraId="1DF938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2061E27C">
            <w:pPr>
              <w:jc w:val="center"/>
              <w:rPr>
                <w:b/>
                <w:color w:val="000000" w:themeColor="text1"/>
                <w:szCs w:val="21"/>
                <w14:textFill>
                  <w14:solidFill>
                    <w14:schemeClr w14:val="tx1"/>
                  </w14:solidFill>
                </w14:textFill>
              </w:rPr>
            </w:pPr>
          </w:p>
        </w:tc>
        <w:tc>
          <w:tcPr>
            <w:tcW w:w="870" w:type="pct"/>
            <w:vAlign w:val="center"/>
          </w:tcPr>
          <w:p w14:paraId="01FB6EB0">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48" w:type="pct"/>
            <w:vAlign w:val="center"/>
          </w:tcPr>
          <w:p w14:paraId="73D34F84">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7AFA68E3">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2B2CBC75">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159D593F">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6916901A">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28" w:type="pct"/>
          </w:tcPr>
          <w:p w14:paraId="4FBA911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453A4E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807BFCD">
            <w:pPr>
              <w:jc w:val="center"/>
              <w:rPr>
                <w:b/>
                <w:color w:val="000000" w:themeColor="text1"/>
                <w:szCs w:val="21"/>
                <w14:textFill>
                  <w14:solidFill>
                    <w14:schemeClr w14:val="tx1"/>
                  </w14:solidFill>
                </w14:textFill>
              </w:rPr>
            </w:pPr>
          </w:p>
        </w:tc>
        <w:tc>
          <w:tcPr>
            <w:tcW w:w="870" w:type="pct"/>
            <w:vAlign w:val="center"/>
          </w:tcPr>
          <w:p w14:paraId="1500F94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BOD</w:t>
            </w:r>
            <w:r>
              <w:rPr>
                <w:bCs/>
                <w:color w:val="000000" w:themeColor="text1"/>
                <w:szCs w:val="21"/>
                <w:vertAlign w:val="subscript"/>
                <w14:textFill>
                  <w14:solidFill>
                    <w14:schemeClr w14:val="tx1"/>
                  </w14:solidFill>
                </w14:textFill>
              </w:rPr>
              <w:t>5</w:t>
            </w:r>
          </w:p>
        </w:tc>
        <w:tc>
          <w:tcPr>
            <w:tcW w:w="648" w:type="pct"/>
            <w:vAlign w:val="center"/>
          </w:tcPr>
          <w:p w14:paraId="5790AC3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0.5L</w:t>
            </w:r>
          </w:p>
        </w:tc>
        <w:tc>
          <w:tcPr>
            <w:tcW w:w="648" w:type="pct"/>
            <w:vAlign w:val="center"/>
          </w:tcPr>
          <w:p w14:paraId="0063989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0.5L</w:t>
            </w:r>
          </w:p>
        </w:tc>
        <w:tc>
          <w:tcPr>
            <w:tcW w:w="648" w:type="pct"/>
            <w:vAlign w:val="center"/>
          </w:tcPr>
          <w:p w14:paraId="7E399889">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0.5L</w:t>
            </w:r>
          </w:p>
        </w:tc>
        <w:tc>
          <w:tcPr>
            <w:tcW w:w="648" w:type="pct"/>
            <w:vAlign w:val="center"/>
          </w:tcPr>
          <w:p w14:paraId="18A66CC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0.5L</w:t>
            </w:r>
          </w:p>
        </w:tc>
        <w:tc>
          <w:tcPr>
            <w:tcW w:w="648" w:type="pct"/>
            <w:vAlign w:val="center"/>
          </w:tcPr>
          <w:p w14:paraId="6D57B099">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0.5L</w:t>
            </w:r>
          </w:p>
        </w:tc>
        <w:tc>
          <w:tcPr>
            <w:tcW w:w="628" w:type="pct"/>
            <w:vAlign w:val="center"/>
          </w:tcPr>
          <w:p w14:paraId="51E198F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0.5L</w:t>
            </w:r>
          </w:p>
        </w:tc>
      </w:tr>
      <w:tr w14:paraId="10A8C2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16B9339F">
            <w:pPr>
              <w:jc w:val="center"/>
              <w:rPr>
                <w:b/>
                <w:color w:val="000000" w:themeColor="text1"/>
                <w:szCs w:val="21"/>
                <w14:textFill>
                  <w14:solidFill>
                    <w14:schemeClr w14:val="tx1"/>
                  </w14:solidFill>
                </w14:textFill>
              </w:rPr>
            </w:pPr>
          </w:p>
        </w:tc>
        <w:tc>
          <w:tcPr>
            <w:tcW w:w="870" w:type="pct"/>
            <w:vAlign w:val="center"/>
          </w:tcPr>
          <w:p w14:paraId="1839D8D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48" w:type="pct"/>
          </w:tcPr>
          <w:p w14:paraId="05736D1C">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4</w:t>
            </w:r>
          </w:p>
        </w:tc>
        <w:tc>
          <w:tcPr>
            <w:tcW w:w="648" w:type="pct"/>
          </w:tcPr>
          <w:p w14:paraId="6F47BFE5">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4</w:t>
            </w:r>
          </w:p>
        </w:tc>
        <w:tc>
          <w:tcPr>
            <w:tcW w:w="648" w:type="pct"/>
          </w:tcPr>
          <w:p w14:paraId="097AD9EF">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4</w:t>
            </w:r>
          </w:p>
        </w:tc>
        <w:tc>
          <w:tcPr>
            <w:tcW w:w="648" w:type="pct"/>
          </w:tcPr>
          <w:p w14:paraId="308CA1CC">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4</w:t>
            </w:r>
          </w:p>
        </w:tc>
        <w:tc>
          <w:tcPr>
            <w:tcW w:w="648" w:type="pct"/>
          </w:tcPr>
          <w:p w14:paraId="03E264D5">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4</w:t>
            </w:r>
          </w:p>
        </w:tc>
        <w:tc>
          <w:tcPr>
            <w:tcW w:w="628" w:type="pct"/>
          </w:tcPr>
          <w:p w14:paraId="204D84FE">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4</w:t>
            </w:r>
          </w:p>
        </w:tc>
      </w:tr>
      <w:tr w14:paraId="7F773D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3BF5B34E">
            <w:pPr>
              <w:jc w:val="center"/>
              <w:rPr>
                <w:b/>
                <w:color w:val="000000" w:themeColor="text1"/>
                <w:szCs w:val="21"/>
                <w14:textFill>
                  <w14:solidFill>
                    <w14:schemeClr w14:val="tx1"/>
                  </w14:solidFill>
                </w14:textFill>
              </w:rPr>
            </w:pPr>
          </w:p>
        </w:tc>
        <w:tc>
          <w:tcPr>
            <w:tcW w:w="870" w:type="pct"/>
            <w:vAlign w:val="center"/>
          </w:tcPr>
          <w:p w14:paraId="37D0F133">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48" w:type="pct"/>
            <w:vAlign w:val="center"/>
          </w:tcPr>
          <w:p w14:paraId="02F94AFC">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3C98EB5F">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74EAB03D">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719F8184">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17C7E25D">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28" w:type="pct"/>
          </w:tcPr>
          <w:p w14:paraId="4DF43FAC">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251F45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129D066E">
            <w:pPr>
              <w:jc w:val="center"/>
              <w:rPr>
                <w:b/>
                <w:color w:val="000000" w:themeColor="text1"/>
                <w:szCs w:val="21"/>
                <w14:textFill>
                  <w14:solidFill>
                    <w14:schemeClr w14:val="tx1"/>
                  </w14:solidFill>
                </w14:textFill>
              </w:rPr>
            </w:pPr>
          </w:p>
        </w:tc>
        <w:tc>
          <w:tcPr>
            <w:tcW w:w="870" w:type="pct"/>
            <w:vAlign w:val="center"/>
          </w:tcPr>
          <w:p w14:paraId="109219E8">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溶解氧</w:t>
            </w:r>
          </w:p>
        </w:tc>
        <w:tc>
          <w:tcPr>
            <w:tcW w:w="648" w:type="pct"/>
            <w:vAlign w:val="center"/>
          </w:tcPr>
          <w:p w14:paraId="7F8F4201">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7.4</w:t>
            </w:r>
          </w:p>
        </w:tc>
        <w:tc>
          <w:tcPr>
            <w:tcW w:w="648" w:type="pct"/>
            <w:vAlign w:val="center"/>
          </w:tcPr>
          <w:p w14:paraId="3C4BFF2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7.6</w:t>
            </w:r>
          </w:p>
        </w:tc>
        <w:tc>
          <w:tcPr>
            <w:tcW w:w="648" w:type="pct"/>
            <w:vAlign w:val="center"/>
          </w:tcPr>
          <w:p w14:paraId="39730BD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7.3</w:t>
            </w:r>
          </w:p>
        </w:tc>
        <w:tc>
          <w:tcPr>
            <w:tcW w:w="648" w:type="pct"/>
            <w:vAlign w:val="center"/>
          </w:tcPr>
          <w:p w14:paraId="493200A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6.8</w:t>
            </w:r>
          </w:p>
        </w:tc>
        <w:tc>
          <w:tcPr>
            <w:tcW w:w="648" w:type="pct"/>
            <w:vAlign w:val="center"/>
          </w:tcPr>
          <w:p w14:paraId="476DFAE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7.0</w:t>
            </w:r>
          </w:p>
        </w:tc>
        <w:tc>
          <w:tcPr>
            <w:tcW w:w="628" w:type="pct"/>
            <w:vAlign w:val="center"/>
          </w:tcPr>
          <w:p w14:paraId="039A7D17">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w:t>
            </w:r>
          </w:p>
        </w:tc>
      </w:tr>
      <w:tr w14:paraId="54505E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3020D691">
            <w:pPr>
              <w:jc w:val="center"/>
              <w:rPr>
                <w:b/>
                <w:color w:val="000000" w:themeColor="text1"/>
                <w:szCs w:val="21"/>
                <w14:textFill>
                  <w14:solidFill>
                    <w14:schemeClr w14:val="tx1"/>
                  </w14:solidFill>
                </w14:textFill>
              </w:rPr>
            </w:pPr>
          </w:p>
        </w:tc>
        <w:tc>
          <w:tcPr>
            <w:tcW w:w="870" w:type="pct"/>
            <w:vAlign w:val="center"/>
          </w:tcPr>
          <w:p w14:paraId="7549641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48" w:type="pct"/>
          </w:tcPr>
          <w:p w14:paraId="1C9CE0FE">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648" w:type="pct"/>
          </w:tcPr>
          <w:p w14:paraId="445F8C10">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648" w:type="pct"/>
          </w:tcPr>
          <w:p w14:paraId="6C2E0719">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648" w:type="pct"/>
          </w:tcPr>
          <w:p w14:paraId="24C66415">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648" w:type="pct"/>
          </w:tcPr>
          <w:p w14:paraId="37F37D66">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628" w:type="pct"/>
          </w:tcPr>
          <w:p w14:paraId="19BB0FF2">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r>
      <w:tr w14:paraId="21CA04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049EEA88">
            <w:pPr>
              <w:jc w:val="center"/>
              <w:rPr>
                <w:b/>
                <w:color w:val="000000" w:themeColor="text1"/>
                <w:szCs w:val="21"/>
                <w14:textFill>
                  <w14:solidFill>
                    <w14:schemeClr w14:val="tx1"/>
                  </w14:solidFill>
                </w14:textFill>
              </w:rPr>
            </w:pPr>
          </w:p>
        </w:tc>
        <w:tc>
          <w:tcPr>
            <w:tcW w:w="870" w:type="pct"/>
            <w:vAlign w:val="center"/>
          </w:tcPr>
          <w:p w14:paraId="54F0EDE8">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48" w:type="pct"/>
            <w:vAlign w:val="center"/>
          </w:tcPr>
          <w:p w14:paraId="3F9D5891">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5B367A43">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121A4602">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0CE8C12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4126357B">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28" w:type="pct"/>
          </w:tcPr>
          <w:p w14:paraId="0E054FD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1F2C06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6680196">
            <w:pPr>
              <w:jc w:val="center"/>
              <w:rPr>
                <w:b/>
                <w:color w:val="000000" w:themeColor="text1"/>
                <w:szCs w:val="21"/>
                <w14:textFill>
                  <w14:solidFill>
                    <w14:schemeClr w14:val="tx1"/>
                  </w14:solidFill>
                </w14:textFill>
              </w:rPr>
            </w:pPr>
          </w:p>
        </w:tc>
        <w:tc>
          <w:tcPr>
            <w:tcW w:w="870" w:type="pct"/>
            <w:vAlign w:val="center"/>
          </w:tcPr>
          <w:p w14:paraId="2B455847">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SS</w:t>
            </w:r>
          </w:p>
        </w:tc>
        <w:tc>
          <w:tcPr>
            <w:tcW w:w="648" w:type="pct"/>
            <w:vAlign w:val="center"/>
          </w:tcPr>
          <w:p w14:paraId="3E3CE37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w:t>
            </w:r>
          </w:p>
        </w:tc>
        <w:tc>
          <w:tcPr>
            <w:tcW w:w="648" w:type="pct"/>
            <w:vAlign w:val="center"/>
          </w:tcPr>
          <w:p w14:paraId="6C86076F">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w:t>
            </w:r>
          </w:p>
        </w:tc>
        <w:tc>
          <w:tcPr>
            <w:tcW w:w="648" w:type="pct"/>
            <w:vAlign w:val="center"/>
          </w:tcPr>
          <w:p w14:paraId="2DD63819">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w:t>
            </w:r>
          </w:p>
        </w:tc>
        <w:tc>
          <w:tcPr>
            <w:tcW w:w="648" w:type="pct"/>
            <w:vAlign w:val="center"/>
          </w:tcPr>
          <w:p w14:paraId="47D8420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11</w:t>
            </w:r>
          </w:p>
        </w:tc>
        <w:tc>
          <w:tcPr>
            <w:tcW w:w="648" w:type="pct"/>
            <w:vAlign w:val="center"/>
          </w:tcPr>
          <w:p w14:paraId="0312206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13</w:t>
            </w:r>
          </w:p>
        </w:tc>
        <w:tc>
          <w:tcPr>
            <w:tcW w:w="628" w:type="pct"/>
            <w:vAlign w:val="center"/>
          </w:tcPr>
          <w:p w14:paraId="216C491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12</w:t>
            </w:r>
          </w:p>
        </w:tc>
      </w:tr>
      <w:tr w14:paraId="46D70B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8D67123">
            <w:pPr>
              <w:jc w:val="center"/>
              <w:rPr>
                <w:b/>
                <w:color w:val="000000" w:themeColor="text1"/>
                <w:szCs w:val="21"/>
                <w14:textFill>
                  <w14:solidFill>
                    <w14:schemeClr w14:val="tx1"/>
                  </w14:solidFill>
                </w14:textFill>
              </w:rPr>
            </w:pPr>
          </w:p>
        </w:tc>
        <w:tc>
          <w:tcPr>
            <w:tcW w:w="870" w:type="pct"/>
            <w:vAlign w:val="center"/>
          </w:tcPr>
          <w:p w14:paraId="43D5ABB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48" w:type="pct"/>
            <w:vAlign w:val="center"/>
          </w:tcPr>
          <w:p w14:paraId="0EB4612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8" w:type="pct"/>
            <w:vAlign w:val="center"/>
          </w:tcPr>
          <w:p w14:paraId="7CBDE938">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8" w:type="pct"/>
            <w:vAlign w:val="center"/>
          </w:tcPr>
          <w:p w14:paraId="472E05B7">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8" w:type="pct"/>
            <w:vAlign w:val="center"/>
          </w:tcPr>
          <w:p w14:paraId="538C28A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8" w:type="pct"/>
            <w:vAlign w:val="center"/>
          </w:tcPr>
          <w:p w14:paraId="5A454E6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28" w:type="pct"/>
            <w:vAlign w:val="center"/>
          </w:tcPr>
          <w:p w14:paraId="78939BD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2E5D7A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26BE01A">
            <w:pPr>
              <w:jc w:val="center"/>
              <w:rPr>
                <w:b/>
                <w:color w:val="000000" w:themeColor="text1"/>
                <w:szCs w:val="21"/>
                <w14:textFill>
                  <w14:solidFill>
                    <w14:schemeClr w14:val="tx1"/>
                  </w14:solidFill>
                </w14:textFill>
              </w:rPr>
            </w:pPr>
          </w:p>
        </w:tc>
        <w:tc>
          <w:tcPr>
            <w:tcW w:w="870" w:type="pct"/>
            <w:vAlign w:val="center"/>
          </w:tcPr>
          <w:p w14:paraId="10F8487C">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48" w:type="pct"/>
            <w:vAlign w:val="center"/>
          </w:tcPr>
          <w:p w14:paraId="1775EA58">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8" w:type="pct"/>
            <w:vAlign w:val="center"/>
          </w:tcPr>
          <w:p w14:paraId="2D95C038">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8" w:type="pct"/>
            <w:vAlign w:val="center"/>
          </w:tcPr>
          <w:p w14:paraId="35E94E8D">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8" w:type="pct"/>
            <w:vAlign w:val="center"/>
          </w:tcPr>
          <w:p w14:paraId="294F8009">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8" w:type="pct"/>
            <w:vAlign w:val="center"/>
          </w:tcPr>
          <w:p w14:paraId="0182D81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28" w:type="pct"/>
            <w:vAlign w:val="center"/>
          </w:tcPr>
          <w:p w14:paraId="1E99F5D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2CDF45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619D2A14">
            <w:pPr>
              <w:jc w:val="center"/>
              <w:rPr>
                <w:b/>
                <w:color w:val="000000" w:themeColor="text1"/>
                <w:szCs w:val="21"/>
                <w14:textFill>
                  <w14:solidFill>
                    <w14:schemeClr w14:val="tx1"/>
                  </w14:solidFill>
                </w14:textFill>
              </w:rPr>
            </w:pPr>
          </w:p>
        </w:tc>
        <w:tc>
          <w:tcPr>
            <w:tcW w:w="870" w:type="pct"/>
            <w:vAlign w:val="center"/>
          </w:tcPr>
          <w:p w14:paraId="6722248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氨氮</w:t>
            </w:r>
          </w:p>
        </w:tc>
        <w:tc>
          <w:tcPr>
            <w:tcW w:w="648" w:type="pct"/>
            <w:vAlign w:val="center"/>
          </w:tcPr>
          <w:p w14:paraId="47E3B04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0.026</w:t>
            </w:r>
          </w:p>
        </w:tc>
        <w:tc>
          <w:tcPr>
            <w:tcW w:w="648" w:type="pct"/>
            <w:vAlign w:val="center"/>
          </w:tcPr>
          <w:p w14:paraId="2E9BADA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0.031</w:t>
            </w:r>
          </w:p>
        </w:tc>
        <w:tc>
          <w:tcPr>
            <w:tcW w:w="648" w:type="pct"/>
            <w:vAlign w:val="center"/>
          </w:tcPr>
          <w:p w14:paraId="4DFEC9A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0.035</w:t>
            </w:r>
          </w:p>
        </w:tc>
        <w:tc>
          <w:tcPr>
            <w:tcW w:w="648" w:type="pct"/>
            <w:vAlign w:val="center"/>
          </w:tcPr>
          <w:p w14:paraId="7488564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0.026</w:t>
            </w:r>
          </w:p>
        </w:tc>
        <w:tc>
          <w:tcPr>
            <w:tcW w:w="648" w:type="pct"/>
            <w:vAlign w:val="center"/>
          </w:tcPr>
          <w:p w14:paraId="50A12AD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0.032</w:t>
            </w:r>
          </w:p>
        </w:tc>
        <w:tc>
          <w:tcPr>
            <w:tcW w:w="628" w:type="pct"/>
            <w:vAlign w:val="center"/>
          </w:tcPr>
          <w:p w14:paraId="1CF4C05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0.028</w:t>
            </w:r>
          </w:p>
        </w:tc>
      </w:tr>
      <w:tr w14:paraId="20445B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2A44CB06">
            <w:pPr>
              <w:jc w:val="center"/>
              <w:rPr>
                <w:b/>
                <w:color w:val="000000" w:themeColor="text1"/>
                <w:szCs w:val="21"/>
                <w14:textFill>
                  <w14:solidFill>
                    <w14:schemeClr w14:val="tx1"/>
                  </w14:solidFill>
                </w14:textFill>
              </w:rPr>
            </w:pPr>
          </w:p>
        </w:tc>
        <w:tc>
          <w:tcPr>
            <w:tcW w:w="870" w:type="pct"/>
            <w:vAlign w:val="center"/>
          </w:tcPr>
          <w:p w14:paraId="5A43F8D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48" w:type="pct"/>
          </w:tcPr>
          <w:p w14:paraId="0DB8F949">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48" w:type="pct"/>
          </w:tcPr>
          <w:p w14:paraId="24324BCB">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48" w:type="pct"/>
          </w:tcPr>
          <w:p w14:paraId="4125DE38">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48" w:type="pct"/>
          </w:tcPr>
          <w:p w14:paraId="38375577">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48" w:type="pct"/>
          </w:tcPr>
          <w:p w14:paraId="6E68F6B9">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28" w:type="pct"/>
          </w:tcPr>
          <w:p w14:paraId="6756C25A">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r>
      <w:tr w14:paraId="7ECF0A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02B8885">
            <w:pPr>
              <w:jc w:val="center"/>
              <w:rPr>
                <w:b/>
                <w:color w:val="000000" w:themeColor="text1"/>
                <w:szCs w:val="21"/>
                <w14:textFill>
                  <w14:solidFill>
                    <w14:schemeClr w14:val="tx1"/>
                  </w14:solidFill>
                </w14:textFill>
              </w:rPr>
            </w:pPr>
          </w:p>
        </w:tc>
        <w:tc>
          <w:tcPr>
            <w:tcW w:w="870" w:type="pct"/>
            <w:vAlign w:val="center"/>
          </w:tcPr>
          <w:p w14:paraId="6D9E587A">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48" w:type="pct"/>
            <w:vAlign w:val="center"/>
          </w:tcPr>
          <w:p w14:paraId="176DFCD8">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6B7C17B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2253C477">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440D87F2">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165BB4B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28" w:type="pct"/>
          </w:tcPr>
          <w:p w14:paraId="11D7BA8A">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72CAAB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1FC01AB">
            <w:pPr>
              <w:jc w:val="center"/>
              <w:rPr>
                <w:b/>
                <w:color w:val="000000" w:themeColor="text1"/>
                <w:szCs w:val="21"/>
                <w14:textFill>
                  <w14:solidFill>
                    <w14:schemeClr w14:val="tx1"/>
                  </w14:solidFill>
                </w14:textFill>
              </w:rPr>
            </w:pPr>
          </w:p>
        </w:tc>
        <w:tc>
          <w:tcPr>
            <w:tcW w:w="870" w:type="pct"/>
            <w:vAlign w:val="center"/>
          </w:tcPr>
          <w:p w14:paraId="0298FE8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总氮</w:t>
            </w:r>
          </w:p>
        </w:tc>
        <w:tc>
          <w:tcPr>
            <w:tcW w:w="648" w:type="pct"/>
            <w:vAlign w:val="center"/>
          </w:tcPr>
          <w:p w14:paraId="4626F7E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0.12</w:t>
            </w:r>
          </w:p>
        </w:tc>
        <w:tc>
          <w:tcPr>
            <w:tcW w:w="648" w:type="pct"/>
            <w:vAlign w:val="center"/>
          </w:tcPr>
          <w:p w14:paraId="322F394D">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0.13</w:t>
            </w:r>
          </w:p>
        </w:tc>
        <w:tc>
          <w:tcPr>
            <w:tcW w:w="648" w:type="pct"/>
            <w:vAlign w:val="center"/>
          </w:tcPr>
          <w:p w14:paraId="14A778F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0.11</w:t>
            </w:r>
          </w:p>
        </w:tc>
        <w:tc>
          <w:tcPr>
            <w:tcW w:w="648" w:type="pct"/>
            <w:vAlign w:val="center"/>
          </w:tcPr>
          <w:p w14:paraId="4A9851D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0.13</w:t>
            </w:r>
          </w:p>
        </w:tc>
        <w:tc>
          <w:tcPr>
            <w:tcW w:w="648" w:type="pct"/>
            <w:vAlign w:val="center"/>
          </w:tcPr>
          <w:p w14:paraId="2AE2B38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0.12</w:t>
            </w:r>
          </w:p>
        </w:tc>
        <w:tc>
          <w:tcPr>
            <w:tcW w:w="628" w:type="pct"/>
            <w:vAlign w:val="center"/>
          </w:tcPr>
          <w:p w14:paraId="76FBBE79">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0.13</w:t>
            </w:r>
          </w:p>
        </w:tc>
      </w:tr>
      <w:tr w14:paraId="43B6BF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22097778">
            <w:pPr>
              <w:jc w:val="center"/>
              <w:rPr>
                <w:b/>
                <w:color w:val="000000" w:themeColor="text1"/>
                <w:szCs w:val="21"/>
                <w14:textFill>
                  <w14:solidFill>
                    <w14:schemeClr w14:val="tx1"/>
                  </w14:solidFill>
                </w14:textFill>
              </w:rPr>
            </w:pPr>
          </w:p>
        </w:tc>
        <w:tc>
          <w:tcPr>
            <w:tcW w:w="870" w:type="pct"/>
            <w:vAlign w:val="center"/>
          </w:tcPr>
          <w:p w14:paraId="21187C2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48" w:type="pct"/>
          </w:tcPr>
          <w:p w14:paraId="7E4FA799">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48" w:type="pct"/>
          </w:tcPr>
          <w:p w14:paraId="721BEE35">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48" w:type="pct"/>
          </w:tcPr>
          <w:p w14:paraId="55EC2FCE">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48" w:type="pct"/>
          </w:tcPr>
          <w:p w14:paraId="160CF026">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48" w:type="pct"/>
          </w:tcPr>
          <w:p w14:paraId="320773E9">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c>
          <w:tcPr>
            <w:tcW w:w="628" w:type="pct"/>
          </w:tcPr>
          <w:p w14:paraId="2427E25E">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1.0</w:t>
            </w:r>
          </w:p>
        </w:tc>
      </w:tr>
      <w:tr w14:paraId="05F631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DFB144F">
            <w:pPr>
              <w:jc w:val="center"/>
              <w:rPr>
                <w:b/>
                <w:color w:val="000000" w:themeColor="text1"/>
                <w:szCs w:val="21"/>
                <w14:textFill>
                  <w14:solidFill>
                    <w14:schemeClr w14:val="tx1"/>
                  </w14:solidFill>
                </w14:textFill>
              </w:rPr>
            </w:pPr>
          </w:p>
        </w:tc>
        <w:tc>
          <w:tcPr>
            <w:tcW w:w="870" w:type="pct"/>
            <w:vAlign w:val="center"/>
          </w:tcPr>
          <w:p w14:paraId="123E0A46">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48" w:type="pct"/>
            <w:vAlign w:val="center"/>
          </w:tcPr>
          <w:p w14:paraId="0C791157">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5129CD2A">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5E036B2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618AE41B">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6D0C3E8C">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28" w:type="pct"/>
          </w:tcPr>
          <w:p w14:paraId="67F5356B">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63E578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DF84E5D">
            <w:pPr>
              <w:jc w:val="center"/>
              <w:rPr>
                <w:b/>
                <w:color w:val="000000" w:themeColor="text1"/>
                <w:szCs w:val="21"/>
                <w14:textFill>
                  <w14:solidFill>
                    <w14:schemeClr w14:val="tx1"/>
                  </w14:solidFill>
                </w14:textFill>
              </w:rPr>
            </w:pPr>
          </w:p>
        </w:tc>
        <w:tc>
          <w:tcPr>
            <w:tcW w:w="870" w:type="pct"/>
            <w:vAlign w:val="center"/>
          </w:tcPr>
          <w:p w14:paraId="6BF9586E">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总磷</w:t>
            </w:r>
          </w:p>
        </w:tc>
        <w:tc>
          <w:tcPr>
            <w:tcW w:w="648" w:type="pct"/>
            <w:vAlign w:val="center"/>
          </w:tcPr>
          <w:p w14:paraId="47F5ABEC">
            <w:pPr>
              <w:ind w:left="103" w:hanging="102" w:hangingChars="49"/>
              <w:jc w:val="center"/>
              <w:rPr>
                <w:bCs/>
                <w:color w:val="FF0000"/>
                <w:szCs w:val="21"/>
              </w:rPr>
            </w:pPr>
            <w:r>
              <w:rPr>
                <w:bCs/>
                <w:color w:val="FF0000"/>
                <w:szCs w:val="21"/>
              </w:rPr>
              <w:t>0.01</w:t>
            </w:r>
          </w:p>
        </w:tc>
        <w:tc>
          <w:tcPr>
            <w:tcW w:w="648" w:type="pct"/>
            <w:vAlign w:val="center"/>
          </w:tcPr>
          <w:p w14:paraId="72A3D961">
            <w:pPr>
              <w:ind w:left="103" w:hanging="102" w:hangingChars="49"/>
              <w:jc w:val="center"/>
              <w:rPr>
                <w:bCs/>
                <w:color w:val="FF0000"/>
                <w:szCs w:val="21"/>
              </w:rPr>
            </w:pPr>
            <w:r>
              <w:rPr>
                <w:bCs/>
                <w:color w:val="FF0000"/>
                <w:szCs w:val="21"/>
              </w:rPr>
              <w:t>0.03</w:t>
            </w:r>
          </w:p>
        </w:tc>
        <w:tc>
          <w:tcPr>
            <w:tcW w:w="648" w:type="pct"/>
            <w:vAlign w:val="center"/>
          </w:tcPr>
          <w:p w14:paraId="5D0F8C2C">
            <w:pPr>
              <w:ind w:left="103" w:hanging="102" w:hangingChars="49"/>
              <w:jc w:val="center"/>
              <w:rPr>
                <w:bCs/>
                <w:color w:val="FF0000"/>
                <w:szCs w:val="21"/>
              </w:rPr>
            </w:pPr>
            <w:r>
              <w:rPr>
                <w:bCs/>
                <w:color w:val="FF0000"/>
                <w:szCs w:val="21"/>
              </w:rPr>
              <w:t>0.02</w:t>
            </w:r>
          </w:p>
        </w:tc>
        <w:tc>
          <w:tcPr>
            <w:tcW w:w="648" w:type="pct"/>
            <w:vAlign w:val="center"/>
          </w:tcPr>
          <w:p w14:paraId="5707C782">
            <w:pPr>
              <w:ind w:left="103" w:hanging="102" w:hangingChars="49"/>
              <w:jc w:val="center"/>
              <w:rPr>
                <w:bCs/>
                <w:color w:val="FF0000"/>
                <w:szCs w:val="21"/>
              </w:rPr>
            </w:pPr>
            <w:r>
              <w:rPr>
                <w:bCs/>
                <w:color w:val="FF0000"/>
                <w:szCs w:val="21"/>
              </w:rPr>
              <w:t>0.03</w:t>
            </w:r>
          </w:p>
        </w:tc>
        <w:tc>
          <w:tcPr>
            <w:tcW w:w="648" w:type="pct"/>
            <w:vAlign w:val="center"/>
          </w:tcPr>
          <w:p w14:paraId="3B2D9BCE">
            <w:pPr>
              <w:ind w:left="103" w:hanging="102" w:hangingChars="49"/>
              <w:jc w:val="center"/>
              <w:rPr>
                <w:bCs/>
                <w:color w:val="FF0000"/>
                <w:szCs w:val="21"/>
              </w:rPr>
            </w:pPr>
            <w:r>
              <w:rPr>
                <w:bCs/>
                <w:color w:val="FF0000"/>
                <w:szCs w:val="21"/>
              </w:rPr>
              <w:t>0.01</w:t>
            </w:r>
          </w:p>
        </w:tc>
        <w:tc>
          <w:tcPr>
            <w:tcW w:w="628" w:type="pct"/>
            <w:vAlign w:val="center"/>
          </w:tcPr>
          <w:p w14:paraId="0B0E54F8">
            <w:pPr>
              <w:ind w:left="103" w:hanging="102" w:hangingChars="49"/>
              <w:jc w:val="center"/>
              <w:rPr>
                <w:bCs/>
                <w:color w:val="FF0000"/>
                <w:szCs w:val="21"/>
              </w:rPr>
            </w:pPr>
            <w:r>
              <w:rPr>
                <w:bCs/>
                <w:color w:val="FF0000"/>
                <w:szCs w:val="21"/>
              </w:rPr>
              <w:t>0.02</w:t>
            </w:r>
          </w:p>
        </w:tc>
      </w:tr>
      <w:tr w14:paraId="0BA8F6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18491671">
            <w:pPr>
              <w:jc w:val="center"/>
              <w:rPr>
                <w:b/>
                <w:color w:val="000000" w:themeColor="text1"/>
                <w:szCs w:val="21"/>
                <w14:textFill>
                  <w14:solidFill>
                    <w14:schemeClr w14:val="tx1"/>
                  </w14:solidFill>
                </w14:textFill>
              </w:rPr>
            </w:pPr>
          </w:p>
        </w:tc>
        <w:tc>
          <w:tcPr>
            <w:tcW w:w="870" w:type="pct"/>
            <w:vAlign w:val="center"/>
          </w:tcPr>
          <w:p w14:paraId="202275EF">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48" w:type="pct"/>
          </w:tcPr>
          <w:p w14:paraId="0300C864">
            <w:pPr>
              <w:jc w:val="center"/>
              <w:rPr>
                <w:color w:val="000000" w:themeColor="text1"/>
                <w14:textFill>
                  <w14:solidFill>
                    <w14:schemeClr w14:val="tx1"/>
                  </w14:solidFill>
                </w14:textFill>
              </w:rPr>
            </w:pPr>
            <w:r>
              <w:rPr>
                <w:bCs/>
                <w:color w:val="000000" w:themeColor="text1"/>
                <w:szCs w:val="32"/>
                <w:lang w:val="zh-CN"/>
                <w14:textFill>
                  <w14:solidFill>
                    <w14:schemeClr w14:val="tx1"/>
                  </w14:solidFill>
                </w14:textFill>
              </w:rPr>
              <w:t>0.2</w:t>
            </w:r>
          </w:p>
        </w:tc>
        <w:tc>
          <w:tcPr>
            <w:tcW w:w="648" w:type="pct"/>
          </w:tcPr>
          <w:p w14:paraId="57646B1A">
            <w:pPr>
              <w:jc w:val="center"/>
              <w:rPr>
                <w:color w:val="000000" w:themeColor="text1"/>
                <w14:textFill>
                  <w14:solidFill>
                    <w14:schemeClr w14:val="tx1"/>
                  </w14:solidFill>
                </w14:textFill>
              </w:rPr>
            </w:pPr>
            <w:r>
              <w:rPr>
                <w:bCs/>
                <w:color w:val="000000" w:themeColor="text1"/>
                <w:szCs w:val="32"/>
                <w:lang w:val="zh-CN"/>
                <w14:textFill>
                  <w14:solidFill>
                    <w14:schemeClr w14:val="tx1"/>
                  </w14:solidFill>
                </w14:textFill>
              </w:rPr>
              <w:t>0.2</w:t>
            </w:r>
          </w:p>
        </w:tc>
        <w:tc>
          <w:tcPr>
            <w:tcW w:w="648" w:type="pct"/>
          </w:tcPr>
          <w:p w14:paraId="44291C86">
            <w:pPr>
              <w:jc w:val="center"/>
              <w:rPr>
                <w:color w:val="000000" w:themeColor="text1"/>
                <w14:textFill>
                  <w14:solidFill>
                    <w14:schemeClr w14:val="tx1"/>
                  </w14:solidFill>
                </w14:textFill>
              </w:rPr>
            </w:pPr>
            <w:r>
              <w:rPr>
                <w:bCs/>
                <w:color w:val="000000" w:themeColor="text1"/>
                <w:szCs w:val="32"/>
                <w:lang w:val="zh-CN"/>
                <w14:textFill>
                  <w14:solidFill>
                    <w14:schemeClr w14:val="tx1"/>
                  </w14:solidFill>
                </w14:textFill>
              </w:rPr>
              <w:t>0.2</w:t>
            </w:r>
          </w:p>
        </w:tc>
        <w:tc>
          <w:tcPr>
            <w:tcW w:w="648" w:type="pct"/>
          </w:tcPr>
          <w:p w14:paraId="087129C7">
            <w:pPr>
              <w:jc w:val="center"/>
              <w:rPr>
                <w:color w:val="000000" w:themeColor="text1"/>
                <w14:textFill>
                  <w14:solidFill>
                    <w14:schemeClr w14:val="tx1"/>
                  </w14:solidFill>
                </w14:textFill>
              </w:rPr>
            </w:pPr>
            <w:r>
              <w:rPr>
                <w:bCs/>
                <w:color w:val="000000" w:themeColor="text1"/>
                <w:szCs w:val="32"/>
                <w:lang w:val="zh-CN"/>
                <w14:textFill>
                  <w14:solidFill>
                    <w14:schemeClr w14:val="tx1"/>
                  </w14:solidFill>
                </w14:textFill>
              </w:rPr>
              <w:t>0.2</w:t>
            </w:r>
          </w:p>
        </w:tc>
        <w:tc>
          <w:tcPr>
            <w:tcW w:w="648" w:type="pct"/>
          </w:tcPr>
          <w:p w14:paraId="77C2B08D">
            <w:pPr>
              <w:jc w:val="center"/>
              <w:rPr>
                <w:color w:val="000000" w:themeColor="text1"/>
                <w14:textFill>
                  <w14:solidFill>
                    <w14:schemeClr w14:val="tx1"/>
                  </w14:solidFill>
                </w14:textFill>
              </w:rPr>
            </w:pPr>
            <w:r>
              <w:rPr>
                <w:bCs/>
                <w:color w:val="000000" w:themeColor="text1"/>
                <w:szCs w:val="32"/>
                <w:lang w:val="zh-CN"/>
                <w14:textFill>
                  <w14:solidFill>
                    <w14:schemeClr w14:val="tx1"/>
                  </w14:solidFill>
                </w14:textFill>
              </w:rPr>
              <w:t>0.2</w:t>
            </w:r>
          </w:p>
        </w:tc>
        <w:tc>
          <w:tcPr>
            <w:tcW w:w="628" w:type="pct"/>
          </w:tcPr>
          <w:p w14:paraId="40851835">
            <w:pPr>
              <w:jc w:val="center"/>
              <w:rPr>
                <w:color w:val="000000" w:themeColor="text1"/>
                <w14:textFill>
                  <w14:solidFill>
                    <w14:schemeClr w14:val="tx1"/>
                  </w14:solidFill>
                </w14:textFill>
              </w:rPr>
            </w:pPr>
            <w:r>
              <w:rPr>
                <w:bCs/>
                <w:color w:val="000000" w:themeColor="text1"/>
                <w:szCs w:val="32"/>
                <w:lang w:val="zh-CN"/>
                <w14:textFill>
                  <w14:solidFill>
                    <w14:schemeClr w14:val="tx1"/>
                  </w14:solidFill>
                </w14:textFill>
              </w:rPr>
              <w:t>0.2</w:t>
            </w:r>
          </w:p>
        </w:tc>
      </w:tr>
      <w:tr w14:paraId="73AF23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A56E967">
            <w:pPr>
              <w:jc w:val="center"/>
              <w:rPr>
                <w:b/>
                <w:color w:val="000000" w:themeColor="text1"/>
                <w:szCs w:val="21"/>
                <w14:textFill>
                  <w14:solidFill>
                    <w14:schemeClr w14:val="tx1"/>
                  </w14:solidFill>
                </w14:textFill>
              </w:rPr>
            </w:pPr>
          </w:p>
        </w:tc>
        <w:tc>
          <w:tcPr>
            <w:tcW w:w="870" w:type="pct"/>
            <w:vAlign w:val="center"/>
          </w:tcPr>
          <w:p w14:paraId="057A7115">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48" w:type="pct"/>
            <w:vAlign w:val="center"/>
          </w:tcPr>
          <w:p w14:paraId="4F963EF3">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1B809FE5">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7E33908B">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16B4304F">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3012F352">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28" w:type="pct"/>
          </w:tcPr>
          <w:p w14:paraId="3814B58E">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233D6C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33EA24E8">
            <w:pPr>
              <w:jc w:val="center"/>
              <w:rPr>
                <w:b/>
                <w:bCs/>
                <w:color w:val="000000" w:themeColor="text1"/>
                <w:szCs w:val="21"/>
                <w14:textFill>
                  <w14:solidFill>
                    <w14:schemeClr w14:val="tx1"/>
                  </w14:solidFill>
                </w14:textFill>
              </w:rPr>
            </w:pPr>
          </w:p>
        </w:tc>
        <w:tc>
          <w:tcPr>
            <w:tcW w:w="870" w:type="pct"/>
            <w:vAlign w:val="center"/>
          </w:tcPr>
          <w:p w14:paraId="0CBF33B7">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石油类</w:t>
            </w:r>
          </w:p>
        </w:tc>
        <w:tc>
          <w:tcPr>
            <w:tcW w:w="648" w:type="pct"/>
            <w:vAlign w:val="center"/>
          </w:tcPr>
          <w:p w14:paraId="32965F36">
            <w:pPr>
              <w:ind w:left="103" w:hanging="102" w:hangingChars="49"/>
              <w:jc w:val="center"/>
              <w:rPr>
                <w:bCs/>
                <w:color w:val="FF0000"/>
                <w:szCs w:val="21"/>
              </w:rPr>
            </w:pPr>
            <w:r>
              <w:rPr>
                <w:bCs/>
                <w:color w:val="FF0000"/>
                <w:szCs w:val="21"/>
              </w:rPr>
              <w:t>0.03</w:t>
            </w:r>
          </w:p>
        </w:tc>
        <w:tc>
          <w:tcPr>
            <w:tcW w:w="648" w:type="pct"/>
            <w:vAlign w:val="center"/>
          </w:tcPr>
          <w:p w14:paraId="4F2431B0">
            <w:pPr>
              <w:ind w:left="103" w:hanging="102" w:hangingChars="49"/>
              <w:jc w:val="center"/>
              <w:rPr>
                <w:bCs/>
                <w:color w:val="FF0000"/>
                <w:szCs w:val="21"/>
              </w:rPr>
            </w:pPr>
            <w:r>
              <w:rPr>
                <w:bCs/>
                <w:color w:val="FF0000"/>
                <w:szCs w:val="21"/>
              </w:rPr>
              <w:t>0.02</w:t>
            </w:r>
          </w:p>
        </w:tc>
        <w:tc>
          <w:tcPr>
            <w:tcW w:w="648" w:type="pct"/>
            <w:vAlign w:val="center"/>
          </w:tcPr>
          <w:p w14:paraId="6BEF17D3">
            <w:pPr>
              <w:ind w:left="103" w:hanging="102" w:hangingChars="49"/>
              <w:jc w:val="center"/>
              <w:rPr>
                <w:bCs/>
                <w:color w:val="FF0000"/>
                <w:szCs w:val="21"/>
              </w:rPr>
            </w:pPr>
            <w:r>
              <w:rPr>
                <w:bCs/>
                <w:color w:val="FF0000"/>
                <w:szCs w:val="21"/>
              </w:rPr>
              <w:t>0.01</w:t>
            </w:r>
          </w:p>
        </w:tc>
        <w:tc>
          <w:tcPr>
            <w:tcW w:w="648" w:type="pct"/>
            <w:vAlign w:val="center"/>
          </w:tcPr>
          <w:p w14:paraId="4E73D2E7">
            <w:pPr>
              <w:ind w:left="103" w:hanging="102" w:hangingChars="49"/>
              <w:jc w:val="center"/>
              <w:rPr>
                <w:bCs/>
                <w:color w:val="FF0000"/>
                <w:szCs w:val="21"/>
              </w:rPr>
            </w:pPr>
            <w:r>
              <w:rPr>
                <w:bCs/>
                <w:color w:val="FF0000"/>
                <w:szCs w:val="21"/>
              </w:rPr>
              <w:t>0.03</w:t>
            </w:r>
          </w:p>
        </w:tc>
        <w:tc>
          <w:tcPr>
            <w:tcW w:w="648" w:type="pct"/>
            <w:vAlign w:val="center"/>
          </w:tcPr>
          <w:p w14:paraId="6F78E2F8">
            <w:pPr>
              <w:ind w:left="103" w:hanging="102" w:hangingChars="49"/>
              <w:jc w:val="center"/>
              <w:rPr>
                <w:bCs/>
                <w:color w:val="FF0000"/>
                <w:szCs w:val="21"/>
              </w:rPr>
            </w:pPr>
            <w:r>
              <w:rPr>
                <w:bCs/>
                <w:color w:val="FF0000"/>
                <w:szCs w:val="21"/>
              </w:rPr>
              <w:t>0.03</w:t>
            </w:r>
          </w:p>
        </w:tc>
        <w:tc>
          <w:tcPr>
            <w:tcW w:w="628" w:type="pct"/>
            <w:vAlign w:val="center"/>
          </w:tcPr>
          <w:p w14:paraId="06BBB118">
            <w:pPr>
              <w:ind w:left="103" w:hanging="102" w:hangingChars="49"/>
              <w:jc w:val="center"/>
              <w:rPr>
                <w:bCs/>
                <w:color w:val="FF0000"/>
                <w:szCs w:val="21"/>
              </w:rPr>
            </w:pPr>
            <w:r>
              <w:rPr>
                <w:bCs/>
                <w:color w:val="FF0000"/>
                <w:szCs w:val="21"/>
              </w:rPr>
              <w:t>0.04</w:t>
            </w:r>
          </w:p>
        </w:tc>
      </w:tr>
      <w:tr w14:paraId="255488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0997C897">
            <w:pPr>
              <w:jc w:val="center"/>
              <w:rPr>
                <w:b/>
                <w:bCs/>
                <w:color w:val="000000" w:themeColor="text1"/>
                <w:szCs w:val="21"/>
                <w14:textFill>
                  <w14:solidFill>
                    <w14:schemeClr w14:val="tx1"/>
                  </w14:solidFill>
                </w14:textFill>
              </w:rPr>
            </w:pPr>
          </w:p>
        </w:tc>
        <w:tc>
          <w:tcPr>
            <w:tcW w:w="870" w:type="pct"/>
            <w:vAlign w:val="center"/>
          </w:tcPr>
          <w:p w14:paraId="2CC7D0B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48" w:type="pct"/>
          </w:tcPr>
          <w:p w14:paraId="16C057A2">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0.05</w:t>
            </w:r>
          </w:p>
        </w:tc>
        <w:tc>
          <w:tcPr>
            <w:tcW w:w="648" w:type="pct"/>
          </w:tcPr>
          <w:p w14:paraId="609BEE9A">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0.05</w:t>
            </w:r>
          </w:p>
        </w:tc>
        <w:tc>
          <w:tcPr>
            <w:tcW w:w="648" w:type="pct"/>
          </w:tcPr>
          <w:p w14:paraId="52E8EF37">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0.05</w:t>
            </w:r>
          </w:p>
        </w:tc>
        <w:tc>
          <w:tcPr>
            <w:tcW w:w="648" w:type="pct"/>
          </w:tcPr>
          <w:p w14:paraId="79DAC50B">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0.05</w:t>
            </w:r>
          </w:p>
        </w:tc>
        <w:tc>
          <w:tcPr>
            <w:tcW w:w="648" w:type="pct"/>
          </w:tcPr>
          <w:p w14:paraId="7F38AFFC">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0.05</w:t>
            </w:r>
          </w:p>
        </w:tc>
        <w:tc>
          <w:tcPr>
            <w:tcW w:w="628" w:type="pct"/>
          </w:tcPr>
          <w:p w14:paraId="5E09DBCC">
            <w:pPr>
              <w:jc w:val="center"/>
              <w:rPr>
                <w:color w:val="000000" w:themeColor="text1"/>
                <w14:textFill>
                  <w14:solidFill>
                    <w14:schemeClr w14:val="tx1"/>
                  </w14:solidFill>
                </w14:textFill>
              </w:rPr>
            </w:pPr>
            <w:r>
              <w:rPr>
                <w:bCs/>
                <w:color w:val="000000" w:themeColor="text1"/>
                <w:szCs w:val="21"/>
                <w:lang w:val="zh-CN"/>
                <w14:textFill>
                  <w14:solidFill>
                    <w14:schemeClr w14:val="tx1"/>
                  </w14:solidFill>
                </w14:textFill>
              </w:rPr>
              <w:t>0.05</w:t>
            </w:r>
          </w:p>
        </w:tc>
      </w:tr>
      <w:tr w14:paraId="2D1925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4C114DB">
            <w:pPr>
              <w:jc w:val="center"/>
              <w:rPr>
                <w:b/>
                <w:bCs/>
                <w:color w:val="000000" w:themeColor="text1"/>
                <w:szCs w:val="21"/>
                <w14:textFill>
                  <w14:solidFill>
                    <w14:schemeClr w14:val="tx1"/>
                  </w14:solidFill>
                </w14:textFill>
              </w:rPr>
            </w:pPr>
          </w:p>
        </w:tc>
        <w:tc>
          <w:tcPr>
            <w:tcW w:w="870" w:type="pct"/>
            <w:vAlign w:val="center"/>
          </w:tcPr>
          <w:p w14:paraId="3477F3C1">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48" w:type="pct"/>
            <w:vAlign w:val="center"/>
          </w:tcPr>
          <w:p w14:paraId="6A36EBD4">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258FFB8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453EB3E9">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7BD2F449">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48" w:type="pct"/>
          </w:tcPr>
          <w:p w14:paraId="1AE3E91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28" w:type="pct"/>
          </w:tcPr>
          <w:p w14:paraId="3FEB6A34">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566C27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5000" w:type="pct"/>
            <w:gridSpan w:val="8"/>
            <w:vAlign w:val="center"/>
          </w:tcPr>
          <w:p w14:paraId="2BC934D7">
            <w:pPr>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r>
              <w:rPr>
                <w:color w:val="000000" w:themeColor="text1"/>
                <w:szCs w:val="21"/>
                <w14:textFill>
                  <w14:solidFill>
                    <w14:schemeClr w14:val="tx1"/>
                  </w14:solidFill>
                </w14:textFill>
              </w:rPr>
              <w:t>表中“L”表示该项目分析结果低于方法检出限。</w:t>
            </w:r>
          </w:p>
        </w:tc>
      </w:tr>
    </w:tbl>
    <w:p w14:paraId="3065311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瑞丽江两个监测断面的</w:t>
      </w:r>
      <w:r>
        <w:rPr>
          <w:color w:val="000000" w:themeColor="text1"/>
          <w:spacing w:val="-4"/>
          <w:sz w:val="24"/>
          <w14:textFill>
            <w14:solidFill>
              <w14:schemeClr w14:val="tx1"/>
            </w14:solidFill>
          </w14:textFill>
        </w:rPr>
        <w:t>水温、pH、BOD</w:t>
      </w:r>
      <w:r>
        <w:rPr>
          <w:color w:val="000000" w:themeColor="text1"/>
          <w:spacing w:val="-4"/>
          <w:sz w:val="24"/>
          <w:vertAlign w:val="subscript"/>
          <w14:textFill>
            <w14:solidFill>
              <w14:schemeClr w14:val="tx1"/>
            </w14:solidFill>
          </w14:textFill>
        </w:rPr>
        <w:t>5</w:t>
      </w:r>
      <w:r>
        <w:rPr>
          <w:color w:val="000000" w:themeColor="text1"/>
          <w:spacing w:val="-4"/>
          <w:sz w:val="24"/>
          <w14:textFill>
            <w14:solidFill>
              <w14:schemeClr w14:val="tx1"/>
            </w14:solidFill>
          </w14:textFill>
        </w:rPr>
        <w:t>、CODcr、溶解氧、SS、氨氮、总氮、总磷、石油类</w:t>
      </w:r>
      <w:r>
        <w:rPr>
          <w:color w:val="000000" w:themeColor="text1"/>
          <w:sz w:val="24"/>
          <w14:textFill>
            <w14:solidFill>
              <w14:schemeClr w14:val="tx1"/>
            </w14:solidFill>
          </w14:textFill>
        </w:rPr>
        <w:t>监测指标均达到</w:t>
      </w:r>
      <w:r>
        <w:rPr>
          <w:rFonts w:eastAsia="Times New Roman"/>
          <w:color w:val="000000" w:themeColor="text1"/>
          <w:sz w:val="24"/>
          <w14:textFill>
            <w14:solidFill>
              <w14:schemeClr w14:val="tx1"/>
            </w14:solidFill>
          </w14:textFill>
        </w:rPr>
        <w:t>GB3838-2002</w:t>
      </w:r>
      <w:r>
        <w:rPr>
          <w:color w:val="000000" w:themeColor="text1"/>
          <w:sz w:val="24"/>
          <w14:textFill>
            <w14:solidFill>
              <w14:schemeClr w14:val="tx1"/>
            </w14:solidFill>
          </w14:textFill>
        </w:rPr>
        <w:t>《地表水环境质量标准》</w:t>
      </w:r>
      <w:r>
        <w:rPr>
          <w:rFonts w:hint="eastAsia" w:ascii="宋体" w:hAnsi="宋体" w:cs="宋体"/>
          <w:color w:val="000000" w:themeColor="text1"/>
          <w:sz w:val="24"/>
          <w14:textFill>
            <w14:solidFill>
              <w14:schemeClr w14:val="tx1"/>
            </w14:solidFill>
          </w14:textFill>
        </w:rPr>
        <w:t>Ⅲ</w:t>
      </w:r>
      <w:r>
        <w:rPr>
          <w:color w:val="000000" w:themeColor="text1"/>
          <w:sz w:val="24"/>
          <w14:textFill>
            <w14:solidFill>
              <w14:schemeClr w14:val="tx1"/>
            </w14:solidFill>
          </w14:textFill>
        </w:rPr>
        <w:t>类标准。</w:t>
      </w:r>
    </w:p>
    <w:p w14:paraId="0D262668">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4.2.3地下水环境质量现状</w:t>
      </w:r>
    </w:p>
    <w:p w14:paraId="39FB37B2">
      <w:pPr>
        <w:spacing w:line="360" w:lineRule="auto"/>
        <w:ind w:firstLine="48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1、监测范围及点位布置</w:t>
      </w:r>
    </w:p>
    <w:p w14:paraId="3AA98E17">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此次监测点布置是根据项目特点、周边环境概况，结合敏感目标处布点，布点覆盖整个项目调查区。水质现状监测点共3</w:t>
      </w:r>
      <w:r>
        <w:rPr>
          <w:color w:val="000000" w:themeColor="text1"/>
          <w:spacing w:val="-6"/>
          <w:sz w:val="24"/>
          <w14:textFill>
            <w14:solidFill>
              <w14:schemeClr w14:val="tx1"/>
            </w14:solidFill>
          </w14:textFill>
        </w:rPr>
        <w:t>个点，</w:t>
      </w:r>
      <w:r>
        <w:rPr>
          <w:color w:val="000000" w:themeColor="text1"/>
          <w:sz w:val="24"/>
          <w14:textFill>
            <w14:solidFill>
              <w14:schemeClr w14:val="tx1"/>
            </w14:solidFill>
          </w14:textFill>
        </w:rPr>
        <w:t>四分场四队 1#、户焕 2#、芒捧 3#。</w:t>
      </w:r>
    </w:p>
    <w:p w14:paraId="02425624">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1#~3#点位均为村庄附近的泉点，主要功能为补充地表水，不涉及饮用灌溉等特殊功能。</w:t>
      </w:r>
    </w:p>
    <w:p w14:paraId="06256239">
      <w:pPr>
        <w:spacing w:line="360" w:lineRule="auto"/>
        <w:ind w:firstLine="48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2、监测项目</w:t>
      </w:r>
    </w:p>
    <w:p w14:paraId="5D22DB38">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水质监测指标：pH、溶解性总固体、耗氧量、氨氮、挥发酚、氯化物、硫酸盐、氟化物、菌落总数、总大肠菌群、铁、锰、铅，共 13 项。</w:t>
      </w:r>
    </w:p>
    <w:p w14:paraId="69F36671">
      <w:pPr>
        <w:spacing w:line="360" w:lineRule="auto"/>
        <w:ind w:firstLine="48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3、监测频率和监测时间</w:t>
      </w:r>
    </w:p>
    <w:p w14:paraId="65C9FC01">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此次地下水监测取样时间：201</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年12月</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1日至</w:t>
      </w:r>
      <w:r>
        <w:rPr>
          <w:rFonts w:hint="eastAsia"/>
          <w:color w:val="000000" w:themeColor="text1"/>
          <w:sz w:val="24"/>
          <w14:textFill>
            <w14:solidFill>
              <w14:schemeClr w14:val="tx1"/>
            </w14:solidFill>
          </w14:textFill>
        </w:rPr>
        <w:t>22</w:t>
      </w:r>
      <w:r>
        <w:rPr>
          <w:color w:val="000000" w:themeColor="text1"/>
          <w:sz w:val="24"/>
          <w14:textFill>
            <w14:solidFill>
              <w14:schemeClr w14:val="tx1"/>
            </w14:solidFill>
          </w14:textFill>
        </w:rPr>
        <w:t>日共</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天。</w:t>
      </w:r>
    </w:p>
    <w:p w14:paraId="46D48834">
      <w:pPr>
        <w:spacing w:line="360" w:lineRule="auto"/>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4、水质监测结果及分析</w:t>
      </w:r>
    </w:p>
    <w:p w14:paraId="495699C8">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表4.2-5 地下水水质监测结果</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15" w:type="dxa"/>
          <w:left w:w="15" w:type="dxa"/>
          <w:bottom w:w="15" w:type="dxa"/>
          <w:right w:w="15" w:type="dxa"/>
        </w:tblCellMar>
      </w:tblPr>
      <w:tblGrid>
        <w:gridCol w:w="1627"/>
        <w:gridCol w:w="1038"/>
        <w:gridCol w:w="1133"/>
        <w:gridCol w:w="1133"/>
        <w:gridCol w:w="1133"/>
        <w:gridCol w:w="1134"/>
        <w:gridCol w:w="1138"/>
      </w:tblGrid>
      <w:tr w14:paraId="2CC888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tblHeader/>
          <w:jc w:val="center"/>
        </w:trPr>
        <w:tc>
          <w:tcPr>
            <w:tcW w:w="915" w:type="pct"/>
            <w:vAlign w:val="center"/>
          </w:tcPr>
          <w:p w14:paraId="320120B8">
            <w:pPr>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监测点位</w:t>
            </w:r>
          </w:p>
        </w:tc>
        <w:tc>
          <w:tcPr>
            <w:tcW w:w="1323" w:type="pct"/>
            <w:gridSpan w:val="2"/>
            <w:vAlign w:val="center"/>
          </w:tcPr>
          <w:p w14:paraId="4BDB00FD">
            <w:pPr>
              <w:ind w:left="110" w:hanging="109" w:hangingChars="49"/>
              <w:jc w:val="center"/>
              <w:rPr>
                <w:b/>
                <w:color w:val="000000" w:themeColor="text1"/>
                <w:szCs w:val="21"/>
                <w14:textFill>
                  <w14:solidFill>
                    <w14:schemeClr w14:val="tx1"/>
                  </w14:solidFill>
                </w14:textFill>
              </w:rPr>
            </w:pPr>
            <w:r>
              <w:rPr>
                <w:b/>
                <w:bCs/>
                <w:color w:val="000000" w:themeColor="text1"/>
                <w:spacing w:val="-8"/>
                <w:sz w:val="24"/>
                <w14:textFill>
                  <w14:solidFill>
                    <w14:schemeClr w14:val="tx1"/>
                  </w14:solidFill>
                </w14:textFill>
              </w:rPr>
              <w:t>四分场四队1#</w:t>
            </w:r>
          </w:p>
        </w:tc>
        <w:tc>
          <w:tcPr>
            <w:tcW w:w="1380" w:type="pct"/>
            <w:gridSpan w:val="2"/>
            <w:vAlign w:val="center"/>
          </w:tcPr>
          <w:p w14:paraId="1A038C99">
            <w:pPr>
              <w:ind w:left="112" w:hanging="111" w:hangingChars="49"/>
              <w:jc w:val="center"/>
              <w:rPr>
                <w:b/>
                <w:color w:val="000000" w:themeColor="text1"/>
                <w:szCs w:val="21"/>
                <w14:textFill>
                  <w14:solidFill>
                    <w14:schemeClr w14:val="tx1"/>
                  </w14:solidFill>
                </w14:textFill>
              </w:rPr>
            </w:pPr>
            <w:r>
              <w:rPr>
                <w:b/>
                <w:bCs/>
                <w:color w:val="000000" w:themeColor="text1"/>
                <w:spacing w:val="-6"/>
                <w:sz w:val="24"/>
                <w14:textFill>
                  <w14:solidFill>
                    <w14:schemeClr w14:val="tx1"/>
                  </w14:solidFill>
                </w14:textFill>
              </w:rPr>
              <w:t>户焕2#</w:t>
            </w:r>
          </w:p>
        </w:tc>
        <w:tc>
          <w:tcPr>
            <w:tcW w:w="1382" w:type="pct"/>
            <w:gridSpan w:val="2"/>
            <w:vAlign w:val="center"/>
          </w:tcPr>
          <w:p w14:paraId="7986282A">
            <w:pPr>
              <w:ind w:left="112" w:hanging="111" w:hangingChars="49"/>
              <w:jc w:val="center"/>
              <w:rPr>
                <w:b/>
                <w:color w:val="000000" w:themeColor="text1"/>
                <w:szCs w:val="21"/>
                <w14:textFill>
                  <w14:solidFill>
                    <w14:schemeClr w14:val="tx1"/>
                  </w14:solidFill>
                </w14:textFill>
              </w:rPr>
            </w:pPr>
            <w:r>
              <w:rPr>
                <w:b/>
                <w:bCs/>
                <w:color w:val="000000" w:themeColor="text1"/>
                <w:spacing w:val="-6"/>
                <w:sz w:val="24"/>
                <w14:textFill>
                  <w14:solidFill>
                    <w14:schemeClr w14:val="tx1"/>
                  </w14:solidFill>
                </w14:textFill>
              </w:rPr>
              <w:t>芒捧3#</w:t>
            </w:r>
          </w:p>
        </w:tc>
      </w:tr>
      <w:tr w14:paraId="3A5A5B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tblHeader/>
          <w:jc w:val="center"/>
        </w:trPr>
        <w:tc>
          <w:tcPr>
            <w:tcW w:w="915" w:type="pct"/>
            <w:vAlign w:val="center"/>
          </w:tcPr>
          <w:p w14:paraId="4759B3A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采样时间</w:t>
            </w:r>
          </w:p>
        </w:tc>
        <w:tc>
          <w:tcPr>
            <w:tcW w:w="633" w:type="pct"/>
            <w:vAlign w:val="center"/>
          </w:tcPr>
          <w:p w14:paraId="3387B554">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20181221</w:t>
            </w:r>
          </w:p>
        </w:tc>
        <w:tc>
          <w:tcPr>
            <w:tcW w:w="690" w:type="pct"/>
            <w:vAlign w:val="center"/>
          </w:tcPr>
          <w:p w14:paraId="69A88538">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20181222</w:t>
            </w:r>
          </w:p>
        </w:tc>
        <w:tc>
          <w:tcPr>
            <w:tcW w:w="690" w:type="pct"/>
            <w:vAlign w:val="center"/>
          </w:tcPr>
          <w:p w14:paraId="6A30BD6E">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20181221</w:t>
            </w:r>
          </w:p>
        </w:tc>
        <w:tc>
          <w:tcPr>
            <w:tcW w:w="690" w:type="pct"/>
            <w:vAlign w:val="center"/>
          </w:tcPr>
          <w:p w14:paraId="3B90A6CB">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20181222</w:t>
            </w:r>
          </w:p>
        </w:tc>
        <w:tc>
          <w:tcPr>
            <w:tcW w:w="690" w:type="pct"/>
            <w:vAlign w:val="center"/>
          </w:tcPr>
          <w:p w14:paraId="512EF414">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20181221</w:t>
            </w:r>
          </w:p>
        </w:tc>
        <w:tc>
          <w:tcPr>
            <w:tcW w:w="692" w:type="pct"/>
            <w:vAlign w:val="center"/>
          </w:tcPr>
          <w:p w14:paraId="026862CE">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20181222</w:t>
            </w:r>
          </w:p>
        </w:tc>
      </w:tr>
      <w:tr w14:paraId="0188C6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7A21C76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pH</w:t>
            </w:r>
            <w:r>
              <w:rPr>
                <w:color w:val="000000" w:themeColor="text1"/>
                <w:szCs w:val="21"/>
                <w14:textFill>
                  <w14:solidFill>
                    <w14:schemeClr w14:val="tx1"/>
                  </w14:solidFill>
                </w14:textFill>
              </w:rPr>
              <w:t>（无量纲）</w:t>
            </w:r>
          </w:p>
        </w:tc>
        <w:tc>
          <w:tcPr>
            <w:tcW w:w="633" w:type="pct"/>
            <w:vAlign w:val="center"/>
          </w:tcPr>
          <w:p w14:paraId="68309F83">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7.44</w:t>
            </w:r>
          </w:p>
        </w:tc>
        <w:tc>
          <w:tcPr>
            <w:tcW w:w="690" w:type="pct"/>
            <w:vAlign w:val="center"/>
          </w:tcPr>
          <w:p w14:paraId="5B94764C">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7.46</w:t>
            </w:r>
          </w:p>
        </w:tc>
        <w:tc>
          <w:tcPr>
            <w:tcW w:w="690" w:type="pct"/>
            <w:vAlign w:val="center"/>
          </w:tcPr>
          <w:p w14:paraId="4E830366">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7.24</w:t>
            </w:r>
          </w:p>
        </w:tc>
        <w:tc>
          <w:tcPr>
            <w:tcW w:w="690" w:type="pct"/>
            <w:vAlign w:val="center"/>
          </w:tcPr>
          <w:p w14:paraId="68F4965E">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7.22</w:t>
            </w:r>
          </w:p>
        </w:tc>
        <w:tc>
          <w:tcPr>
            <w:tcW w:w="690" w:type="pct"/>
            <w:vAlign w:val="center"/>
          </w:tcPr>
          <w:p w14:paraId="4AA43E83">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8.13</w:t>
            </w:r>
          </w:p>
        </w:tc>
        <w:tc>
          <w:tcPr>
            <w:tcW w:w="692" w:type="pct"/>
            <w:vAlign w:val="center"/>
          </w:tcPr>
          <w:p w14:paraId="07A9B3F0">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8.12</w:t>
            </w:r>
          </w:p>
        </w:tc>
      </w:tr>
      <w:tr w14:paraId="5C9735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74D38E1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溶解性总固体</w:t>
            </w:r>
          </w:p>
        </w:tc>
        <w:tc>
          <w:tcPr>
            <w:tcW w:w="633" w:type="pct"/>
            <w:vAlign w:val="center"/>
          </w:tcPr>
          <w:p w14:paraId="20E2899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376</w:t>
            </w:r>
          </w:p>
        </w:tc>
        <w:tc>
          <w:tcPr>
            <w:tcW w:w="690" w:type="pct"/>
            <w:vAlign w:val="center"/>
          </w:tcPr>
          <w:p w14:paraId="4E2308E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382</w:t>
            </w:r>
          </w:p>
        </w:tc>
        <w:tc>
          <w:tcPr>
            <w:tcW w:w="690" w:type="pct"/>
            <w:vAlign w:val="center"/>
          </w:tcPr>
          <w:p w14:paraId="3B25E99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242</w:t>
            </w:r>
          </w:p>
        </w:tc>
        <w:tc>
          <w:tcPr>
            <w:tcW w:w="690" w:type="pct"/>
            <w:vAlign w:val="center"/>
          </w:tcPr>
          <w:p w14:paraId="7A357039">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248</w:t>
            </w:r>
          </w:p>
        </w:tc>
        <w:tc>
          <w:tcPr>
            <w:tcW w:w="690" w:type="pct"/>
            <w:vAlign w:val="center"/>
          </w:tcPr>
          <w:p w14:paraId="2CD4ADF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349</w:t>
            </w:r>
          </w:p>
        </w:tc>
        <w:tc>
          <w:tcPr>
            <w:tcW w:w="692" w:type="pct"/>
            <w:vAlign w:val="center"/>
          </w:tcPr>
          <w:p w14:paraId="3C6B954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343</w:t>
            </w:r>
          </w:p>
        </w:tc>
      </w:tr>
      <w:tr w14:paraId="1B8BA7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349E94CF">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4663A5A9">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1000</w:t>
            </w:r>
          </w:p>
        </w:tc>
        <w:tc>
          <w:tcPr>
            <w:tcW w:w="690" w:type="pct"/>
            <w:vAlign w:val="center"/>
          </w:tcPr>
          <w:p w14:paraId="02BDCBBF">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1000</w:t>
            </w:r>
          </w:p>
        </w:tc>
        <w:tc>
          <w:tcPr>
            <w:tcW w:w="690" w:type="pct"/>
            <w:vAlign w:val="center"/>
          </w:tcPr>
          <w:p w14:paraId="0EA3F503">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1000</w:t>
            </w:r>
          </w:p>
        </w:tc>
        <w:tc>
          <w:tcPr>
            <w:tcW w:w="690" w:type="pct"/>
            <w:vAlign w:val="center"/>
          </w:tcPr>
          <w:p w14:paraId="4A024DFD">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1000</w:t>
            </w:r>
          </w:p>
        </w:tc>
        <w:tc>
          <w:tcPr>
            <w:tcW w:w="690" w:type="pct"/>
            <w:vAlign w:val="center"/>
          </w:tcPr>
          <w:p w14:paraId="2A252377">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1000</w:t>
            </w:r>
          </w:p>
        </w:tc>
        <w:tc>
          <w:tcPr>
            <w:tcW w:w="692" w:type="pct"/>
            <w:vAlign w:val="center"/>
          </w:tcPr>
          <w:p w14:paraId="23AC6397">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1000</w:t>
            </w:r>
          </w:p>
        </w:tc>
      </w:tr>
      <w:tr w14:paraId="11AE8A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18ABE28D">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2E1B3ACE">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47BB9F3B">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0520937D">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3509D7B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5F18A719">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00F1EEE2">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01D000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6D5DEC9F">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耗氧量</w:t>
            </w:r>
          </w:p>
        </w:tc>
        <w:tc>
          <w:tcPr>
            <w:tcW w:w="633" w:type="pct"/>
            <w:vAlign w:val="center"/>
          </w:tcPr>
          <w:p w14:paraId="055BCBA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690" w:type="pct"/>
            <w:vAlign w:val="center"/>
          </w:tcPr>
          <w:p w14:paraId="74D19ED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1.12</w:t>
            </w:r>
          </w:p>
        </w:tc>
        <w:tc>
          <w:tcPr>
            <w:tcW w:w="690" w:type="pct"/>
            <w:vAlign w:val="center"/>
          </w:tcPr>
          <w:p w14:paraId="04F4B56F">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0.40</w:t>
            </w:r>
          </w:p>
        </w:tc>
        <w:tc>
          <w:tcPr>
            <w:tcW w:w="690" w:type="pct"/>
            <w:vAlign w:val="center"/>
          </w:tcPr>
          <w:p w14:paraId="6EA2CD58">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0.42</w:t>
            </w:r>
          </w:p>
        </w:tc>
        <w:tc>
          <w:tcPr>
            <w:tcW w:w="690" w:type="pct"/>
            <w:vAlign w:val="center"/>
          </w:tcPr>
          <w:p w14:paraId="5B6CF2E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0.05</w:t>
            </w:r>
          </w:p>
        </w:tc>
        <w:tc>
          <w:tcPr>
            <w:tcW w:w="692" w:type="pct"/>
            <w:vAlign w:val="center"/>
          </w:tcPr>
          <w:p w14:paraId="5ED9AC37">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0.05</w:t>
            </w:r>
          </w:p>
        </w:tc>
      </w:tr>
      <w:tr w14:paraId="654192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0E41CB3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6EF7BDBE">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vAlign w:val="center"/>
          </w:tcPr>
          <w:p w14:paraId="123E35B5">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tcPr>
          <w:p w14:paraId="08437CD7">
            <w:pPr>
              <w:jc w:val="center"/>
              <w:rPr>
                <w:color w:val="000000" w:themeColor="text1"/>
                <w14:textFill>
                  <w14:solidFill>
                    <w14:schemeClr w14:val="tx1"/>
                  </w14:solidFill>
                </w14:textFill>
              </w:rPr>
            </w:pPr>
            <w:r>
              <w:rPr>
                <w:color w:val="000000" w:themeColor="text1"/>
                <w14:textFill>
                  <w14:solidFill>
                    <w14:schemeClr w14:val="tx1"/>
                  </w14:solidFill>
                </w14:textFill>
              </w:rPr>
              <w:t>≤3.0</w:t>
            </w:r>
          </w:p>
        </w:tc>
        <w:tc>
          <w:tcPr>
            <w:tcW w:w="690" w:type="pct"/>
          </w:tcPr>
          <w:p w14:paraId="1BEB6882">
            <w:pPr>
              <w:jc w:val="center"/>
              <w:rPr>
                <w:color w:val="000000" w:themeColor="text1"/>
                <w14:textFill>
                  <w14:solidFill>
                    <w14:schemeClr w14:val="tx1"/>
                  </w14:solidFill>
                </w14:textFill>
              </w:rPr>
            </w:pPr>
            <w:r>
              <w:rPr>
                <w:color w:val="000000" w:themeColor="text1"/>
                <w14:textFill>
                  <w14:solidFill>
                    <w14:schemeClr w14:val="tx1"/>
                  </w14:solidFill>
                </w14:textFill>
              </w:rPr>
              <w:t>≤3.0</w:t>
            </w:r>
          </w:p>
        </w:tc>
        <w:tc>
          <w:tcPr>
            <w:tcW w:w="690" w:type="pct"/>
          </w:tcPr>
          <w:p w14:paraId="73A6DC5F">
            <w:pPr>
              <w:jc w:val="center"/>
              <w:rPr>
                <w:color w:val="000000" w:themeColor="text1"/>
                <w14:textFill>
                  <w14:solidFill>
                    <w14:schemeClr w14:val="tx1"/>
                  </w14:solidFill>
                </w14:textFill>
              </w:rPr>
            </w:pPr>
            <w:r>
              <w:rPr>
                <w:color w:val="000000" w:themeColor="text1"/>
                <w14:textFill>
                  <w14:solidFill>
                    <w14:schemeClr w14:val="tx1"/>
                  </w14:solidFill>
                </w14:textFill>
              </w:rPr>
              <w:t>≤3.0</w:t>
            </w:r>
          </w:p>
        </w:tc>
        <w:tc>
          <w:tcPr>
            <w:tcW w:w="692" w:type="pct"/>
          </w:tcPr>
          <w:p w14:paraId="20576ABE">
            <w:pPr>
              <w:jc w:val="center"/>
              <w:rPr>
                <w:color w:val="000000" w:themeColor="text1"/>
                <w14:textFill>
                  <w14:solidFill>
                    <w14:schemeClr w14:val="tx1"/>
                  </w14:solidFill>
                </w14:textFill>
              </w:rPr>
            </w:pPr>
            <w:r>
              <w:rPr>
                <w:color w:val="000000" w:themeColor="text1"/>
                <w14:textFill>
                  <w14:solidFill>
                    <w14:schemeClr w14:val="tx1"/>
                  </w14:solidFill>
                </w14:textFill>
              </w:rPr>
              <w:t>≤3.0</w:t>
            </w:r>
          </w:p>
        </w:tc>
      </w:tr>
      <w:tr w14:paraId="2DC471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2AE34733">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3FD63E76">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41B92457">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2A8A64DE">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69E78064">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0A9EF161">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2A82989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241160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64CB807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氨氮</w:t>
            </w:r>
          </w:p>
        </w:tc>
        <w:tc>
          <w:tcPr>
            <w:tcW w:w="633" w:type="pct"/>
            <w:vAlign w:val="center"/>
          </w:tcPr>
          <w:p w14:paraId="36FEC17F">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0.025</w:t>
            </w:r>
          </w:p>
        </w:tc>
        <w:tc>
          <w:tcPr>
            <w:tcW w:w="690" w:type="pct"/>
            <w:vAlign w:val="center"/>
          </w:tcPr>
          <w:p w14:paraId="2937E00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0.025</w:t>
            </w:r>
          </w:p>
        </w:tc>
        <w:tc>
          <w:tcPr>
            <w:tcW w:w="690" w:type="pct"/>
            <w:vAlign w:val="center"/>
          </w:tcPr>
          <w:p w14:paraId="0052BF2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0.025</w:t>
            </w:r>
          </w:p>
        </w:tc>
        <w:tc>
          <w:tcPr>
            <w:tcW w:w="690" w:type="pct"/>
            <w:vAlign w:val="center"/>
          </w:tcPr>
          <w:p w14:paraId="7FD70B7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0.025</w:t>
            </w:r>
          </w:p>
        </w:tc>
        <w:tc>
          <w:tcPr>
            <w:tcW w:w="690" w:type="pct"/>
            <w:vAlign w:val="center"/>
          </w:tcPr>
          <w:p w14:paraId="4C7D55C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0.025</w:t>
            </w:r>
          </w:p>
        </w:tc>
        <w:tc>
          <w:tcPr>
            <w:tcW w:w="692" w:type="pct"/>
            <w:vAlign w:val="center"/>
          </w:tcPr>
          <w:p w14:paraId="3F18FDDD">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0.025</w:t>
            </w:r>
          </w:p>
        </w:tc>
      </w:tr>
      <w:tr w14:paraId="2D0B77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4D0AD2F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27D4A2D2">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0.2</w:t>
            </w:r>
          </w:p>
        </w:tc>
        <w:tc>
          <w:tcPr>
            <w:tcW w:w="690" w:type="pct"/>
            <w:vAlign w:val="center"/>
          </w:tcPr>
          <w:p w14:paraId="51206383">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0.2</w:t>
            </w:r>
          </w:p>
        </w:tc>
        <w:tc>
          <w:tcPr>
            <w:tcW w:w="690" w:type="pct"/>
            <w:vAlign w:val="center"/>
          </w:tcPr>
          <w:p w14:paraId="751C8520">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0.2</w:t>
            </w:r>
          </w:p>
        </w:tc>
        <w:tc>
          <w:tcPr>
            <w:tcW w:w="690" w:type="pct"/>
            <w:vAlign w:val="center"/>
          </w:tcPr>
          <w:p w14:paraId="6F6E85DC">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0.2</w:t>
            </w:r>
          </w:p>
        </w:tc>
        <w:tc>
          <w:tcPr>
            <w:tcW w:w="690" w:type="pct"/>
            <w:vAlign w:val="center"/>
          </w:tcPr>
          <w:p w14:paraId="0CFC0FFB">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0.2</w:t>
            </w:r>
          </w:p>
        </w:tc>
        <w:tc>
          <w:tcPr>
            <w:tcW w:w="692" w:type="pct"/>
            <w:vAlign w:val="center"/>
          </w:tcPr>
          <w:p w14:paraId="3BE090CD">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0.2</w:t>
            </w:r>
          </w:p>
        </w:tc>
      </w:tr>
      <w:tr w14:paraId="0D5D73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52F727DB">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3FA54795">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42FB768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3E8CED6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7F65D802">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22A4C6CA">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2B9A552C">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7E5056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05BD65E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挥发酚</w:t>
            </w:r>
          </w:p>
        </w:tc>
        <w:tc>
          <w:tcPr>
            <w:tcW w:w="633" w:type="pct"/>
            <w:vAlign w:val="center"/>
          </w:tcPr>
          <w:p w14:paraId="01D1F76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0.0003L</w:t>
            </w:r>
          </w:p>
        </w:tc>
        <w:tc>
          <w:tcPr>
            <w:tcW w:w="690" w:type="pct"/>
            <w:vAlign w:val="center"/>
          </w:tcPr>
          <w:p w14:paraId="2785E4C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0.0003L</w:t>
            </w:r>
          </w:p>
        </w:tc>
        <w:tc>
          <w:tcPr>
            <w:tcW w:w="690" w:type="pct"/>
            <w:vAlign w:val="center"/>
          </w:tcPr>
          <w:p w14:paraId="0388F69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0.0003L</w:t>
            </w:r>
          </w:p>
        </w:tc>
        <w:tc>
          <w:tcPr>
            <w:tcW w:w="690" w:type="pct"/>
            <w:vAlign w:val="center"/>
          </w:tcPr>
          <w:p w14:paraId="3CD3864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0.0003L</w:t>
            </w:r>
          </w:p>
        </w:tc>
        <w:tc>
          <w:tcPr>
            <w:tcW w:w="690" w:type="pct"/>
            <w:vAlign w:val="center"/>
          </w:tcPr>
          <w:p w14:paraId="5B80A98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0.0003L</w:t>
            </w:r>
          </w:p>
        </w:tc>
        <w:tc>
          <w:tcPr>
            <w:tcW w:w="692" w:type="pct"/>
            <w:vAlign w:val="center"/>
          </w:tcPr>
          <w:p w14:paraId="4ED37BE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0.0003L</w:t>
            </w:r>
          </w:p>
        </w:tc>
      </w:tr>
      <w:tr w14:paraId="609682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2A53EC8E">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708736EB">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0.002</w:t>
            </w:r>
          </w:p>
        </w:tc>
        <w:tc>
          <w:tcPr>
            <w:tcW w:w="690" w:type="pct"/>
            <w:vAlign w:val="center"/>
          </w:tcPr>
          <w:p w14:paraId="70355C9B">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0.002</w:t>
            </w:r>
          </w:p>
        </w:tc>
        <w:tc>
          <w:tcPr>
            <w:tcW w:w="690" w:type="pct"/>
            <w:vAlign w:val="center"/>
          </w:tcPr>
          <w:p w14:paraId="12433A22">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0.002</w:t>
            </w:r>
          </w:p>
        </w:tc>
        <w:tc>
          <w:tcPr>
            <w:tcW w:w="690" w:type="pct"/>
            <w:vAlign w:val="center"/>
          </w:tcPr>
          <w:p w14:paraId="39B213AA">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0.002</w:t>
            </w:r>
          </w:p>
        </w:tc>
        <w:tc>
          <w:tcPr>
            <w:tcW w:w="690" w:type="pct"/>
            <w:vAlign w:val="center"/>
          </w:tcPr>
          <w:p w14:paraId="4AC47742">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0.002</w:t>
            </w:r>
          </w:p>
        </w:tc>
        <w:tc>
          <w:tcPr>
            <w:tcW w:w="692" w:type="pct"/>
            <w:vAlign w:val="center"/>
          </w:tcPr>
          <w:p w14:paraId="7EEFF537">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0.002</w:t>
            </w:r>
          </w:p>
        </w:tc>
      </w:tr>
      <w:tr w14:paraId="2A861C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4E2EEB6A">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278BF913">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655A58DF">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7042587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25E4A41D">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50F368CF">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49418E0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5BD33D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3F3271F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氯化物</w:t>
            </w:r>
          </w:p>
        </w:tc>
        <w:tc>
          <w:tcPr>
            <w:tcW w:w="633" w:type="pct"/>
            <w:vAlign w:val="center"/>
          </w:tcPr>
          <w:p w14:paraId="75E9CF5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690" w:type="pct"/>
            <w:vAlign w:val="center"/>
          </w:tcPr>
          <w:p w14:paraId="3BF4C36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w:t>
            </w:r>
          </w:p>
        </w:tc>
        <w:tc>
          <w:tcPr>
            <w:tcW w:w="690" w:type="pct"/>
            <w:vAlign w:val="center"/>
          </w:tcPr>
          <w:p w14:paraId="231EBE01">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690" w:type="pct"/>
            <w:vAlign w:val="center"/>
          </w:tcPr>
          <w:p w14:paraId="7F71054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690" w:type="pct"/>
            <w:vAlign w:val="center"/>
          </w:tcPr>
          <w:p w14:paraId="637F13D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692" w:type="pct"/>
            <w:vAlign w:val="center"/>
          </w:tcPr>
          <w:p w14:paraId="672204E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r>
      <w:tr w14:paraId="7489A9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69323C5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6D38E874">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0" w:type="pct"/>
            <w:vAlign w:val="center"/>
          </w:tcPr>
          <w:p w14:paraId="2D37A89C">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0" w:type="pct"/>
            <w:vAlign w:val="center"/>
          </w:tcPr>
          <w:p w14:paraId="31F0D0BB">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0" w:type="pct"/>
            <w:vAlign w:val="center"/>
          </w:tcPr>
          <w:p w14:paraId="0E87CA95">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0" w:type="pct"/>
            <w:vAlign w:val="center"/>
          </w:tcPr>
          <w:p w14:paraId="065FA29B">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2" w:type="pct"/>
            <w:vAlign w:val="center"/>
          </w:tcPr>
          <w:p w14:paraId="4294D636">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r>
      <w:tr w14:paraId="449AC6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6270676C">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297844E6">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2A7FA7F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067A1F23">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042BC5E3">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66446B6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7EF39A3B">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03E040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54507929">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硫酸盐</w:t>
            </w:r>
          </w:p>
        </w:tc>
        <w:tc>
          <w:tcPr>
            <w:tcW w:w="633" w:type="pct"/>
            <w:vAlign w:val="center"/>
          </w:tcPr>
          <w:p w14:paraId="0DB3495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51</w:t>
            </w:r>
          </w:p>
        </w:tc>
        <w:tc>
          <w:tcPr>
            <w:tcW w:w="690" w:type="pct"/>
            <w:vAlign w:val="center"/>
          </w:tcPr>
          <w:p w14:paraId="65D48581">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54</w:t>
            </w:r>
          </w:p>
        </w:tc>
        <w:tc>
          <w:tcPr>
            <w:tcW w:w="690" w:type="pct"/>
            <w:vAlign w:val="center"/>
          </w:tcPr>
          <w:p w14:paraId="0E83DD9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34</w:t>
            </w:r>
          </w:p>
        </w:tc>
        <w:tc>
          <w:tcPr>
            <w:tcW w:w="690" w:type="pct"/>
            <w:vAlign w:val="center"/>
          </w:tcPr>
          <w:p w14:paraId="7361EB8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38</w:t>
            </w:r>
          </w:p>
        </w:tc>
        <w:tc>
          <w:tcPr>
            <w:tcW w:w="690" w:type="pct"/>
            <w:vAlign w:val="center"/>
          </w:tcPr>
          <w:p w14:paraId="127515DD">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46</w:t>
            </w:r>
          </w:p>
        </w:tc>
        <w:tc>
          <w:tcPr>
            <w:tcW w:w="692" w:type="pct"/>
            <w:vAlign w:val="center"/>
          </w:tcPr>
          <w:p w14:paraId="5748E71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49</w:t>
            </w:r>
          </w:p>
        </w:tc>
      </w:tr>
      <w:tr w14:paraId="6AFE07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6CD34A2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74874C6F">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0" w:type="pct"/>
            <w:vAlign w:val="center"/>
          </w:tcPr>
          <w:p w14:paraId="5FF5348B">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0" w:type="pct"/>
            <w:vAlign w:val="center"/>
          </w:tcPr>
          <w:p w14:paraId="23708015">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0" w:type="pct"/>
            <w:vAlign w:val="center"/>
          </w:tcPr>
          <w:p w14:paraId="5D0CE699">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0" w:type="pct"/>
            <w:vAlign w:val="center"/>
          </w:tcPr>
          <w:p w14:paraId="448E9426">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c>
          <w:tcPr>
            <w:tcW w:w="692" w:type="pct"/>
            <w:vAlign w:val="center"/>
          </w:tcPr>
          <w:p w14:paraId="6C4E6FCC">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250</w:t>
            </w:r>
          </w:p>
        </w:tc>
      </w:tr>
      <w:tr w14:paraId="6D2629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40402CD2">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451309E0">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32EE8013">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63321CE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42A73E2A">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089A410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3A90D6DD">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1A0FF3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14595C4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氟化物</w:t>
            </w:r>
          </w:p>
        </w:tc>
        <w:tc>
          <w:tcPr>
            <w:tcW w:w="633" w:type="pct"/>
            <w:vAlign w:val="center"/>
          </w:tcPr>
          <w:p w14:paraId="493749B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0.15</w:t>
            </w:r>
          </w:p>
        </w:tc>
        <w:tc>
          <w:tcPr>
            <w:tcW w:w="690" w:type="pct"/>
            <w:vAlign w:val="center"/>
          </w:tcPr>
          <w:p w14:paraId="3F14101E">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0.12</w:t>
            </w:r>
          </w:p>
        </w:tc>
        <w:tc>
          <w:tcPr>
            <w:tcW w:w="690" w:type="pct"/>
            <w:vAlign w:val="center"/>
          </w:tcPr>
          <w:p w14:paraId="5CECE3B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0.09</w:t>
            </w:r>
          </w:p>
        </w:tc>
        <w:tc>
          <w:tcPr>
            <w:tcW w:w="690" w:type="pct"/>
            <w:vAlign w:val="center"/>
          </w:tcPr>
          <w:p w14:paraId="04AFB9F8">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0.11</w:t>
            </w:r>
          </w:p>
        </w:tc>
        <w:tc>
          <w:tcPr>
            <w:tcW w:w="690" w:type="pct"/>
            <w:vAlign w:val="center"/>
          </w:tcPr>
          <w:p w14:paraId="56D2F6A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0.08</w:t>
            </w:r>
          </w:p>
        </w:tc>
        <w:tc>
          <w:tcPr>
            <w:tcW w:w="692" w:type="pct"/>
            <w:vAlign w:val="center"/>
          </w:tcPr>
          <w:p w14:paraId="682129C7">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0.08</w:t>
            </w:r>
          </w:p>
        </w:tc>
      </w:tr>
      <w:tr w14:paraId="6C6B8A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540B3E77">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48F8D316">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1</w:t>
            </w:r>
          </w:p>
        </w:tc>
        <w:tc>
          <w:tcPr>
            <w:tcW w:w="690" w:type="pct"/>
            <w:vAlign w:val="center"/>
          </w:tcPr>
          <w:p w14:paraId="78BC3A17">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1</w:t>
            </w:r>
          </w:p>
        </w:tc>
        <w:tc>
          <w:tcPr>
            <w:tcW w:w="690" w:type="pct"/>
            <w:vAlign w:val="center"/>
          </w:tcPr>
          <w:p w14:paraId="02E30458">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1</w:t>
            </w:r>
          </w:p>
        </w:tc>
        <w:tc>
          <w:tcPr>
            <w:tcW w:w="690" w:type="pct"/>
            <w:vAlign w:val="center"/>
          </w:tcPr>
          <w:p w14:paraId="2FC18B11">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1</w:t>
            </w:r>
          </w:p>
        </w:tc>
        <w:tc>
          <w:tcPr>
            <w:tcW w:w="690" w:type="pct"/>
            <w:vAlign w:val="center"/>
          </w:tcPr>
          <w:p w14:paraId="710881A6">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1</w:t>
            </w:r>
          </w:p>
        </w:tc>
        <w:tc>
          <w:tcPr>
            <w:tcW w:w="692" w:type="pct"/>
            <w:vAlign w:val="center"/>
          </w:tcPr>
          <w:p w14:paraId="13F73393">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1</w:t>
            </w:r>
          </w:p>
        </w:tc>
      </w:tr>
      <w:tr w14:paraId="4A780D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6291865B">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131E9D6B">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50BCCACC">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6A2AF30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3C0831F9">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7E76A45B">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65375652">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3A4BA0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25F22B11">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细菌总数(CFU/mL)</w:t>
            </w:r>
          </w:p>
        </w:tc>
        <w:tc>
          <w:tcPr>
            <w:tcW w:w="633" w:type="pct"/>
            <w:vAlign w:val="center"/>
          </w:tcPr>
          <w:p w14:paraId="28A2E57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70</w:t>
            </w:r>
          </w:p>
        </w:tc>
        <w:tc>
          <w:tcPr>
            <w:tcW w:w="690" w:type="pct"/>
            <w:vAlign w:val="center"/>
          </w:tcPr>
          <w:p w14:paraId="5F4BE224">
            <w:pPr>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90</w:t>
            </w:r>
          </w:p>
        </w:tc>
        <w:tc>
          <w:tcPr>
            <w:tcW w:w="690" w:type="pct"/>
            <w:vAlign w:val="center"/>
          </w:tcPr>
          <w:p w14:paraId="1AC8D4A4">
            <w:pPr>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40</w:t>
            </w:r>
          </w:p>
        </w:tc>
        <w:tc>
          <w:tcPr>
            <w:tcW w:w="690" w:type="pct"/>
            <w:vAlign w:val="center"/>
          </w:tcPr>
          <w:p w14:paraId="57F21CD7">
            <w:pPr>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50</w:t>
            </w:r>
          </w:p>
        </w:tc>
        <w:tc>
          <w:tcPr>
            <w:tcW w:w="690" w:type="pct"/>
            <w:vAlign w:val="center"/>
          </w:tcPr>
          <w:p w14:paraId="23058C80">
            <w:pPr>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20</w:t>
            </w:r>
          </w:p>
        </w:tc>
        <w:tc>
          <w:tcPr>
            <w:tcW w:w="692" w:type="pct"/>
            <w:vAlign w:val="center"/>
          </w:tcPr>
          <w:p w14:paraId="1BDF7EF8">
            <w:pPr>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10</w:t>
            </w:r>
          </w:p>
        </w:tc>
      </w:tr>
      <w:tr w14:paraId="71CA0A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0B69D17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3DFCEC96">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vAlign w:val="center"/>
          </w:tcPr>
          <w:p w14:paraId="5BF94739">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vAlign w:val="center"/>
          </w:tcPr>
          <w:p w14:paraId="46BC117B">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vAlign w:val="center"/>
          </w:tcPr>
          <w:p w14:paraId="253E9556">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vAlign w:val="center"/>
          </w:tcPr>
          <w:p w14:paraId="0BF5734A">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2" w:type="pct"/>
            <w:vAlign w:val="center"/>
          </w:tcPr>
          <w:p w14:paraId="12E50002">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r>
      <w:tr w14:paraId="0FA0C8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1ED2C927">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4C286B9A">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7B747A2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46527F1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38C19DB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5CFEE75D">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011D220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21E689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15A7795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总大肠菌群（CFU/100mL）</w:t>
            </w:r>
          </w:p>
        </w:tc>
        <w:tc>
          <w:tcPr>
            <w:tcW w:w="633" w:type="pct"/>
            <w:vAlign w:val="center"/>
          </w:tcPr>
          <w:p w14:paraId="594C6E67">
            <w:pPr>
              <w:ind w:left="103" w:hanging="102" w:hangingChars="49"/>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未检出</w:t>
            </w:r>
          </w:p>
        </w:tc>
        <w:tc>
          <w:tcPr>
            <w:tcW w:w="690" w:type="pct"/>
            <w:vAlign w:val="center"/>
          </w:tcPr>
          <w:p w14:paraId="4A1B9E59">
            <w:pPr>
              <w:ind w:left="103" w:hanging="102" w:hangingChars="49"/>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未检出</w:t>
            </w:r>
          </w:p>
        </w:tc>
        <w:tc>
          <w:tcPr>
            <w:tcW w:w="690" w:type="pct"/>
            <w:vAlign w:val="center"/>
          </w:tcPr>
          <w:p w14:paraId="6CEA716D">
            <w:pPr>
              <w:ind w:left="103" w:hanging="102" w:hangingChars="49"/>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未检出</w:t>
            </w:r>
          </w:p>
        </w:tc>
        <w:tc>
          <w:tcPr>
            <w:tcW w:w="690" w:type="pct"/>
            <w:vAlign w:val="center"/>
          </w:tcPr>
          <w:p w14:paraId="636EF3D9">
            <w:pPr>
              <w:ind w:left="103" w:hanging="102" w:hangingChars="49"/>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未检出</w:t>
            </w:r>
          </w:p>
        </w:tc>
        <w:tc>
          <w:tcPr>
            <w:tcW w:w="690" w:type="pct"/>
            <w:vAlign w:val="center"/>
          </w:tcPr>
          <w:p w14:paraId="60F56996">
            <w:pPr>
              <w:ind w:left="103" w:hanging="102" w:hangingChars="49"/>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未检出</w:t>
            </w:r>
          </w:p>
        </w:tc>
        <w:tc>
          <w:tcPr>
            <w:tcW w:w="692" w:type="pct"/>
            <w:vAlign w:val="center"/>
          </w:tcPr>
          <w:p w14:paraId="2487BA62">
            <w:pPr>
              <w:ind w:left="103" w:hanging="102" w:hangingChars="49"/>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未检出</w:t>
            </w:r>
          </w:p>
        </w:tc>
      </w:tr>
      <w:tr w14:paraId="6A0B78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6E74290E">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503F3C00">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vAlign w:val="center"/>
          </w:tcPr>
          <w:p w14:paraId="34E489D0">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vAlign w:val="center"/>
          </w:tcPr>
          <w:p w14:paraId="5AE9E0FC">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vAlign w:val="center"/>
          </w:tcPr>
          <w:p w14:paraId="38DF3B72">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0" w:type="pct"/>
            <w:vAlign w:val="center"/>
          </w:tcPr>
          <w:p w14:paraId="19CAA9FD">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c>
          <w:tcPr>
            <w:tcW w:w="692" w:type="pct"/>
            <w:vAlign w:val="center"/>
          </w:tcPr>
          <w:p w14:paraId="7F514305">
            <w:pPr>
              <w:jc w:val="center"/>
              <w:rPr>
                <w:color w:val="000000" w:themeColor="text1"/>
                <w14:textFill>
                  <w14:solidFill>
                    <w14:schemeClr w14:val="tx1"/>
                  </w14:solidFill>
                </w14:textFill>
              </w:rPr>
            </w:pPr>
            <w:r>
              <w:rPr>
                <w:color w:val="000000" w:themeColor="text1"/>
                <w:kern w:val="0"/>
                <w:szCs w:val="21"/>
                <w:lang w:eastAsia="en-US"/>
                <w14:textFill>
                  <w14:solidFill>
                    <w14:schemeClr w14:val="tx1"/>
                  </w14:solidFill>
                </w14:textFill>
              </w:rPr>
              <w:t>3.0</w:t>
            </w:r>
          </w:p>
        </w:tc>
      </w:tr>
      <w:tr w14:paraId="10DE73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4FDCB39B">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410FCDA6">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4BB88849">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3FACA22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5B3301D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3C16D87B">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4DD74BBF">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4D176B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5887BD8E">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铁</w:t>
            </w:r>
          </w:p>
        </w:tc>
        <w:tc>
          <w:tcPr>
            <w:tcW w:w="633" w:type="pct"/>
            <w:vAlign w:val="center"/>
          </w:tcPr>
          <w:p w14:paraId="6333E995">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0.08L</w:t>
            </w:r>
          </w:p>
        </w:tc>
        <w:tc>
          <w:tcPr>
            <w:tcW w:w="690" w:type="pct"/>
            <w:vAlign w:val="center"/>
          </w:tcPr>
          <w:p w14:paraId="21EAFAF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0.07L</w:t>
            </w:r>
          </w:p>
        </w:tc>
        <w:tc>
          <w:tcPr>
            <w:tcW w:w="690" w:type="pct"/>
            <w:vAlign w:val="center"/>
          </w:tcPr>
          <w:p w14:paraId="186E06A1">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0.03L</w:t>
            </w:r>
          </w:p>
        </w:tc>
        <w:tc>
          <w:tcPr>
            <w:tcW w:w="690" w:type="pct"/>
            <w:vAlign w:val="center"/>
          </w:tcPr>
          <w:p w14:paraId="5B88E614">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0.03L</w:t>
            </w:r>
          </w:p>
        </w:tc>
        <w:tc>
          <w:tcPr>
            <w:tcW w:w="690" w:type="pct"/>
            <w:vAlign w:val="center"/>
          </w:tcPr>
          <w:p w14:paraId="6DF1A35C">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0.04L</w:t>
            </w:r>
          </w:p>
        </w:tc>
        <w:tc>
          <w:tcPr>
            <w:tcW w:w="692" w:type="pct"/>
            <w:vAlign w:val="center"/>
          </w:tcPr>
          <w:p w14:paraId="2F301B5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0.04L</w:t>
            </w:r>
          </w:p>
        </w:tc>
      </w:tr>
      <w:tr w14:paraId="4F6096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25B45867">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79BDEF73">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0.3</w:t>
            </w:r>
          </w:p>
        </w:tc>
        <w:tc>
          <w:tcPr>
            <w:tcW w:w="690" w:type="pct"/>
            <w:vAlign w:val="center"/>
          </w:tcPr>
          <w:p w14:paraId="4AA31C85">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0.3</w:t>
            </w:r>
          </w:p>
        </w:tc>
        <w:tc>
          <w:tcPr>
            <w:tcW w:w="690" w:type="pct"/>
            <w:vAlign w:val="center"/>
          </w:tcPr>
          <w:p w14:paraId="7C60FE3D">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0.3</w:t>
            </w:r>
          </w:p>
        </w:tc>
        <w:tc>
          <w:tcPr>
            <w:tcW w:w="690" w:type="pct"/>
            <w:vAlign w:val="center"/>
          </w:tcPr>
          <w:p w14:paraId="4B0FC4D5">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0.3</w:t>
            </w:r>
          </w:p>
        </w:tc>
        <w:tc>
          <w:tcPr>
            <w:tcW w:w="690" w:type="pct"/>
            <w:vAlign w:val="center"/>
          </w:tcPr>
          <w:p w14:paraId="0BEF2F67">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0.3</w:t>
            </w:r>
          </w:p>
        </w:tc>
        <w:tc>
          <w:tcPr>
            <w:tcW w:w="692" w:type="pct"/>
            <w:vAlign w:val="center"/>
          </w:tcPr>
          <w:p w14:paraId="3F6CC4D0">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0.3</w:t>
            </w:r>
          </w:p>
        </w:tc>
      </w:tr>
      <w:tr w14:paraId="6A245F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7D40D161">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4393E338">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3C930663">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15D8B18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686C926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0F8362FA">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12DC570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10AE98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6889632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锰</w:t>
            </w:r>
          </w:p>
        </w:tc>
        <w:tc>
          <w:tcPr>
            <w:tcW w:w="633" w:type="pct"/>
            <w:vAlign w:val="center"/>
          </w:tcPr>
          <w:p w14:paraId="3859080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0.02L</w:t>
            </w:r>
          </w:p>
        </w:tc>
        <w:tc>
          <w:tcPr>
            <w:tcW w:w="690" w:type="pct"/>
            <w:vAlign w:val="center"/>
          </w:tcPr>
          <w:p w14:paraId="1DCD3D6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0.02L</w:t>
            </w:r>
          </w:p>
        </w:tc>
        <w:tc>
          <w:tcPr>
            <w:tcW w:w="690" w:type="pct"/>
            <w:vAlign w:val="center"/>
          </w:tcPr>
          <w:p w14:paraId="655CB66B">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0.02L</w:t>
            </w:r>
          </w:p>
        </w:tc>
        <w:tc>
          <w:tcPr>
            <w:tcW w:w="690" w:type="pct"/>
            <w:vAlign w:val="center"/>
          </w:tcPr>
          <w:p w14:paraId="4FAF2E8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0.02L</w:t>
            </w:r>
          </w:p>
        </w:tc>
        <w:tc>
          <w:tcPr>
            <w:tcW w:w="690" w:type="pct"/>
            <w:vAlign w:val="center"/>
          </w:tcPr>
          <w:p w14:paraId="055FB4E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0.02L</w:t>
            </w:r>
          </w:p>
        </w:tc>
        <w:tc>
          <w:tcPr>
            <w:tcW w:w="692" w:type="pct"/>
            <w:vAlign w:val="center"/>
          </w:tcPr>
          <w:p w14:paraId="66DF50DF">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0.02L</w:t>
            </w:r>
          </w:p>
        </w:tc>
      </w:tr>
      <w:tr w14:paraId="722FDC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7736F503">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4A3892F9">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0.1</w:t>
            </w:r>
          </w:p>
        </w:tc>
        <w:tc>
          <w:tcPr>
            <w:tcW w:w="690" w:type="pct"/>
            <w:vAlign w:val="center"/>
          </w:tcPr>
          <w:p w14:paraId="13454EBC">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0.1</w:t>
            </w:r>
          </w:p>
        </w:tc>
        <w:tc>
          <w:tcPr>
            <w:tcW w:w="690" w:type="pct"/>
            <w:vAlign w:val="center"/>
          </w:tcPr>
          <w:p w14:paraId="71E70A38">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c>
          <w:tcPr>
            <w:tcW w:w="690" w:type="pct"/>
            <w:vAlign w:val="center"/>
          </w:tcPr>
          <w:p w14:paraId="557BA02B">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c>
          <w:tcPr>
            <w:tcW w:w="690" w:type="pct"/>
            <w:vAlign w:val="center"/>
          </w:tcPr>
          <w:p w14:paraId="552AE49E">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c>
          <w:tcPr>
            <w:tcW w:w="692" w:type="pct"/>
            <w:vAlign w:val="center"/>
          </w:tcPr>
          <w:p w14:paraId="03073BB9">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r>
      <w:tr w14:paraId="344E6A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57C4410D">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29908B34">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083FB6C6">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6624EC11">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7075924C">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5E00597E">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45271C7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r w14:paraId="63B24B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192C0ABD">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铅</w:t>
            </w:r>
          </w:p>
        </w:tc>
        <w:tc>
          <w:tcPr>
            <w:tcW w:w="633" w:type="pct"/>
            <w:vAlign w:val="center"/>
          </w:tcPr>
          <w:p w14:paraId="655F95DE">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0.01L</w:t>
            </w:r>
          </w:p>
        </w:tc>
        <w:tc>
          <w:tcPr>
            <w:tcW w:w="690" w:type="pct"/>
            <w:vAlign w:val="center"/>
          </w:tcPr>
          <w:p w14:paraId="2B3822E6">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0.01L</w:t>
            </w:r>
          </w:p>
        </w:tc>
        <w:tc>
          <w:tcPr>
            <w:tcW w:w="690" w:type="pct"/>
            <w:vAlign w:val="center"/>
          </w:tcPr>
          <w:p w14:paraId="7B986B1A">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0.01L</w:t>
            </w:r>
          </w:p>
        </w:tc>
        <w:tc>
          <w:tcPr>
            <w:tcW w:w="690" w:type="pct"/>
            <w:vAlign w:val="center"/>
          </w:tcPr>
          <w:p w14:paraId="5B97CAC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0.01L</w:t>
            </w:r>
          </w:p>
        </w:tc>
        <w:tc>
          <w:tcPr>
            <w:tcW w:w="690" w:type="pct"/>
            <w:vAlign w:val="center"/>
          </w:tcPr>
          <w:p w14:paraId="702B5160">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0.01L</w:t>
            </w:r>
          </w:p>
        </w:tc>
        <w:tc>
          <w:tcPr>
            <w:tcW w:w="692" w:type="pct"/>
            <w:vAlign w:val="center"/>
          </w:tcPr>
          <w:p w14:paraId="387FF0F1">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0.01L</w:t>
            </w:r>
          </w:p>
        </w:tc>
      </w:tr>
      <w:tr w14:paraId="1C7B44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5EF9C702">
            <w:pPr>
              <w:ind w:left="103" w:hanging="102" w:hangingChars="49"/>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633" w:type="pct"/>
            <w:vAlign w:val="center"/>
          </w:tcPr>
          <w:p w14:paraId="7AB3F53A">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c>
          <w:tcPr>
            <w:tcW w:w="690" w:type="pct"/>
            <w:vAlign w:val="center"/>
          </w:tcPr>
          <w:p w14:paraId="45342513">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c>
          <w:tcPr>
            <w:tcW w:w="690" w:type="pct"/>
            <w:vAlign w:val="center"/>
          </w:tcPr>
          <w:p w14:paraId="57561654">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c>
          <w:tcPr>
            <w:tcW w:w="690" w:type="pct"/>
            <w:vAlign w:val="center"/>
          </w:tcPr>
          <w:p w14:paraId="0DCE807A">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c>
          <w:tcPr>
            <w:tcW w:w="690" w:type="pct"/>
            <w:vAlign w:val="center"/>
          </w:tcPr>
          <w:p w14:paraId="287667AA">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c>
          <w:tcPr>
            <w:tcW w:w="692" w:type="pct"/>
            <w:vAlign w:val="center"/>
          </w:tcPr>
          <w:p w14:paraId="5317EA79">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0.05</w:t>
            </w:r>
          </w:p>
        </w:tc>
      </w:tr>
      <w:tr w14:paraId="239D5D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15" w:type="pct"/>
            <w:vAlign w:val="center"/>
          </w:tcPr>
          <w:p w14:paraId="6C2381F1">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633" w:type="pct"/>
            <w:vAlign w:val="center"/>
          </w:tcPr>
          <w:p w14:paraId="4ECE26E4">
            <w:pPr>
              <w:ind w:left="103" w:hanging="102" w:hangingChars="49"/>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5D8C2928">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2A179C90">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2E005924">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0" w:type="pct"/>
            <w:vAlign w:val="center"/>
          </w:tcPr>
          <w:p w14:paraId="4F2992E9">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c>
          <w:tcPr>
            <w:tcW w:w="692" w:type="pct"/>
            <w:vAlign w:val="center"/>
          </w:tcPr>
          <w:p w14:paraId="14906924">
            <w:pPr>
              <w:jc w:val="center"/>
              <w:rPr>
                <w:b/>
                <w:color w:val="000000" w:themeColor="text1"/>
                <w14:textFill>
                  <w14:solidFill>
                    <w14:schemeClr w14:val="tx1"/>
                  </w14:solidFill>
                </w14:textFill>
              </w:rPr>
            </w:pPr>
            <w:r>
              <w:rPr>
                <w:b/>
                <w:bCs/>
                <w:color w:val="000000" w:themeColor="text1"/>
                <w:szCs w:val="21"/>
                <w14:textFill>
                  <w14:solidFill>
                    <w14:schemeClr w14:val="tx1"/>
                  </w14:solidFill>
                </w14:textFill>
              </w:rPr>
              <w:t>达标</w:t>
            </w:r>
          </w:p>
        </w:tc>
      </w:tr>
    </w:tbl>
    <w:p w14:paraId="1882A69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根据上表可知，本项目区周边地下水pH、溶解性总固体、耗氧量、氨氮、挥发酚、氯化物、硫酸盐、氟化物、菌落总数、总大肠菌群、铁、锰、铅，共13项指标均满足《地下水质量标准》（GB/T14848-93）</w:t>
      </w:r>
      <w:r>
        <w:rPr>
          <w:rFonts w:hint="eastAsia" w:ascii="宋体" w:hAnsi="宋体" w:cs="宋体"/>
          <w:color w:val="000000" w:themeColor="text1"/>
          <w:sz w:val="24"/>
          <w14:textFill>
            <w14:solidFill>
              <w14:schemeClr w14:val="tx1"/>
            </w14:solidFill>
          </w14:textFill>
        </w:rPr>
        <w:t>Ⅲ</w:t>
      </w:r>
      <w:r>
        <w:rPr>
          <w:color w:val="000000" w:themeColor="text1"/>
          <w:sz w:val="24"/>
          <w14:textFill>
            <w14:solidFill>
              <w14:schemeClr w14:val="tx1"/>
            </w14:solidFill>
          </w14:textFill>
        </w:rPr>
        <w:t>类标准。</w:t>
      </w:r>
    </w:p>
    <w:p w14:paraId="19F07138">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4.5.3声环境质量现状</w:t>
      </w:r>
    </w:p>
    <w:p w14:paraId="2556842F">
      <w:pPr>
        <w:pStyle w:val="106"/>
        <w:adjustRightInd w:val="0"/>
        <w:snapToGrid w:val="0"/>
        <w:spacing w:line="360" w:lineRule="auto"/>
        <w:ind w:firstLine="480" w:firstLineChars="200"/>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本项目为掌握区域声环境质量现状，在项目场界</w:t>
      </w:r>
      <w:r>
        <w:rPr>
          <w:color w:val="000000" w:themeColor="text1"/>
          <w:sz w:val="24"/>
          <w14:textFill>
            <w14:solidFill>
              <w14:schemeClr w14:val="tx1"/>
            </w14:solidFill>
          </w14:textFill>
        </w:rPr>
        <w:t>北边界 1#、西边界 2#、南边界 3#、东边界 4#、四分场四队5#，共5 个检测点位。</w:t>
      </w:r>
    </w:p>
    <w:p w14:paraId="594EE98D">
      <w:pPr>
        <w:pStyle w:val="106"/>
        <w:adjustRightInd w:val="0"/>
        <w:snapToGrid w:val="0"/>
        <w:spacing w:line="360" w:lineRule="auto"/>
        <w:ind w:firstLine="480" w:firstLineChars="200"/>
        <w:rPr>
          <w:color w:val="000000" w:themeColor="text1"/>
          <w14:textFill>
            <w14:solidFill>
              <w14:schemeClr w14:val="tx1"/>
            </w14:solidFill>
          </w14:textFill>
        </w:rPr>
      </w:pPr>
      <w:r>
        <w:rPr>
          <w:bCs/>
          <w:color w:val="000000" w:themeColor="text1"/>
          <w:sz w:val="24"/>
          <w:szCs w:val="24"/>
          <w14:textFill>
            <w14:solidFill>
              <w14:schemeClr w14:val="tx1"/>
            </w14:solidFill>
          </w14:textFill>
        </w:rPr>
        <w:t>监测时间为2018年</w:t>
      </w:r>
      <w:r>
        <w:rPr>
          <w:color w:val="000000" w:themeColor="text1"/>
          <w:sz w:val="24"/>
          <w:szCs w:val="24"/>
          <w14:textFill>
            <w14:solidFill>
              <w14:schemeClr w14:val="tx1"/>
            </w14:solidFill>
          </w14:textFill>
        </w:rPr>
        <w:t>12月19日-20日</w:t>
      </w:r>
      <w:r>
        <w:rPr>
          <w:bCs/>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连续监测两天，分昼间、夜间2时段监测。</w:t>
      </w:r>
      <w:r>
        <w:rPr>
          <w:bCs/>
          <w:color w:val="000000" w:themeColor="text1"/>
          <w:sz w:val="24"/>
          <w:szCs w:val="24"/>
          <w14:textFill>
            <w14:solidFill>
              <w14:schemeClr w14:val="tx1"/>
            </w14:solidFill>
          </w14:textFill>
        </w:rPr>
        <w:t>监测结果如表4.2-6。</w:t>
      </w:r>
    </w:p>
    <w:p w14:paraId="2C92D350">
      <w:pPr>
        <w:pStyle w:val="63"/>
        <w:spacing w:beforeLines="0" w:afterLines="0"/>
        <w:ind w:right="0"/>
        <w:rPr>
          <w:color w:val="000000" w:themeColor="text1"/>
          <w14:textFill>
            <w14:solidFill>
              <w14:schemeClr w14:val="tx1"/>
            </w14:solidFill>
          </w14:textFill>
        </w:rPr>
      </w:pPr>
      <w:r>
        <w:rPr>
          <w:color w:val="000000" w:themeColor="text1"/>
          <w14:textFill>
            <w14:solidFill>
              <w14:schemeClr w14:val="tx1"/>
            </w14:solidFill>
          </w14:textFill>
        </w:rPr>
        <w:t>表4.2-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声环境质量监测结果分析表  单位：dB(A)</w:t>
      </w:r>
    </w:p>
    <w:tbl>
      <w:tblPr>
        <w:tblStyle w:val="280"/>
        <w:tblW w:w="5336" w:type="pct"/>
        <w:jc w:val="center"/>
        <w:tblLayout w:type="autofit"/>
        <w:tblCellMar>
          <w:top w:w="0" w:type="dxa"/>
          <w:left w:w="0" w:type="dxa"/>
          <w:bottom w:w="0" w:type="dxa"/>
          <w:right w:w="0" w:type="dxa"/>
        </w:tblCellMar>
      </w:tblPr>
      <w:tblGrid>
        <w:gridCol w:w="991"/>
        <w:gridCol w:w="1509"/>
        <w:gridCol w:w="2161"/>
        <w:gridCol w:w="982"/>
        <w:gridCol w:w="1296"/>
        <w:gridCol w:w="716"/>
        <w:gridCol w:w="1209"/>
      </w:tblGrid>
      <w:tr w14:paraId="13B6747B">
        <w:tblPrEx>
          <w:tblCellMar>
            <w:top w:w="0" w:type="dxa"/>
            <w:left w:w="0" w:type="dxa"/>
            <w:bottom w:w="0" w:type="dxa"/>
            <w:right w:w="0" w:type="dxa"/>
          </w:tblCellMar>
        </w:tblPrEx>
        <w:trPr>
          <w:jc w:val="center"/>
        </w:trPr>
        <w:tc>
          <w:tcPr>
            <w:tcW w:w="559" w:type="pct"/>
            <w:tcBorders>
              <w:top w:val="single" w:color="000000" w:sz="12" w:space="0"/>
              <w:bottom w:val="single" w:color="000000" w:sz="4" w:space="0"/>
              <w:right w:val="single" w:color="000000" w:sz="4" w:space="0"/>
            </w:tcBorders>
            <w:vAlign w:val="center"/>
          </w:tcPr>
          <w:p w14:paraId="7F8992AC">
            <w:pPr>
              <w:pStyle w:val="281"/>
              <w:jc w:val="center"/>
              <w:rPr>
                <w:rFonts w:ascii="Times New Roman" w:hAnsi="Times New Roman" w:eastAsia="宋体" w:cs="Times New Roman"/>
                <w:b/>
                <w:bCs/>
                <w:color w:val="000000" w:themeColor="text1"/>
                <w:spacing w:val="-6"/>
                <w:sz w:val="21"/>
                <w:szCs w:val="21"/>
                <w14:textFill>
                  <w14:solidFill>
                    <w14:schemeClr w14:val="tx1"/>
                  </w14:solidFill>
                </w14:textFill>
              </w:rPr>
            </w:pPr>
            <w:r>
              <w:rPr>
                <w:rFonts w:ascii="Times New Roman" w:hAnsi="Times New Roman" w:eastAsia="宋体" w:cs="Times New Roman"/>
                <w:b/>
                <w:bCs/>
                <w:color w:val="000000" w:themeColor="text1"/>
                <w:spacing w:val="-9"/>
                <w:sz w:val="21"/>
                <w:szCs w:val="21"/>
                <w14:textFill>
                  <w14:solidFill>
                    <w14:schemeClr w14:val="tx1"/>
                  </w14:solidFill>
                </w14:textFill>
              </w:rPr>
              <w:t>检测日期</w:t>
            </w:r>
          </w:p>
        </w:tc>
        <w:tc>
          <w:tcPr>
            <w:tcW w:w="851" w:type="pct"/>
            <w:tcBorders>
              <w:top w:val="single" w:color="000000" w:sz="12" w:space="0"/>
              <w:left w:val="single" w:color="000000" w:sz="4" w:space="0"/>
              <w:bottom w:val="single" w:color="000000" w:sz="4" w:space="0"/>
              <w:right w:val="single" w:color="000000" w:sz="4" w:space="0"/>
            </w:tcBorders>
            <w:vAlign w:val="center"/>
          </w:tcPr>
          <w:p w14:paraId="3010159E">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pacing w:val="-9"/>
                <w:sz w:val="21"/>
                <w:szCs w:val="21"/>
                <w14:textFill>
                  <w14:solidFill>
                    <w14:schemeClr w14:val="tx1"/>
                  </w14:solidFill>
                </w14:textFill>
              </w:rPr>
              <w:t>检测点位</w:t>
            </w:r>
          </w:p>
        </w:tc>
        <w:tc>
          <w:tcPr>
            <w:tcW w:w="1219" w:type="pct"/>
            <w:tcBorders>
              <w:top w:val="single" w:color="000000" w:sz="12" w:space="0"/>
              <w:left w:val="single" w:color="000000" w:sz="4" w:space="0"/>
              <w:bottom w:val="single" w:color="000000" w:sz="4" w:space="0"/>
              <w:right w:val="single" w:color="000000" w:sz="4" w:space="0"/>
            </w:tcBorders>
            <w:vAlign w:val="center"/>
          </w:tcPr>
          <w:p w14:paraId="4A6F0819">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pacing w:val="-6"/>
                <w:sz w:val="21"/>
                <w:szCs w:val="21"/>
                <w14:textFill>
                  <w14:solidFill>
                    <w14:schemeClr w14:val="tx1"/>
                  </w14:solidFill>
                </w14:textFill>
              </w:rPr>
              <w:t>时间</w:t>
            </w:r>
          </w:p>
        </w:tc>
        <w:tc>
          <w:tcPr>
            <w:tcW w:w="0" w:type="auto"/>
            <w:tcBorders>
              <w:top w:val="single" w:color="000000" w:sz="12" w:space="0"/>
              <w:left w:val="single" w:color="000000" w:sz="4" w:space="0"/>
              <w:bottom w:val="single" w:color="000000" w:sz="4" w:space="0"/>
              <w:right w:val="single" w:color="000000" w:sz="4" w:space="0"/>
            </w:tcBorders>
            <w:vAlign w:val="center"/>
          </w:tcPr>
          <w:p w14:paraId="7B329F45">
            <w:pPr>
              <w:pStyle w:val="281"/>
              <w:ind w:left="11"/>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pacing w:val="-8"/>
                <w:sz w:val="21"/>
                <w:szCs w:val="21"/>
                <w14:textFill>
                  <w14:solidFill>
                    <w14:schemeClr w14:val="tx1"/>
                  </w14:solidFill>
                </w14:textFill>
              </w:rPr>
              <w:t>噪声值</w:t>
            </w:r>
          </w:p>
        </w:tc>
        <w:tc>
          <w:tcPr>
            <w:tcW w:w="0" w:type="auto"/>
            <w:tcBorders>
              <w:top w:val="single" w:color="000000" w:sz="12" w:space="0"/>
              <w:left w:val="single" w:color="000000" w:sz="4" w:space="0"/>
              <w:bottom w:val="single" w:color="000000" w:sz="4" w:space="0"/>
              <w:right w:val="single" w:color="000000" w:sz="12" w:space="0"/>
            </w:tcBorders>
            <w:vAlign w:val="center"/>
          </w:tcPr>
          <w:p w14:paraId="2212CFC2">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pacing w:val="-8"/>
                <w:sz w:val="21"/>
                <w:szCs w:val="21"/>
                <w14:textFill>
                  <w14:solidFill>
                    <w14:schemeClr w14:val="tx1"/>
                  </w14:solidFill>
                </w14:textFill>
              </w:rPr>
              <w:t>主要声源</w:t>
            </w:r>
          </w:p>
        </w:tc>
        <w:tc>
          <w:tcPr>
            <w:tcW w:w="0" w:type="auto"/>
            <w:tcBorders>
              <w:top w:val="single" w:color="000000" w:sz="12" w:space="0"/>
              <w:left w:val="single" w:color="000000" w:sz="4" w:space="0"/>
              <w:bottom w:val="single" w:color="000000" w:sz="4" w:space="0"/>
              <w:right w:val="single" w:color="000000" w:sz="4" w:space="0"/>
            </w:tcBorders>
            <w:vAlign w:val="center"/>
          </w:tcPr>
          <w:p w14:paraId="0281DB01">
            <w:pPr>
              <w:autoSpaceDN w:val="0"/>
              <w:jc w:val="center"/>
              <w:textAlignment w:val="center"/>
              <w:rPr>
                <w:rFonts w:ascii="Times New Roman" w:hAnsi="Times New Roman" w:eastAsia="宋体" w:cs="Times New Roman"/>
                <w:b/>
                <w:bCs/>
                <w:color w:val="000000" w:themeColor="text1"/>
                <w:szCs w:val="21"/>
                <w:lang w:eastAsia="en-US"/>
                <w14:textFill>
                  <w14:solidFill>
                    <w14:schemeClr w14:val="tx1"/>
                  </w14:solidFill>
                </w14:textFill>
              </w:rPr>
            </w:pPr>
            <w:r>
              <w:rPr>
                <w:rFonts w:ascii="Times New Roman" w:hAnsi="Times New Roman" w:eastAsia="宋体" w:cs="Times New Roman"/>
                <w:b/>
                <w:bCs/>
                <w:color w:val="000000" w:themeColor="text1"/>
                <w:szCs w:val="21"/>
                <w:lang w:eastAsia="en-US"/>
                <w14:textFill>
                  <w14:solidFill>
                    <w14:schemeClr w14:val="tx1"/>
                  </w14:solidFill>
                </w14:textFill>
              </w:rPr>
              <w:t>标准</w:t>
            </w:r>
          </w:p>
        </w:tc>
        <w:tc>
          <w:tcPr>
            <w:tcW w:w="682" w:type="pct"/>
            <w:tcBorders>
              <w:top w:val="single" w:color="000000" w:sz="12" w:space="0"/>
              <w:left w:val="single" w:color="000000" w:sz="4" w:space="0"/>
              <w:bottom w:val="single" w:color="000000" w:sz="4" w:space="0"/>
            </w:tcBorders>
            <w:vAlign w:val="center"/>
          </w:tcPr>
          <w:p w14:paraId="5A0A906E">
            <w:pPr>
              <w:autoSpaceDN w:val="0"/>
              <w:jc w:val="center"/>
              <w:textAlignment w:val="center"/>
              <w:rPr>
                <w:rFonts w:ascii="Times New Roman" w:hAnsi="Times New Roman" w:eastAsia="宋体" w:cs="Times New Roman"/>
                <w:b/>
                <w:bCs/>
                <w:color w:val="000000" w:themeColor="text1"/>
                <w:szCs w:val="21"/>
                <w:lang w:eastAsia="en-US"/>
                <w14:textFill>
                  <w14:solidFill>
                    <w14:schemeClr w14:val="tx1"/>
                  </w14:solidFill>
                </w14:textFill>
              </w:rPr>
            </w:pPr>
            <w:r>
              <w:rPr>
                <w:rFonts w:ascii="Times New Roman" w:hAnsi="Times New Roman" w:eastAsia="宋体" w:cs="Times New Roman"/>
                <w:b/>
                <w:bCs/>
                <w:color w:val="000000" w:themeColor="text1"/>
                <w:szCs w:val="21"/>
                <w:lang w:eastAsia="en-US"/>
                <w14:textFill>
                  <w14:solidFill>
                    <w14:schemeClr w14:val="tx1"/>
                  </w14:solidFill>
                </w14:textFill>
              </w:rPr>
              <w:t>达标情况</w:t>
            </w:r>
          </w:p>
        </w:tc>
      </w:tr>
      <w:tr w14:paraId="6BD76A8A">
        <w:tblPrEx>
          <w:tblCellMar>
            <w:top w:w="0" w:type="dxa"/>
            <w:left w:w="0" w:type="dxa"/>
            <w:bottom w:w="0" w:type="dxa"/>
            <w:right w:w="0" w:type="dxa"/>
          </w:tblCellMar>
        </w:tblPrEx>
        <w:trPr>
          <w:jc w:val="center"/>
        </w:trPr>
        <w:tc>
          <w:tcPr>
            <w:tcW w:w="559" w:type="pct"/>
            <w:vMerge w:val="restart"/>
            <w:tcBorders>
              <w:top w:val="single" w:color="000000" w:sz="4" w:space="0"/>
              <w:right w:val="single" w:color="000000" w:sz="4" w:space="0"/>
            </w:tcBorders>
            <w:vAlign w:val="center"/>
          </w:tcPr>
          <w:p w14:paraId="599CEA9C">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r>
              <w:rPr>
                <w:rFonts w:ascii="Times New Roman" w:hAnsi="Times New Roman" w:eastAsia="宋体" w:cs="Times New Roman"/>
                <w:b/>
                <w:color w:val="000000" w:themeColor="text1"/>
                <w:spacing w:val="-5"/>
                <w:sz w:val="21"/>
                <w:szCs w:val="21"/>
                <w14:textFill>
                  <w14:solidFill>
                    <w14:schemeClr w14:val="tx1"/>
                  </w14:solidFill>
                </w14:textFill>
              </w:rPr>
              <w:t>20181219</w:t>
            </w:r>
          </w:p>
        </w:tc>
        <w:tc>
          <w:tcPr>
            <w:tcW w:w="851" w:type="pct"/>
            <w:vMerge w:val="restart"/>
            <w:tcBorders>
              <w:top w:val="single" w:color="000000" w:sz="4" w:space="0"/>
              <w:left w:val="single" w:color="000000" w:sz="4" w:space="0"/>
              <w:right w:val="single" w:color="000000" w:sz="4" w:space="0"/>
            </w:tcBorders>
            <w:vAlign w:val="center"/>
          </w:tcPr>
          <w:p w14:paraId="4E70D1E8">
            <w:pPr>
              <w:pStyle w:val="281"/>
              <w:spacing w:before="17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北边界1#</w:t>
            </w:r>
          </w:p>
        </w:tc>
        <w:tc>
          <w:tcPr>
            <w:tcW w:w="1219" w:type="pct"/>
            <w:tcBorders>
              <w:top w:val="single" w:color="000000" w:sz="4" w:space="0"/>
              <w:left w:val="single" w:color="000000" w:sz="4" w:space="0"/>
              <w:bottom w:val="single" w:color="000000" w:sz="4" w:space="0"/>
              <w:right w:val="single" w:color="000000" w:sz="4" w:space="0"/>
            </w:tcBorders>
            <w:vAlign w:val="center"/>
          </w:tcPr>
          <w:p w14:paraId="7B29D72F">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昼间（10:01-10:02）</w:t>
            </w:r>
          </w:p>
        </w:tc>
        <w:tc>
          <w:tcPr>
            <w:tcW w:w="0" w:type="auto"/>
            <w:tcBorders>
              <w:top w:val="single" w:color="000000" w:sz="4" w:space="0"/>
              <w:left w:val="single" w:color="000000" w:sz="4" w:space="0"/>
              <w:bottom w:val="single" w:color="000000" w:sz="4" w:space="0"/>
              <w:right w:val="single" w:color="000000" w:sz="4" w:space="0"/>
            </w:tcBorders>
            <w:vAlign w:val="center"/>
          </w:tcPr>
          <w:p w14:paraId="64130B44">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42</w:t>
            </w:r>
          </w:p>
        </w:tc>
        <w:tc>
          <w:tcPr>
            <w:tcW w:w="0" w:type="auto"/>
            <w:tcBorders>
              <w:top w:val="single" w:color="000000" w:sz="4" w:space="0"/>
              <w:left w:val="single" w:color="000000" w:sz="4" w:space="0"/>
              <w:bottom w:val="single" w:color="000000" w:sz="4" w:space="0"/>
              <w:right w:val="single" w:color="000000" w:sz="12" w:space="0"/>
            </w:tcBorders>
            <w:vAlign w:val="center"/>
          </w:tcPr>
          <w:p w14:paraId="4F1189AD">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59C03ACB">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665AEEFE">
            <w:pPr>
              <w:autoSpaceDN w:val="0"/>
              <w:jc w:val="center"/>
              <w:textAlignment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59274738">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235E0912">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4" w:space="0"/>
              <w:right w:val="single" w:color="000000" w:sz="4" w:space="0"/>
            </w:tcBorders>
            <w:vAlign w:val="center"/>
          </w:tcPr>
          <w:p w14:paraId="3AAE3AEF">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4" w:space="0"/>
              <w:right w:val="single" w:color="000000" w:sz="4" w:space="0"/>
            </w:tcBorders>
            <w:vAlign w:val="center"/>
          </w:tcPr>
          <w:p w14:paraId="0BE00325">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夜间（22:05-22:06）</w:t>
            </w:r>
          </w:p>
        </w:tc>
        <w:tc>
          <w:tcPr>
            <w:tcW w:w="0" w:type="auto"/>
            <w:tcBorders>
              <w:top w:val="single" w:color="000000" w:sz="4" w:space="0"/>
              <w:left w:val="single" w:color="000000" w:sz="4" w:space="0"/>
              <w:bottom w:val="single" w:color="000000" w:sz="4" w:space="0"/>
              <w:right w:val="single" w:color="000000" w:sz="4" w:space="0"/>
            </w:tcBorders>
            <w:vAlign w:val="center"/>
          </w:tcPr>
          <w:p w14:paraId="20902239">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40</w:t>
            </w:r>
          </w:p>
        </w:tc>
        <w:tc>
          <w:tcPr>
            <w:tcW w:w="0" w:type="auto"/>
            <w:tcBorders>
              <w:top w:val="single" w:color="000000" w:sz="4" w:space="0"/>
              <w:left w:val="single" w:color="000000" w:sz="4" w:space="0"/>
              <w:bottom w:val="single" w:color="000000" w:sz="4" w:space="0"/>
              <w:right w:val="single" w:color="000000" w:sz="12" w:space="0"/>
            </w:tcBorders>
            <w:vAlign w:val="center"/>
          </w:tcPr>
          <w:p w14:paraId="25DE3F5B">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044F521F">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4" w:space="0"/>
            </w:tcBorders>
            <w:vAlign w:val="center"/>
          </w:tcPr>
          <w:p w14:paraId="0884CDF2">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4BC47564">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125D6BC1">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restart"/>
            <w:tcBorders>
              <w:top w:val="single" w:color="000000" w:sz="4" w:space="0"/>
              <w:left w:val="single" w:color="000000" w:sz="4" w:space="0"/>
              <w:right w:val="single" w:color="000000" w:sz="4" w:space="0"/>
            </w:tcBorders>
            <w:vAlign w:val="center"/>
          </w:tcPr>
          <w:p w14:paraId="31DD84E3">
            <w:pPr>
              <w:pStyle w:val="281"/>
              <w:spacing w:before="17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西边界2#</w:t>
            </w:r>
          </w:p>
        </w:tc>
        <w:tc>
          <w:tcPr>
            <w:tcW w:w="1219" w:type="pct"/>
            <w:tcBorders>
              <w:top w:val="single" w:color="000000" w:sz="4" w:space="0"/>
              <w:left w:val="single" w:color="000000" w:sz="4" w:space="0"/>
              <w:bottom w:val="single" w:color="000000" w:sz="4" w:space="0"/>
              <w:right w:val="single" w:color="000000" w:sz="4" w:space="0"/>
            </w:tcBorders>
            <w:vAlign w:val="center"/>
          </w:tcPr>
          <w:p w14:paraId="15D12A5E">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昼间（10:08-10:09）</w:t>
            </w:r>
          </w:p>
        </w:tc>
        <w:tc>
          <w:tcPr>
            <w:tcW w:w="0" w:type="auto"/>
            <w:tcBorders>
              <w:top w:val="single" w:color="000000" w:sz="4" w:space="0"/>
              <w:left w:val="single" w:color="000000" w:sz="4" w:space="0"/>
              <w:bottom w:val="single" w:color="000000" w:sz="4" w:space="0"/>
              <w:right w:val="single" w:color="000000" w:sz="4" w:space="0"/>
            </w:tcBorders>
            <w:vAlign w:val="center"/>
          </w:tcPr>
          <w:p w14:paraId="1A31EC98">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43</w:t>
            </w:r>
          </w:p>
        </w:tc>
        <w:tc>
          <w:tcPr>
            <w:tcW w:w="0" w:type="auto"/>
            <w:tcBorders>
              <w:top w:val="single" w:color="000000" w:sz="4" w:space="0"/>
              <w:left w:val="single" w:color="000000" w:sz="4" w:space="0"/>
              <w:bottom w:val="single" w:color="000000" w:sz="4" w:space="0"/>
              <w:right w:val="single" w:color="000000" w:sz="12" w:space="0"/>
            </w:tcBorders>
            <w:vAlign w:val="center"/>
          </w:tcPr>
          <w:p w14:paraId="2BBCD419">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01EEEC3D">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61FDF0DD">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73DDED02">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439D575D">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4" w:space="0"/>
              <w:right w:val="single" w:color="000000" w:sz="4" w:space="0"/>
            </w:tcBorders>
            <w:vAlign w:val="center"/>
          </w:tcPr>
          <w:p w14:paraId="50DA95D3">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4" w:space="0"/>
              <w:right w:val="single" w:color="000000" w:sz="4" w:space="0"/>
            </w:tcBorders>
            <w:vAlign w:val="center"/>
          </w:tcPr>
          <w:p w14:paraId="34909DFB">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夜间（22:11-22:12）</w:t>
            </w:r>
          </w:p>
        </w:tc>
        <w:tc>
          <w:tcPr>
            <w:tcW w:w="0" w:type="auto"/>
            <w:tcBorders>
              <w:top w:val="single" w:color="000000" w:sz="4" w:space="0"/>
              <w:left w:val="single" w:color="000000" w:sz="4" w:space="0"/>
              <w:bottom w:val="single" w:color="000000" w:sz="4" w:space="0"/>
              <w:right w:val="single" w:color="000000" w:sz="4" w:space="0"/>
            </w:tcBorders>
            <w:vAlign w:val="center"/>
          </w:tcPr>
          <w:p w14:paraId="412DA855">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39</w:t>
            </w:r>
          </w:p>
        </w:tc>
        <w:tc>
          <w:tcPr>
            <w:tcW w:w="0" w:type="auto"/>
            <w:tcBorders>
              <w:top w:val="single" w:color="000000" w:sz="4" w:space="0"/>
              <w:left w:val="single" w:color="000000" w:sz="4" w:space="0"/>
              <w:bottom w:val="single" w:color="000000" w:sz="4" w:space="0"/>
              <w:right w:val="single" w:color="000000" w:sz="12" w:space="0"/>
            </w:tcBorders>
            <w:vAlign w:val="center"/>
          </w:tcPr>
          <w:p w14:paraId="3C6D8CD0">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5A4C653B">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4" w:space="0"/>
            </w:tcBorders>
            <w:vAlign w:val="center"/>
          </w:tcPr>
          <w:p w14:paraId="674744F3">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0C180786">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12769D27">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restart"/>
            <w:tcBorders>
              <w:top w:val="single" w:color="000000" w:sz="4" w:space="0"/>
              <w:left w:val="single" w:color="000000" w:sz="4" w:space="0"/>
              <w:right w:val="single" w:color="000000" w:sz="4" w:space="0"/>
            </w:tcBorders>
            <w:vAlign w:val="center"/>
          </w:tcPr>
          <w:p w14:paraId="1BDE26DD">
            <w:pPr>
              <w:pStyle w:val="281"/>
              <w:spacing w:before="17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南边界3#</w:t>
            </w:r>
          </w:p>
        </w:tc>
        <w:tc>
          <w:tcPr>
            <w:tcW w:w="1219" w:type="pct"/>
            <w:tcBorders>
              <w:top w:val="single" w:color="000000" w:sz="4" w:space="0"/>
              <w:left w:val="single" w:color="000000" w:sz="4" w:space="0"/>
              <w:bottom w:val="single" w:color="000000" w:sz="4" w:space="0"/>
              <w:right w:val="single" w:color="000000" w:sz="4" w:space="0"/>
            </w:tcBorders>
            <w:vAlign w:val="center"/>
          </w:tcPr>
          <w:p w14:paraId="038D4018">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昼间（10:13-10:33）</w:t>
            </w:r>
          </w:p>
        </w:tc>
        <w:tc>
          <w:tcPr>
            <w:tcW w:w="0" w:type="auto"/>
            <w:tcBorders>
              <w:top w:val="single" w:color="000000" w:sz="4" w:space="0"/>
              <w:left w:val="single" w:color="000000" w:sz="4" w:space="0"/>
              <w:bottom w:val="single" w:color="000000" w:sz="4" w:space="0"/>
              <w:right w:val="single" w:color="000000" w:sz="4" w:space="0"/>
            </w:tcBorders>
            <w:vAlign w:val="center"/>
          </w:tcPr>
          <w:p w14:paraId="236A9661">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58</w:t>
            </w:r>
          </w:p>
        </w:tc>
        <w:tc>
          <w:tcPr>
            <w:tcW w:w="0" w:type="auto"/>
            <w:tcBorders>
              <w:top w:val="single" w:color="000000" w:sz="4" w:space="0"/>
              <w:left w:val="single" w:color="000000" w:sz="4" w:space="0"/>
              <w:bottom w:val="single" w:color="000000" w:sz="4" w:space="0"/>
              <w:right w:val="single" w:color="000000" w:sz="12" w:space="0"/>
            </w:tcBorders>
            <w:vAlign w:val="center"/>
          </w:tcPr>
          <w:p w14:paraId="0BF86726">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交通噪声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4CE7E243">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6FCBF126">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2B63D883">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458A3968">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4" w:space="0"/>
              <w:right w:val="single" w:color="000000" w:sz="4" w:space="0"/>
            </w:tcBorders>
            <w:vAlign w:val="center"/>
          </w:tcPr>
          <w:p w14:paraId="00781F80">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4" w:space="0"/>
              <w:right w:val="single" w:color="000000" w:sz="4" w:space="0"/>
            </w:tcBorders>
            <w:vAlign w:val="center"/>
          </w:tcPr>
          <w:p w14:paraId="252B9343">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夜间（22:18-22:38）</w:t>
            </w:r>
          </w:p>
        </w:tc>
        <w:tc>
          <w:tcPr>
            <w:tcW w:w="0" w:type="auto"/>
            <w:tcBorders>
              <w:top w:val="single" w:color="000000" w:sz="4" w:space="0"/>
              <w:left w:val="single" w:color="000000" w:sz="4" w:space="0"/>
              <w:bottom w:val="single" w:color="000000" w:sz="4" w:space="0"/>
              <w:right w:val="single" w:color="000000" w:sz="4" w:space="0"/>
            </w:tcBorders>
            <w:vAlign w:val="center"/>
          </w:tcPr>
          <w:p w14:paraId="7AA2EC2C">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47</w:t>
            </w:r>
          </w:p>
        </w:tc>
        <w:tc>
          <w:tcPr>
            <w:tcW w:w="0" w:type="auto"/>
            <w:tcBorders>
              <w:top w:val="single" w:color="000000" w:sz="4" w:space="0"/>
              <w:left w:val="single" w:color="000000" w:sz="4" w:space="0"/>
              <w:bottom w:val="single" w:color="000000" w:sz="4" w:space="0"/>
              <w:right w:val="single" w:color="000000" w:sz="12" w:space="0"/>
            </w:tcBorders>
            <w:vAlign w:val="center"/>
          </w:tcPr>
          <w:p w14:paraId="3F616AB5">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交通噪声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5194B2B1">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4" w:space="0"/>
            </w:tcBorders>
            <w:vAlign w:val="center"/>
          </w:tcPr>
          <w:p w14:paraId="5430DA93">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4806CE1A">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1171685C">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restart"/>
            <w:tcBorders>
              <w:top w:val="single" w:color="000000" w:sz="4" w:space="0"/>
              <w:left w:val="single" w:color="000000" w:sz="4" w:space="0"/>
              <w:right w:val="single" w:color="000000" w:sz="4" w:space="0"/>
            </w:tcBorders>
            <w:vAlign w:val="center"/>
          </w:tcPr>
          <w:p w14:paraId="1FD0CD07">
            <w:pPr>
              <w:pStyle w:val="281"/>
              <w:spacing w:before="17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东边界4#</w:t>
            </w:r>
          </w:p>
        </w:tc>
        <w:tc>
          <w:tcPr>
            <w:tcW w:w="1219" w:type="pct"/>
            <w:tcBorders>
              <w:top w:val="single" w:color="000000" w:sz="4" w:space="0"/>
              <w:left w:val="single" w:color="000000" w:sz="4" w:space="0"/>
              <w:bottom w:val="single" w:color="000000" w:sz="4" w:space="0"/>
              <w:right w:val="single" w:color="000000" w:sz="4" w:space="0"/>
            </w:tcBorders>
            <w:vAlign w:val="center"/>
          </w:tcPr>
          <w:p w14:paraId="05D0555C">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昼间（10:37-10:38）</w:t>
            </w:r>
          </w:p>
        </w:tc>
        <w:tc>
          <w:tcPr>
            <w:tcW w:w="0" w:type="auto"/>
            <w:tcBorders>
              <w:top w:val="single" w:color="000000" w:sz="4" w:space="0"/>
              <w:left w:val="single" w:color="000000" w:sz="4" w:space="0"/>
              <w:bottom w:val="single" w:color="000000" w:sz="4" w:space="0"/>
              <w:right w:val="single" w:color="000000" w:sz="4" w:space="0"/>
            </w:tcBorders>
            <w:vAlign w:val="center"/>
          </w:tcPr>
          <w:p w14:paraId="42B9E781">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44</w:t>
            </w:r>
          </w:p>
        </w:tc>
        <w:tc>
          <w:tcPr>
            <w:tcW w:w="0" w:type="auto"/>
            <w:tcBorders>
              <w:top w:val="single" w:color="000000" w:sz="4" w:space="0"/>
              <w:left w:val="single" w:color="000000" w:sz="4" w:space="0"/>
              <w:bottom w:val="single" w:color="000000" w:sz="4" w:space="0"/>
              <w:right w:val="single" w:color="000000" w:sz="12" w:space="0"/>
            </w:tcBorders>
            <w:vAlign w:val="center"/>
          </w:tcPr>
          <w:p w14:paraId="7D5072CC">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3F0A7A5D">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31FFFA3C">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740BAD17">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6DE109B7">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4" w:space="0"/>
              <w:right w:val="single" w:color="000000" w:sz="4" w:space="0"/>
            </w:tcBorders>
            <w:vAlign w:val="center"/>
          </w:tcPr>
          <w:p w14:paraId="384473C1">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4" w:space="0"/>
              <w:right w:val="single" w:color="000000" w:sz="4" w:space="0"/>
            </w:tcBorders>
            <w:vAlign w:val="center"/>
          </w:tcPr>
          <w:p w14:paraId="3E57C244">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夜间（22:42-22:43）</w:t>
            </w:r>
          </w:p>
        </w:tc>
        <w:tc>
          <w:tcPr>
            <w:tcW w:w="0" w:type="auto"/>
            <w:tcBorders>
              <w:top w:val="single" w:color="000000" w:sz="4" w:space="0"/>
              <w:left w:val="single" w:color="000000" w:sz="4" w:space="0"/>
              <w:bottom w:val="single" w:color="000000" w:sz="4" w:space="0"/>
              <w:right w:val="single" w:color="000000" w:sz="4" w:space="0"/>
            </w:tcBorders>
            <w:vAlign w:val="center"/>
          </w:tcPr>
          <w:p w14:paraId="41A50247">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40</w:t>
            </w:r>
          </w:p>
        </w:tc>
        <w:tc>
          <w:tcPr>
            <w:tcW w:w="0" w:type="auto"/>
            <w:tcBorders>
              <w:top w:val="single" w:color="000000" w:sz="4" w:space="0"/>
              <w:left w:val="single" w:color="000000" w:sz="4" w:space="0"/>
              <w:bottom w:val="single" w:color="000000" w:sz="4" w:space="0"/>
              <w:right w:val="single" w:color="000000" w:sz="12" w:space="0"/>
            </w:tcBorders>
            <w:vAlign w:val="center"/>
          </w:tcPr>
          <w:p w14:paraId="40C82337">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55B00C4E">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4" w:space="0"/>
            </w:tcBorders>
            <w:vAlign w:val="center"/>
          </w:tcPr>
          <w:p w14:paraId="7AA86B03">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787B5221">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389F03F4">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restart"/>
            <w:tcBorders>
              <w:top w:val="single" w:color="000000" w:sz="4" w:space="0"/>
              <w:left w:val="single" w:color="000000" w:sz="4" w:space="0"/>
              <w:right w:val="single" w:color="000000" w:sz="4" w:space="0"/>
            </w:tcBorders>
            <w:vAlign w:val="center"/>
          </w:tcPr>
          <w:p w14:paraId="2E290E4D">
            <w:pPr>
              <w:pStyle w:val="281"/>
              <w:spacing w:before="17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四分场四队5#</w:t>
            </w:r>
          </w:p>
        </w:tc>
        <w:tc>
          <w:tcPr>
            <w:tcW w:w="1219" w:type="pct"/>
            <w:tcBorders>
              <w:top w:val="single" w:color="000000" w:sz="4" w:space="0"/>
              <w:left w:val="single" w:color="000000" w:sz="4" w:space="0"/>
              <w:bottom w:val="single" w:color="000000" w:sz="4" w:space="0"/>
              <w:right w:val="single" w:color="000000" w:sz="4" w:space="0"/>
            </w:tcBorders>
            <w:vAlign w:val="center"/>
          </w:tcPr>
          <w:p w14:paraId="1D4C7386">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昼间（10:49-10:50）</w:t>
            </w:r>
          </w:p>
        </w:tc>
        <w:tc>
          <w:tcPr>
            <w:tcW w:w="0" w:type="auto"/>
            <w:tcBorders>
              <w:top w:val="single" w:color="000000" w:sz="4" w:space="0"/>
              <w:left w:val="single" w:color="000000" w:sz="4" w:space="0"/>
              <w:bottom w:val="single" w:color="000000" w:sz="4" w:space="0"/>
              <w:right w:val="single" w:color="000000" w:sz="4" w:space="0"/>
            </w:tcBorders>
            <w:vAlign w:val="center"/>
          </w:tcPr>
          <w:p w14:paraId="0496BF62">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41</w:t>
            </w:r>
          </w:p>
        </w:tc>
        <w:tc>
          <w:tcPr>
            <w:tcW w:w="0" w:type="auto"/>
            <w:tcBorders>
              <w:top w:val="single" w:color="000000" w:sz="4" w:space="0"/>
              <w:left w:val="single" w:color="000000" w:sz="4" w:space="0"/>
              <w:bottom w:val="single" w:color="000000" w:sz="4" w:space="0"/>
              <w:right w:val="single" w:color="000000" w:sz="12" w:space="0"/>
            </w:tcBorders>
            <w:vAlign w:val="center"/>
          </w:tcPr>
          <w:p w14:paraId="0BF1E2D3">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6F21BBD0">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2B62674F">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71109859">
        <w:tblPrEx>
          <w:tblCellMar>
            <w:top w:w="0" w:type="dxa"/>
            <w:left w:w="0" w:type="dxa"/>
            <w:bottom w:w="0" w:type="dxa"/>
            <w:right w:w="0" w:type="dxa"/>
          </w:tblCellMar>
        </w:tblPrEx>
        <w:trPr>
          <w:jc w:val="center"/>
        </w:trPr>
        <w:tc>
          <w:tcPr>
            <w:tcW w:w="559" w:type="pct"/>
            <w:vMerge w:val="continue"/>
            <w:tcBorders>
              <w:bottom w:val="single" w:color="000000" w:sz="4" w:space="0"/>
              <w:right w:val="single" w:color="000000" w:sz="4" w:space="0"/>
            </w:tcBorders>
            <w:vAlign w:val="center"/>
          </w:tcPr>
          <w:p w14:paraId="035D2367">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4" w:space="0"/>
              <w:right w:val="single" w:color="000000" w:sz="4" w:space="0"/>
            </w:tcBorders>
            <w:vAlign w:val="center"/>
          </w:tcPr>
          <w:p w14:paraId="34B3B57D">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4" w:space="0"/>
              <w:right w:val="single" w:color="000000" w:sz="4" w:space="0"/>
            </w:tcBorders>
            <w:vAlign w:val="center"/>
          </w:tcPr>
          <w:p w14:paraId="147B0BEF">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夜间（22:58-22:59）</w:t>
            </w:r>
          </w:p>
        </w:tc>
        <w:tc>
          <w:tcPr>
            <w:tcW w:w="0" w:type="auto"/>
            <w:tcBorders>
              <w:top w:val="single" w:color="000000" w:sz="4" w:space="0"/>
              <w:left w:val="single" w:color="000000" w:sz="4" w:space="0"/>
              <w:bottom w:val="single" w:color="000000" w:sz="4" w:space="0"/>
              <w:right w:val="single" w:color="000000" w:sz="4" w:space="0"/>
            </w:tcBorders>
            <w:vAlign w:val="center"/>
          </w:tcPr>
          <w:p w14:paraId="792B0C88">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40</w:t>
            </w:r>
          </w:p>
        </w:tc>
        <w:tc>
          <w:tcPr>
            <w:tcW w:w="0" w:type="auto"/>
            <w:tcBorders>
              <w:top w:val="single" w:color="000000" w:sz="4" w:space="0"/>
              <w:left w:val="single" w:color="000000" w:sz="4" w:space="0"/>
              <w:bottom w:val="single" w:color="000000" w:sz="4" w:space="0"/>
              <w:right w:val="single" w:color="000000" w:sz="12" w:space="0"/>
            </w:tcBorders>
            <w:vAlign w:val="center"/>
          </w:tcPr>
          <w:p w14:paraId="2E7FBA93">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26EBE648">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4" w:space="0"/>
            </w:tcBorders>
            <w:vAlign w:val="center"/>
          </w:tcPr>
          <w:p w14:paraId="603DEBC3">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2C2A0591">
        <w:tblPrEx>
          <w:tblCellMar>
            <w:top w:w="0" w:type="dxa"/>
            <w:left w:w="0" w:type="dxa"/>
            <w:bottom w:w="0" w:type="dxa"/>
            <w:right w:w="0" w:type="dxa"/>
          </w:tblCellMar>
        </w:tblPrEx>
        <w:trPr>
          <w:jc w:val="center"/>
        </w:trPr>
        <w:tc>
          <w:tcPr>
            <w:tcW w:w="559" w:type="pct"/>
            <w:vMerge w:val="restart"/>
            <w:tcBorders>
              <w:top w:val="single" w:color="000000" w:sz="4" w:space="0"/>
              <w:right w:val="single" w:color="000000" w:sz="4" w:space="0"/>
            </w:tcBorders>
            <w:vAlign w:val="center"/>
          </w:tcPr>
          <w:p w14:paraId="57AA0D0D">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r>
              <w:rPr>
                <w:rFonts w:ascii="Times New Roman" w:hAnsi="Times New Roman" w:eastAsia="宋体" w:cs="Times New Roman"/>
                <w:b/>
                <w:color w:val="000000" w:themeColor="text1"/>
                <w:spacing w:val="-5"/>
                <w:sz w:val="21"/>
                <w:szCs w:val="21"/>
                <w14:textFill>
                  <w14:solidFill>
                    <w14:schemeClr w14:val="tx1"/>
                  </w14:solidFill>
                </w14:textFill>
              </w:rPr>
              <w:t>20181220</w:t>
            </w:r>
          </w:p>
        </w:tc>
        <w:tc>
          <w:tcPr>
            <w:tcW w:w="851" w:type="pct"/>
            <w:vMerge w:val="restart"/>
            <w:tcBorders>
              <w:top w:val="single" w:color="000000" w:sz="4" w:space="0"/>
              <w:left w:val="single" w:color="000000" w:sz="4" w:space="0"/>
              <w:right w:val="single" w:color="000000" w:sz="4" w:space="0"/>
            </w:tcBorders>
            <w:vAlign w:val="center"/>
          </w:tcPr>
          <w:p w14:paraId="0643CE0A">
            <w:pPr>
              <w:pStyle w:val="281"/>
              <w:spacing w:before="17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北边界1#</w:t>
            </w:r>
          </w:p>
        </w:tc>
        <w:tc>
          <w:tcPr>
            <w:tcW w:w="1219" w:type="pct"/>
            <w:tcBorders>
              <w:top w:val="single" w:color="000000" w:sz="4" w:space="0"/>
              <w:left w:val="single" w:color="000000" w:sz="4" w:space="0"/>
              <w:bottom w:val="single" w:color="000000" w:sz="4" w:space="0"/>
              <w:right w:val="single" w:color="000000" w:sz="4" w:space="0"/>
            </w:tcBorders>
            <w:vAlign w:val="center"/>
          </w:tcPr>
          <w:p w14:paraId="1BF37E39">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昼间（15:30-15:31）</w:t>
            </w:r>
          </w:p>
        </w:tc>
        <w:tc>
          <w:tcPr>
            <w:tcW w:w="0" w:type="auto"/>
            <w:tcBorders>
              <w:top w:val="single" w:color="000000" w:sz="4" w:space="0"/>
              <w:left w:val="single" w:color="000000" w:sz="4" w:space="0"/>
              <w:bottom w:val="single" w:color="000000" w:sz="4" w:space="0"/>
              <w:right w:val="single" w:color="000000" w:sz="4" w:space="0"/>
            </w:tcBorders>
            <w:vAlign w:val="center"/>
          </w:tcPr>
          <w:p w14:paraId="1DA645FE">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41</w:t>
            </w:r>
          </w:p>
        </w:tc>
        <w:tc>
          <w:tcPr>
            <w:tcW w:w="0" w:type="auto"/>
            <w:tcBorders>
              <w:top w:val="single" w:color="000000" w:sz="4" w:space="0"/>
              <w:left w:val="single" w:color="000000" w:sz="4" w:space="0"/>
              <w:bottom w:val="single" w:color="000000" w:sz="4" w:space="0"/>
              <w:right w:val="single" w:color="000000" w:sz="12" w:space="0"/>
            </w:tcBorders>
            <w:vAlign w:val="center"/>
          </w:tcPr>
          <w:p w14:paraId="37E78009">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5EE743C1">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4BD00BEC">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4695389E">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11B011B1">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4" w:space="0"/>
              <w:right w:val="single" w:color="000000" w:sz="4" w:space="0"/>
            </w:tcBorders>
            <w:vAlign w:val="center"/>
          </w:tcPr>
          <w:p w14:paraId="6B760B9C">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4" w:space="0"/>
              <w:right w:val="single" w:color="000000" w:sz="4" w:space="0"/>
            </w:tcBorders>
            <w:vAlign w:val="center"/>
          </w:tcPr>
          <w:p w14:paraId="1FD06920">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夜间（22:20-22:21）</w:t>
            </w:r>
          </w:p>
        </w:tc>
        <w:tc>
          <w:tcPr>
            <w:tcW w:w="0" w:type="auto"/>
            <w:tcBorders>
              <w:top w:val="single" w:color="000000" w:sz="4" w:space="0"/>
              <w:left w:val="single" w:color="000000" w:sz="4" w:space="0"/>
              <w:bottom w:val="single" w:color="000000" w:sz="4" w:space="0"/>
              <w:right w:val="single" w:color="000000" w:sz="4" w:space="0"/>
            </w:tcBorders>
            <w:vAlign w:val="center"/>
          </w:tcPr>
          <w:p w14:paraId="42DA26FB">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38</w:t>
            </w:r>
          </w:p>
        </w:tc>
        <w:tc>
          <w:tcPr>
            <w:tcW w:w="0" w:type="auto"/>
            <w:tcBorders>
              <w:top w:val="single" w:color="000000" w:sz="4" w:space="0"/>
              <w:left w:val="single" w:color="000000" w:sz="4" w:space="0"/>
              <w:bottom w:val="single" w:color="000000" w:sz="4" w:space="0"/>
              <w:right w:val="single" w:color="000000" w:sz="12" w:space="0"/>
            </w:tcBorders>
            <w:vAlign w:val="center"/>
          </w:tcPr>
          <w:p w14:paraId="4353FBDC">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052BEFEA">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4" w:space="0"/>
            </w:tcBorders>
            <w:vAlign w:val="center"/>
          </w:tcPr>
          <w:p w14:paraId="377A9903">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7F033A39">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275F9A03">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restart"/>
            <w:tcBorders>
              <w:top w:val="single" w:color="000000" w:sz="4" w:space="0"/>
              <w:left w:val="single" w:color="000000" w:sz="4" w:space="0"/>
              <w:right w:val="single" w:color="000000" w:sz="4" w:space="0"/>
            </w:tcBorders>
            <w:vAlign w:val="center"/>
          </w:tcPr>
          <w:p w14:paraId="09FE806F">
            <w:pPr>
              <w:pStyle w:val="281"/>
              <w:spacing w:before="17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西边界2#</w:t>
            </w:r>
          </w:p>
        </w:tc>
        <w:tc>
          <w:tcPr>
            <w:tcW w:w="1219" w:type="pct"/>
            <w:tcBorders>
              <w:top w:val="single" w:color="000000" w:sz="4" w:space="0"/>
              <w:left w:val="single" w:color="000000" w:sz="4" w:space="0"/>
              <w:bottom w:val="single" w:color="000000" w:sz="4" w:space="0"/>
              <w:right w:val="single" w:color="000000" w:sz="4" w:space="0"/>
            </w:tcBorders>
            <w:vAlign w:val="center"/>
          </w:tcPr>
          <w:p w14:paraId="6C5C04B4">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昼间（15:35-15:36）</w:t>
            </w:r>
          </w:p>
        </w:tc>
        <w:tc>
          <w:tcPr>
            <w:tcW w:w="0" w:type="auto"/>
            <w:tcBorders>
              <w:top w:val="single" w:color="000000" w:sz="4" w:space="0"/>
              <w:left w:val="single" w:color="000000" w:sz="4" w:space="0"/>
              <w:bottom w:val="single" w:color="000000" w:sz="4" w:space="0"/>
              <w:right w:val="single" w:color="000000" w:sz="4" w:space="0"/>
            </w:tcBorders>
            <w:vAlign w:val="center"/>
          </w:tcPr>
          <w:p w14:paraId="28EFB094">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44</w:t>
            </w:r>
          </w:p>
        </w:tc>
        <w:tc>
          <w:tcPr>
            <w:tcW w:w="0" w:type="auto"/>
            <w:tcBorders>
              <w:top w:val="single" w:color="000000" w:sz="4" w:space="0"/>
              <w:left w:val="single" w:color="000000" w:sz="4" w:space="0"/>
              <w:bottom w:val="single" w:color="000000" w:sz="4" w:space="0"/>
              <w:right w:val="single" w:color="000000" w:sz="12" w:space="0"/>
            </w:tcBorders>
            <w:vAlign w:val="center"/>
          </w:tcPr>
          <w:p w14:paraId="556CDAED">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724C07B7">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07817888">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39C69734">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1618DC95">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4" w:space="0"/>
              <w:right w:val="single" w:color="000000" w:sz="4" w:space="0"/>
            </w:tcBorders>
            <w:vAlign w:val="center"/>
          </w:tcPr>
          <w:p w14:paraId="558EE9EC">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4" w:space="0"/>
              <w:right w:val="single" w:color="000000" w:sz="4" w:space="0"/>
            </w:tcBorders>
            <w:vAlign w:val="center"/>
          </w:tcPr>
          <w:p w14:paraId="6F14DCC9">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夜间（22:26-22:27）</w:t>
            </w:r>
          </w:p>
        </w:tc>
        <w:tc>
          <w:tcPr>
            <w:tcW w:w="0" w:type="auto"/>
            <w:tcBorders>
              <w:top w:val="single" w:color="000000" w:sz="4" w:space="0"/>
              <w:left w:val="single" w:color="000000" w:sz="4" w:space="0"/>
              <w:bottom w:val="single" w:color="000000" w:sz="4" w:space="0"/>
              <w:right w:val="single" w:color="000000" w:sz="4" w:space="0"/>
            </w:tcBorders>
            <w:vAlign w:val="center"/>
          </w:tcPr>
          <w:p w14:paraId="0657FBA7">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41</w:t>
            </w:r>
          </w:p>
        </w:tc>
        <w:tc>
          <w:tcPr>
            <w:tcW w:w="0" w:type="auto"/>
            <w:tcBorders>
              <w:top w:val="single" w:color="000000" w:sz="4" w:space="0"/>
              <w:left w:val="single" w:color="000000" w:sz="4" w:space="0"/>
              <w:bottom w:val="single" w:color="000000" w:sz="4" w:space="0"/>
              <w:right w:val="single" w:color="000000" w:sz="12" w:space="0"/>
            </w:tcBorders>
            <w:vAlign w:val="center"/>
          </w:tcPr>
          <w:p w14:paraId="4EFD9B41">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70293E24">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4" w:space="0"/>
            </w:tcBorders>
            <w:vAlign w:val="center"/>
          </w:tcPr>
          <w:p w14:paraId="43A77EE0">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1B966066">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67CC2830">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restart"/>
            <w:tcBorders>
              <w:top w:val="single" w:color="000000" w:sz="4" w:space="0"/>
              <w:left w:val="single" w:color="000000" w:sz="4" w:space="0"/>
              <w:right w:val="single" w:color="000000" w:sz="4" w:space="0"/>
            </w:tcBorders>
            <w:vAlign w:val="center"/>
          </w:tcPr>
          <w:p w14:paraId="08124565">
            <w:pPr>
              <w:pStyle w:val="281"/>
              <w:spacing w:before="17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南边界3#</w:t>
            </w:r>
          </w:p>
        </w:tc>
        <w:tc>
          <w:tcPr>
            <w:tcW w:w="1219" w:type="pct"/>
            <w:tcBorders>
              <w:top w:val="single" w:color="000000" w:sz="4" w:space="0"/>
              <w:left w:val="single" w:color="000000" w:sz="4" w:space="0"/>
              <w:bottom w:val="single" w:color="000000" w:sz="4" w:space="0"/>
              <w:right w:val="single" w:color="000000" w:sz="4" w:space="0"/>
            </w:tcBorders>
            <w:vAlign w:val="center"/>
          </w:tcPr>
          <w:p w14:paraId="29C2B108">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昼间（15:40-16:00）</w:t>
            </w:r>
          </w:p>
        </w:tc>
        <w:tc>
          <w:tcPr>
            <w:tcW w:w="0" w:type="auto"/>
            <w:tcBorders>
              <w:top w:val="single" w:color="000000" w:sz="4" w:space="0"/>
              <w:left w:val="single" w:color="000000" w:sz="4" w:space="0"/>
              <w:bottom w:val="single" w:color="000000" w:sz="4" w:space="0"/>
              <w:right w:val="single" w:color="000000" w:sz="4" w:space="0"/>
            </w:tcBorders>
            <w:vAlign w:val="center"/>
          </w:tcPr>
          <w:p w14:paraId="058A2FD1">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59</w:t>
            </w:r>
          </w:p>
        </w:tc>
        <w:tc>
          <w:tcPr>
            <w:tcW w:w="0" w:type="auto"/>
            <w:tcBorders>
              <w:top w:val="single" w:color="000000" w:sz="4" w:space="0"/>
              <w:left w:val="single" w:color="000000" w:sz="4" w:space="0"/>
              <w:bottom w:val="single" w:color="000000" w:sz="4" w:space="0"/>
              <w:right w:val="single" w:color="000000" w:sz="12" w:space="0"/>
            </w:tcBorders>
            <w:vAlign w:val="center"/>
          </w:tcPr>
          <w:p w14:paraId="7FD6267C">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交通噪声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6F43A903">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1D07AB00">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087A68FE">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01FFA867">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4" w:space="0"/>
              <w:right w:val="single" w:color="000000" w:sz="4" w:space="0"/>
            </w:tcBorders>
            <w:vAlign w:val="center"/>
          </w:tcPr>
          <w:p w14:paraId="4F043A4D">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4" w:space="0"/>
              <w:right w:val="single" w:color="000000" w:sz="4" w:space="0"/>
            </w:tcBorders>
            <w:vAlign w:val="center"/>
          </w:tcPr>
          <w:p w14:paraId="71D0138E">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夜间（22:32-22:52）</w:t>
            </w:r>
          </w:p>
        </w:tc>
        <w:tc>
          <w:tcPr>
            <w:tcW w:w="0" w:type="auto"/>
            <w:tcBorders>
              <w:top w:val="single" w:color="000000" w:sz="4" w:space="0"/>
              <w:left w:val="single" w:color="000000" w:sz="4" w:space="0"/>
              <w:bottom w:val="single" w:color="000000" w:sz="4" w:space="0"/>
              <w:right w:val="single" w:color="000000" w:sz="4" w:space="0"/>
            </w:tcBorders>
            <w:vAlign w:val="center"/>
          </w:tcPr>
          <w:p w14:paraId="42F35F7C">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48</w:t>
            </w:r>
          </w:p>
        </w:tc>
        <w:tc>
          <w:tcPr>
            <w:tcW w:w="0" w:type="auto"/>
            <w:tcBorders>
              <w:top w:val="single" w:color="000000" w:sz="4" w:space="0"/>
              <w:left w:val="single" w:color="000000" w:sz="4" w:space="0"/>
              <w:bottom w:val="single" w:color="000000" w:sz="4" w:space="0"/>
              <w:right w:val="single" w:color="000000" w:sz="12" w:space="0"/>
            </w:tcBorders>
            <w:vAlign w:val="center"/>
          </w:tcPr>
          <w:p w14:paraId="3518B310">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交通噪声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581B3CBD">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4" w:space="0"/>
            </w:tcBorders>
            <w:vAlign w:val="center"/>
          </w:tcPr>
          <w:p w14:paraId="0BEE81FB">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79ACAB76">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5277CA8D">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restart"/>
            <w:tcBorders>
              <w:top w:val="single" w:color="000000" w:sz="4" w:space="0"/>
              <w:left w:val="single" w:color="000000" w:sz="4" w:space="0"/>
              <w:right w:val="single" w:color="000000" w:sz="4" w:space="0"/>
            </w:tcBorders>
            <w:vAlign w:val="center"/>
          </w:tcPr>
          <w:p w14:paraId="29B609E4">
            <w:pPr>
              <w:pStyle w:val="281"/>
              <w:spacing w:before="17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东边界4#</w:t>
            </w:r>
          </w:p>
        </w:tc>
        <w:tc>
          <w:tcPr>
            <w:tcW w:w="1219" w:type="pct"/>
            <w:tcBorders>
              <w:top w:val="single" w:color="000000" w:sz="4" w:space="0"/>
              <w:left w:val="single" w:color="000000" w:sz="4" w:space="0"/>
              <w:bottom w:val="single" w:color="000000" w:sz="4" w:space="0"/>
              <w:right w:val="single" w:color="000000" w:sz="4" w:space="0"/>
            </w:tcBorders>
            <w:vAlign w:val="center"/>
          </w:tcPr>
          <w:p w14:paraId="168B26CF">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昼间（16:05-16:06）</w:t>
            </w:r>
          </w:p>
        </w:tc>
        <w:tc>
          <w:tcPr>
            <w:tcW w:w="0" w:type="auto"/>
            <w:tcBorders>
              <w:top w:val="single" w:color="000000" w:sz="4" w:space="0"/>
              <w:left w:val="single" w:color="000000" w:sz="4" w:space="0"/>
              <w:bottom w:val="single" w:color="000000" w:sz="4" w:space="0"/>
              <w:right w:val="single" w:color="000000" w:sz="4" w:space="0"/>
            </w:tcBorders>
            <w:vAlign w:val="center"/>
          </w:tcPr>
          <w:p w14:paraId="26516D24">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43</w:t>
            </w:r>
          </w:p>
        </w:tc>
        <w:tc>
          <w:tcPr>
            <w:tcW w:w="0" w:type="auto"/>
            <w:tcBorders>
              <w:top w:val="single" w:color="000000" w:sz="4" w:space="0"/>
              <w:left w:val="single" w:color="000000" w:sz="4" w:space="0"/>
              <w:bottom w:val="single" w:color="000000" w:sz="4" w:space="0"/>
              <w:right w:val="single" w:color="000000" w:sz="12" w:space="0"/>
            </w:tcBorders>
            <w:vAlign w:val="center"/>
          </w:tcPr>
          <w:p w14:paraId="74630E3B">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6396BD3C">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24AA51FF">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3FCCE26F">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388A1C16">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4" w:space="0"/>
              <w:right w:val="single" w:color="000000" w:sz="4" w:space="0"/>
            </w:tcBorders>
            <w:vAlign w:val="center"/>
          </w:tcPr>
          <w:p w14:paraId="231247AD">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4" w:space="0"/>
              <w:right w:val="single" w:color="000000" w:sz="4" w:space="0"/>
            </w:tcBorders>
            <w:vAlign w:val="center"/>
          </w:tcPr>
          <w:p w14:paraId="1858A5A7">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夜间（22:57-22:58）</w:t>
            </w:r>
          </w:p>
        </w:tc>
        <w:tc>
          <w:tcPr>
            <w:tcW w:w="0" w:type="auto"/>
            <w:tcBorders>
              <w:top w:val="single" w:color="000000" w:sz="4" w:space="0"/>
              <w:left w:val="single" w:color="000000" w:sz="4" w:space="0"/>
              <w:bottom w:val="single" w:color="000000" w:sz="4" w:space="0"/>
              <w:right w:val="single" w:color="000000" w:sz="4" w:space="0"/>
            </w:tcBorders>
            <w:vAlign w:val="center"/>
          </w:tcPr>
          <w:p w14:paraId="2C05CC63">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40</w:t>
            </w:r>
          </w:p>
        </w:tc>
        <w:tc>
          <w:tcPr>
            <w:tcW w:w="0" w:type="auto"/>
            <w:tcBorders>
              <w:top w:val="single" w:color="000000" w:sz="4" w:space="0"/>
              <w:left w:val="single" w:color="000000" w:sz="4" w:space="0"/>
              <w:bottom w:val="single" w:color="000000" w:sz="4" w:space="0"/>
              <w:right w:val="single" w:color="000000" w:sz="12" w:space="0"/>
            </w:tcBorders>
            <w:vAlign w:val="center"/>
          </w:tcPr>
          <w:p w14:paraId="1FA0FB98">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3DD7E7F9">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4" w:space="0"/>
            </w:tcBorders>
            <w:vAlign w:val="center"/>
          </w:tcPr>
          <w:p w14:paraId="458F50D2">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0518CBC8">
        <w:tblPrEx>
          <w:tblCellMar>
            <w:top w:w="0" w:type="dxa"/>
            <w:left w:w="0" w:type="dxa"/>
            <w:bottom w:w="0" w:type="dxa"/>
            <w:right w:w="0" w:type="dxa"/>
          </w:tblCellMar>
        </w:tblPrEx>
        <w:trPr>
          <w:jc w:val="center"/>
        </w:trPr>
        <w:tc>
          <w:tcPr>
            <w:tcW w:w="559" w:type="pct"/>
            <w:vMerge w:val="continue"/>
            <w:tcBorders>
              <w:right w:val="single" w:color="000000" w:sz="4" w:space="0"/>
            </w:tcBorders>
            <w:vAlign w:val="center"/>
          </w:tcPr>
          <w:p w14:paraId="2B4934B9">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restart"/>
            <w:tcBorders>
              <w:top w:val="single" w:color="000000" w:sz="4" w:space="0"/>
              <w:left w:val="single" w:color="000000" w:sz="4" w:space="0"/>
              <w:right w:val="single" w:color="000000" w:sz="4" w:space="0"/>
            </w:tcBorders>
            <w:vAlign w:val="center"/>
          </w:tcPr>
          <w:p w14:paraId="688DD943">
            <w:pPr>
              <w:pStyle w:val="281"/>
              <w:spacing w:before="17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5"/>
                <w:sz w:val="21"/>
                <w:szCs w:val="21"/>
                <w14:textFill>
                  <w14:solidFill>
                    <w14:schemeClr w14:val="tx1"/>
                  </w14:solidFill>
                </w14:textFill>
              </w:rPr>
              <w:t>四分场四队5#</w:t>
            </w:r>
          </w:p>
        </w:tc>
        <w:tc>
          <w:tcPr>
            <w:tcW w:w="1219" w:type="pct"/>
            <w:tcBorders>
              <w:top w:val="single" w:color="000000" w:sz="4" w:space="0"/>
              <w:left w:val="single" w:color="000000" w:sz="4" w:space="0"/>
              <w:bottom w:val="single" w:color="000000" w:sz="4" w:space="0"/>
              <w:right w:val="single" w:color="000000" w:sz="4" w:space="0"/>
            </w:tcBorders>
            <w:vAlign w:val="center"/>
          </w:tcPr>
          <w:p w14:paraId="6148A97A">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昼间（16:17-16:18）</w:t>
            </w:r>
          </w:p>
        </w:tc>
        <w:tc>
          <w:tcPr>
            <w:tcW w:w="0" w:type="auto"/>
            <w:tcBorders>
              <w:top w:val="single" w:color="000000" w:sz="4" w:space="0"/>
              <w:left w:val="single" w:color="000000" w:sz="4" w:space="0"/>
              <w:bottom w:val="single" w:color="000000" w:sz="4" w:space="0"/>
              <w:right w:val="single" w:color="000000" w:sz="4" w:space="0"/>
            </w:tcBorders>
            <w:vAlign w:val="center"/>
          </w:tcPr>
          <w:p w14:paraId="62C7BE8E">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41</w:t>
            </w:r>
          </w:p>
        </w:tc>
        <w:tc>
          <w:tcPr>
            <w:tcW w:w="0" w:type="auto"/>
            <w:tcBorders>
              <w:top w:val="single" w:color="000000" w:sz="4" w:space="0"/>
              <w:left w:val="single" w:color="000000" w:sz="4" w:space="0"/>
              <w:bottom w:val="single" w:color="000000" w:sz="4" w:space="0"/>
              <w:right w:val="single" w:color="000000" w:sz="12" w:space="0"/>
            </w:tcBorders>
            <w:vAlign w:val="center"/>
          </w:tcPr>
          <w:p w14:paraId="3CBAC5C0">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4" w:space="0"/>
              <w:right w:val="single" w:color="000000" w:sz="4" w:space="0"/>
            </w:tcBorders>
            <w:vAlign w:val="center"/>
          </w:tcPr>
          <w:p w14:paraId="2DE9FC3A">
            <w:pPr>
              <w:autoSpaceDN w:val="0"/>
              <w:jc w:val="center"/>
              <w:textAlignment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60</w:t>
            </w:r>
          </w:p>
        </w:tc>
        <w:tc>
          <w:tcPr>
            <w:tcW w:w="682" w:type="pct"/>
            <w:tcBorders>
              <w:top w:val="single" w:color="000000" w:sz="4" w:space="0"/>
              <w:left w:val="single" w:color="000000" w:sz="4" w:space="0"/>
              <w:bottom w:val="single" w:color="000000" w:sz="4" w:space="0"/>
            </w:tcBorders>
            <w:vAlign w:val="center"/>
          </w:tcPr>
          <w:p w14:paraId="1AF0D24B">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r w14:paraId="7B350F0E">
        <w:tblPrEx>
          <w:tblCellMar>
            <w:top w:w="0" w:type="dxa"/>
            <w:left w:w="0" w:type="dxa"/>
            <w:bottom w:w="0" w:type="dxa"/>
            <w:right w:w="0" w:type="dxa"/>
          </w:tblCellMar>
        </w:tblPrEx>
        <w:trPr>
          <w:jc w:val="center"/>
        </w:trPr>
        <w:tc>
          <w:tcPr>
            <w:tcW w:w="559" w:type="pct"/>
            <w:vMerge w:val="continue"/>
            <w:tcBorders>
              <w:bottom w:val="single" w:color="000000" w:sz="12" w:space="0"/>
              <w:right w:val="single" w:color="000000" w:sz="4" w:space="0"/>
            </w:tcBorders>
            <w:vAlign w:val="center"/>
          </w:tcPr>
          <w:p w14:paraId="3CB29A6F">
            <w:pPr>
              <w:pStyle w:val="281"/>
              <w:ind w:right="-23"/>
              <w:jc w:val="center"/>
              <w:rPr>
                <w:rFonts w:ascii="Times New Roman" w:hAnsi="Times New Roman" w:eastAsia="宋体" w:cs="Times New Roman"/>
                <w:color w:val="000000" w:themeColor="text1"/>
                <w:spacing w:val="-12"/>
                <w:sz w:val="21"/>
                <w:szCs w:val="21"/>
                <w14:textFill>
                  <w14:solidFill>
                    <w14:schemeClr w14:val="tx1"/>
                  </w14:solidFill>
                </w14:textFill>
              </w:rPr>
            </w:pPr>
          </w:p>
        </w:tc>
        <w:tc>
          <w:tcPr>
            <w:tcW w:w="851" w:type="pct"/>
            <w:vMerge w:val="continue"/>
            <w:tcBorders>
              <w:left w:val="single" w:color="000000" w:sz="4" w:space="0"/>
              <w:bottom w:val="single" w:color="000000" w:sz="12" w:space="0"/>
              <w:right w:val="single" w:color="000000" w:sz="4" w:space="0"/>
            </w:tcBorders>
            <w:vAlign w:val="center"/>
          </w:tcPr>
          <w:p w14:paraId="22DD8EA7">
            <w:pPr>
              <w:jc w:val="center"/>
              <w:rPr>
                <w:rFonts w:ascii="Times New Roman" w:hAnsi="Times New Roman" w:eastAsia="宋体" w:cs="Times New Roman"/>
                <w:color w:val="000000" w:themeColor="text1"/>
                <w:szCs w:val="21"/>
                <w:lang w:eastAsia="en-US"/>
                <w14:textFill>
                  <w14:solidFill>
                    <w14:schemeClr w14:val="tx1"/>
                  </w14:solidFill>
                </w14:textFill>
              </w:rPr>
            </w:pPr>
          </w:p>
        </w:tc>
        <w:tc>
          <w:tcPr>
            <w:tcW w:w="1219" w:type="pct"/>
            <w:tcBorders>
              <w:top w:val="single" w:color="000000" w:sz="4" w:space="0"/>
              <w:left w:val="single" w:color="000000" w:sz="4" w:space="0"/>
              <w:bottom w:val="single" w:color="000000" w:sz="12" w:space="0"/>
              <w:right w:val="single" w:color="000000" w:sz="4" w:space="0"/>
            </w:tcBorders>
            <w:vAlign w:val="center"/>
          </w:tcPr>
          <w:p w14:paraId="5D6F30C0">
            <w:pPr>
              <w:pStyle w:val="281"/>
              <w:ind w:right="-23"/>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2"/>
                <w:sz w:val="21"/>
                <w:szCs w:val="21"/>
                <w14:textFill>
                  <w14:solidFill>
                    <w14:schemeClr w14:val="tx1"/>
                  </w14:solidFill>
                </w14:textFill>
              </w:rPr>
              <w:t>夜间（23:09-23:10）</w:t>
            </w:r>
          </w:p>
        </w:tc>
        <w:tc>
          <w:tcPr>
            <w:tcW w:w="0" w:type="auto"/>
            <w:tcBorders>
              <w:top w:val="single" w:color="000000" w:sz="4" w:space="0"/>
              <w:left w:val="single" w:color="000000" w:sz="4" w:space="0"/>
              <w:bottom w:val="single" w:color="000000" w:sz="12" w:space="0"/>
              <w:right w:val="single" w:color="000000" w:sz="4" w:space="0"/>
            </w:tcBorders>
            <w:vAlign w:val="center"/>
          </w:tcPr>
          <w:p w14:paraId="36E11410">
            <w:pPr>
              <w:pStyle w:val="281"/>
              <w:ind w:left="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39</w:t>
            </w:r>
          </w:p>
        </w:tc>
        <w:tc>
          <w:tcPr>
            <w:tcW w:w="0" w:type="auto"/>
            <w:tcBorders>
              <w:top w:val="single" w:color="000000" w:sz="4" w:space="0"/>
              <w:left w:val="single" w:color="000000" w:sz="4" w:space="0"/>
              <w:bottom w:val="single" w:color="000000" w:sz="12" w:space="0"/>
              <w:right w:val="single" w:color="000000" w:sz="12" w:space="0"/>
            </w:tcBorders>
            <w:vAlign w:val="center"/>
          </w:tcPr>
          <w:p w14:paraId="68189E7A">
            <w:pPr>
              <w:pStyle w:val="281"/>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环境噪声</w:t>
            </w:r>
          </w:p>
        </w:tc>
        <w:tc>
          <w:tcPr>
            <w:tcW w:w="0" w:type="auto"/>
            <w:tcBorders>
              <w:top w:val="single" w:color="000000" w:sz="4" w:space="0"/>
              <w:left w:val="single" w:color="000000" w:sz="4" w:space="0"/>
              <w:bottom w:val="single" w:color="000000" w:sz="12" w:space="0"/>
              <w:right w:val="single" w:color="000000" w:sz="4" w:space="0"/>
            </w:tcBorders>
            <w:vAlign w:val="center"/>
          </w:tcPr>
          <w:p w14:paraId="582301C6">
            <w:pPr>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5</w:t>
            </w:r>
            <w:r>
              <w:rPr>
                <w:rFonts w:ascii="Times New Roman" w:hAnsi="Times New Roman" w:eastAsia="宋体" w:cs="Times New Roman"/>
                <w:color w:val="000000" w:themeColor="text1"/>
                <w:szCs w:val="21"/>
                <w:lang w:eastAsia="zh-CN"/>
                <w14:textFill>
                  <w14:solidFill>
                    <w14:schemeClr w14:val="tx1"/>
                  </w14:solidFill>
                </w14:textFill>
              </w:rPr>
              <w:t>0</w:t>
            </w:r>
          </w:p>
        </w:tc>
        <w:tc>
          <w:tcPr>
            <w:tcW w:w="682" w:type="pct"/>
            <w:tcBorders>
              <w:top w:val="single" w:color="000000" w:sz="4" w:space="0"/>
              <w:left w:val="single" w:color="000000" w:sz="4" w:space="0"/>
              <w:bottom w:val="single" w:color="000000" w:sz="12" w:space="0"/>
            </w:tcBorders>
            <w:vAlign w:val="center"/>
          </w:tcPr>
          <w:p w14:paraId="56D689C3">
            <w:pPr>
              <w:jc w:val="center"/>
              <w:rPr>
                <w:rFonts w:ascii="Times New Roman" w:hAnsi="Times New Roman" w:eastAsia="宋体" w:cs="Times New Roman"/>
                <w:color w:val="000000" w:themeColor="text1"/>
                <w:szCs w:val="21"/>
                <w:lang w:eastAsia="en-US"/>
                <w14:textFill>
                  <w14:solidFill>
                    <w14:schemeClr w14:val="tx1"/>
                  </w14:solidFill>
                </w14:textFill>
              </w:rPr>
            </w:pPr>
            <w:r>
              <w:rPr>
                <w:rFonts w:ascii="Times New Roman" w:hAnsi="Times New Roman" w:eastAsia="宋体" w:cs="Times New Roman"/>
                <w:color w:val="000000" w:themeColor="text1"/>
                <w:szCs w:val="21"/>
                <w:lang w:eastAsia="en-US"/>
                <w14:textFill>
                  <w14:solidFill>
                    <w14:schemeClr w14:val="tx1"/>
                  </w14:solidFill>
                </w14:textFill>
              </w:rPr>
              <w:t>达标</w:t>
            </w:r>
          </w:p>
        </w:tc>
      </w:tr>
    </w:tbl>
    <w:p w14:paraId="0535FC35">
      <w:pPr>
        <w:rPr>
          <w:color w:val="000000" w:themeColor="text1"/>
          <w14:textFill>
            <w14:solidFill>
              <w14:schemeClr w14:val="tx1"/>
            </w14:solidFill>
          </w14:textFill>
        </w:rPr>
      </w:pPr>
    </w:p>
    <w:p w14:paraId="3CEDBA3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根据监测结果，项目5个声监测点的昼间声、夜间声环境监测值均达到了GB3096-2008《声环境质量标准》2类区标准。</w:t>
      </w:r>
    </w:p>
    <w:p w14:paraId="5CD17B73">
      <w:pPr>
        <w:pStyle w:val="105"/>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4.5.4评价区生态环境现状</w:t>
      </w:r>
    </w:p>
    <w:p w14:paraId="214B07BB">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占地主要为空地，受人为活动开发建设影响，项目所在区域原始植被遭受破坏，无天然植被存在。生物多样性比较单一，生态环境自我调节能力低。区内无国家级和省级规定保护的野生动植物和古树名木。评价范围内未发现国家级、省级重点保护的野生动物，也未发现当地特有种。</w:t>
      </w:r>
    </w:p>
    <w:bookmarkEnd w:id="329"/>
    <w:bookmarkEnd w:id="330"/>
    <w:p w14:paraId="422B1D49">
      <w:pPr>
        <w:widowControl/>
        <w:jc w:val="left"/>
        <w:rPr>
          <w:rFonts w:eastAsia="黑体"/>
          <w:b/>
          <w:bCs/>
          <w:color w:val="000000" w:themeColor="text1"/>
          <w:kern w:val="44"/>
          <w:sz w:val="36"/>
          <w:szCs w:val="36"/>
          <w14:textFill>
            <w14:solidFill>
              <w14:schemeClr w14:val="tx1"/>
            </w14:solidFill>
          </w14:textFill>
        </w:rPr>
      </w:pPr>
      <w:bookmarkStart w:id="375" w:name="_Toc362393179"/>
      <w:bookmarkStart w:id="376" w:name="_Toc290295815"/>
      <w:r>
        <w:rPr>
          <w:color w:val="000000" w:themeColor="text1"/>
          <w14:textFill>
            <w14:solidFill>
              <w14:schemeClr w14:val="tx1"/>
            </w14:solidFill>
          </w14:textFill>
        </w:rPr>
        <w:br w:type="page"/>
      </w:r>
    </w:p>
    <w:p w14:paraId="2C599585">
      <w:pPr>
        <w:pStyle w:val="3"/>
        <w:rPr>
          <w:color w:val="000000" w:themeColor="text1"/>
          <w14:textFill>
            <w14:solidFill>
              <w14:schemeClr w14:val="tx1"/>
            </w14:solidFill>
          </w14:textFill>
        </w:rPr>
      </w:pPr>
      <w:bookmarkStart w:id="377" w:name="_Toc2773757"/>
      <w:r>
        <w:rPr>
          <w:color w:val="000000" w:themeColor="text1"/>
          <w14:textFill>
            <w14:solidFill>
              <w14:schemeClr w14:val="tx1"/>
            </w14:solidFill>
          </w14:textFill>
        </w:rPr>
        <w:t>5施工期环境影响分析与评价</w:t>
      </w:r>
      <w:bookmarkEnd w:id="375"/>
      <w:bookmarkEnd w:id="377"/>
    </w:p>
    <w:p w14:paraId="6663C357">
      <w:pPr>
        <w:pStyle w:val="4"/>
        <w:rPr>
          <w:rFonts w:ascii="Times New Roman" w:hAnsi="Times New Roman"/>
          <w:color w:val="000000" w:themeColor="text1"/>
          <w14:textFill>
            <w14:solidFill>
              <w14:schemeClr w14:val="tx1"/>
            </w14:solidFill>
          </w14:textFill>
        </w:rPr>
      </w:pPr>
      <w:bookmarkStart w:id="378" w:name="_Toc284944381"/>
      <w:bookmarkStart w:id="379" w:name="_Toc295258889"/>
      <w:bookmarkStart w:id="380" w:name="_Toc331866105"/>
      <w:bookmarkStart w:id="381" w:name="_Toc323204975"/>
      <w:bookmarkStart w:id="382" w:name="_Toc354822923"/>
      <w:bookmarkStart w:id="383" w:name="_Toc286776690"/>
      <w:bookmarkStart w:id="384" w:name="_Toc281558499"/>
      <w:bookmarkStart w:id="385" w:name="_Toc2773758"/>
      <w:r>
        <w:rPr>
          <w:rFonts w:ascii="Times New Roman" w:hAnsi="Times New Roman"/>
          <w:color w:val="000000" w:themeColor="text1"/>
          <w14:textFill>
            <w14:solidFill>
              <w14:schemeClr w14:val="tx1"/>
            </w14:solidFill>
          </w14:textFill>
        </w:rPr>
        <w:t>5.1</w:t>
      </w:r>
      <w:r>
        <w:rPr>
          <w:rFonts w:hint="eastAsia" w:ascii="Times New Roman" w:hAnsi="Times New Roman"/>
          <w:color w:val="000000" w:themeColor="text1"/>
          <w14:textFill>
            <w14:solidFill>
              <w14:schemeClr w14:val="tx1"/>
            </w14:solidFill>
          </w14:textFill>
        </w:rPr>
        <w:t>施工期</w:t>
      </w:r>
      <w:r>
        <w:rPr>
          <w:rFonts w:ascii="Times New Roman" w:hAnsi="Times New Roman"/>
          <w:color w:val="000000" w:themeColor="text1"/>
          <w14:textFill>
            <w14:solidFill>
              <w14:schemeClr w14:val="tx1"/>
            </w14:solidFill>
          </w14:textFill>
        </w:rPr>
        <w:t>环境空气影响分析</w:t>
      </w:r>
      <w:bookmarkEnd w:id="378"/>
      <w:bookmarkEnd w:id="379"/>
      <w:bookmarkEnd w:id="380"/>
      <w:bookmarkEnd w:id="381"/>
      <w:bookmarkEnd w:id="382"/>
      <w:bookmarkEnd w:id="383"/>
      <w:bookmarkEnd w:id="384"/>
      <w:bookmarkEnd w:id="385"/>
    </w:p>
    <w:p w14:paraId="687F2258">
      <w:pPr>
        <w:pStyle w:val="116"/>
        <w:ind w:firstLine="480"/>
        <w:rPr>
          <w:color w:val="000000" w:themeColor="text1"/>
          <w14:textFill>
            <w14:solidFill>
              <w14:schemeClr w14:val="tx1"/>
            </w14:solidFill>
          </w14:textFill>
        </w:rPr>
      </w:pPr>
      <w:bookmarkStart w:id="386" w:name="_Toc280621098"/>
      <w:r>
        <w:rPr>
          <w:color w:val="000000" w:themeColor="text1"/>
          <w14:textFill>
            <w14:solidFill>
              <w14:schemeClr w14:val="tx1"/>
            </w14:solidFill>
          </w14:textFill>
        </w:rPr>
        <w:t>施工期环境空气影响主要来自施工建设、运输等活动产生的粉尘及施工机械和运输工具产生的废气影响。</w:t>
      </w:r>
    </w:p>
    <w:p w14:paraId="305C9419">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1、扬尘</w:t>
      </w:r>
    </w:p>
    <w:p w14:paraId="7F3C8529">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（1）施工场地扬尘的影响分析</w:t>
      </w:r>
    </w:p>
    <w:p w14:paraId="3AF5DFE0">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项目施工阶段扬尘来源于：基础开挖，机械挖掘作业、土石方装运、堆置等过程产生的扬尘；主体机构、装修施工中的建筑材料堆放、搬运、使用产生的扬尘；来往运输车辆产生的道路扬尘；裸露地表风蚀产生的扬尘等。主要是因为施工过程破坏了地表结构，泥土发生松动、破碎，以及建筑材料使用被扰动等形成施工扬尘。</w:t>
      </w:r>
    </w:p>
    <w:p w14:paraId="55F7E170">
      <w:pPr>
        <w:spacing w:line="360" w:lineRule="auto"/>
        <w:ind w:left="105" w:leftChars="50" w:right="105" w:rightChars="5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项目区常年平均风速为2.7m/s，施工扬尘影响主要集中在施工场地边界200m范围；施工及运输车辆引起的扬尘对路边30m范围以内影响较大，路边的TSP浓度可达10mg/m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以上。</w:t>
      </w:r>
    </w:p>
    <w:p w14:paraId="29B4B9F6">
      <w:pPr>
        <w:spacing w:line="360" w:lineRule="auto"/>
        <w:ind w:left="105" w:leftChars="50" w:right="105" w:rightChars="5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根据现场勘查，项目区周边主要保护目标为项目区东北侧130m四分厂四队影响较大，需采取措施降低影响。</w:t>
      </w:r>
    </w:p>
    <w:p w14:paraId="5F0B26AD">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对于施工场地扬尘需采取有效措施：</w:t>
      </w:r>
    </w:p>
    <w:p w14:paraId="5E8D34EF">
      <w:pPr>
        <w:pStyle w:val="116"/>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color w:val="000000" w:themeColor="text1"/>
          <w14:textFill>
            <w14:solidFill>
              <w14:schemeClr w14:val="tx1"/>
            </w14:solidFill>
          </w14:textFill>
        </w:rPr>
        <w:t>施工工地厂界设置遮挡围墙，以有效减少近地面扬尘的扩散。</w:t>
      </w:r>
    </w:p>
    <w:p w14:paraId="538C7A20">
      <w:pPr>
        <w:pStyle w:val="116"/>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color w:val="000000" w:themeColor="text1"/>
          <w14:textFill>
            <w14:solidFill>
              <w14:schemeClr w14:val="tx1"/>
            </w14:solidFill>
          </w14:textFill>
        </w:rPr>
        <w:t>专人负责施工场地和车辆的清洁打扫，保证施工场地和道路的清洁。</w:t>
      </w:r>
    </w:p>
    <w:p w14:paraId="33341BE1">
      <w:pPr>
        <w:pStyle w:val="116"/>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color w:val="000000" w:themeColor="text1"/>
          <w14:textFill>
            <w14:solidFill>
              <w14:schemeClr w14:val="tx1"/>
            </w14:solidFill>
          </w14:textFill>
        </w:rPr>
        <w:t>施工场地粉状料堆等材料堆场应远离项目区东北侧130m四分厂四队，材料堆场进行遮盖并设置防护措施（使用铺彩条布进行临时遮盖），防止大量扬尘产生；同时建议施工方优先进行生产区的建设，以减少对周边的影响</w:t>
      </w:r>
      <w:r>
        <w:rPr>
          <w:rFonts w:hint="eastAsia"/>
          <w:color w:val="000000" w:themeColor="text1"/>
          <w14:textFill>
            <w14:solidFill>
              <w14:schemeClr w14:val="tx1"/>
            </w14:solidFill>
          </w14:textFill>
        </w:rPr>
        <w:t>。</w:t>
      </w:r>
    </w:p>
    <w:p w14:paraId="3980D406">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2、运输车辆扬尘分析</w:t>
      </w:r>
    </w:p>
    <w:p w14:paraId="3CA23A1D">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施工高峰期，运输量大，车辆往来频繁时，道路扬尘污染较为严重。汽车运输产生的道路扬尘量与车型、车速、车流量、风速、道路表面积尘、尘土湿度等有关。</w:t>
      </w:r>
    </w:p>
    <w:p w14:paraId="4E5486F5">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针对运输扬尘，施工方必须严格执行以下环境保护措施：</w:t>
      </w:r>
    </w:p>
    <w:p w14:paraId="57F80A4F">
      <w:pPr>
        <w:pStyle w:val="11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施工场地内运输通道应及时清扫和平整，以尽量减少运输车辆行驶产生的扬尘，必要时应采取洒水抑尘等措施；</w:t>
      </w:r>
    </w:p>
    <w:p w14:paraId="7C9EFE07">
      <w:pPr>
        <w:pStyle w:val="116"/>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color w:val="000000" w:themeColor="text1"/>
          <w14:textFill>
            <w14:solidFill>
              <w14:schemeClr w14:val="tx1"/>
            </w14:solidFill>
          </w14:textFill>
        </w:rPr>
        <w:t>运输车辆进入施工场地要限速行驶，减少产尘量；</w:t>
      </w:r>
    </w:p>
    <w:p w14:paraId="36690C1D">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3、机械运输废气对环境的影响</w:t>
      </w:r>
    </w:p>
    <w:p w14:paraId="2973A1A1">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施工机械废气主要是CO、碳氢化合物等，其产生量及废气中污染物浓度视其使用频率及发动机对燃料的燃烧情况而异。施工机械废气属低架点源无组织排放性质，具有间断性产生，产生量较小，产生点相对分散，易被稀释扩散等特点，加之项目区施工范围相对较大，施工场地周围较空旷，大气扩散条件相对较好，故一般情况下，施工机械和运输车辆所产生污染在空气中经自然扩散和稀释后，对评价区域的空气环境质量影响不大。</w:t>
      </w:r>
    </w:p>
    <w:p w14:paraId="32E5A3DD">
      <w:pPr>
        <w:pStyle w:val="4"/>
        <w:rPr>
          <w:rFonts w:ascii="Times New Roman" w:hAnsi="Times New Roman"/>
          <w:color w:val="000000" w:themeColor="text1"/>
          <w14:textFill>
            <w14:solidFill>
              <w14:schemeClr w14:val="tx1"/>
            </w14:solidFill>
          </w14:textFill>
        </w:rPr>
      </w:pPr>
      <w:bookmarkStart w:id="387" w:name="_Toc2773759"/>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2</w:t>
      </w:r>
      <w:r>
        <w:rPr>
          <w:rFonts w:ascii="Times New Roman" w:hAnsi="Times New Roman"/>
          <w:color w:val="000000" w:themeColor="text1"/>
          <w14:textFill>
            <w14:solidFill>
              <w14:schemeClr w14:val="tx1"/>
            </w14:solidFill>
          </w14:textFill>
        </w:rPr>
        <w:t>施工期水环境影响分析</w:t>
      </w:r>
      <w:bookmarkEnd w:id="387"/>
    </w:p>
    <w:p w14:paraId="44BC7FC0">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1、生活污水影响分析</w:t>
      </w:r>
    </w:p>
    <w:p w14:paraId="18F375C6">
      <w:pPr>
        <w:pStyle w:val="296"/>
        <w:ind w:firstLine="480"/>
        <w:rPr>
          <w:color w:val="000000" w:themeColor="text1"/>
          <w14:textFill>
            <w14:solidFill>
              <w14:schemeClr w14:val="tx1"/>
            </w14:solidFill>
          </w14:textFill>
        </w:rPr>
      </w:pPr>
      <w:r>
        <w:rPr>
          <w:color w:val="000000" w:themeColor="text1"/>
          <w14:textFill>
            <w14:solidFill>
              <w14:schemeClr w14:val="tx1"/>
            </w14:solidFill>
          </w14:textFill>
        </w:rPr>
        <w:t>根据工程分析可知，施工期间施工人员污水量为</w:t>
      </w:r>
      <w:r>
        <w:rPr>
          <w:rFonts w:hint="eastAsia"/>
          <w:color w:val="000000" w:themeColor="text1"/>
          <w14:textFill>
            <w14:solidFill>
              <w14:schemeClr w14:val="tx1"/>
            </w14:solidFill>
          </w14:textFill>
        </w:rPr>
        <w:t>0.16</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主要来源于洗手清洁等环节，产生量较少，利用现有场地旱厕处理，定期清掏做农肥使用，不外排，</w:t>
      </w:r>
      <w:r>
        <w:rPr>
          <w:color w:val="000000" w:themeColor="text1"/>
          <w14:textFill>
            <w14:solidFill>
              <w14:schemeClr w14:val="tx1"/>
            </w14:solidFill>
          </w14:textFill>
        </w:rPr>
        <w:t>对地表水体基本无影响。</w:t>
      </w:r>
    </w:p>
    <w:p w14:paraId="652F26B0">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2、施工废水环境影响分析</w:t>
      </w:r>
    </w:p>
    <w:p w14:paraId="4473424E">
      <w:pPr>
        <w:pStyle w:val="296"/>
        <w:ind w:firstLine="480"/>
        <w:rPr>
          <w:color w:val="000000" w:themeColor="text1"/>
          <w14:textFill>
            <w14:solidFill>
              <w14:schemeClr w14:val="tx1"/>
            </w14:solidFill>
          </w14:textFill>
        </w:rPr>
      </w:pPr>
      <w:r>
        <w:rPr>
          <w:color w:val="000000" w:themeColor="text1"/>
          <w14:textFill>
            <w14:solidFill>
              <w14:schemeClr w14:val="tx1"/>
            </w14:solidFill>
          </w14:textFill>
        </w:rPr>
        <w:t>根据工程分析估算，建筑施工期废水产生量为</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施工场地将设置废水沉淀池1座，容积为</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（后续作为生产废水沉淀池）</w:t>
      </w:r>
      <w:r>
        <w:rPr>
          <w:color w:val="000000" w:themeColor="text1"/>
          <w14:textFill>
            <w14:solidFill>
              <w14:schemeClr w14:val="tx1"/>
            </w14:solidFill>
          </w14:textFill>
        </w:rPr>
        <w:t>，可用于收集沉淀施工废水。</w:t>
      </w:r>
      <w:r>
        <w:rPr>
          <w:rFonts w:hint="eastAsia"/>
          <w:color w:val="000000" w:themeColor="text1"/>
          <w14:textFill>
            <w14:solidFill>
              <w14:schemeClr w14:val="tx1"/>
            </w14:solidFill>
          </w14:textFill>
        </w:rPr>
        <w:t>经过沉淀处理后的施工废水全部回用于建筑材料的冲洗和施工场地喷水降尘，不外排。</w:t>
      </w:r>
    </w:p>
    <w:p w14:paraId="26D1BC01">
      <w:pPr>
        <w:pStyle w:val="4"/>
        <w:rPr>
          <w:rFonts w:ascii="Times New Roman" w:hAnsi="Times New Roman"/>
          <w:color w:val="000000" w:themeColor="text1"/>
          <w14:textFill>
            <w14:solidFill>
              <w14:schemeClr w14:val="tx1"/>
            </w14:solidFill>
          </w14:textFill>
        </w:rPr>
      </w:pPr>
      <w:bookmarkStart w:id="388" w:name="_Toc2773760"/>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3</w:t>
      </w:r>
      <w:r>
        <w:rPr>
          <w:rFonts w:ascii="Times New Roman" w:hAnsi="Times New Roman"/>
          <w:color w:val="000000" w:themeColor="text1"/>
          <w14:textFill>
            <w14:solidFill>
              <w14:schemeClr w14:val="tx1"/>
            </w14:solidFill>
          </w14:textFill>
        </w:rPr>
        <w:t>施工期声环境影响分析</w:t>
      </w:r>
      <w:bookmarkEnd w:id="388"/>
    </w:p>
    <w:p w14:paraId="710D8B4D">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本项目施工期对声环境的噪声影响主要包括施工期的基础开挖、主体结构、装修工程过程中的施工噪声。</w:t>
      </w:r>
    </w:p>
    <w:p w14:paraId="36406109">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 xml:space="preserve">1、噪声源分析 </w:t>
      </w:r>
    </w:p>
    <w:p w14:paraId="48096BC9">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由于施工设备种类多，不同的设备产生的噪声不同。在多台机械设备同时作业时，产生的噪声还会叠加（根据类比调查，叠加后的噪声增值约为3-8dB）。在各类施工机械中，噪声较高的为推土机、装载机、挖掘机、电焊机、卡车等，根据工程分析可知，其声级在80dB以上。类比部分施工机械噪声声级见表3-1。</w:t>
      </w:r>
    </w:p>
    <w:p w14:paraId="5E136385">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本项目施工期对声环境的噪声影响主要包括施工期的基础开挖、主体结构、室内外装修过程中的施工机械噪声以及施工车辆运输的交通噪声。</w:t>
      </w:r>
    </w:p>
    <w:p w14:paraId="25453815">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由于施工设备种类多，不同的设备产生的噪声不同。施工机械噪声声级见表3.4-</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p>
    <w:p w14:paraId="6545C4BE">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2、施工期声环境影响分析</w:t>
      </w:r>
    </w:p>
    <w:p w14:paraId="1950493D">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在施工过程中，施工机械又往往是同时作业，噪声源辐射量的相互叠加，声级值将更高，辐射范围也更大。</w:t>
      </w:r>
    </w:p>
    <w:p w14:paraId="3971A3B5">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施工噪声对周边声环境的影响，采用GB12523-2011《建筑施工场界环境噪声排放标准》进行评价。</w:t>
      </w:r>
    </w:p>
    <w:p w14:paraId="085233D3">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采用点源衰减模式，预测只计算声源至受声点的几何发散衰减，不考虑声屏障、空气吸收等衰减。</w:t>
      </w:r>
    </w:p>
    <w:p w14:paraId="6D207B94">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预测公式如下：</w:t>
      </w:r>
    </w:p>
    <w:p w14:paraId="119179C9">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Lr=Lr0-20lg(r/ro)</w:t>
      </w:r>
    </w:p>
    <w:p w14:paraId="3A04DEFE">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式中：Lr——距声源r 处的A 声压级，dB(A)；</w:t>
      </w:r>
    </w:p>
    <w:p w14:paraId="41C0F4CB">
      <w:pPr>
        <w:pStyle w:val="116"/>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Lr0——距声源r0 处的A 声压级，dB(A)；</w:t>
      </w:r>
    </w:p>
    <w:p w14:paraId="0A48EB32">
      <w:pPr>
        <w:pStyle w:val="116"/>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r——预测点与声源的距离，m；</w:t>
      </w:r>
    </w:p>
    <w:p w14:paraId="1FF09061">
      <w:pPr>
        <w:pStyle w:val="116"/>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ro——监测设备噪声时的距离，m。</w:t>
      </w:r>
    </w:p>
    <w:p w14:paraId="021F779E">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首先预测主要施工机械在不同距离贡献值，预测时r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 xml:space="preserve"> 为1m，预测结果见表5.4-1。</w:t>
      </w:r>
    </w:p>
    <w:p w14:paraId="663DD21A">
      <w:pPr>
        <w:autoSpaceDE w:val="0"/>
        <w:autoSpaceDN w:val="0"/>
        <w:adjustRightInd w:val="0"/>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5.4-1  </w:t>
      </w:r>
      <w:r>
        <w:rPr>
          <w:b/>
          <w:color w:val="000000" w:themeColor="text1"/>
          <w:kern w:val="0"/>
          <w:sz w:val="24"/>
          <w14:textFill>
            <w14:solidFill>
              <w14:schemeClr w14:val="tx1"/>
            </w14:solidFill>
          </w14:textFill>
        </w:rPr>
        <w:t>各主要施工机械在不同距离处的贡献值</w:t>
      </w:r>
    </w:p>
    <w:tbl>
      <w:tblPr>
        <w:tblStyle w:val="42"/>
        <w:tblW w:w="5489" w:type="pct"/>
        <w:tblInd w:w="-459" w:type="dxa"/>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560"/>
        <w:gridCol w:w="1009"/>
        <w:gridCol w:w="590"/>
        <w:gridCol w:w="592"/>
        <w:gridCol w:w="591"/>
        <w:gridCol w:w="591"/>
        <w:gridCol w:w="589"/>
        <w:gridCol w:w="591"/>
        <w:gridCol w:w="591"/>
        <w:gridCol w:w="591"/>
        <w:gridCol w:w="589"/>
        <w:gridCol w:w="591"/>
        <w:gridCol w:w="591"/>
        <w:gridCol w:w="591"/>
        <w:gridCol w:w="698"/>
      </w:tblGrid>
      <w:tr w14:paraId="77C086AE">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vMerge w:val="restart"/>
            <w:shd w:val="clear" w:color="auto" w:fill="auto"/>
            <w:noWrap/>
            <w:vAlign w:val="center"/>
          </w:tcPr>
          <w:p w14:paraId="222199C6">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序号</w:t>
            </w:r>
          </w:p>
        </w:tc>
        <w:tc>
          <w:tcPr>
            <w:tcW w:w="539" w:type="pct"/>
            <w:vMerge w:val="restart"/>
            <w:shd w:val="clear" w:color="auto" w:fill="auto"/>
            <w:noWrap/>
            <w:vAlign w:val="center"/>
          </w:tcPr>
          <w:p w14:paraId="03DB36B8">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机械名称</w:t>
            </w:r>
          </w:p>
        </w:tc>
        <w:tc>
          <w:tcPr>
            <w:tcW w:w="3788" w:type="pct"/>
            <w:gridSpan w:val="12"/>
            <w:shd w:val="clear" w:color="auto" w:fill="auto"/>
            <w:noWrap/>
            <w:vAlign w:val="center"/>
          </w:tcPr>
          <w:p w14:paraId="60B4B5B2">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不同距离处的噪声预测 dB(A)</w:t>
            </w:r>
          </w:p>
        </w:tc>
        <w:tc>
          <w:tcPr>
            <w:tcW w:w="373" w:type="pct"/>
            <w:vMerge w:val="restart"/>
            <w:shd w:val="clear" w:color="auto" w:fill="auto"/>
            <w:noWrap/>
            <w:vAlign w:val="center"/>
          </w:tcPr>
          <w:p w14:paraId="77FA7FDA">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施工阶段</w:t>
            </w:r>
          </w:p>
        </w:tc>
      </w:tr>
      <w:tr w14:paraId="0C616324">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vMerge w:val="continue"/>
            <w:shd w:val="clear" w:color="auto" w:fill="auto"/>
            <w:noWrap/>
            <w:vAlign w:val="center"/>
          </w:tcPr>
          <w:p w14:paraId="299C503F">
            <w:pPr>
              <w:widowControl/>
              <w:adjustRightInd w:val="0"/>
              <w:snapToGrid w:val="0"/>
              <w:jc w:val="center"/>
              <w:rPr>
                <w:color w:val="000000" w:themeColor="text1"/>
                <w:kern w:val="0"/>
                <w:sz w:val="18"/>
                <w:szCs w:val="18"/>
                <w14:textFill>
                  <w14:solidFill>
                    <w14:schemeClr w14:val="tx1"/>
                  </w14:solidFill>
                </w14:textFill>
              </w:rPr>
            </w:pPr>
          </w:p>
        </w:tc>
        <w:tc>
          <w:tcPr>
            <w:tcW w:w="539" w:type="pct"/>
            <w:vMerge w:val="continue"/>
            <w:shd w:val="clear" w:color="auto" w:fill="auto"/>
            <w:noWrap/>
            <w:vAlign w:val="center"/>
          </w:tcPr>
          <w:p w14:paraId="21F45904">
            <w:pPr>
              <w:widowControl/>
              <w:adjustRightInd w:val="0"/>
              <w:snapToGrid w:val="0"/>
              <w:jc w:val="center"/>
              <w:rPr>
                <w:color w:val="000000" w:themeColor="text1"/>
                <w:kern w:val="0"/>
                <w:sz w:val="18"/>
                <w:szCs w:val="18"/>
                <w14:textFill>
                  <w14:solidFill>
                    <w14:schemeClr w14:val="tx1"/>
                  </w14:solidFill>
                </w14:textFill>
              </w:rPr>
            </w:pPr>
          </w:p>
        </w:tc>
        <w:tc>
          <w:tcPr>
            <w:tcW w:w="315" w:type="pct"/>
            <w:shd w:val="clear" w:color="auto" w:fill="auto"/>
            <w:noWrap/>
            <w:vAlign w:val="center"/>
          </w:tcPr>
          <w:p w14:paraId="5D01E6F0">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10m</w:t>
            </w:r>
          </w:p>
        </w:tc>
        <w:tc>
          <w:tcPr>
            <w:tcW w:w="316" w:type="pct"/>
            <w:shd w:val="clear" w:color="auto" w:fill="auto"/>
            <w:noWrap/>
            <w:vAlign w:val="center"/>
          </w:tcPr>
          <w:p w14:paraId="5BDCB7D0">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20m</w:t>
            </w:r>
          </w:p>
        </w:tc>
        <w:tc>
          <w:tcPr>
            <w:tcW w:w="316" w:type="pct"/>
            <w:shd w:val="clear" w:color="auto" w:fill="auto"/>
            <w:noWrap/>
            <w:vAlign w:val="center"/>
          </w:tcPr>
          <w:p w14:paraId="48FCB991">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30m</w:t>
            </w:r>
          </w:p>
        </w:tc>
        <w:tc>
          <w:tcPr>
            <w:tcW w:w="316" w:type="pct"/>
            <w:shd w:val="clear" w:color="auto" w:fill="auto"/>
            <w:noWrap/>
            <w:vAlign w:val="center"/>
          </w:tcPr>
          <w:p w14:paraId="14E9289B">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50m</w:t>
            </w:r>
          </w:p>
        </w:tc>
        <w:tc>
          <w:tcPr>
            <w:tcW w:w="315" w:type="pct"/>
            <w:shd w:val="clear" w:color="auto" w:fill="auto"/>
            <w:noWrap/>
            <w:vAlign w:val="center"/>
          </w:tcPr>
          <w:p w14:paraId="08B93659">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60m</w:t>
            </w:r>
          </w:p>
        </w:tc>
        <w:tc>
          <w:tcPr>
            <w:tcW w:w="316" w:type="pct"/>
            <w:shd w:val="clear" w:color="auto" w:fill="auto"/>
            <w:noWrap/>
            <w:vAlign w:val="center"/>
          </w:tcPr>
          <w:p w14:paraId="47A73AEC">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70m</w:t>
            </w:r>
          </w:p>
        </w:tc>
        <w:tc>
          <w:tcPr>
            <w:tcW w:w="316" w:type="pct"/>
            <w:shd w:val="clear" w:color="auto" w:fill="auto"/>
            <w:noWrap/>
            <w:vAlign w:val="center"/>
          </w:tcPr>
          <w:p w14:paraId="58309FA0">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100m</w:t>
            </w:r>
          </w:p>
        </w:tc>
        <w:tc>
          <w:tcPr>
            <w:tcW w:w="316" w:type="pct"/>
            <w:shd w:val="clear" w:color="auto" w:fill="auto"/>
            <w:noWrap/>
            <w:vAlign w:val="center"/>
          </w:tcPr>
          <w:p w14:paraId="49B0A95C">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150m</w:t>
            </w:r>
          </w:p>
        </w:tc>
        <w:tc>
          <w:tcPr>
            <w:tcW w:w="315" w:type="pct"/>
            <w:shd w:val="clear" w:color="auto" w:fill="auto"/>
            <w:noWrap/>
            <w:vAlign w:val="center"/>
          </w:tcPr>
          <w:p w14:paraId="44E850D0">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200m</w:t>
            </w:r>
          </w:p>
        </w:tc>
        <w:tc>
          <w:tcPr>
            <w:tcW w:w="316" w:type="pct"/>
            <w:shd w:val="clear" w:color="auto" w:fill="auto"/>
            <w:noWrap/>
            <w:vAlign w:val="center"/>
          </w:tcPr>
          <w:p w14:paraId="23066AB9">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250m</w:t>
            </w:r>
          </w:p>
        </w:tc>
        <w:tc>
          <w:tcPr>
            <w:tcW w:w="316" w:type="pct"/>
            <w:shd w:val="clear" w:color="auto" w:fill="auto"/>
            <w:noWrap/>
            <w:vAlign w:val="center"/>
          </w:tcPr>
          <w:p w14:paraId="40022593">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300m</w:t>
            </w:r>
          </w:p>
        </w:tc>
        <w:tc>
          <w:tcPr>
            <w:tcW w:w="316" w:type="pct"/>
            <w:shd w:val="clear" w:color="auto" w:fill="auto"/>
            <w:noWrap/>
            <w:vAlign w:val="center"/>
          </w:tcPr>
          <w:p w14:paraId="195CBAD8">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350m</w:t>
            </w:r>
          </w:p>
        </w:tc>
        <w:tc>
          <w:tcPr>
            <w:tcW w:w="373" w:type="pct"/>
            <w:vMerge w:val="continue"/>
            <w:shd w:val="clear" w:color="auto" w:fill="auto"/>
            <w:noWrap/>
            <w:vAlign w:val="center"/>
          </w:tcPr>
          <w:p w14:paraId="3A3F9F38">
            <w:pPr>
              <w:widowControl/>
              <w:adjustRightInd w:val="0"/>
              <w:snapToGrid w:val="0"/>
              <w:jc w:val="center"/>
              <w:rPr>
                <w:color w:val="000000" w:themeColor="text1"/>
                <w:kern w:val="0"/>
                <w:sz w:val="18"/>
                <w:szCs w:val="18"/>
                <w14:textFill>
                  <w14:solidFill>
                    <w14:schemeClr w14:val="tx1"/>
                  </w14:solidFill>
                </w14:textFill>
              </w:rPr>
            </w:pPr>
          </w:p>
        </w:tc>
      </w:tr>
      <w:tr w14:paraId="548C1A4B">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247226F5">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p>
        </w:tc>
        <w:tc>
          <w:tcPr>
            <w:tcW w:w="539" w:type="pct"/>
            <w:shd w:val="clear" w:color="auto" w:fill="auto"/>
            <w:noWrap/>
            <w:vAlign w:val="center"/>
          </w:tcPr>
          <w:p w14:paraId="18A43130">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挖掘机</w:t>
            </w:r>
          </w:p>
        </w:tc>
        <w:tc>
          <w:tcPr>
            <w:tcW w:w="315" w:type="pct"/>
            <w:shd w:val="clear" w:color="auto" w:fill="auto"/>
            <w:noWrap/>
            <w:vAlign w:val="center"/>
          </w:tcPr>
          <w:p w14:paraId="3FF46FE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75</w:t>
            </w:r>
          </w:p>
        </w:tc>
        <w:tc>
          <w:tcPr>
            <w:tcW w:w="316" w:type="pct"/>
            <w:shd w:val="clear" w:color="auto" w:fill="auto"/>
            <w:noWrap/>
            <w:vAlign w:val="center"/>
          </w:tcPr>
          <w:p w14:paraId="3425BF1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68.98</w:t>
            </w:r>
          </w:p>
        </w:tc>
        <w:tc>
          <w:tcPr>
            <w:tcW w:w="316" w:type="pct"/>
            <w:shd w:val="clear" w:color="auto" w:fill="auto"/>
            <w:noWrap/>
            <w:vAlign w:val="center"/>
          </w:tcPr>
          <w:p w14:paraId="4D7E6CD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65.46</w:t>
            </w:r>
          </w:p>
        </w:tc>
        <w:tc>
          <w:tcPr>
            <w:tcW w:w="316" w:type="pct"/>
            <w:shd w:val="clear" w:color="auto" w:fill="auto"/>
            <w:noWrap/>
            <w:vAlign w:val="center"/>
          </w:tcPr>
          <w:p w14:paraId="5435C41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61.02</w:t>
            </w:r>
          </w:p>
        </w:tc>
        <w:tc>
          <w:tcPr>
            <w:tcW w:w="315" w:type="pct"/>
            <w:shd w:val="clear" w:color="auto" w:fill="auto"/>
            <w:noWrap/>
            <w:vAlign w:val="center"/>
          </w:tcPr>
          <w:p w14:paraId="4BCCE121">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59.44</w:t>
            </w:r>
          </w:p>
        </w:tc>
        <w:tc>
          <w:tcPr>
            <w:tcW w:w="316" w:type="pct"/>
            <w:shd w:val="clear" w:color="auto" w:fill="auto"/>
            <w:noWrap/>
            <w:vAlign w:val="center"/>
          </w:tcPr>
          <w:p w14:paraId="540C8A5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58.1</w:t>
            </w:r>
          </w:p>
        </w:tc>
        <w:tc>
          <w:tcPr>
            <w:tcW w:w="316" w:type="pct"/>
            <w:shd w:val="clear" w:color="auto" w:fill="auto"/>
            <w:noWrap/>
            <w:vAlign w:val="center"/>
          </w:tcPr>
          <w:p w14:paraId="349458E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55</w:t>
            </w:r>
          </w:p>
        </w:tc>
        <w:tc>
          <w:tcPr>
            <w:tcW w:w="316" w:type="pct"/>
            <w:shd w:val="clear" w:color="auto" w:fill="auto"/>
            <w:noWrap/>
            <w:vAlign w:val="center"/>
          </w:tcPr>
          <w:p w14:paraId="0D1FB6F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51.48</w:t>
            </w:r>
          </w:p>
        </w:tc>
        <w:tc>
          <w:tcPr>
            <w:tcW w:w="315" w:type="pct"/>
            <w:shd w:val="clear" w:color="auto" w:fill="auto"/>
            <w:noWrap/>
            <w:vAlign w:val="center"/>
          </w:tcPr>
          <w:p w14:paraId="0C185BE5">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48.98</w:t>
            </w:r>
          </w:p>
        </w:tc>
        <w:tc>
          <w:tcPr>
            <w:tcW w:w="316" w:type="pct"/>
            <w:shd w:val="clear" w:color="auto" w:fill="auto"/>
            <w:noWrap/>
            <w:vAlign w:val="center"/>
          </w:tcPr>
          <w:p w14:paraId="1E61137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47.04</w:t>
            </w:r>
          </w:p>
        </w:tc>
        <w:tc>
          <w:tcPr>
            <w:tcW w:w="316" w:type="pct"/>
            <w:shd w:val="clear" w:color="auto" w:fill="auto"/>
            <w:noWrap/>
            <w:vAlign w:val="center"/>
          </w:tcPr>
          <w:p w14:paraId="1520ACC1">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45.46</w:t>
            </w:r>
          </w:p>
        </w:tc>
        <w:tc>
          <w:tcPr>
            <w:tcW w:w="316" w:type="pct"/>
            <w:shd w:val="clear" w:color="auto" w:fill="auto"/>
            <w:noWrap/>
            <w:vAlign w:val="center"/>
          </w:tcPr>
          <w:p w14:paraId="2F03648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44.12</w:t>
            </w:r>
          </w:p>
        </w:tc>
        <w:tc>
          <w:tcPr>
            <w:tcW w:w="373" w:type="pct"/>
            <w:vMerge w:val="restart"/>
            <w:shd w:val="clear" w:color="auto" w:fill="auto"/>
            <w:noWrap/>
            <w:vAlign w:val="center"/>
          </w:tcPr>
          <w:p w14:paraId="174710D6">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土石方阶段</w:t>
            </w:r>
          </w:p>
          <w:p w14:paraId="29466FD7">
            <w:pPr>
              <w:widowControl/>
              <w:adjustRightInd w:val="0"/>
              <w:snapToGrid w:val="0"/>
              <w:jc w:val="center"/>
              <w:rPr>
                <w:color w:val="000000" w:themeColor="text1"/>
                <w:kern w:val="0"/>
                <w:sz w:val="18"/>
                <w:szCs w:val="18"/>
                <w14:textFill>
                  <w14:solidFill>
                    <w14:schemeClr w14:val="tx1"/>
                  </w14:solidFill>
                </w14:textFill>
              </w:rPr>
            </w:pPr>
          </w:p>
          <w:p w14:paraId="63530EAB">
            <w:pPr>
              <w:widowControl/>
              <w:adjustRightInd w:val="0"/>
              <w:snapToGrid w:val="0"/>
              <w:jc w:val="center"/>
              <w:rPr>
                <w:color w:val="000000" w:themeColor="text1"/>
                <w:kern w:val="0"/>
                <w:sz w:val="18"/>
                <w:szCs w:val="18"/>
                <w14:textFill>
                  <w14:solidFill>
                    <w14:schemeClr w14:val="tx1"/>
                  </w14:solidFill>
                </w14:textFill>
              </w:rPr>
            </w:pPr>
          </w:p>
          <w:p w14:paraId="618EBE60">
            <w:pPr>
              <w:adjustRightInd w:val="0"/>
              <w:snapToGrid w:val="0"/>
              <w:jc w:val="center"/>
              <w:rPr>
                <w:color w:val="000000" w:themeColor="text1"/>
                <w:kern w:val="0"/>
                <w:sz w:val="18"/>
                <w:szCs w:val="18"/>
                <w14:textFill>
                  <w14:solidFill>
                    <w14:schemeClr w14:val="tx1"/>
                  </w14:solidFill>
                </w14:textFill>
              </w:rPr>
            </w:pPr>
          </w:p>
        </w:tc>
      </w:tr>
      <w:tr w14:paraId="46E1D6FF">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763F44EA">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w:t>
            </w:r>
          </w:p>
        </w:tc>
        <w:tc>
          <w:tcPr>
            <w:tcW w:w="539" w:type="pct"/>
            <w:shd w:val="clear" w:color="auto" w:fill="auto"/>
            <w:noWrap/>
            <w:vAlign w:val="center"/>
          </w:tcPr>
          <w:p w14:paraId="34CB1BDC">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推土机</w:t>
            </w:r>
          </w:p>
        </w:tc>
        <w:tc>
          <w:tcPr>
            <w:tcW w:w="315" w:type="pct"/>
            <w:shd w:val="clear" w:color="auto" w:fill="auto"/>
            <w:noWrap/>
            <w:vAlign w:val="center"/>
          </w:tcPr>
          <w:p w14:paraId="3BCD58A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65</w:t>
            </w:r>
          </w:p>
        </w:tc>
        <w:tc>
          <w:tcPr>
            <w:tcW w:w="316" w:type="pct"/>
            <w:shd w:val="clear" w:color="auto" w:fill="auto"/>
            <w:noWrap/>
            <w:vAlign w:val="center"/>
          </w:tcPr>
          <w:p w14:paraId="0454037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58.98</w:t>
            </w:r>
          </w:p>
        </w:tc>
        <w:tc>
          <w:tcPr>
            <w:tcW w:w="316" w:type="pct"/>
            <w:shd w:val="clear" w:color="auto" w:fill="auto"/>
            <w:noWrap/>
            <w:vAlign w:val="center"/>
          </w:tcPr>
          <w:p w14:paraId="76E2A60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55.46</w:t>
            </w:r>
          </w:p>
        </w:tc>
        <w:tc>
          <w:tcPr>
            <w:tcW w:w="316" w:type="pct"/>
            <w:shd w:val="clear" w:color="auto" w:fill="auto"/>
            <w:noWrap/>
            <w:vAlign w:val="center"/>
          </w:tcPr>
          <w:p w14:paraId="6856737C">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51.02</w:t>
            </w:r>
          </w:p>
        </w:tc>
        <w:tc>
          <w:tcPr>
            <w:tcW w:w="315" w:type="pct"/>
            <w:shd w:val="clear" w:color="auto" w:fill="auto"/>
            <w:noWrap/>
            <w:vAlign w:val="center"/>
          </w:tcPr>
          <w:p w14:paraId="121C69B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49.44</w:t>
            </w:r>
          </w:p>
        </w:tc>
        <w:tc>
          <w:tcPr>
            <w:tcW w:w="316" w:type="pct"/>
            <w:shd w:val="clear" w:color="auto" w:fill="auto"/>
            <w:noWrap/>
            <w:vAlign w:val="center"/>
          </w:tcPr>
          <w:p w14:paraId="6983DF8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48.1</w:t>
            </w:r>
          </w:p>
        </w:tc>
        <w:tc>
          <w:tcPr>
            <w:tcW w:w="316" w:type="pct"/>
            <w:shd w:val="clear" w:color="auto" w:fill="auto"/>
            <w:noWrap/>
            <w:vAlign w:val="center"/>
          </w:tcPr>
          <w:p w14:paraId="4866AF0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45</w:t>
            </w:r>
          </w:p>
        </w:tc>
        <w:tc>
          <w:tcPr>
            <w:tcW w:w="316" w:type="pct"/>
            <w:shd w:val="clear" w:color="auto" w:fill="auto"/>
            <w:noWrap/>
            <w:vAlign w:val="center"/>
          </w:tcPr>
          <w:p w14:paraId="667E8C7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41.48</w:t>
            </w:r>
          </w:p>
        </w:tc>
        <w:tc>
          <w:tcPr>
            <w:tcW w:w="315" w:type="pct"/>
            <w:shd w:val="clear" w:color="auto" w:fill="auto"/>
            <w:noWrap/>
            <w:vAlign w:val="center"/>
          </w:tcPr>
          <w:p w14:paraId="49A58FA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38.98</w:t>
            </w:r>
          </w:p>
        </w:tc>
        <w:tc>
          <w:tcPr>
            <w:tcW w:w="316" w:type="pct"/>
            <w:shd w:val="clear" w:color="auto" w:fill="auto"/>
            <w:noWrap/>
            <w:vAlign w:val="center"/>
          </w:tcPr>
          <w:p w14:paraId="1206799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37.04</w:t>
            </w:r>
          </w:p>
        </w:tc>
        <w:tc>
          <w:tcPr>
            <w:tcW w:w="316" w:type="pct"/>
            <w:shd w:val="clear" w:color="auto" w:fill="auto"/>
            <w:noWrap/>
            <w:vAlign w:val="center"/>
          </w:tcPr>
          <w:p w14:paraId="3272B58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35.46</w:t>
            </w:r>
          </w:p>
        </w:tc>
        <w:tc>
          <w:tcPr>
            <w:tcW w:w="316" w:type="pct"/>
            <w:shd w:val="clear" w:color="auto" w:fill="auto"/>
            <w:noWrap/>
            <w:vAlign w:val="center"/>
          </w:tcPr>
          <w:p w14:paraId="1BE677A4">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34.12</w:t>
            </w:r>
          </w:p>
        </w:tc>
        <w:tc>
          <w:tcPr>
            <w:tcW w:w="373" w:type="pct"/>
            <w:vMerge w:val="continue"/>
            <w:shd w:val="clear" w:color="auto" w:fill="auto"/>
            <w:noWrap/>
            <w:vAlign w:val="center"/>
          </w:tcPr>
          <w:p w14:paraId="7A11BD33">
            <w:pPr>
              <w:adjustRightInd w:val="0"/>
              <w:snapToGrid w:val="0"/>
              <w:jc w:val="center"/>
              <w:rPr>
                <w:color w:val="000000" w:themeColor="text1"/>
                <w:kern w:val="0"/>
                <w:sz w:val="18"/>
                <w:szCs w:val="18"/>
                <w14:textFill>
                  <w14:solidFill>
                    <w14:schemeClr w14:val="tx1"/>
                  </w14:solidFill>
                </w14:textFill>
              </w:rPr>
            </w:pPr>
          </w:p>
        </w:tc>
      </w:tr>
      <w:tr w14:paraId="39ADA9DE">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60A6D016">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w:t>
            </w:r>
          </w:p>
        </w:tc>
        <w:tc>
          <w:tcPr>
            <w:tcW w:w="539" w:type="pct"/>
            <w:shd w:val="clear" w:color="auto" w:fill="auto"/>
            <w:noWrap/>
            <w:vAlign w:val="center"/>
          </w:tcPr>
          <w:p w14:paraId="300231AA">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装载机</w:t>
            </w:r>
          </w:p>
        </w:tc>
        <w:tc>
          <w:tcPr>
            <w:tcW w:w="315" w:type="pct"/>
            <w:shd w:val="clear" w:color="auto" w:fill="auto"/>
            <w:noWrap/>
            <w:vAlign w:val="center"/>
          </w:tcPr>
          <w:p w14:paraId="39890F7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70</w:t>
            </w:r>
          </w:p>
        </w:tc>
        <w:tc>
          <w:tcPr>
            <w:tcW w:w="316" w:type="pct"/>
            <w:shd w:val="clear" w:color="auto" w:fill="auto"/>
            <w:noWrap/>
            <w:vAlign w:val="center"/>
          </w:tcPr>
          <w:p w14:paraId="7167986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63.98</w:t>
            </w:r>
          </w:p>
        </w:tc>
        <w:tc>
          <w:tcPr>
            <w:tcW w:w="316" w:type="pct"/>
            <w:shd w:val="clear" w:color="auto" w:fill="auto"/>
            <w:noWrap/>
            <w:vAlign w:val="center"/>
          </w:tcPr>
          <w:p w14:paraId="1CDEBB1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60.46</w:t>
            </w:r>
          </w:p>
        </w:tc>
        <w:tc>
          <w:tcPr>
            <w:tcW w:w="316" w:type="pct"/>
            <w:shd w:val="clear" w:color="auto" w:fill="auto"/>
            <w:noWrap/>
            <w:vAlign w:val="center"/>
          </w:tcPr>
          <w:p w14:paraId="0009642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56.02</w:t>
            </w:r>
          </w:p>
        </w:tc>
        <w:tc>
          <w:tcPr>
            <w:tcW w:w="315" w:type="pct"/>
            <w:shd w:val="clear" w:color="auto" w:fill="auto"/>
            <w:noWrap/>
            <w:vAlign w:val="center"/>
          </w:tcPr>
          <w:p w14:paraId="23DE0289">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54.44</w:t>
            </w:r>
          </w:p>
        </w:tc>
        <w:tc>
          <w:tcPr>
            <w:tcW w:w="316" w:type="pct"/>
            <w:shd w:val="clear" w:color="auto" w:fill="auto"/>
            <w:noWrap/>
            <w:vAlign w:val="center"/>
          </w:tcPr>
          <w:p w14:paraId="10B9E25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53.1</w:t>
            </w:r>
          </w:p>
        </w:tc>
        <w:tc>
          <w:tcPr>
            <w:tcW w:w="316" w:type="pct"/>
            <w:shd w:val="clear" w:color="auto" w:fill="auto"/>
            <w:noWrap/>
            <w:vAlign w:val="center"/>
          </w:tcPr>
          <w:p w14:paraId="5AA99B8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50</w:t>
            </w:r>
          </w:p>
        </w:tc>
        <w:tc>
          <w:tcPr>
            <w:tcW w:w="316" w:type="pct"/>
            <w:shd w:val="clear" w:color="auto" w:fill="auto"/>
            <w:noWrap/>
            <w:vAlign w:val="center"/>
          </w:tcPr>
          <w:p w14:paraId="5D4AF3A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46.48</w:t>
            </w:r>
          </w:p>
        </w:tc>
        <w:tc>
          <w:tcPr>
            <w:tcW w:w="315" w:type="pct"/>
            <w:shd w:val="clear" w:color="auto" w:fill="auto"/>
            <w:noWrap/>
            <w:vAlign w:val="center"/>
          </w:tcPr>
          <w:p w14:paraId="704CDAB6">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43.98</w:t>
            </w:r>
          </w:p>
        </w:tc>
        <w:tc>
          <w:tcPr>
            <w:tcW w:w="316" w:type="pct"/>
            <w:shd w:val="clear" w:color="auto" w:fill="auto"/>
            <w:noWrap/>
            <w:vAlign w:val="center"/>
          </w:tcPr>
          <w:p w14:paraId="74C0D84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42.04</w:t>
            </w:r>
          </w:p>
        </w:tc>
        <w:tc>
          <w:tcPr>
            <w:tcW w:w="316" w:type="pct"/>
            <w:shd w:val="clear" w:color="auto" w:fill="auto"/>
            <w:noWrap/>
            <w:vAlign w:val="center"/>
          </w:tcPr>
          <w:p w14:paraId="598DC65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40.46</w:t>
            </w:r>
          </w:p>
        </w:tc>
        <w:tc>
          <w:tcPr>
            <w:tcW w:w="316" w:type="pct"/>
            <w:shd w:val="clear" w:color="auto" w:fill="auto"/>
            <w:noWrap/>
            <w:vAlign w:val="center"/>
          </w:tcPr>
          <w:p w14:paraId="6B948EC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39.12</w:t>
            </w:r>
          </w:p>
        </w:tc>
        <w:tc>
          <w:tcPr>
            <w:tcW w:w="373" w:type="pct"/>
            <w:vMerge w:val="continue"/>
            <w:shd w:val="clear" w:color="auto" w:fill="auto"/>
            <w:noWrap/>
            <w:vAlign w:val="center"/>
          </w:tcPr>
          <w:p w14:paraId="6F7BDCF6">
            <w:pPr>
              <w:adjustRightInd w:val="0"/>
              <w:snapToGrid w:val="0"/>
              <w:jc w:val="center"/>
              <w:rPr>
                <w:color w:val="000000" w:themeColor="text1"/>
                <w:kern w:val="0"/>
                <w:sz w:val="18"/>
                <w:szCs w:val="18"/>
                <w14:textFill>
                  <w14:solidFill>
                    <w14:schemeClr w14:val="tx1"/>
                  </w14:solidFill>
                </w14:textFill>
              </w:rPr>
            </w:pPr>
          </w:p>
        </w:tc>
      </w:tr>
      <w:tr w14:paraId="4D16D55E">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02B0A73E">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p>
        </w:tc>
        <w:tc>
          <w:tcPr>
            <w:tcW w:w="539" w:type="pct"/>
            <w:shd w:val="clear" w:color="auto" w:fill="auto"/>
            <w:noWrap/>
            <w:vAlign w:val="center"/>
          </w:tcPr>
          <w:p w14:paraId="4F8BE016">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载重汽车</w:t>
            </w:r>
          </w:p>
        </w:tc>
        <w:tc>
          <w:tcPr>
            <w:tcW w:w="315" w:type="pct"/>
            <w:shd w:val="clear" w:color="auto" w:fill="auto"/>
            <w:noWrap/>
            <w:vAlign w:val="center"/>
          </w:tcPr>
          <w:p w14:paraId="430AE24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65</w:t>
            </w:r>
          </w:p>
        </w:tc>
        <w:tc>
          <w:tcPr>
            <w:tcW w:w="316" w:type="pct"/>
            <w:shd w:val="clear" w:color="auto" w:fill="auto"/>
            <w:noWrap/>
            <w:vAlign w:val="center"/>
          </w:tcPr>
          <w:p w14:paraId="09BB61E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58.98</w:t>
            </w:r>
          </w:p>
        </w:tc>
        <w:tc>
          <w:tcPr>
            <w:tcW w:w="316" w:type="pct"/>
            <w:shd w:val="clear" w:color="auto" w:fill="auto"/>
            <w:noWrap/>
            <w:vAlign w:val="center"/>
          </w:tcPr>
          <w:p w14:paraId="442FC56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55.46</w:t>
            </w:r>
          </w:p>
        </w:tc>
        <w:tc>
          <w:tcPr>
            <w:tcW w:w="316" w:type="pct"/>
            <w:shd w:val="clear" w:color="auto" w:fill="auto"/>
            <w:noWrap/>
            <w:vAlign w:val="center"/>
          </w:tcPr>
          <w:p w14:paraId="0E15F07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51.02</w:t>
            </w:r>
          </w:p>
        </w:tc>
        <w:tc>
          <w:tcPr>
            <w:tcW w:w="315" w:type="pct"/>
            <w:shd w:val="clear" w:color="auto" w:fill="auto"/>
            <w:noWrap/>
            <w:vAlign w:val="center"/>
          </w:tcPr>
          <w:p w14:paraId="7E199C9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49.44</w:t>
            </w:r>
          </w:p>
        </w:tc>
        <w:tc>
          <w:tcPr>
            <w:tcW w:w="316" w:type="pct"/>
            <w:shd w:val="clear" w:color="auto" w:fill="auto"/>
            <w:noWrap/>
            <w:vAlign w:val="center"/>
          </w:tcPr>
          <w:p w14:paraId="3369338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48.1</w:t>
            </w:r>
          </w:p>
        </w:tc>
        <w:tc>
          <w:tcPr>
            <w:tcW w:w="316" w:type="pct"/>
            <w:shd w:val="clear" w:color="auto" w:fill="auto"/>
            <w:noWrap/>
            <w:vAlign w:val="center"/>
          </w:tcPr>
          <w:p w14:paraId="0D448FB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45</w:t>
            </w:r>
          </w:p>
        </w:tc>
        <w:tc>
          <w:tcPr>
            <w:tcW w:w="316" w:type="pct"/>
            <w:shd w:val="clear" w:color="auto" w:fill="auto"/>
            <w:noWrap/>
            <w:vAlign w:val="center"/>
          </w:tcPr>
          <w:p w14:paraId="20224ED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41.48</w:t>
            </w:r>
          </w:p>
        </w:tc>
        <w:tc>
          <w:tcPr>
            <w:tcW w:w="315" w:type="pct"/>
            <w:shd w:val="clear" w:color="auto" w:fill="auto"/>
            <w:noWrap/>
            <w:vAlign w:val="center"/>
          </w:tcPr>
          <w:p w14:paraId="16B1941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38.98</w:t>
            </w:r>
          </w:p>
        </w:tc>
        <w:tc>
          <w:tcPr>
            <w:tcW w:w="316" w:type="pct"/>
            <w:shd w:val="clear" w:color="auto" w:fill="auto"/>
            <w:noWrap/>
            <w:vAlign w:val="center"/>
          </w:tcPr>
          <w:p w14:paraId="5B091034">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37.04</w:t>
            </w:r>
          </w:p>
        </w:tc>
        <w:tc>
          <w:tcPr>
            <w:tcW w:w="316" w:type="pct"/>
            <w:shd w:val="clear" w:color="auto" w:fill="auto"/>
            <w:noWrap/>
            <w:vAlign w:val="center"/>
          </w:tcPr>
          <w:p w14:paraId="2EE800C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35.46</w:t>
            </w:r>
          </w:p>
        </w:tc>
        <w:tc>
          <w:tcPr>
            <w:tcW w:w="316" w:type="pct"/>
            <w:shd w:val="clear" w:color="auto" w:fill="auto"/>
            <w:noWrap/>
            <w:vAlign w:val="center"/>
          </w:tcPr>
          <w:p w14:paraId="68B666F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34.12</w:t>
            </w:r>
          </w:p>
        </w:tc>
        <w:tc>
          <w:tcPr>
            <w:tcW w:w="373" w:type="pct"/>
            <w:vMerge w:val="continue"/>
            <w:shd w:val="clear" w:color="auto" w:fill="auto"/>
            <w:noWrap/>
            <w:vAlign w:val="center"/>
          </w:tcPr>
          <w:p w14:paraId="4E8E8E1C">
            <w:pPr>
              <w:widowControl/>
              <w:adjustRightInd w:val="0"/>
              <w:snapToGrid w:val="0"/>
              <w:jc w:val="center"/>
              <w:rPr>
                <w:color w:val="000000" w:themeColor="text1"/>
                <w:kern w:val="0"/>
                <w:sz w:val="18"/>
                <w:szCs w:val="18"/>
                <w14:textFill>
                  <w14:solidFill>
                    <w14:schemeClr w14:val="tx1"/>
                  </w14:solidFill>
                </w14:textFill>
              </w:rPr>
            </w:pPr>
          </w:p>
        </w:tc>
      </w:tr>
      <w:tr w14:paraId="67595FAB">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490D69E3">
            <w:pPr>
              <w:widowControl/>
              <w:adjustRightInd w:val="0"/>
              <w:snapToGrid w:val="0"/>
              <w:jc w:val="center"/>
              <w:rPr>
                <w:color w:val="000000" w:themeColor="text1"/>
                <w:kern w:val="0"/>
                <w:sz w:val="18"/>
                <w:szCs w:val="18"/>
                <w14:textFill>
                  <w14:solidFill>
                    <w14:schemeClr w14:val="tx1"/>
                  </w14:solidFill>
                </w14:textFill>
              </w:rPr>
            </w:pPr>
          </w:p>
        </w:tc>
        <w:tc>
          <w:tcPr>
            <w:tcW w:w="539" w:type="pct"/>
            <w:shd w:val="clear" w:color="auto" w:fill="auto"/>
            <w:noWrap/>
            <w:vAlign w:val="center"/>
          </w:tcPr>
          <w:p w14:paraId="0D54D84B">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多声源叠加值</w:t>
            </w:r>
          </w:p>
        </w:tc>
        <w:tc>
          <w:tcPr>
            <w:tcW w:w="315" w:type="pct"/>
            <w:shd w:val="clear" w:color="auto" w:fill="auto"/>
            <w:noWrap/>
            <w:vAlign w:val="center"/>
          </w:tcPr>
          <w:p w14:paraId="3DA2540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76.81</w:t>
            </w:r>
          </w:p>
        </w:tc>
        <w:tc>
          <w:tcPr>
            <w:tcW w:w="316" w:type="pct"/>
            <w:shd w:val="clear" w:color="auto" w:fill="auto"/>
            <w:noWrap/>
            <w:vAlign w:val="center"/>
          </w:tcPr>
          <w:p w14:paraId="4E3DA2A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70.79</w:t>
            </w:r>
          </w:p>
        </w:tc>
        <w:tc>
          <w:tcPr>
            <w:tcW w:w="316" w:type="pct"/>
            <w:shd w:val="clear" w:color="auto" w:fill="auto"/>
            <w:noWrap/>
            <w:vAlign w:val="center"/>
          </w:tcPr>
          <w:p w14:paraId="6694E91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67.27</w:t>
            </w:r>
          </w:p>
        </w:tc>
        <w:tc>
          <w:tcPr>
            <w:tcW w:w="316" w:type="pct"/>
            <w:shd w:val="clear" w:color="auto" w:fill="auto"/>
            <w:noWrap/>
            <w:vAlign w:val="center"/>
          </w:tcPr>
          <w:p w14:paraId="2F4CF5C1">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62.83</w:t>
            </w:r>
          </w:p>
        </w:tc>
        <w:tc>
          <w:tcPr>
            <w:tcW w:w="315" w:type="pct"/>
            <w:shd w:val="clear" w:color="auto" w:fill="auto"/>
            <w:noWrap/>
            <w:vAlign w:val="center"/>
          </w:tcPr>
          <w:p w14:paraId="4EEB9F3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61.25</w:t>
            </w:r>
          </w:p>
        </w:tc>
        <w:tc>
          <w:tcPr>
            <w:tcW w:w="316" w:type="pct"/>
            <w:shd w:val="clear" w:color="auto" w:fill="auto"/>
            <w:noWrap/>
            <w:vAlign w:val="center"/>
          </w:tcPr>
          <w:p w14:paraId="4A3985D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59.91</w:t>
            </w:r>
          </w:p>
        </w:tc>
        <w:tc>
          <w:tcPr>
            <w:tcW w:w="316" w:type="pct"/>
            <w:shd w:val="clear" w:color="auto" w:fill="auto"/>
            <w:noWrap/>
            <w:vAlign w:val="center"/>
          </w:tcPr>
          <w:p w14:paraId="199B853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56.81</w:t>
            </w:r>
          </w:p>
        </w:tc>
        <w:tc>
          <w:tcPr>
            <w:tcW w:w="316" w:type="pct"/>
            <w:shd w:val="clear" w:color="auto" w:fill="auto"/>
            <w:noWrap/>
            <w:vAlign w:val="center"/>
          </w:tcPr>
          <w:p w14:paraId="67353A9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53.29</w:t>
            </w:r>
          </w:p>
        </w:tc>
        <w:tc>
          <w:tcPr>
            <w:tcW w:w="315" w:type="pct"/>
            <w:shd w:val="clear" w:color="auto" w:fill="auto"/>
            <w:noWrap/>
            <w:vAlign w:val="center"/>
          </w:tcPr>
          <w:p w14:paraId="4DA02DE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50.79</w:t>
            </w:r>
          </w:p>
        </w:tc>
        <w:tc>
          <w:tcPr>
            <w:tcW w:w="316" w:type="pct"/>
            <w:shd w:val="clear" w:color="auto" w:fill="auto"/>
            <w:noWrap/>
            <w:vAlign w:val="center"/>
          </w:tcPr>
          <w:p w14:paraId="35B79BD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48.85</w:t>
            </w:r>
          </w:p>
        </w:tc>
        <w:tc>
          <w:tcPr>
            <w:tcW w:w="316" w:type="pct"/>
            <w:shd w:val="clear" w:color="auto" w:fill="auto"/>
            <w:noWrap/>
            <w:vAlign w:val="center"/>
          </w:tcPr>
          <w:p w14:paraId="6F4681FC">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47.27</w:t>
            </w:r>
          </w:p>
        </w:tc>
        <w:tc>
          <w:tcPr>
            <w:tcW w:w="316" w:type="pct"/>
            <w:shd w:val="clear" w:color="auto" w:fill="auto"/>
            <w:noWrap/>
            <w:vAlign w:val="center"/>
          </w:tcPr>
          <w:p w14:paraId="7C36B92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45.93</w:t>
            </w:r>
          </w:p>
        </w:tc>
        <w:tc>
          <w:tcPr>
            <w:tcW w:w="373" w:type="pct"/>
            <w:vMerge w:val="continue"/>
            <w:shd w:val="clear" w:color="auto" w:fill="auto"/>
            <w:noWrap/>
            <w:vAlign w:val="center"/>
          </w:tcPr>
          <w:p w14:paraId="0C1D8B42">
            <w:pPr>
              <w:widowControl/>
              <w:adjustRightInd w:val="0"/>
              <w:snapToGrid w:val="0"/>
              <w:jc w:val="center"/>
              <w:rPr>
                <w:color w:val="000000" w:themeColor="text1"/>
                <w:kern w:val="0"/>
                <w:sz w:val="18"/>
                <w:szCs w:val="18"/>
                <w14:textFill>
                  <w14:solidFill>
                    <w14:schemeClr w14:val="tx1"/>
                  </w14:solidFill>
                </w14:textFill>
              </w:rPr>
            </w:pPr>
          </w:p>
        </w:tc>
      </w:tr>
      <w:tr w14:paraId="4AA69F74">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46F85364">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p>
        </w:tc>
        <w:tc>
          <w:tcPr>
            <w:tcW w:w="539" w:type="pct"/>
            <w:shd w:val="clear" w:color="auto" w:fill="auto"/>
            <w:noWrap/>
            <w:vAlign w:val="center"/>
          </w:tcPr>
          <w:p w14:paraId="04897655">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振捣器</w:t>
            </w:r>
          </w:p>
        </w:tc>
        <w:tc>
          <w:tcPr>
            <w:tcW w:w="315" w:type="pct"/>
            <w:shd w:val="clear" w:color="auto" w:fill="auto"/>
            <w:noWrap/>
            <w:vAlign w:val="center"/>
          </w:tcPr>
          <w:p w14:paraId="5E82731C">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80</w:t>
            </w:r>
          </w:p>
        </w:tc>
        <w:tc>
          <w:tcPr>
            <w:tcW w:w="316" w:type="pct"/>
            <w:shd w:val="clear" w:color="auto" w:fill="auto"/>
            <w:noWrap/>
            <w:vAlign w:val="center"/>
          </w:tcPr>
          <w:p w14:paraId="7DDC78A9">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73.98</w:t>
            </w:r>
          </w:p>
        </w:tc>
        <w:tc>
          <w:tcPr>
            <w:tcW w:w="316" w:type="pct"/>
            <w:shd w:val="clear" w:color="auto" w:fill="auto"/>
            <w:noWrap/>
            <w:vAlign w:val="center"/>
          </w:tcPr>
          <w:p w14:paraId="06B6EC5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70.46</w:t>
            </w:r>
          </w:p>
        </w:tc>
        <w:tc>
          <w:tcPr>
            <w:tcW w:w="316" w:type="pct"/>
            <w:shd w:val="clear" w:color="auto" w:fill="auto"/>
            <w:noWrap/>
            <w:vAlign w:val="center"/>
          </w:tcPr>
          <w:p w14:paraId="2BDF730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66.02</w:t>
            </w:r>
          </w:p>
        </w:tc>
        <w:tc>
          <w:tcPr>
            <w:tcW w:w="315" w:type="pct"/>
            <w:shd w:val="clear" w:color="auto" w:fill="auto"/>
            <w:noWrap/>
            <w:vAlign w:val="center"/>
          </w:tcPr>
          <w:p w14:paraId="669C3D3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64.44</w:t>
            </w:r>
          </w:p>
        </w:tc>
        <w:tc>
          <w:tcPr>
            <w:tcW w:w="316" w:type="pct"/>
            <w:shd w:val="clear" w:color="auto" w:fill="auto"/>
            <w:noWrap/>
            <w:vAlign w:val="center"/>
          </w:tcPr>
          <w:p w14:paraId="3B117951">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63.1</w:t>
            </w:r>
          </w:p>
        </w:tc>
        <w:tc>
          <w:tcPr>
            <w:tcW w:w="316" w:type="pct"/>
            <w:shd w:val="clear" w:color="auto" w:fill="auto"/>
            <w:noWrap/>
            <w:vAlign w:val="center"/>
          </w:tcPr>
          <w:p w14:paraId="350ABE1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60</w:t>
            </w:r>
          </w:p>
        </w:tc>
        <w:tc>
          <w:tcPr>
            <w:tcW w:w="316" w:type="pct"/>
            <w:shd w:val="clear" w:color="auto" w:fill="auto"/>
            <w:noWrap/>
            <w:vAlign w:val="center"/>
          </w:tcPr>
          <w:p w14:paraId="7E5936B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56.48</w:t>
            </w:r>
          </w:p>
        </w:tc>
        <w:tc>
          <w:tcPr>
            <w:tcW w:w="315" w:type="pct"/>
            <w:shd w:val="clear" w:color="auto" w:fill="auto"/>
            <w:noWrap/>
            <w:vAlign w:val="center"/>
          </w:tcPr>
          <w:p w14:paraId="0E04DA7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53.98</w:t>
            </w:r>
          </w:p>
        </w:tc>
        <w:tc>
          <w:tcPr>
            <w:tcW w:w="316" w:type="pct"/>
            <w:shd w:val="clear" w:color="auto" w:fill="auto"/>
            <w:noWrap/>
            <w:vAlign w:val="center"/>
          </w:tcPr>
          <w:p w14:paraId="078D7A51">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52.04</w:t>
            </w:r>
          </w:p>
        </w:tc>
        <w:tc>
          <w:tcPr>
            <w:tcW w:w="316" w:type="pct"/>
            <w:shd w:val="clear" w:color="auto" w:fill="auto"/>
            <w:noWrap/>
            <w:vAlign w:val="center"/>
          </w:tcPr>
          <w:p w14:paraId="4B2C1026">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50.46</w:t>
            </w:r>
          </w:p>
        </w:tc>
        <w:tc>
          <w:tcPr>
            <w:tcW w:w="316" w:type="pct"/>
            <w:shd w:val="clear" w:color="auto" w:fill="auto"/>
            <w:noWrap/>
            <w:vAlign w:val="center"/>
          </w:tcPr>
          <w:p w14:paraId="0DAB49E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49.12</w:t>
            </w:r>
          </w:p>
        </w:tc>
        <w:tc>
          <w:tcPr>
            <w:tcW w:w="373" w:type="pct"/>
            <w:vMerge w:val="restart"/>
            <w:shd w:val="clear" w:color="auto" w:fill="auto"/>
            <w:noWrap/>
            <w:vAlign w:val="center"/>
          </w:tcPr>
          <w:p w14:paraId="021444A8">
            <w:pPr>
              <w:widowControl/>
              <w:adjustRightInd w:val="0"/>
              <w:snapToGri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底版与</w:t>
            </w:r>
            <w:r>
              <w:rPr>
                <w:color w:val="000000" w:themeColor="text1"/>
                <w:kern w:val="0"/>
                <w:sz w:val="18"/>
                <w:szCs w:val="18"/>
                <w14:textFill>
                  <w14:solidFill>
                    <w14:schemeClr w14:val="tx1"/>
                  </w14:solidFill>
                </w14:textFill>
              </w:rPr>
              <w:t>结构</w:t>
            </w:r>
          </w:p>
          <w:p w14:paraId="739547AC">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阶段</w:t>
            </w:r>
          </w:p>
        </w:tc>
      </w:tr>
      <w:tr w14:paraId="7DBA1B2A">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6816E0CA">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w:t>
            </w:r>
          </w:p>
        </w:tc>
        <w:tc>
          <w:tcPr>
            <w:tcW w:w="539" w:type="pct"/>
            <w:shd w:val="clear" w:color="auto" w:fill="auto"/>
            <w:noWrap/>
            <w:vAlign w:val="center"/>
          </w:tcPr>
          <w:p w14:paraId="74E75820">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切割机</w:t>
            </w:r>
          </w:p>
        </w:tc>
        <w:tc>
          <w:tcPr>
            <w:tcW w:w="315" w:type="pct"/>
            <w:shd w:val="clear" w:color="auto" w:fill="auto"/>
            <w:noWrap/>
            <w:vAlign w:val="center"/>
          </w:tcPr>
          <w:p w14:paraId="022533B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70</w:t>
            </w:r>
          </w:p>
        </w:tc>
        <w:tc>
          <w:tcPr>
            <w:tcW w:w="316" w:type="pct"/>
            <w:shd w:val="clear" w:color="auto" w:fill="auto"/>
            <w:noWrap/>
            <w:vAlign w:val="center"/>
          </w:tcPr>
          <w:p w14:paraId="2F852B4C">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63.98</w:t>
            </w:r>
          </w:p>
        </w:tc>
        <w:tc>
          <w:tcPr>
            <w:tcW w:w="316" w:type="pct"/>
            <w:shd w:val="clear" w:color="auto" w:fill="auto"/>
            <w:noWrap/>
            <w:vAlign w:val="center"/>
          </w:tcPr>
          <w:p w14:paraId="6AA106F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60.46</w:t>
            </w:r>
          </w:p>
        </w:tc>
        <w:tc>
          <w:tcPr>
            <w:tcW w:w="316" w:type="pct"/>
            <w:shd w:val="clear" w:color="auto" w:fill="auto"/>
            <w:noWrap/>
            <w:vAlign w:val="center"/>
          </w:tcPr>
          <w:p w14:paraId="2514B47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56.02</w:t>
            </w:r>
          </w:p>
        </w:tc>
        <w:tc>
          <w:tcPr>
            <w:tcW w:w="315" w:type="pct"/>
            <w:shd w:val="clear" w:color="auto" w:fill="auto"/>
            <w:noWrap/>
            <w:vAlign w:val="center"/>
          </w:tcPr>
          <w:p w14:paraId="57014B8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54.44</w:t>
            </w:r>
          </w:p>
        </w:tc>
        <w:tc>
          <w:tcPr>
            <w:tcW w:w="316" w:type="pct"/>
            <w:shd w:val="clear" w:color="auto" w:fill="auto"/>
            <w:noWrap/>
            <w:vAlign w:val="center"/>
          </w:tcPr>
          <w:p w14:paraId="048EDEB9">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53.1</w:t>
            </w:r>
          </w:p>
        </w:tc>
        <w:tc>
          <w:tcPr>
            <w:tcW w:w="316" w:type="pct"/>
            <w:shd w:val="clear" w:color="auto" w:fill="auto"/>
            <w:noWrap/>
            <w:vAlign w:val="center"/>
          </w:tcPr>
          <w:p w14:paraId="353495E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50</w:t>
            </w:r>
          </w:p>
        </w:tc>
        <w:tc>
          <w:tcPr>
            <w:tcW w:w="316" w:type="pct"/>
            <w:shd w:val="clear" w:color="auto" w:fill="auto"/>
            <w:noWrap/>
            <w:vAlign w:val="center"/>
          </w:tcPr>
          <w:p w14:paraId="7112D38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46.48</w:t>
            </w:r>
          </w:p>
        </w:tc>
        <w:tc>
          <w:tcPr>
            <w:tcW w:w="315" w:type="pct"/>
            <w:shd w:val="clear" w:color="auto" w:fill="auto"/>
            <w:noWrap/>
            <w:vAlign w:val="center"/>
          </w:tcPr>
          <w:p w14:paraId="18D574A5">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43.98</w:t>
            </w:r>
          </w:p>
        </w:tc>
        <w:tc>
          <w:tcPr>
            <w:tcW w:w="316" w:type="pct"/>
            <w:shd w:val="clear" w:color="auto" w:fill="auto"/>
            <w:noWrap/>
            <w:vAlign w:val="center"/>
          </w:tcPr>
          <w:p w14:paraId="02E5B9D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42.04</w:t>
            </w:r>
          </w:p>
        </w:tc>
        <w:tc>
          <w:tcPr>
            <w:tcW w:w="316" w:type="pct"/>
            <w:shd w:val="clear" w:color="auto" w:fill="auto"/>
            <w:noWrap/>
            <w:vAlign w:val="center"/>
          </w:tcPr>
          <w:p w14:paraId="146E62E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40.46</w:t>
            </w:r>
          </w:p>
        </w:tc>
        <w:tc>
          <w:tcPr>
            <w:tcW w:w="316" w:type="pct"/>
            <w:shd w:val="clear" w:color="auto" w:fill="auto"/>
            <w:noWrap/>
            <w:vAlign w:val="center"/>
          </w:tcPr>
          <w:p w14:paraId="3D4F4196">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39.12</w:t>
            </w:r>
          </w:p>
        </w:tc>
        <w:tc>
          <w:tcPr>
            <w:tcW w:w="373" w:type="pct"/>
            <w:vMerge w:val="continue"/>
            <w:shd w:val="clear" w:color="auto" w:fill="auto"/>
            <w:noWrap/>
            <w:vAlign w:val="center"/>
          </w:tcPr>
          <w:p w14:paraId="67F1712C">
            <w:pPr>
              <w:widowControl/>
              <w:adjustRightInd w:val="0"/>
              <w:snapToGrid w:val="0"/>
              <w:jc w:val="center"/>
              <w:rPr>
                <w:color w:val="000000" w:themeColor="text1"/>
                <w:kern w:val="0"/>
                <w:sz w:val="18"/>
                <w:szCs w:val="18"/>
                <w14:textFill>
                  <w14:solidFill>
                    <w14:schemeClr w14:val="tx1"/>
                  </w14:solidFill>
                </w14:textFill>
              </w:rPr>
            </w:pPr>
          </w:p>
        </w:tc>
      </w:tr>
      <w:tr w14:paraId="22405782">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59E8F153">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w:t>
            </w:r>
          </w:p>
        </w:tc>
        <w:tc>
          <w:tcPr>
            <w:tcW w:w="539" w:type="pct"/>
            <w:shd w:val="clear" w:color="auto" w:fill="auto"/>
            <w:noWrap/>
            <w:vAlign w:val="center"/>
          </w:tcPr>
          <w:p w14:paraId="248AD154">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电焊机</w:t>
            </w:r>
          </w:p>
        </w:tc>
        <w:tc>
          <w:tcPr>
            <w:tcW w:w="315" w:type="pct"/>
            <w:shd w:val="clear" w:color="auto" w:fill="auto"/>
            <w:noWrap/>
            <w:vAlign w:val="center"/>
          </w:tcPr>
          <w:p w14:paraId="03BDB4BC">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60</w:t>
            </w:r>
          </w:p>
        </w:tc>
        <w:tc>
          <w:tcPr>
            <w:tcW w:w="316" w:type="pct"/>
            <w:shd w:val="clear" w:color="auto" w:fill="auto"/>
            <w:noWrap/>
            <w:vAlign w:val="center"/>
          </w:tcPr>
          <w:p w14:paraId="44DD422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53.98</w:t>
            </w:r>
          </w:p>
        </w:tc>
        <w:tc>
          <w:tcPr>
            <w:tcW w:w="316" w:type="pct"/>
            <w:shd w:val="clear" w:color="auto" w:fill="auto"/>
            <w:noWrap/>
            <w:vAlign w:val="center"/>
          </w:tcPr>
          <w:p w14:paraId="0B02D8D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50.46</w:t>
            </w:r>
          </w:p>
        </w:tc>
        <w:tc>
          <w:tcPr>
            <w:tcW w:w="316" w:type="pct"/>
            <w:shd w:val="clear" w:color="auto" w:fill="auto"/>
            <w:noWrap/>
            <w:vAlign w:val="center"/>
          </w:tcPr>
          <w:p w14:paraId="69B138D4">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46.02</w:t>
            </w:r>
          </w:p>
        </w:tc>
        <w:tc>
          <w:tcPr>
            <w:tcW w:w="315" w:type="pct"/>
            <w:shd w:val="clear" w:color="auto" w:fill="auto"/>
            <w:noWrap/>
            <w:vAlign w:val="center"/>
          </w:tcPr>
          <w:p w14:paraId="151F4F0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44.44</w:t>
            </w:r>
          </w:p>
        </w:tc>
        <w:tc>
          <w:tcPr>
            <w:tcW w:w="316" w:type="pct"/>
            <w:shd w:val="clear" w:color="auto" w:fill="auto"/>
            <w:noWrap/>
            <w:vAlign w:val="center"/>
          </w:tcPr>
          <w:p w14:paraId="5B68055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43.1</w:t>
            </w:r>
          </w:p>
        </w:tc>
        <w:tc>
          <w:tcPr>
            <w:tcW w:w="316" w:type="pct"/>
            <w:shd w:val="clear" w:color="auto" w:fill="auto"/>
            <w:noWrap/>
            <w:vAlign w:val="center"/>
          </w:tcPr>
          <w:p w14:paraId="1088F63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40</w:t>
            </w:r>
          </w:p>
        </w:tc>
        <w:tc>
          <w:tcPr>
            <w:tcW w:w="316" w:type="pct"/>
            <w:shd w:val="clear" w:color="auto" w:fill="auto"/>
            <w:noWrap/>
            <w:vAlign w:val="center"/>
          </w:tcPr>
          <w:p w14:paraId="7A6D2DC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36.48</w:t>
            </w:r>
          </w:p>
        </w:tc>
        <w:tc>
          <w:tcPr>
            <w:tcW w:w="315" w:type="pct"/>
            <w:shd w:val="clear" w:color="auto" w:fill="auto"/>
            <w:noWrap/>
            <w:vAlign w:val="center"/>
          </w:tcPr>
          <w:p w14:paraId="7D01468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33.98</w:t>
            </w:r>
          </w:p>
        </w:tc>
        <w:tc>
          <w:tcPr>
            <w:tcW w:w="316" w:type="pct"/>
            <w:shd w:val="clear" w:color="auto" w:fill="auto"/>
            <w:noWrap/>
            <w:vAlign w:val="center"/>
          </w:tcPr>
          <w:p w14:paraId="5B93196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32.04</w:t>
            </w:r>
          </w:p>
        </w:tc>
        <w:tc>
          <w:tcPr>
            <w:tcW w:w="316" w:type="pct"/>
            <w:shd w:val="clear" w:color="auto" w:fill="auto"/>
            <w:noWrap/>
            <w:vAlign w:val="center"/>
          </w:tcPr>
          <w:p w14:paraId="42ABF04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30.46</w:t>
            </w:r>
          </w:p>
        </w:tc>
        <w:tc>
          <w:tcPr>
            <w:tcW w:w="316" w:type="pct"/>
            <w:shd w:val="clear" w:color="auto" w:fill="auto"/>
            <w:noWrap/>
            <w:vAlign w:val="center"/>
          </w:tcPr>
          <w:p w14:paraId="72369D8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29.12</w:t>
            </w:r>
          </w:p>
        </w:tc>
        <w:tc>
          <w:tcPr>
            <w:tcW w:w="373" w:type="pct"/>
            <w:vMerge w:val="continue"/>
            <w:shd w:val="clear" w:color="auto" w:fill="auto"/>
            <w:noWrap/>
            <w:vAlign w:val="center"/>
          </w:tcPr>
          <w:p w14:paraId="5914B1AC">
            <w:pPr>
              <w:widowControl/>
              <w:adjustRightInd w:val="0"/>
              <w:snapToGrid w:val="0"/>
              <w:jc w:val="center"/>
              <w:rPr>
                <w:color w:val="000000" w:themeColor="text1"/>
                <w:kern w:val="0"/>
                <w:sz w:val="18"/>
                <w:szCs w:val="18"/>
                <w14:textFill>
                  <w14:solidFill>
                    <w14:schemeClr w14:val="tx1"/>
                  </w14:solidFill>
                </w14:textFill>
              </w:rPr>
            </w:pPr>
          </w:p>
        </w:tc>
      </w:tr>
      <w:tr w14:paraId="6E79FA76">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7832238B">
            <w:pPr>
              <w:widowControl/>
              <w:adjustRightInd w:val="0"/>
              <w:snapToGrid w:val="0"/>
              <w:jc w:val="center"/>
              <w:rPr>
                <w:color w:val="000000" w:themeColor="text1"/>
                <w:kern w:val="0"/>
                <w:sz w:val="18"/>
                <w:szCs w:val="18"/>
                <w14:textFill>
                  <w14:solidFill>
                    <w14:schemeClr w14:val="tx1"/>
                  </w14:solidFill>
                </w14:textFill>
              </w:rPr>
            </w:pPr>
          </w:p>
        </w:tc>
        <w:tc>
          <w:tcPr>
            <w:tcW w:w="539" w:type="pct"/>
            <w:shd w:val="clear" w:color="auto" w:fill="auto"/>
            <w:noWrap/>
            <w:vAlign w:val="center"/>
          </w:tcPr>
          <w:p w14:paraId="23A5EA25">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多声源叠加值</w:t>
            </w:r>
          </w:p>
        </w:tc>
        <w:tc>
          <w:tcPr>
            <w:tcW w:w="315" w:type="pct"/>
            <w:shd w:val="clear" w:color="auto" w:fill="auto"/>
            <w:noWrap/>
            <w:vAlign w:val="center"/>
          </w:tcPr>
          <w:p w14:paraId="653647A6">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80.45</w:t>
            </w:r>
          </w:p>
        </w:tc>
        <w:tc>
          <w:tcPr>
            <w:tcW w:w="316" w:type="pct"/>
            <w:shd w:val="clear" w:color="auto" w:fill="auto"/>
            <w:noWrap/>
            <w:vAlign w:val="center"/>
          </w:tcPr>
          <w:p w14:paraId="2E252FB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74.43</w:t>
            </w:r>
          </w:p>
        </w:tc>
        <w:tc>
          <w:tcPr>
            <w:tcW w:w="316" w:type="pct"/>
            <w:shd w:val="clear" w:color="auto" w:fill="auto"/>
            <w:noWrap/>
            <w:vAlign w:val="center"/>
          </w:tcPr>
          <w:p w14:paraId="3764C94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70.91</w:t>
            </w:r>
          </w:p>
        </w:tc>
        <w:tc>
          <w:tcPr>
            <w:tcW w:w="316" w:type="pct"/>
            <w:shd w:val="clear" w:color="auto" w:fill="auto"/>
            <w:noWrap/>
            <w:vAlign w:val="center"/>
          </w:tcPr>
          <w:p w14:paraId="0421818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66.47</w:t>
            </w:r>
          </w:p>
        </w:tc>
        <w:tc>
          <w:tcPr>
            <w:tcW w:w="315" w:type="pct"/>
            <w:shd w:val="clear" w:color="auto" w:fill="auto"/>
            <w:noWrap/>
            <w:vAlign w:val="center"/>
          </w:tcPr>
          <w:p w14:paraId="4504EBCC">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64.89</w:t>
            </w:r>
          </w:p>
        </w:tc>
        <w:tc>
          <w:tcPr>
            <w:tcW w:w="316" w:type="pct"/>
            <w:shd w:val="clear" w:color="auto" w:fill="auto"/>
            <w:noWrap/>
            <w:vAlign w:val="center"/>
          </w:tcPr>
          <w:p w14:paraId="139D5B94">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63.55</w:t>
            </w:r>
          </w:p>
        </w:tc>
        <w:tc>
          <w:tcPr>
            <w:tcW w:w="316" w:type="pct"/>
            <w:shd w:val="clear" w:color="auto" w:fill="auto"/>
            <w:noWrap/>
            <w:vAlign w:val="center"/>
          </w:tcPr>
          <w:p w14:paraId="06FB0716">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60.45</w:t>
            </w:r>
          </w:p>
        </w:tc>
        <w:tc>
          <w:tcPr>
            <w:tcW w:w="316" w:type="pct"/>
            <w:shd w:val="clear" w:color="auto" w:fill="auto"/>
            <w:noWrap/>
            <w:vAlign w:val="center"/>
          </w:tcPr>
          <w:p w14:paraId="0AC9C141">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56.93</w:t>
            </w:r>
          </w:p>
        </w:tc>
        <w:tc>
          <w:tcPr>
            <w:tcW w:w="315" w:type="pct"/>
            <w:shd w:val="clear" w:color="auto" w:fill="auto"/>
            <w:noWrap/>
            <w:vAlign w:val="center"/>
          </w:tcPr>
          <w:p w14:paraId="3E675729">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54.43</w:t>
            </w:r>
          </w:p>
        </w:tc>
        <w:tc>
          <w:tcPr>
            <w:tcW w:w="316" w:type="pct"/>
            <w:shd w:val="clear" w:color="auto" w:fill="auto"/>
            <w:noWrap/>
            <w:vAlign w:val="center"/>
          </w:tcPr>
          <w:p w14:paraId="410C2F6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52.49</w:t>
            </w:r>
          </w:p>
        </w:tc>
        <w:tc>
          <w:tcPr>
            <w:tcW w:w="316" w:type="pct"/>
            <w:shd w:val="clear" w:color="auto" w:fill="auto"/>
            <w:noWrap/>
            <w:vAlign w:val="center"/>
          </w:tcPr>
          <w:p w14:paraId="12D4CDF9">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50.91</w:t>
            </w:r>
          </w:p>
        </w:tc>
        <w:tc>
          <w:tcPr>
            <w:tcW w:w="316" w:type="pct"/>
            <w:shd w:val="clear" w:color="auto" w:fill="auto"/>
            <w:noWrap/>
            <w:vAlign w:val="center"/>
          </w:tcPr>
          <w:p w14:paraId="6F35FE4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49.53</w:t>
            </w:r>
          </w:p>
        </w:tc>
        <w:tc>
          <w:tcPr>
            <w:tcW w:w="373" w:type="pct"/>
            <w:vMerge w:val="continue"/>
            <w:shd w:val="clear" w:color="auto" w:fill="auto"/>
            <w:noWrap/>
            <w:vAlign w:val="center"/>
          </w:tcPr>
          <w:p w14:paraId="65910BB7">
            <w:pPr>
              <w:widowControl/>
              <w:adjustRightInd w:val="0"/>
              <w:snapToGrid w:val="0"/>
              <w:jc w:val="center"/>
              <w:rPr>
                <w:color w:val="000000" w:themeColor="text1"/>
                <w:kern w:val="0"/>
                <w:sz w:val="18"/>
                <w:szCs w:val="18"/>
                <w14:textFill>
                  <w14:solidFill>
                    <w14:schemeClr w14:val="tx1"/>
                  </w14:solidFill>
                </w14:textFill>
              </w:rPr>
            </w:pPr>
          </w:p>
        </w:tc>
      </w:tr>
      <w:tr w14:paraId="460F05BC">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5CA0C529">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p>
        </w:tc>
        <w:tc>
          <w:tcPr>
            <w:tcW w:w="539" w:type="pct"/>
            <w:shd w:val="clear" w:color="auto" w:fill="auto"/>
            <w:noWrap/>
            <w:vAlign w:val="center"/>
          </w:tcPr>
          <w:p w14:paraId="4D564FAC">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电锤</w:t>
            </w:r>
          </w:p>
        </w:tc>
        <w:tc>
          <w:tcPr>
            <w:tcW w:w="315" w:type="pct"/>
            <w:shd w:val="clear" w:color="auto" w:fill="auto"/>
            <w:noWrap/>
            <w:vAlign w:val="center"/>
          </w:tcPr>
          <w:p w14:paraId="60193974">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65</w:t>
            </w:r>
          </w:p>
        </w:tc>
        <w:tc>
          <w:tcPr>
            <w:tcW w:w="316" w:type="pct"/>
            <w:shd w:val="clear" w:color="auto" w:fill="auto"/>
            <w:noWrap/>
            <w:vAlign w:val="center"/>
          </w:tcPr>
          <w:p w14:paraId="3D06080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58.98</w:t>
            </w:r>
          </w:p>
        </w:tc>
        <w:tc>
          <w:tcPr>
            <w:tcW w:w="316" w:type="pct"/>
            <w:shd w:val="clear" w:color="auto" w:fill="auto"/>
            <w:noWrap/>
            <w:vAlign w:val="center"/>
          </w:tcPr>
          <w:p w14:paraId="28A7245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55.46</w:t>
            </w:r>
          </w:p>
        </w:tc>
        <w:tc>
          <w:tcPr>
            <w:tcW w:w="316" w:type="pct"/>
            <w:shd w:val="clear" w:color="auto" w:fill="auto"/>
            <w:noWrap/>
            <w:vAlign w:val="center"/>
          </w:tcPr>
          <w:p w14:paraId="65C22E8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51.02</w:t>
            </w:r>
          </w:p>
        </w:tc>
        <w:tc>
          <w:tcPr>
            <w:tcW w:w="315" w:type="pct"/>
            <w:shd w:val="clear" w:color="auto" w:fill="auto"/>
            <w:noWrap/>
            <w:vAlign w:val="center"/>
          </w:tcPr>
          <w:p w14:paraId="021674E1">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49.44</w:t>
            </w:r>
          </w:p>
        </w:tc>
        <w:tc>
          <w:tcPr>
            <w:tcW w:w="316" w:type="pct"/>
            <w:shd w:val="clear" w:color="auto" w:fill="auto"/>
            <w:noWrap/>
            <w:vAlign w:val="center"/>
          </w:tcPr>
          <w:p w14:paraId="0F1559B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48.1</w:t>
            </w:r>
          </w:p>
        </w:tc>
        <w:tc>
          <w:tcPr>
            <w:tcW w:w="316" w:type="pct"/>
            <w:shd w:val="clear" w:color="auto" w:fill="auto"/>
            <w:noWrap/>
            <w:vAlign w:val="center"/>
          </w:tcPr>
          <w:p w14:paraId="29A3CE2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45</w:t>
            </w:r>
          </w:p>
        </w:tc>
        <w:tc>
          <w:tcPr>
            <w:tcW w:w="316" w:type="pct"/>
            <w:shd w:val="clear" w:color="auto" w:fill="auto"/>
            <w:noWrap/>
            <w:vAlign w:val="center"/>
          </w:tcPr>
          <w:p w14:paraId="373DF7F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41.48</w:t>
            </w:r>
          </w:p>
        </w:tc>
        <w:tc>
          <w:tcPr>
            <w:tcW w:w="315" w:type="pct"/>
            <w:shd w:val="clear" w:color="auto" w:fill="auto"/>
            <w:noWrap/>
            <w:vAlign w:val="center"/>
          </w:tcPr>
          <w:p w14:paraId="5E84B88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38.98</w:t>
            </w:r>
          </w:p>
        </w:tc>
        <w:tc>
          <w:tcPr>
            <w:tcW w:w="316" w:type="pct"/>
            <w:shd w:val="clear" w:color="auto" w:fill="auto"/>
            <w:noWrap/>
            <w:vAlign w:val="center"/>
          </w:tcPr>
          <w:p w14:paraId="57FE5979">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37.04</w:t>
            </w:r>
          </w:p>
        </w:tc>
        <w:tc>
          <w:tcPr>
            <w:tcW w:w="316" w:type="pct"/>
            <w:shd w:val="clear" w:color="auto" w:fill="auto"/>
            <w:noWrap/>
            <w:vAlign w:val="center"/>
          </w:tcPr>
          <w:p w14:paraId="7086A85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35.46</w:t>
            </w:r>
          </w:p>
        </w:tc>
        <w:tc>
          <w:tcPr>
            <w:tcW w:w="316" w:type="pct"/>
            <w:shd w:val="clear" w:color="auto" w:fill="auto"/>
            <w:noWrap/>
            <w:vAlign w:val="center"/>
          </w:tcPr>
          <w:p w14:paraId="0ED79BB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34.12</w:t>
            </w:r>
          </w:p>
        </w:tc>
        <w:tc>
          <w:tcPr>
            <w:tcW w:w="373" w:type="pct"/>
            <w:vMerge w:val="restart"/>
            <w:shd w:val="clear" w:color="auto" w:fill="auto"/>
            <w:noWrap/>
            <w:vAlign w:val="center"/>
          </w:tcPr>
          <w:p w14:paraId="06B8C158">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装修阶段</w:t>
            </w:r>
          </w:p>
        </w:tc>
      </w:tr>
      <w:tr w14:paraId="1E718976">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5E0C9FEA">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w:t>
            </w:r>
          </w:p>
        </w:tc>
        <w:tc>
          <w:tcPr>
            <w:tcW w:w="539" w:type="pct"/>
            <w:shd w:val="clear" w:color="auto" w:fill="auto"/>
            <w:noWrap/>
            <w:vAlign w:val="center"/>
          </w:tcPr>
          <w:p w14:paraId="04ADA27B">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升降机</w:t>
            </w:r>
          </w:p>
        </w:tc>
        <w:tc>
          <w:tcPr>
            <w:tcW w:w="315" w:type="pct"/>
            <w:shd w:val="clear" w:color="auto" w:fill="auto"/>
            <w:noWrap/>
            <w:vAlign w:val="center"/>
          </w:tcPr>
          <w:p w14:paraId="0BF45E84">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60</w:t>
            </w:r>
          </w:p>
        </w:tc>
        <w:tc>
          <w:tcPr>
            <w:tcW w:w="316" w:type="pct"/>
            <w:shd w:val="clear" w:color="auto" w:fill="auto"/>
            <w:noWrap/>
            <w:vAlign w:val="center"/>
          </w:tcPr>
          <w:p w14:paraId="4043278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53.98</w:t>
            </w:r>
          </w:p>
        </w:tc>
        <w:tc>
          <w:tcPr>
            <w:tcW w:w="316" w:type="pct"/>
            <w:shd w:val="clear" w:color="auto" w:fill="auto"/>
            <w:noWrap/>
            <w:vAlign w:val="center"/>
          </w:tcPr>
          <w:p w14:paraId="393C045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50.46</w:t>
            </w:r>
          </w:p>
        </w:tc>
        <w:tc>
          <w:tcPr>
            <w:tcW w:w="316" w:type="pct"/>
            <w:shd w:val="clear" w:color="auto" w:fill="auto"/>
            <w:noWrap/>
            <w:vAlign w:val="center"/>
          </w:tcPr>
          <w:p w14:paraId="0A3F61A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46.02</w:t>
            </w:r>
          </w:p>
        </w:tc>
        <w:tc>
          <w:tcPr>
            <w:tcW w:w="315" w:type="pct"/>
            <w:shd w:val="clear" w:color="auto" w:fill="auto"/>
            <w:noWrap/>
            <w:vAlign w:val="center"/>
          </w:tcPr>
          <w:p w14:paraId="5F1B640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44.44</w:t>
            </w:r>
          </w:p>
        </w:tc>
        <w:tc>
          <w:tcPr>
            <w:tcW w:w="316" w:type="pct"/>
            <w:shd w:val="clear" w:color="auto" w:fill="auto"/>
            <w:noWrap/>
            <w:vAlign w:val="center"/>
          </w:tcPr>
          <w:p w14:paraId="5388FAB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43.1</w:t>
            </w:r>
          </w:p>
        </w:tc>
        <w:tc>
          <w:tcPr>
            <w:tcW w:w="316" w:type="pct"/>
            <w:shd w:val="clear" w:color="auto" w:fill="auto"/>
            <w:noWrap/>
            <w:vAlign w:val="center"/>
          </w:tcPr>
          <w:p w14:paraId="5E9AA62C">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40</w:t>
            </w:r>
          </w:p>
        </w:tc>
        <w:tc>
          <w:tcPr>
            <w:tcW w:w="316" w:type="pct"/>
            <w:shd w:val="clear" w:color="auto" w:fill="auto"/>
            <w:noWrap/>
            <w:vAlign w:val="center"/>
          </w:tcPr>
          <w:p w14:paraId="026E0B22">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36.48</w:t>
            </w:r>
          </w:p>
        </w:tc>
        <w:tc>
          <w:tcPr>
            <w:tcW w:w="315" w:type="pct"/>
            <w:shd w:val="clear" w:color="auto" w:fill="auto"/>
            <w:noWrap/>
            <w:vAlign w:val="center"/>
          </w:tcPr>
          <w:p w14:paraId="3225874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33.98</w:t>
            </w:r>
          </w:p>
        </w:tc>
        <w:tc>
          <w:tcPr>
            <w:tcW w:w="316" w:type="pct"/>
            <w:shd w:val="clear" w:color="auto" w:fill="auto"/>
            <w:noWrap/>
            <w:vAlign w:val="center"/>
          </w:tcPr>
          <w:p w14:paraId="6E98D4E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32.04</w:t>
            </w:r>
          </w:p>
        </w:tc>
        <w:tc>
          <w:tcPr>
            <w:tcW w:w="316" w:type="pct"/>
            <w:shd w:val="clear" w:color="auto" w:fill="auto"/>
            <w:noWrap/>
            <w:vAlign w:val="center"/>
          </w:tcPr>
          <w:p w14:paraId="7C07487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30.46</w:t>
            </w:r>
          </w:p>
        </w:tc>
        <w:tc>
          <w:tcPr>
            <w:tcW w:w="316" w:type="pct"/>
            <w:shd w:val="clear" w:color="auto" w:fill="auto"/>
            <w:noWrap/>
            <w:vAlign w:val="center"/>
          </w:tcPr>
          <w:p w14:paraId="120E878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29.12</w:t>
            </w:r>
          </w:p>
        </w:tc>
        <w:tc>
          <w:tcPr>
            <w:tcW w:w="373" w:type="pct"/>
            <w:vMerge w:val="continue"/>
            <w:shd w:val="clear" w:color="auto" w:fill="auto"/>
            <w:noWrap/>
            <w:vAlign w:val="center"/>
          </w:tcPr>
          <w:p w14:paraId="3FB5AE00">
            <w:pPr>
              <w:widowControl/>
              <w:adjustRightInd w:val="0"/>
              <w:snapToGrid w:val="0"/>
              <w:jc w:val="center"/>
              <w:rPr>
                <w:color w:val="000000" w:themeColor="text1"/>
                <w:kern w:val="0"/>
                <w:sz w:val="18"/>
                <w:szCs w:val="18"/>
                <w14:textFill>
                  <w14:solidFill>
                    <w14:schemeClr w14:val="tx1"/>
                  </w14:solidFill>
                </w14:textFill>
              </w:rPr>
            </w:pPr>
          </w:p>
        </w:tc>
      </w:tr>
      <w:tr w14:paraId="56D450BC">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75873A88">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w:t>
            </w:r>
          </w:p>
        </w:tc>
        <w:tc>
          <w:tcPr>
            <w:tcW w:w="539" w:type="pct"/>
            <w:shd w:val="clear" w:color="auto" w:fill="auto"/>
            <w:noWrap/>
            <w:vAlign w:val="center"/>
          </w:tcPr>
          <w:p w14:paraId="40F6DEE1">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砂浆机</w:t>
            </w:r>
          </w:p>
        </w:tc>
        <w:tc>
          <w:tcPr>
            <w:tcW w:w="315" w:type="pct"/>
            <w:shd w:val="clear" w:color="auto" w:fill="auto"/>
            <w:noWrap/>
            <w:vAlign w:val="center"/>
          </w:tcPr>
          <w:p w14:paraId="7E1FF3F1">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70</w:t>
            </w:r>
          </w:p>
        </w:tc>
        <w:tc>
          <w:tcPr>
            <w:tcW w:w="316" w:type="pct"/>
            <w:shd w:val="clear" w:color="auto" w:fill="auto"/>
            <w:noWrap/>
            <w:vAlign w:val="center"/>
          </w:tcPr>
          <w:p w14:paraId="170477E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63.98</w:t>
            </w:r>
          </w:p>
        </w:tc>
        <w:tc>
          <w:tcPr>
            <w:tcW w:w="316" w:type="pct"/>
            <w:shd w:val="clear" w:color="auto" w:fill="auto"/>
            <w:noWrap/>
            <w:vAlign w:val="center"/>
          </w:tcPr>
          <w:p w14:paraId="589757B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60.46</w:t>
            </w:r>
          </w:p>
        </w:tc>
        <w:tc>
          <w:tcPr>
            <w:tcW w:w="316" w:type="pct"/>
            <w:shd w:val="clear" w:color="auto" w:fill="auto"/>
            <w:noWrap/>
            <w:vAlign w:val="center"/>
          </w:tcPr>
          <w:p w14:paraId="1E233FB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56.02</w:t>
            </w:r>
          </w:p>
        </w:tc>
        <w:tc>
          <w:tcPr>
            <w:tcW w:w="315" w:type="pct"/>
            <w:shd w:val="clear" w:color="auto" w:fill="auto"/>
            <w:noWrap/>
            <w:vAlign w:val="center"/>
          </w:tcPr>
          <w:p w14:paraId="7F03C3FD">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54.44</w:t>
            </w:r>
          </w:p>
        </w:tc>
        <w:tc>
          <w:tcPr>
            <w:tcW w:w="316" w:type="pct"/>
            <w:shd w:val="clear" w:color="auto" w:fill="auto"/>
            <w:noWrap/>
            <w:vAlign w:val="center"/>
          </w:tcPr>
          <w:p w14:paraId="6F4C4D2F">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53.1</w:t>
            </w:r>
          </w:p>
        </w:tc>
        <w:tc>
          <w:tcPr>
            <w:tcW w:w="316" w:type="pct"/>
            <w:shd w:val="clear" w:color="auto" w:fill="auto"/>
            <w:noWrap/>
            <w:vAlign w:val="center"/>
          </w:tcPr>
          <w:p w14:paraId="478BF5E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50</w:t>
            </w:r>
          </w:p>
        </w:tc>
        <w:tc>
          <w:tcPr>
            <w:tcW w:w="316" w:type="pct"/>
            <w:shd w:val="clear" w:color="auto" w:fill="auto"/>
            <w:noWrap/>
            <w:vAlign w:val="center"/>
          </w:tcPr>
          <w:p w14:paraId="7EAA136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46.48</w:t>
            </w:r>
          </w:p>
        </w:tc>
        <w:tc>
          <w:tcPr>
            <w:tcW w:w="315" w:type="pct"/>
            <w:shd w:val="clear" w:color="auto" w:fill="auto"/>
            <w:noWrap/>
            <w:vAlign w:val="center"/>
          </w:tcPr>
          <w:p w14:paraId="27BEC63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43.98</w:t>
            </w:r>
          </w:p>
        </w:tc>
        <w:tc>
          <w:tcPr>
            <w:tcW w:w="316" w:type="pct"/>
            <w:shd w:val="clear" w:color="auto" w:fill="auto"/>
            <w:noWrap/>
            <w:vAlign w:val="center"/>
          </w:tcPr>
          <w:p w14:paraId="1D499CDC">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42.04</w:t>
            </w:r>
          </w:p>
        </w:tc>
        <w:tc>
          <w:tcPr>
            <w:tcW w:w="316" w:type="pct"/>
            <w:shd w:val="clear" w:color="auto" w:fill="auto"/>
            <w:noWrap/>
            <w:vAlign w:val="center"/>
          </w:tcPr>
          <w:p w14:paraId="6D77F501">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40.46</w:t>
            </w:r>
          </w:p>
        </w:tc>
        <w:tc>
          <w:tcPr>
            <w:tcW w:w="316" w:type="pct"/>
            <w:shd w:val="clear" w:color="auto" w:fill="auto"/>
            <w:noWrap/>
            <w:vAlign w:val="center"/>
          </w:tcPr>
          <w:p w14:paraId="02C2FEF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39.12</w:t>
            </w:r>
          </w:p>
        </w:tc>
        <w:tc>
          <w:tcPr>
            <w:tcW w:w="373" w:type="pct"/>
            <w:vMerge w:val="continue"/>
            <w:shd w:val="clear" w:color="auto" w:fill="auto"/>
            <w:noWrap/>
            <w:vAlign w:val="center"/>
          </w:tcPr>
          <w:p w14:paraId="1AD96B93">
            <w:pPr>
              <w:widowControl/>
              <w:adjustRightInd w:val="0"/>
              <w:snapToGrid w:val="0"/>
              <w:jc w:val="center"/>
              <w:rPr>
                <w:color w:val="000000" w:themeColor="text1"/>
                <w:kern w:val="0"/>
                <w:sz w:val="18"/>
                <w:szCs w:val="18"/>
                <w14:textFill>
                  <w14:solidFill>
                    <w14:schemeClr w14:val="tx1"/>
                  </w14:solidFill>
                </w14:textFill>
              </w:rPr>
            </w:pPr>
          </w:p>
        </w:tc>
      </w:tr>
      <w:tr w14:paraId="7CDC04B2">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4F6FD1DA">
            <w:pPr>
              <w:widowControl/>
              <w:adjustRightInd w:val="0"/>
              <w:snapToGrid w:val="0"/>
              <w:jc w:val="center"/>
              <w:rPr>
                <w:color w:val="000000" w:themeColor="text1"/>
                <w:kern w:val="0"/>
                <w:sz w:val="18"/>
                <w:szCs w:val="18"/>
                <w14:textFill>
                  <w14:solidFill>
                    <w14:schemeClr w14:val="tx1"/>
                  </w14:solidFill>
                </w14:textFill>
              </w:rPr>
            </w:pPr>
          </w:p>
        </w:tc>
        <w:tc>
          <w:tcPr>
            <w:tcW w:w="539" w:type="pct"/>
            <w:shd w:val="clear" w:color="auto" w:fill="auto"/>
            <w:noWrap/>
            <w:vAlign w:val="center"/>
          </w:tcPr>
          <w:p w14:paraId="6675994F">
            <w:pPr>
              <w:widowControl/>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多声源叠加值</w:t>
            </w:r>
          </w:p>
        </w:tc>
        <w:tc>
          <w:tcPr>
            <w:tcW w:w="315" w:type="pct"/>
            <w:shd w:val="clear" w:color="auto" w:fill="auto"/>
            <w:noWrap/>
            <w:vAlign w:val="center"/>
          </w:tcPr>
          <w:p w14:paraId="3C580DA3">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71.51</w:t>
            </w:r>
          </w:p>
        </w:tc>
        <w:tc>
          <w:tcPr>
            <w:tcW w:w="316" w:type="pct"/>
            <w:shd w:val="clear" w:color="auto" w:fill="auto"/>
            <w:noWrap/>
            <w:vAlign w:val="center"/>
          </w:tcPr>
          <w:p w14:paraId="18EB11BE">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65.49</w:t>
            </w:r>
          </w:p>
        </w:tc>
        <w:tc>
          <w:tcPr>
            <w:tcW w:w="316" w:type="pct"/>
            <w:shd w:val="clear" w:color="auto" w:fill="auto"/>
            <w:noWrap/>
            <w:vAlign w:val="center"/>
          </w:tcPr>
          <w:p w14:paraId="48E3CC7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61.97</w:t>
            </w:r>
          </w:p>
        </w:tc>
        <w:tc>
          <w:tcPr>
            <w:tcW w:w="316" w:type="pct"/>
            <w:shd w:val="clear" w:color="auto" w:fill="auto"/>
            <w:noWrap/>
            <w:vAlign w:val="center"/>
          </w:tcPr>
          <w:p w14:paraId="17645F30">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57.53</w:t>
            </w:r>
          </w:p>
        </w:tc>
        <w:tc>
          <w:tcPr>
            <w:tcW w:w="315" w:type="pct"/>
            <w:shd w:val="clear" w:color="auto" w:fill="auto"/>
            <w:noWrap/>
            <w:vAlign w:val="center"/>
          </w:tcPr>
          <w:p w14:paraId="12629DC7">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55.95</w:t>
            </w:r>
          </w:p>
        </w:tc>
        <w:tc>
          <w:tcPr>
            <w:tcW w:w="316" w:type="pct"/>
            <w:shd w:val="clear" w:color="auto" w:fill="auto"/>
            <w:noWrap/>
            <w:vAlign w:val="center"/>
          </w:tcPr>
          <w:p w14:paraId="697E1C25">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54.61</w:t>
            </w:r>
          </w:p>
        </w:tc>
        <w:tc>
          <w:tcPr>
            <w:tcW w:w="316" w:type="pct"/>
            <w:shd w:val="clear" w:color="auto" w:fill="auto"/>
            <w:noWrap/>
            <w:vAlign w:val="center"/>
          </w:tcPr>
          <w:p w14:paraId="6303DC9A">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51.51</w:t>
            </w:r>
          </w:p>
        </w:tc>
        <w:tc>
          <w:tcPr>
            <w:tcW w:w="316" w:type="pct"/>
            <w:shd w:val="clear" w:color="auto" w:fill="auto"/>
            <w:noWrap/>
            <w:vAlign w:val="center"/>
          </w:tcPr>
          <w:p w14:paraId="734CDCC8">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47.99</w:t>
            </w:r>
          </w:p>
        </w:tc>
        <w:tc>
          <w:tcPr>
            <w:tcW w:w="315" w:type="pct"/>
            <w:shd w:val="clear" w:color="auto" w:fill="auto"/>
            <w:noWrap/>
            <w:vAlign w:val="center"/>
          </w:tcPr>
          <w:p w14:paraId="030B8C45">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45.49</w:t>
            </w:r>
          </w:p>
        </w:tc>
        <w:tc>
          <w:tcPr>
            <w:tcW w:w="316" w:type="pct"/>
            <w:shd w:val="clear" w:color="auto" w:fill="auto"/>
            <w:noWrap/>
            <w:vAlign w:val="center"/>
          </w:tcPr>
          <w:p w14:paraId="77BDC7E4">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43.55</w:t>
            </w:r>
          </w:p>
        </w:tc>
        <w:tc>
          <w:tcPr>
            <w:tcW w:w="316" w:type="pct"/>
            <w:shd w:val="clear" w:color="auto" w:fill="auto"/>
            <w:noWrap/>
            <w:vAlign w:val="center"/>
          </w:tcPr>
          <w:p w14:paraId="3D647EBB">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41.97</w:t>
            </w:r>
          </w:p>
        </w:tc>
        <w:tc>
          <w:tcPr>
            <w:tcW w:w="316" w:type="pct"/>
            <w:shd w:val="clear" w:color="auto" w:fill="auto"/>
            <w:noWrap/>
            <w:vAlign w:val="center"/>
          </w:tcPr>
          <w:p w14:paraId="2827BBE5">
            <w:pPr>
              <w:widowControl/>
              <w:adjustRightInd w:val="0"/>
              <w:snapToGrid w:val="0"/>
              <w:jc w:val="center"/>
              <w:rPr>
                <w:color w:val="000000" w:themeColor="text1"/>
                <w:kern w:val="0"/>
                <w:sz w:val="15"/>
                <w:szCs w:val="15"/>
                <w14:textFill>
                  <w14:solidFill>
                    <w14:schemeClr w14:val="tx1"/>
                  </w14:solidFill>
                </w14:textFill>
              </w:rPr>
            </w:pPr>
            <w:r>
              <w:rPr>
                <w:color w:val="000000" w:themeColor="text1"/>
                <w:kern w:val="0"/>
                <w:sz w:val="15"/>
                <w:szCs w:val="15"/>
                <w14:textFill>
                  <w14:solidFill>
                    <w14:schemeClr w14:val="tx1"/>
                  </w14:solidFill>
                </w14:textFill>
              </w:rPr>
              <w:t>40.63</w:t>
            </w:r>
          </w:p>
        </w:tc>
        <w:tc>
          <w:tcPr>
            <w:tcW w:w="373" w:type="pct"/>
            <w:vMerge w:val="continue"/>
            <w:shd w:val="clear" w:color="auto" w:fill="auto"/>
            <w:noWrap/>
            <w:vAlign w:val="center"/>
          </w:tcPr>
          <w:p w14:paraId="4E374B2B">
            <w:pPr>
              <w:widowControl/>
              <w:adjustRightInd w:val="0"/>
              <w:snapToGrid w:val="0"/>
              <w:jc w:val="center"/>
              <w:rPr>
                <w:color w:val="000000" w:themeColor="text1"/>
                <w:kern w:val="0"/>
                <w:sz w:val="18"/>
                <w:szCs w:val="18"/>
                <w14:textFill>
                  <w14:solidFill>
                    <w14:schemeClr w14:val="tx1"/>
                  </w14:solidFill>
                </w14:textFill>
              </w:rPr>
            </w:pPr>
          </w:p>
        </w:tc>
      </w:tr>
    </w:tbl>
    <w:p w14:paraId="224073F4">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根据预测结果，在多声源叠加的情况下，土石方阶段昼间22m 距离，夜间120m 距离能满足GB12523-2011《建筑施工场界环境噪声排放标准》（昼间≤70dB(A)，夜间55 dB(A)）；打桩和结构阶段昼间50m 距离，夜间200m 距离能满足GB12523-2011《建筑施工场界环境噪声排放标准》；装修阶段昼间20m 距离，夜间70m 距离，能满足GB12523-2011《建筑施工场界环境噪声排放标准》。</w:t>
      </w:r>
    </w:p>
    <w:p w14:paraId="00810A71">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3、关心点噪声影响分析</w:t>
      </w:r>
    </w:p>
    <w:p w14:paraId="26F6DBB1">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根据现场勘查，项目区周边主要保护目标为项目区东北侧130m四分厂四队。</w:t>
      </w:r>
    </w:p>
    <w:p w14:paraId="4944822B">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项目施工期内噪声对关心点影响较大的为打桩阶段和结构阶段机械同时施工，本环评预测打桩阶段施工机械对关心点的影响。</w:t>
      </w:r>
    </w:p>
    <w:p w14:paraId="3412E7D6">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（1）背景值</w:t>
      </w:r>
    </w:p>
    <w:p w14:paraId="2B0950E8">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本项目东北侧130m四分厂四队声环境背景值采用地块南侧声环境监测最大值。</w:t>
      </w:r>
    </w:p>
    <w:p w14:paraId="0B563085">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（2）贡献值</w:t>
      </w:r>
    </w:p>
    <w:p w14:paraId="0416B615">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针对施工期对保护目标的影响进行预测。</w:t>
      </w:r>
    </w:p>
    <w:p w14:paraId="4C6E9FAF">
      <w:pPr>
        <w:pStyle w:val="11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预测模式</w:t>
      </w:r>
    </w:p>
    <w:p w14:paraId="35120CC7">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采用《环境影响评价技术导则 声环境》HJ2.4-2009 中推荐的预测模式，本次贡献值计算主要考虑距离衰减和屏障衰减。具体方法是见以下公式为：</w:t>
      </w:r>
    </w:p>
    <w:p w14:paraId="5A5BE8B2">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LA(r) =LP(r0) - (Adiv+ Abar)</w:t>
      </w:r>
    </w:p>
    <w:p w14:paraId="1996B7F1">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式中：LA(r)—距声源 r 处的 A 声级，dB；</w:t>
      </w:r>
    </w:p>
    <w:p w14:paraId="41709501">
      <w:pPr>
        <w:pStyle w:val="116"/>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LP(r0) — 参考位置 r0 处的 A 声级，dB；</w:t>
      </w:r>
    </w:p>
    <w:p w14:paraId="3D566075">
      <w:pPr>
        <w:pStyle w:val="116"/>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Adiv—声波几何发散引起的 A 声级衰减，dB；</w:t>
      </w:r>
    </w:p>
    <w:p w14:paraId="66CA5AA9">
      <w:pPr>
        <w:pStyle w:val="116"/>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Abar—遮挡物引起的 A 声级衰减，dB（根据导则，在任何频带上，屏障衰减在单绕射薄屏障情况，衰减最大值取20 dB，本项目施工期设置围墙围挡）；</w:t>
      </w:r>
    </w:p>
    <w:p w14:paraId="67595DE8">
      <w:pPr>
        <w:pStyle w:val="116"/>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因此：LA(r) =L (r0) - (Adiv+20)</w:t>
      </w:r>
    </w:p>
    <w:p w14:paraId="3B4E77D1">
      <w:pPr>
        <w:pStyle w:val="116"/>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距离衰减公式：Adiv= 20lg(r／ro)</w:t>
      </w:r>
    </w:p>
    <w:p w14:paraId="1D4037A3">
      <w:pPr>
        <w:pStyle w:val="116"/>
        <w:ind w:firstLine="720" w:firstLineChars="300"/>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②</w:t>
      </w:r>
      <w:r>
        <w:rPr>
          <w:b/>
          <w:color w:val="000000" w:themeColor="text1"/>
          <w14:textFill>
            <w14:solidFill>
              <w14:schemeClr w14:val="tx1"/>
            </w14:solidFill>
          </w14:textFill>
        </w:rPr>
        <w:t>预测结果</w:t>
      </w:r>
    </w:p>
    <w:p w14:paraId="36CC48CD">
      <w:pPr>
        <w:pStyle w:val="116"/>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噪声预测声源强度采用打桩阶段10m 处的多声源叠加值与背景值的叠加，本项目施工期关心点噪声预测结果如下。</w:t>
      </w:r>
    </w:p>
    <w:p w14:paraId="3A11DF3B">
      <w:pPr>
        <w:autoSpaceDE w:val="0"/>
        <w:autoSpaceDN w:val="0"/>
        <w:adjustRightInd w:val="0"/>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表5.4-2  关心点环境噪声预测值  单位：dB(A)</w:t>
      </w:r>
    </w:p>
    <w:tbl>
      <w:tblPr>
        <w:tblStyle w:val="42"/>
        <w:tblW w:w="5137" w:type="pct"/>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62"/>
        <w:gridCol w:w="1132"/>
        <w:gridCol w:w="990"/>
        <w:gridCol w:w="853"/>
        <w:gridCol w:w="837"/>
        <w:gridCol w:w="865"/>
        <w:gridCol w:w="848"/>
        <w:gridCol w:w="1562"/>
        <w:gridCol w:w="707"/>
      </w:tblGrid>
      <w:tr w14:paraId="13EA542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549" w:type="pct"/>
            <w:shd w:val="clear" w:color="auto" w:fill="auto"/>
            <w:noWrap/>
            <w:vAlign w:val="center"/>
          </w:tcPr>
          <w:p w14:paraId="00AE103B">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关心点</w:t>
            </w:r>
          </w:p>
        </w:tc>
        <w:tc>
          <w:tcPr>
            <w:tcW w:w="646" w:type="pct"/>
            <w:shd w:val="clear" w:color="auto" w:fill="auto"/>
            <w:noWrap/>
            <w:vAlign w:val="center"/>
          </w:tcPr>
          <w:p w14:paraId="46994B82">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相对方位及距离</w:t>
            </w:r>
          </w:p>
        </w:tc>
        <w:tc>
          <w:tcPr>
            <w:tcW w:w="565" w:type="pct"/>
            <w:shd w:val="clear" w:color="auto" w:fill="auto"/>
            <w:noWrap/>
            <w:vAlign w:val="center"/>
          </w:tcPr>
          <w:p w14:paraId="1B30C5EC">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10m处噪声值</w:t>
            </w:r>
          </w:p>
        </w:tc>
        <w:tc>
          <w:tcPr>
            <w:tcW w:w="487" w:type="pct"/>
            <w:shd w:val="clear" w:color="auto" w:fill="auto"/>
            <w:noWrap/>
            <w:vAlign w:val="center"/>
          </w:tcPr>
          <w:p w14:paraId="2C09FE9A">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时段</w:t>
            </w:r>
          </w:p>
        </w:tc>
        <w:tc>
          <w:tcPr>
            <w:tcW w:w="478" w:type="pct"/>
            <w:shd w:val="clear" w:color="auto" w:fill="auto"/>
            <w:noWrap/>
            <w:vAlign w:val="center"/>
          </w:tcPr>
          <w:p w14:paraId="4C70992B">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背景值</w:t>
            </w:r>
          </w:p>
        </w:tc>
        <w:tc>
          <w:tcPr>
            <w:tcW w:w="494" w:type="pct"/>
            <w:shd w:val="clear" w:color="auto" w:fill="auto"/>
            <w:noWrap/>
            <w:vAlign w:val="center"/>
          </w:tcPr>
          <w:p w14:paraId="17C87FFD">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贡献值</w:t>
            </w:r>
          </w:p>
        </w:tc>
        <w:tc>
          <w:tcPr>
            <w:tcW w:w="484" w:type="pct"/>
            <w:shd w:val="clear" w:color="auto" w:fill="auto"/>
            <w:noWrap/>
            <w:vAlign w:val="center"/>
          </w:tcPr>
          <w:p w14:paraId="6D55F51E">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预测值</w:t>
            </w:r>
          </w:p>
        </w:tc>
        <w:tc>
          <w:tcPr>
            <w:tcW w:w="892" w:type="pct"/>
            <w:shd w:val="clear" w:color="auto" w:fill="auto"/>
            <w:noWrap/>
            <w:vAlign w:val="center"/>
          </w:tcPr>
          <w:p w14:paraId="25B6C7E8">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标准值</w:t>
            </w:r>
          </w:p>
        </w:tc>
        <w:tc>
          <w:tcPr>
            <w:tcW w:w="404" w:type="pct"/>
            <w:shd w:val="clear" w:color="auto" w:fill="auto"/>
            <w:noWrap/>
            <w:vAlign w:val="center"/>
          </w:tcPr>
          <w:p w14:paraId="54EAE55B">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评价</w:t>
            </w:r>
          </w:p>
        </w:tc>
      </w:tr>
      <w:tr w14:paraId="0D0DCBE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549" w:type="pct"/>
            <w:vMerge w:val="restart"/>
            <w:shd w:val="clear" w:color="auto" w:fill="auto"/>
            <w:noWrap/>
            <w:vAlign w:val="center"/>
          </w:tcPr>
          <w:p w14:paraId="090ABEC3">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四分场四队</w:t>
            </w:r>
          </w:p>
        </w:tc>
        <w:tc>
          <w:tcPr>
            <w:tcW w:w="646" w:type="pct"/>
            <w:vMerge w:val="restart"/>
            <w:shd w:val="clear" w:color="auto" w:fill="auto"/>
            <w:noWrap/>
            <w:vAlign w:val="center"/>
          </w:tcPr>
          <w:p w14:paraId="3C13B646">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南侧130m</w:t>
            </w:r>
          </w:p>
        </w:tc>
        <w:tc>
          <w:tcPr>
            <w:tcW w:w="565" w:type="pct"/>
            <w:vMerge w:val="restart"/>
            <w:shd w:val="clear" w:color="auto" w:fill="auto"/>
            <w:noWrap/>
            <w:vAlign w:val="center"/>
          </w:tcPr>
          <w:p w14:paraId="23A45032">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80.54</w:t>
            </w:r>
          </w:p>
        </w:tc>
        <w:tc>
          <w:tcPr>
            <w:tcW w:w="487" w:type="pct"/>
            <w:shd w:val="clear" w:color="auto" w:fill="auto"/>
            <w:noWrap/>
            <w:vAlign w:val="center"/>
          </w:tcPr>
          <w:p w14:paraId="1C45B1A8">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昼间</w:t>
            </w:r>
          </w:p>
        </w:tc>
        <w:tc>
          <w:tcPr>
            <w:tcW w:w="478" w:type="pct"/>
            <w:shd w:val="clear" w:color="auto" w:fill="auto"/>
            <w:noWrap/>
            <w:vAlign w:val="center"/>
          </w:tcPr>
          <w:p w14:paraId="26600322">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55.2</w:t>
            </w:r>
          </w:p>
        </w:tc>
        <w:tc>
          <w:tcPr>
            <w:tcW w:w="494" w:type="pct"/>
            <w:shd w:val="clear" w:color="auto" w:fill="auto"/>
            <w:noWrap/>
            <w:vAlign w:val="center"/>
          </w:tcPr>
          <w:p w14:paraId="721BFE02">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37.93</w:t>
            </w:r>
          </w:p>
        </w:tc>
        <w:tc>
          <w:tcPr>
            <w:tcW w:w="484" w:type="pct"/>
            <w:shd w:val="clear" w:color="auto" w:fill="auto"/>
            <w:noWrap/>
            <w:vAlign w:val="center"/>
          </w:tcPr>
          <w:p w14:paraId="31D6EC9C">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55.28</w:t>
            </w:r>
          </w:p>
        </w:tc>
        <w:tc>
          <w:tcPr>
            <w:tcW w:w="892" w:type="pct"/>
            <w:vMerge w:val="restart"/>
            <w:shd w:val="clear" w:color="auto" w:fill="auto"/>
            <w:noWrap/>
            <w:vAlign w:val="center"/>
          </w:tcPr>
          <w:p w14:paraId="4EBEE45D">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2类标准昼间≤ 60dB(A)夜间≤ 50dB(A)</w:t>
            </w:r>
          </w:p>
        </w:tc>
        <w:tc>
          <w:tcPr>
            <w:tcW w:w="404" w:type="pct"/>
            <w:shd w:val="clear" w:color="auto" w:fill="auto"/>
            <w:noWrap/>
            <w:vAlign w:val="center"/>
          </w:tcPr>
          <w:p w14:paraId="71F93A35">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14:paraId="7C84F74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549" w:type="pct"/>
            <w:vMerge w:val="continue"/>
            <w:shd w:val="clear" w:color="auto" w:fill="auto"/>
            <w:noWrap/>
            <w:vAlign w:val="center"/>
          </w:tcPr>
          <w:p w14:paraId="0855E14D">
            <w:pPr>
              <w:widowControl/>
              <w:jc w:val="center"/>
              <w:rPr>
                <w:color w:val="000000" w:themeColor="text1"/>
                <w:kern w:val="0"/>
                <w:sz w:val="22"/>
                <w:szCs w:val="22"/>
                <w14:textFill>
                  <w14:solidFill>
                    <w14:schemeClr w14:val="tx1"/>
                  </w14:solidFill>
                </w14:textFill>
              </w:rPr>
            </w:pPr>
          </w:p>
        </w:tc>
        <w:tc>
          <w:tcPr>
            <w:tcW w:w="646" w:type="pct"/>
            <w:vMerge w:val="continue"/>
            <w:shd w:val="clear" w:color="auto" w:fill="auto"/>
            <w:noWrap/>
            <w:vAlign w:val="center"/>
          </w:tcPr>
          <w:p w14:paraId="13107F82">
            <w:pPr>
              <w:widowControl/>
              <w:jc w:val="center"/>
              <w:rPr>
                <w:color w:val="000000" w:themeColor="text1"/>
                <w:kern w:val="0"/>
                <w:sz w:val="22"/>
                <w:szCs w:val="22"/>
                <w14:textFill>
                  <w14:solidFill>
                    <w14:schemeClr w14:val="tx1"/>
                  </w14:solidFill>
                </w14:textFill>
              </w:rPr>
            </w:pPr>
          </w:p>
        </w:tc>
        <w:tc>
          <w:tcPr>
            <w:tcW w:w="565" w:type="pct"/>
            <w:vMerge w:val="continue"/>
            <w:shd w:val="clear" w:color="auto" w:fill="auto"/>
            <w:noWrap/>
            <w:vAlign w:val="center"/>
          </w:tcPr>
          <w:p w14:paraId="1D8222CB">
            <w:pPr>
              <w:widowControl/>
              <w:jc w:val="center"/>
              <w:rPr>
                <w:color w:val="000000" w:themeColor="text1"/>
                <w:kern w:val="0"/>
                <w:sz w:val="22"/>
                <w:szCs w:val="22"/>
                <w14:textFill>
                  <w14:solidFill>
                    <w14:schemeClr w14:val="tx1"/>
                  </w14:solidFill>
                </w14:textFill>
              </w:rPr>
            </w:pPr>
          </w:p>
        </w:tc>
        <w:tc>
          <w:tcPr>
            <w:tcW w:w="487" w:type="pct"/>
            <w:shd w:val="clear" w:color="auto" w:fill="auto"/>
            <w:noWrap/>
            <w:vAlign w:val="center"/>
          </w:tcPr>
          <w:p w14:paraId="75B60499">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夜间</w:t>
            </w:r>
          </w:p>
        </w:tc>
        <w:tc>
          <w:tcPr>
            <w:tcW w:w="478" w:type="pct"/>
            <w:shd w:val="clear" w:color="auto" w:fill="auto"/>
            <w:noWrap/>
            <w:vAlign w:val="center"/>
          </w:tcPr>
          <w:p w14:paraId="6486D15C">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46.1</w:t>
            </w:r>
          </w:p>
        </w:tc>
        <w:tc>
          <w:tcPr>
            <w:tcW w:w="494" w:type="pct"/>
            <w:shd w:val="clear" w:color="auto" w:fill="auto"/>
            <w:noWrap/>
            <w:vAlign w:val="center"/>
          </w:tcPr>
          <w:p w14:paraId="0314A3DE">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37.93</w:t>
            </w:r>
          </w:p>
        </w:tc>
        <w:tc>
          <w:tcPr>
            <w:tcW w:w="484" w:type="pct"/>
            <w:shd w:val="clear" w:color="auto" w:fill="auto"/>
            <w:noWrap/>
            <w:vAlign w:val="center"/>
          </w:tcPr>
          <w:p w14:paraId="7E845E2D">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46.72</w:t>
            </w:r>
          </w:p>
        </w:tc>
        <w:tc>
          <w:tcPr>
            <w:tcW w:w="892" w:type="pct"/>
            <w:vMerge w:val="continue"/>
            <w:shd w:val="clear" w:color="auto" w:fill="auto"/>
            <w:noWrap/>
            <w:vAlign w:val="center"/>
          </w:tcPr>
          <w:p w14:paraId="2127E96D">
            <w:pPr>
              <w:widowControl/>
              <w:jc w:val="center"/>
              <w:rPr>
                <w:color w:val="000000" w:themeColor="text1"/>
                <w:kern w:val="0"/>
                <w:sz w:val="22"/>
                <w:szCs w:val="22"/>
                <w14:textFill>
                  <w14:solidFill>
                    <w14:schemeClr w14:val="tx1"/>
                  </w14:solidFill>
                </w14:textFill>
              </w:rPr>
            </w:pPr>
          </w:p>
        </w:tc>
        <w:tc>
          <w:tcPr>
            <w:tcW w:w="404" w:type="pct"/>
            <w:shd w:val="clear" w:color="auto" w:fill="auto"/>
            <w:noWrap/>
            <w:vAlign w:val="center"/>
          </w:tcPr>
          <w:p w14:paraId="1AF528D7">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bl>
    <w:p w14:paraId="18640453">
      <w:pPr>
        <w:pStyle w:val="116"/>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从表</w:t>
      </w:r>
      <w:r>
        <w:rPr>
          <w:rFonts w:hint="eastAsia"/>
          <w:color w:val="000000" w:themeColor="text1"/>
          <w14:textFill>
            <w14:solidFill>
              <w14:schemeClr w14:val="tx1"/>
            </w14:solidFill>
          </w14:textFill>
        </w:rPr>
        <w:t>5.4-2</w:t>
      </w:r>
      <w:r>
        <w:rPr>
          <w:color w:val="000000" w:themeColor="text1"/>
          <w14:textFill>
            <w14:solidFill>
              <w14:schemeClr w14:val="tx1"/>
            </w14:solidFill>
          </w14:textFill>
        </w:rPr>
        <w:t xml:space="preserve"> 的预测结果可以看出，本项打桩阶段施工期多台机械施工时，施工机械噪声经距离衰减及屏障围挡阻隔后，四分场四队昼间、夜间噪声均达到《声环境质量标准》（GB3096-2008）2 类标准限值要求。</w:t>
      </w:r>
    </w:p>
    <w:p w14:paraId="354D6FB9">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4、施工噪声环境影响减缓措施</w:t>
      </w:r>
    </w:p>
    <w:p w14:paraId="3D5099C8">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为确保施工厂界噪声达标及减少对四分场四队的影响，必须采取严格的措施进行控制减小影响。</w:t>
      </w:r>
    </w:p>
    <w:p w14:paraId="1BEE6725">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（1）建筑施工单位在施工作业中应选用低噪声的施工机械和先进的工艺，合理安排各类施工机械的工作时间，尽量避免高噪声源同时工作，避免噪声产生叠加，并在项目区边界设置不低于2.5m 的遮挡围墙，项目区可移动的高产噪设备应尽量远离项目东南侧130m四分场四队，并进行一定的隔声及减振处理，固定机械设备尽量入棚操作。</w:t>
      </w:r>
    </w:p>
    <w:p w14:paraId="177221D2">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）项目建设严禁在12 时至14 时、22 时至次日6 时施工。但抢修、抢险作业和因混凝土浇灌等工艺需要连续工作的除外。</w:t>
      </w:r>
    </w:p>
    <w:p w14:paraId="0A698822">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）施工场界噪声应符合GB12523-2011《建筑施工场界环境噪声排放标准》，即：昼间≤70dB(A)，夜间≤55dB(A)。</w:t>
      </w:r>
    </w:p>
    <w:p w14:paraId="2FB835E1">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总之，施工过程是短暂的，施工结束后影响将随之消失，施工期产生的噪声影响是可以接受的。</w:t>
      </w:r>
    </w:p>
    <w:p w14:paraId="65EFC131">
      <w:pPr>
        <w:pStyle w:val="4"/>
        <w:rPr>
          <w:rFonts w:ascii="Times New Roman" w:hAnsi="Times New Roman"/>
          <w:color w:val="000000" w:themeColor="text1"/>
          <w14:textFill>
            <w14:solidFill>
              <w14:schemeClr w14:val="tx1"/>
            </w14:solidFill>
          </w14:textFill>
        </w:rPr>
      </w:pPr>
      <w:bookmarkStart w:id="389" w:name="_Toc2773761"/>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4</w:t>
      </w:r>
      <w:r>
        <w:rPr>
          <w:rFonts w:ascii="Times New Roman" w:hAnsi="Times New Roman"/>
          <w:color w:val="000000" w:themeColor="text1"/>
          <w14:textFill>
            <w14:solidFill>
              <w14:schemeClr w14:val="tx1"/>
            </w14:solidFill>
          </w14:textFill>
        </w:rPr>
        <w:t>固体废弃物影响分析</w:t>
      </w:r>
      <w:bookmarkEnd w:id="389"/>
    </w:p>
    <w:p w14:paraId="4CA251D1">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（1）土石方</w:t>
      </w:r>
    </w:p>
    <w:p w14:paraId="59FB240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根据建设方资料，本项目土石方开挖量约100m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，项目场地回填100m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，施工期间剥离表土临时堆放用于绿化区空地内，用于后期场地绿化覆土，项目建设无永久弃渣。</w:t>
      </w:r>
    </w:p>
    <w:p w14:paraId="6D3ED6AC">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（2）建筑垃圾</w:t>
      </w:r>
    </w:p>
    <w:p w14:paraId="297069C2">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项目建筑施工期会产生一定的废弃建筑材料，尤其是装修废弃材料，本项目建筑垃圾产生量</w:t>
      </w:r>
      <w:r>
        <w:rPr>
          <w:rFonts w:hint="eastAsia"/>
          <w:color w:val="000000" w:themeColor="text1"/>
          <w14:textFill>
            <w14:solidFill>
              <w14:schemeClr w14:val="tx1"/>
            </w14:solidFill>
          </w14:textFill>
        </w:rPr>
        <w:t>约</w:t>
      </w:r>
      <w:r>
        <w:rPr>
          <w:color w:val="000000" w:themeColor="text1"/>
          <w14:textFill>
            <w14:solidFill>
              <w14:schemeClr w14:val="tx1"/>
            </w14:solidFill>
          </w14:textFill>
        </w:rPr>
        <w:t>为10吨。大量的建筑垃圾的堆放容易引起扬尘等环境问题，为避免这些问题的出现，对施工中产生的建筑垃圾必须及时处理。</w:t>
      </w:r>
    </w:p>
    <w:p w14:paraId="5C6C48E9">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项目建设方应对建筑垃圾通过分类集中堆存、回收利用，不能利用则委托其施工单位统一清运，禁止与生活垃圾混合处置，禁止随意丢弃。</w:t>
      </w:r>
    </w:p>
    <w:p w14:paraId="47D97814">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（3）生活垃圾</w:t>
      </w:r>
    </w:p>
    <w:p w14:paraId="55ADA013">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项目施工人员产生的生活垃圾总量约为</w:t>
      </w:r>
      <w:r>
        <w:rPr>
          <w:rFonts w:hint="eastAsia"/>
          <w:color w:val="000000" w:themeColor="text1"/>
          <w14:textFill>
            <w14:solidFill>
              <w14:schemeClr w14:val="tx1"/>
            </w14:solidFill>
          </w14:textFill>
        </w:rPr>
        <w:t>0.45</w:t>
      </w:r>
      <w:r>
        <w:rPr>
          <w:color w:val="000000" w:themeColor="text1"/>
          <w14:textFill>
            <w14:solidFill>
              <w14:schemeClr w14:val="tx1"/>
            </w14:solidFill>
          </w14:textFill>
        </w:rPr>
        <w:t>t/d，项目派专人集中收集至统一地点堆放，</w:t>
      </w:r>
      <w:r>
        <w:rPr>
          <w:rFonts w:eastAsia="新宋体"/>
          <w:color w:val="000000" w:themeColor="text1"/>
          <w:szCs w:val="21"/>
          <w14:textFill>
            <w14:solidFill>
              <w14:schemeClr w14:val="tx1"/>
            </w14:solidFill>
          </w14:textFill>
        </w:rPr>
        <w:t>集中收集后定期清运至就近寨子的垃圾收集点</w:t>
      </w:r>
      <w:r>
        <w:rPr>
          <w:color w:val="000000" w:themeColor="text1"/>
          <w14:textFill>
            <w14:solidFill>
              <w14:schemeClr w14:val="tx1"/>
            </w14:solidFill>
          </w14:textFill>
        </w:rPr>
        <w:t>，对环境的影响较小。</w:t>
      </w:r>
    </w:p>
    <w:p w14:paraId="0280E47F">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项目区施工场地设置有旱厕，定期委托环卫部门清掏，施工期结束后，就地填埋。</w:t>
      </w:r>
    </w:p>
    <w:p w14:paraId="61572E55">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（4）总结</w:t>
      </w:r>
    </w:p>
    <w:p w14:paraId="60BF73F9">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本项目施工期产生的土石方、建筑垃圾、生活垃圾均能得到有效的处置，禁止随意丢弃，对环境影响较小。</w:t>
      </w:r>
    </w:p>
    <w:bookmarkEnd w:id="386"/>
    <w:p w14:paraId="7AC3783E">
      <w:pPr>
        <w:pStyle w:val="4"/>
        <w:rPr>
          <w:rFonts w:ascii="Times New Roman" w:hAnsi="Times New Roman"/>
          <w:color w:val="000000" w:themeColor="text1"/>
          <w:lang w:val="zh-CN"/>
          <w14:textFill>
            <w14:solidFill>
              <w14:schemeClr w14:val="tx1"/>
            </w14:solidFill>
          </w14:textFill>
        </w:rPr>
      </w:pPr>
      <w:bookmarkStart w:id="390" w:name="_Toc2773762"/>
      <w:r>
        <w:rPr>
          <w:rFonts w:ascii="Times New Roman" w:hAnsi="Times New Roman"/>
          <w:color w:val="000000" w:themeColor="text1"/>
          <w:lang w:val="zh-CN"/>
          <w14:textFill>
            <w14:solidFill>
              <w14:schemeClr w14:val="tx1"/>
            </w14:solidFill>
          </w14:textFill>
        </w:rPr>
        <w:t>5.</w:t>
      </w:r>
      <w:r>
        <w:rPr>
          <w:rFonts w:hint="eastAsia" w:ascii="Times New Roman" w:hAnsi="Times New Roman"/>
          <w:color w:val="000000" w:themeColor="text1"/>
          <w:lang w:val="zh-CN"/>
          <w14:textFill>
            <w14:solidFill>
              <w14:schemeClr w14:val="tx1"/>
            </w14:solidFill>
          </w14:textFill>
        </w:rPr>
        <w:t>5</w:t>
      </w:r>
      <w:r>
        <w:rPr>
          <w:rFonts w:ascii="Times New Roman" w:hAnsi="Times New Roman"/>
          <w:color w:val="000000" w:themeColor="text1"/>
          <w:lang w:val="zh-CN"/>
          <w14:textFill>
            <w14:solidFill>
              <w14:schemeClr w14:val="tx1"/>
            </w14:solidFill>
          </w14:textFill>
        </w:rPr>
        <w:t>施工期影响评价结论</w:t>
      </w:r>
      <w:bookmarkEnd w:id="390"/>
    </w:p>
    <w:p w14:paraId="1ADD86EE">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综上，项目施工期对环境产生均为短期的影响，建设单位和施工单位在施工过程中只要切实落实对施工产生的废水、扬尘、噪声、固体废物的管理和控制措施，施工期环境影响将得到有效控制。</w:t>
      </w:r>
    </w:p>
    <w:p w14:paraId="4397A598">
      <w:pPr>
        <w:autoSpaceDE w:val="0"/>
        <w:autoSpaceDN w:val="0"/>
        <w:adjustRightInd w:val="0"/>
        <w:jc w:val="left"/>
        <w:rPr>
          <w:rFonts w:eastAsia="黑体"/>
          <w:b/>
          <w:bCs/>
          <w:color w:val="000000" w:themeColor="text1"/>
          <w:kern w:val="44"/>
          <w:sz w:val="36"/>
          <w:szCs w:val="36"/>
          <w14:textFill>
            <w14:solidFill>
              <w14:schemeClr w14:val="tx1"/>
            </w14:solidFill>
          </w14:textFill>
        </w:rPr>
      </w:pPr>
      <w:r>
        <w:rPr>
          <w:color w:val="000000" w:themeColor="text1"/>
          <w14:textFill>
            <w14:solidFill>
              <w14:schemeClr w14:val="tx1"/>
            </w14:solidFill>
          </w14:textFill>
        </w:rPr>
        <w:br w:type="page"/>
      </w:r>
    </w:p>
    <w:p w14:paraId="026FC1EA">
      <w:pPr>
        <w:pStyle w:val="3"/>
        <w:rPr>
          <w:color w:val="000000" w:themeColor="text1"/>
          <w14:textFill>
            <w14:solidFill>
              <w14:schemeClr w14:val="tx1"/>
            </w14:solidFill>
          </w14:textFill>
        </w:rPr>
      </w:pPr>
      <w:bookmarkStart w:id="391" w:name="_Toc2773763"/>
      <w:r>
        <w:rPr>
          <w:color w:val="000000" w:themeColor="text1"/>
          <w14:textFill>
            <w14:solidFill>
              <w14:schemeClr w14:val="tx1"/>
            </w14:solidFill>
          </w14:textFill>
        </w:rPr>
        <w:t>6运营期环境影响预测评价</w:t>
      </w:r>
      <w:bookmarkEnd w:id="376"/>
      <w:bookmarkEnd w:id="391"/>
      <w:r>
        <w:rPr>
          <w:color w:val="000000" w:themeColor="text1"/>
          <w14:textFill>
            <w14:solidFill>
              <w14:schemeClr w14:val="tx1"/>
            </w14:solidFill>
          </w14:textFill>
        </w:rPr>
        <w:tab/>
      </w:r>
    </w:p>
    <w:p w14:paraId="46AE7214">
      <w:pPr>
        <w:pStyle w:val="4"/>
        <w:rPr>
          <w:rFonts w:ascii="Times New Roman" w:hAnsi="Times New Roman"/>
          <w:color w:val="000000" w:themeColor="text1"/>
          <w14:textFill>
            <w14:solidFill>
              <w14:schemeClr w14:val="tx1"/>
            </w14:solidFill>
          </w14:textFill>
        </w:rPr>
      </w:pPr>
      <w:bookmarkStart w:id="392" w:name="_Toc290295816"/>
      <w:bookmarkStart w:id="393" w:name="_Toc2773764"/>
      <w:bookmarkStart w:id="394" w:name="_Toc280621099"/>
      <w:r>
        <w:rPr>
          <w:rFonts w:ascii="Times New Roman" w:hAnsi="Times New Roman"/>
          <w:color w:val="000000" w:themeColor="text1"/>
          <w14:textFill>
            <w14:solidFill>
              <w14:schemeClr w14:val="tx1"/>
            </w14:solidFill>
          </w14:textFill>
        </w:rPr>
        <w:t>6.1大气环境影响预测评价</w:t>
      </w:r>
      <w:bookmarkEnd w:id="392"/>
      <w:bookmarkEnd w:id="393"/>
      <w:bookmarkEnd w:id="394"/>
    </w:p>
    <w:p w14:paraId="6D152E83">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6.1.1评价区气象资料</w:t>
      </w:r>
    </w:p>
    <w:p w14:paraId="31EC12A6">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1、区域气候概况</w:t>
      </w:r>
    </w:p>
    <w:p w14:paraId="027C9A32">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芒市地处低纬高原，太阳高度角大，太阳辐射较强，热量丰富；受南亚季风影响， 夏季水气丰沛，湿润多雨，而冬季受干暖气团影响，温暖少雨，形成干雨分明，主体属南亚热带季风气候。潞西市历年平均气温 19.5 摄氏度，历年极端最高气温 36.2 摄氏度，极端最低气温-0.6摄氏度；历年平均相对湿度 79%；历年平均降雨量 1626.1 毫米，年最大降雨量 2294 毫米，年最小降雨 1309.7 毫米；历年平均日照 2352.3 小时，年最大日照 2713.3 小时，年最小日照 1834.9 小时；历年平均有霜期 19 天，年最大有霜期 54 天，年最小有霜期 2 天；有雾日数 60 天。</w:t>
      </w:r>
    </w:p>
    <w:p w14:paraId="6357C77A">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2、气象背景及污染气象</w:t>
      </w:r>
    </w:p>
    <w:p w14:paraId="31B74877">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芒市气象站 30 年（1971~2000 年）平均气候资见表6.1-1。</w:t>
      </w:r>
    </w:p>
    <w:p w14:paraId="7119E790">
      <w:pPr>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b/>
          <w:color w:val="000000" w:themeColor="text1"/>
          <w:spacing w:val="-1"/>
          <w:sz w:val="24"/>
          <w14:textFill>
            <w14:solidFill>
              <w14:schemeClr w14:val="tx1"/>
            </w14:solidFill>
          </w14:textFill>
        </w:rPr>
        <w:t xml:space="preserve"> </w:t>
      </w:r>
      <w:r>
        <w:rPr>
          <w:rFonts w:eastAsia="Times New Roman"/>
          <w:b/>
          <w:color w:val="000000" w:themeColor="text1"/>
          <w:sz w:val="24"/>
          <w14:textFill>
            <w14:solidFill>
              <w14:schemeClr w14:val="tx1"/>
            </w14:solidFill>
          </w14:textFill>
        </w:rPr>
        <w:t>6.1-1</w:t>
      </w:r>
      <w:r>
        <w:rPr>
          <w:rFonts w:eastAsiaTheme="minor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芒市常年各月各气象要素一览表（资料年代：</w:t>
      </w:r>
      <w:r>
        <w:rPr>
          <w:rFonts w:eastAsia="Times New Roman"/>
          <w:b/>
          <w:color w:val="000000" w:themeColor="text1"/>
          <w:sz w:val="24"/>
          <w14:textFill>
            <w14:solidFill>
              <w14:schemeClr w14:val="tx1"/>
            </w14:solidFill>
          </w14:textFill>
        </w:rPr>
        <w:t>1971~2000</w:t>
      </w:r>
      <w:r>
        <w:rPr>
          <w:rFonts w:eastAsia="Times New Roman"/>
          <w:b/>
          <w:color w:val="000000" w:themeColor="text1"/>
          <w:spacing w:val="-18"/>
          <w:sz w:val="24"/>
          <w14:textFill>
            <w14:solidFill>
              <w14:schemeClr w14:val="tx1"/>
            </w14:solidFill>
          </w14:textFill>
        </w:rPr>
        <w:t xml:space="preserve"> </w:t>
      </w:r>
      <w:r>
        <w:rPr>
          <w:b/>
          <w:color w:val="000000" w:themeColor="text1"/>
          <w:sz w:val="24"/>
          <w14:textFill>
            <w14:solidFill>
              <w14:schemeClr w14:val="tx1"/>
            </w14:solidFill>
          </w14:textFill>
        </w:rPr>
        <w:t>年）</w:t>
      </w:r>
    </w:p>
    <w:tbl>
      <w:tblPr>
        <w:tblStyle w:val="280"/>
        <w:tblW w:w="5338" w:type="pct"/>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11"/>
        <w:gridCol w:w="562"/>
        <w:gridCol w:w="614"/>
        <w:gridCol w:w="615"/>
        <w:gridCol w:w="615"/>
        <w:gridCol w:w="615"/>
        <w:gridCol w:w="615"/>
        <w:gridCol w:w="529"/>
        <w:gridCol w:w="655"/>
        <w:gridCol w:w="528"/>
        <w:gridCol w:w="531"/>
        <w:gridCol w:w="528"/>
        <w:gridCol w:w="615"/>
        <w:gridCol w:w="645"/>
      </w:tblGrid>
      <w:tr w14:paraId="71782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6E5A16FC">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z w:val="18"/>
                <w14:textFill>
                  <w14:solidFill>
                    <w14:schemeClr w14:val="tx1"/>
                  </w14:solidFill>
                </w14:textFill>
              </w:rPr>
              <w:t>月份</w:t>
            </w:r>
          </w:p>
        </w:tc>
        <w:tc>
          <w:tcPr>
            <w:tcW w:w="317" w:type="pct"/>
            <w:vAlign w:val="center"/>
          </w:tcPr>
          <w:p w14:paraId="3D77A3B4">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p>
        </w:tc>
        <w:tc>
          <w:tcPr>
            <w:tcW w:w="346" w:type="pct"/>
            <w:vAlign w:val="center"/>
          </w:tcPr>
          <w:p w14:paraId="47B6E87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w:t>
            </w:r>
          </w:p>
        </w:tc>
        <w:tc>
          <w:tcPr>
            <w:tcW w:w="346" w:type="pct"/>
            <w:vAlign w:val="center"/>
          </w:tcPr>
          <w:p w14:paraId="46CC9C6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w:t>
            </w:r>
          </w:p>
        </w:tc>
        <w:tc>
          <w:tcPr>
            <w:tcW w:w="346" w:type="pct"/>
            <w:vAlign w:val="center"/>
          </w:tcPr>
          <w:p w14:paraId="239B99B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w:t>
            </w:r>
          </w:p>
        </w:tc>
        <w:tc>
          <w:tcPr>
            <w:tcW w:w="346" w:type="pct"/>
            <w:vAlign w:val="center"/>
          </w:tcPr>
          <w:p w14:paraId="3E0D595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w:t>
            </w:r>
          </w:p>
        </w:tc>
        <w:tc>
          <w:tcPr>
            <w:tcW w:w="346" w:type="pct"/>
            <w:vAlign w:val="center"/>
          </w:tcPr>
          <w:p w14:paraId="3483293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w:t>
            </w:r>
          </w:p>
        </w:tc>
        <w:tc>
          <w:tcPr>
            <w:tcW w:w="298" w:type="pct"/>
            <w:vAlign w:val="center"/>
          </w:tcPr>
          <w:p w14:paraId="7BBA871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w:t>
            </w:r>
          </w:p>
        </w:tc>
        <w:tc>
          <w:tcPr>
            <w:tcW w:w="369" w:type="pct"/>
            <w:vAlign w:val="center"/>
          </w:tcPr>
          <w:p w14:paraId="5F97518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w:t>
            </w:r>
          </w:p>
        </w:tc>
        <w:tc>
          <w:tcPr>
            <w:tcW w:w="297" w:type="pct"/>
            <w:vAlign w:val="center"/>
          </w:tcPr>
          <w:p w14:paraId="0ADCED6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w:t>
            </w:r>
          </w:p>
        </w:tc>
        <w:tc>
          <w:tcPr>
            <w:tcW w:w="299" w:type="pct"/>
            <w:vAlign w:val="center"/>
          </w:tcPr>
          <w:p w14:paraId="64F7847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w:t>
            </w:r>
          </w:p>
        </w:tc>
        <w:tc>
          <w:tcPr>
            <w:tcW w:w="297" w:type="pct"/>
            <w:vAlign w:val="center"/>
          </w:tcPr>
          <w:p w14:paraId="64F46E5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346" w:type="pct"/>
            <w:vAlign w:val="center"/>
          </w:tcPr>
          <w:p w14:paraId="1724FE9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w:t>
            </w:r>
          </w:p>
        </w:tc>
        <w:tc>
          <w:tcPr>
            <w:tcW w:w="363" w:type="pct"/>
            <w:vAlign w:val="center"/>
          </w:tcPr>
          <w:p w14:paraId="04CFF14D">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z w:val="18"/>
                <w14:textFill>
                  <w14:solidFill>
                    <w14:schemeClr w14:val="tx1"/>
                  </w14:solidFill>
                </w14:textFill>
              </w:rPr>
              <w:t>全年</w:t>
            </w:r>
          </w:p>
        </w:tc>
      </w:tr>
      <w:tr w14:paraId="5D323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55A3ABEB">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z w:val="18"/>
                <w14:textFill>
                  <w14:solidFill>
                    <w14:schemeClr w14:val="tx1"/>
                  </w14:solidFill>
                </w14:textFill>
              </w:rPr>
              <w:t>气压（</w:t>
            </w:r>
            <w:r>
              <w:rPr>
                <w:rFonts w:ascii="Times New Roman" w:hAnsi="Times New Roman" w:cs="Times New Roman"/>
                <w:color w:val="000000" w:themeColor="text1"/>
                <w:sz w:val="18"/>
                <w14:textFill>
                  <w14:solidFill>
                    <w14:schemeClr w14:val="tx1"/>
                  </w14:solidFill>
                </w14:textFill>
              </w:rPr>
              <w:t>hPa</w:t>
            </w:r>
            <w:r>
              <w:rPr>
                <w:rFonts w:ascii="Times New Roman" w:hAnsi="Times New Roman" w:eastAsia="宋体" w:cs="Times New Roman"/>
                <w:color w:val="000000" w:themeColor="text1"/>
                <w:sz w:val="18"/>
                <w14:textFill>
                  <w14:solidFill>
                    <w14:schemeClr w14:val="tx1"/>
                  </w14:solidFill>
                </w14:textFill>
              </w:rPr>
              <w:t>）</w:t>
            </w:r>
          </w:p>
        </w:tc>
        <w:tc>
          <w:tcPr>
            <w:tcW w:w="317" w:type="pct"/>
            <w:vAlign w:val="center"/>
          </w:tcPr>
          <w:p w14:paraId="54447DC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913.5</w:t>
            </w:r>
          </w:p>
        </w:tc>
        <w:tc>
          <w:tcPr>
            <w:tcW w:w="346" w:type="pct"/>
            <w:vAlign w:val="center"/>
          </w:tcPr>
          <w:p w14:paraId="66F1682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912.3</w:t>
            </w:r>
          </w:p>
        </w:tc>
        <w:tc>
          <w:tcPr>
            <w:tcW w:w="346" w:type="pct"/>
            <w:vAlign w:val="center"/>
          </w:tcPr>
          <w:p w14:paraId="6D91FFF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910.9</w:t>
            </w:r>
          </w:p>
        </w:tc>
        <w:tc>
          <w:tcPr>
            <w:tcW w:w="346" w:type="pct"/>
            <w:vAlign w:val="center"/>
          </w:tcPr>
          <w:p w14:paraId="3E9928F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909.3</w:t>
            </w:r>
          </w:p>
        </w:tc>
        <w:tc>
          <w:tcPr>
            <w:tcW w:w="346" w:type="pct"/>
            <w:vAlign w:val="center"/>
          </w:tcPr>
          <w:p w14:paraId="3680F97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907.4</w:t>
            </w:r>
          </w:p>
        </w:tc>
        <w:tc>
          <w:tcPr>
            <w:tcW w:w="346" w:type="pct"/>
            <w:vAlign w:val="center"/>
          </w:tcPr>
          <w:p w14:paraId="53F4F9D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905.2</w:t>
            </w:r>
          </w:p>
        </w:tc>
        <w:tc>
          <w:tcPr>
            <w:tcW w:w="298" w:type="pct"/>
            <w:vAlign w:val="center"/>
          </w:tcPr>
          <w:p w14:paraId="06F7D4E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905.1</w:t>
            </w:r>
          </w:p>
        </w:tc>
        <w:tc>
          <w:tcPr>
            <w:tcW w:w="369" w:type="pct"/>
            <w:vAlign w:val="center"/>
          </w:tcPr>
          <w:p w14:paraId="4AD6D46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905.9</w:t>
            </w:r>
          </w:p>
        </w:tc>
        <w:tc>
          <w:tcPr>
            <w:tcW w:w="297" w:type="pct"/>
            <w:vAlign w:val="center"/>
          </w:tcPr>
          <w:p w14:paraId="5CC731E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908.8</w:t>
            </w:r>
          </w:p>
        </w:tc>
        <w:tc>
          <w:tcPr>
            <w:tcW w:w="299" w:type="pct"/>
            <w:vAlign w:val="center"/>
          </w:tcPr>
          <w:p w14:paraId="2FEB76C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911.9</w:t>
            </w:r>
          </w:p>
        </w:tc>
        <w:tc>
          <w:tcPr>
            <w:tcW w:w="297" w:type="pct"/>
            <w:vAlign w:val="center"/>
          </w:tcPr>
          <w:p w14:paraId="4F6BBC9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914.0</w:t>
            </w:r>
          </w:p>
        </w:tc>
        <w:tc>
          <w:tcPr>
            <w:tcW w:w="346" w:type="pct"/>
            <w:vAlign w:val="center"/>
          </w:tcPr>
          <w:p w14:paraId="1D9CEAD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914.8</w:t>
            </w:r>
          </w:p>
        </w:tc>
        <w:tc>
          <w:tcPr>
            <w:tcW w:w="363" w:type="pct"/>
            <w:vAlign w:val="center"/>
          </w:tcPr>
          <w:p w14:paraId="45E7798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909.6</w:t>
            </w:r>
          </w:p>
        </w:tc>
      </w:tr>
      <w:tr w14:paraId="1ECE5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2A74118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z w:val="18"/>
                <w14:textFill>
                  <w14:solidFill>
                    <w14:schemeClr w14:val="tx1"/>
                  </w14:solidFill>
                </w14:textFill>
              </w:rPr>
              <w:t>气温</w:t>
            </w:r>
            <w:r>
              <w:rPr>
                <w:rFonts w:ascii="Times New Roman" w:hAnsi="Times New Roman" w:cs="Times New Roman"/>
                <w:color w:val="000000" w:themeColor="text1"/>
                <w:sz w:val="18"/>
                <w14:textFill>
                  <w14:solidFill>
                    <w14:schemeClr w14:val="tx1"/>
                  </w14:solidFill>
                </w14:textFill>
              </w:rPr>
              <w:t>(</w:t>
            </w:r>
            <w:r>
              <w:rPr>
                <w:rFonts w:hint="eastAsia" w:ascii="宋体" w:hAnsi="宋体" w:eastAsia="宋体" w:cs="宋体"/>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w:t>
            </w:r>
          </w:p>
        </w:tc>
        <w:tc>
          <w:tcPr>
            <w:tcW w:w="317" w:type="pct"/>
            <w:vAlign w:val="center"/>
          </w:tcPr>
          <w:p w14:paraId="3CB2C0B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12.3</w:t>
            </w:r>
          </w:p>
        </w:tc>
        <w:tc>
          <w:tcPr>
            <w:tcW w:w="346" w:type="pct"/>
            <w:vAlign w:val="center"/>
          </w:tcPr>
          <w:p w14:paraId="52054C5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14.2</w:t>
            </w:r>
          </w:p>
        </w:tc>
        <w:tc>
          <w:tcPr>
            <w:tcW w:w="346" w:type="pct"/>
            <w:vAlign w:val="center"/>
          </w:tcPr>
          <w:p w14:paraId="06446F9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17.7</w:t>
            </w:r>
          </w:p>
        </w:tc>
        <w:tc>
          <w:tcPr>
            <w:tcW w:w="346" w:type="pct"/>
            <w:vAlign w:val="center"/>
          </w:tcPr>
          <w:p w14:paraId="711BFF5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21.0</w:t>
            </w:r>
          </w:p>
        </w:tc>
        <w:tc>
          <w:tcPr>
            <w:tcW w:w="346" w:type="pct"/>
            <w:vAlign w:val="center"/>
          </w:tcPr>
          <w:p w14:paraId="64A93BC4">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23.3</w:t>
            </w:r>
          </w:p>
        </w:tc>
        <w:tc>
          <w:tcPr>
            <w:tcW w:w="346" w:type="pct"/>
            <w:vAlign w:val="center"/>
          </w:tcPr>
          <w:p w14:paraId="051AA1F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24.1</w:t>
            </w:r>
          </w:p>
        </w:tc>
        <w:tc>
          <w:tcPr>
            <w:tcW w:w="298" w:type="pct"/>
            <w:vAlign w:val="center"/>
          </w:tcPr>
          <w:p w14:paraId="4241C67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23.7</w:t>
            </w:r>
          </w:p>
        </w:tc>
        <w:tc>
          <w:tcPr>
            <w:tcW w:w="369" w:type="pct"/>
            <w:vAlign w:val="center"/>
          </w:tcPr>
          <w:p w14:paraId="479D52B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23.9</w:t>
            </w:r>
          </w:p>
        </w:tc>
        <w:tc>
          <w:tcPr>
            <w:tcW w:w="297" w:type="pct"/>
            <w:vAlign w:val="center"/>
          </w:tcPr>
          <w:p w14:paraId="437C590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23.3</w:t>
            </w:r>
          </w:p>
        </w:tc>
        <w:tc>
          <w:tcPr>
            <w:tcW w:w="299" w:type="pct"/>
            <w:vAlign w:val="center"/>
          </w:tcPr>
          <w:p w14:paraId="30F14E4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21.2</w:t>
            </w:r>
          </w:p>
        </w:tc>
        <w:tc>
          <w:tcPr>
            <w:tcW w:w="297" w:type="pct"/>
            <w:vAlign w:val="center"/>
          </w:tcPr>
          <w:p w14:paraId="5071D53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17.1</w:t>
            </w:r>
          </w:p>
        </w:tc>
        <w:tc>
          <w:tcPr>
            <w:tcW w:w="346" w:type="pct"/>
            <w:vAlign w:val="center"/>
          </w:tcPr>
          <w:p w14:paraId="2A6885F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13.3</w:t>
            </w:r>
          </w:p>
        </w:tc>
        <w:tc>
          <w:tcPr>
            <w:tcW w:w="363" w:type="pct"/>
            <w:vAlign w:val="center"/>
          </w:tcPr>
          <w:p w14:paraId="7E7E9CD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19.6</w:t>
            </w:r>
          </w:p>
        </w:tc>
      </w:tr>
      <w:tr w14:paraId="1838A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753A586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z w:val="18"/>
                <w14:textFill>
                  <w14:solidFill>
                    <w14:schemeClr w14:val="tx1"/>
                  </w14:solidFill>
                </w14:textFill>
              </w:rPr>
              <w:t>降水量</w:t>
            </w:r>
            <w:r>
              <w:rPr>
                <w:rFonts w:ascii="Times New Roman" w:hAnsi="Times New Roman" w:cs="Times New Roman"/>
                <w:color w:val="000000" w:themeColor="text1"/>
                <w:sz w:val="18"/>
                <w14:textFill>
                  <w14:solidFill>
                    <w14:schemeClr w14:val="tx1"/>
                  </w14:solidFill>
                </w14:textFill>
              </w:rPr>
              <w:t>(mm)</w:t>
            </w:r>
          </w:p>
        </w:tc>
        <w:tc>
          <w:tcPr>
            <w:tcW w:w="317" w:type="pct"/>
            <w:vAlign w:val="center"/>
          </w:tcPr>
          <w:p w14:paraId="52003A9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12.7</w:t>
            </w:r>
          </w:p>
        </w:tc>
        <w:tc>
          <w:tcPr>
            <w:tcW w:w="346" w:type="pct"/>
            <w:vAlign w:val="center"/>
          </w:tcPr>
          <w:p w14:paraId="052F313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26.2</w:t>
            </w:r>
          </w:p>
        </w:tc>
        <w:tc>
          <w:tcPr>
            <w:tcW w:w="346" w:type="pct"/>
            <w:vAlign w:val="center"/>
          </w:tcPr>
          <w:p w14:paraId="1A0C5DA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28.2</w:t>
            </w:r>
          </w:p>
        </w:tc>
        <w:tc>
          <w:tcPr>
            <w:tcW w:w="346" w:type="pct"/>
            <w:vAlign w:val="center"/>
          </w:tcPr>
          <w:p w14:paraId="3DC7D96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59.8</w:t>
            </w:r>
          </w:p>
        </w:tc>
        <w:tc>
          <w:tcPr>
            <w:tcW w:w="346" w:type="pct"/>
            <w:vAlign w:val="center"/>
          </w:tcPr>
          <w:p w14:paraId="46F5163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137.0</w:t>
            </w:r>
          </w:p>
        </w:tc>
        <w:tc>
          <w:tcPr>
            <w:tcW w:w="346" w:type="pct"/>
            <w:vAlign w:val="center"/>
          </w:tcPr>
          <w:p w14:paraId="28E88A3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299.8</w:t>
            </w:r>
          </w:p>
        </w:tc>
        <w:tc>
          <w:tcPr>
            <w:tcW w:w="298" w:type="pct"/>
            <w:vAlign w:val="center"/>
          </w:tcPr>
          <w:p w14:paraId="0A41869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391.2</w:t>
            </w:r>
          </w:p>
        </w:tc>
        <w:tc>
          <w:tcPr>
            <w:tcW w:w="369" w:type="pct"/>
            <w:vAlign w:val="center"/>
          </w:tcPr>
          <w:p w14:paraId="3991BFE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326.4</w:t>
            </w:r>
          </w:p>
        </w:tc>
        <w:tc>
          <w:tcPr>
            <w:tcW w:w="297" w:type="pct"/>
            <w:vAlign w:val="center"/>
          </w:tcPr>
          <w:p w14:paraId="2934E85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183.3</w:t>
            </w:r>
          </w:p>
        </w:tc>
        <w:tc>
          <w:tcPr>
            <w:tcW w:w="299" w:type="pct"/>
            <w:vAlign w:val="center"/>
          </w:tcPr>
          <w:p w14:paraId="074B77E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118.0</w:t>
            </w:r>
          </w:p>
        </w:tc>
        <w:tc>
          <w:tcPr>
            <w:tcW w:w="297" w:type="pct"/>
            <w:vAlign w:val="center"/>
          </w:tcPr>
          <w:p w14:paraId="7D7B421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60.3</w:t>
            </w:r>
          </w:p>
        </w:tc>
        <w:tc>
          <w:tcPr>
            <w:tcW w:w="346" w:type="pct"/>
            <w:vAlign w:val="center"/>
          </w:tcPr>
          <w:p w14:paraId="5FBD4B0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12.3</w:t>
            </w:r>
          </w:p>
        </w:tc>
        <w:tc>
          <w:tcPr>
            <w:tcW w:w="363" w:type="pct"/>
            <w:vAlign w:val="center"/>
          </w:tcPr>
          <w:p w14:paraId="3E50851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1655.2</w:t>
            </w:r>
          </w:p>
        </w:tc>
      </w:tr>
      <w:tr w14:paraId="41043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0CE97BA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z w:val="18"/>
                <w14:textFill>
                  <w14:solidFill>
                    <w14:schemeClr w14:val="tx1"/>
                  </w14:solidFill>
                </w14:textFill>
              </w:rPr>
              <w:t>蒸发量</w:t>
            </w:r>
            <w:r>
              <w:rPr>
                <w:rFonts w:ascii="Times New Roman" w:hAnsi="Times New Roman" w:cs="Times New Roman"/>
                <w:color w:val="000000" w:themeColor="text1"/>
                <w:sz w:val="18"/>
                <w14:textFill>
                  <w14:solidFill>
                    <w14:schemeClr w14:val="tx1"/>
                  </w14:solidFill>
                </w14:textFill>
              </w:rPr>
              <w:t>(mm)</w:t>
            </w:r>
          </w:p>
        </w:tc>
        <w:tc>
          <w:tcPr>
            <w:tcW w:w="317" w:type="pct"/>
            <w:vAlign w:val="center"/>
          </w:tcPr>
          <w:p w14:paraId="5FFBED5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110.4</w:t>
            </w:r>
          </w:p>
        </w:tc>
        <w:tc>
          <w:tcPr>
            <w:tcW w:w="346" w:type="pct"/>
            <w:vAlign w:val="center"/>
          </w:tcPr>
          <w:p w14:paraId="104BC43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132.9</w:t>
            </w:r>
          </w:p>
        </w:tc>
        <w:tc>
          <w:tcPr>
            <w:tcW w:w="346" w:type="pct"/>
            <w:vAlign w:val="center"/>
          </w:tcPr>
          <w:p w14:paraId="6ADFF24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197.6</w:t>
            </w:r>
          </w:p>
        </w:tc>
        <w:tc>
          <w:tcPr>
            <w:tcW w:w="346" w:type="pct"/>
            <w:vAlign w:val="center"/>
          </w:tcPr>
          <w:p w14:paraId="0D7F72B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214.7</w:t>
            </w:r>
          </w:p>
        </w:tc>
        <w:tc>
          <w:tcPr>
            <w:tcW w:w="346" w:type="pct"/>
            <w:vAlign w:val="center"/>
          </w:tcPr>
          <w:p w14:paraId="6F5DDB8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196.7</w:t>
            </w:r>
          </w:p>
        </w:tc>
        <w:tc>
          <w:tcPr>
            <w:tcW w:w="346" w:type="pct"/>
            <w:vAlign w:val="center"/>
          </w:tcPr>
          <w:p w14:paraId="6BC380E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139.2</w:t>
            </w:r>
          </w:p>
        </w:tc>
        <w:tc>
          <w:tcPr>
            <w:tcW w:w="298" w:type="pct"/>
            <w:vAlign w:val="center"/>
          </w:tcPr>
          <w:p w14:paraId="33486D5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110.6</w:t>
            </w:r>
          </w:p>
        </w:tc>
        <w:tc>
          <w:tcPr>
            <w:tcW w:w="369" w:type="pct"/>
            <w:vAlign w:val="center"/>
          </w:tcPr>
          <w:p w14:paraId="090DDC4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131.4</w:t>
            </w:r>
          </w:p>
        </w:tc>
        <w:tc>
          <w:tcPr>
            <w:tcW w:w="297" w:type="pct"/>
            <w:vAlign w:val="center"/>
          </w:tcPr>
          <w:p w14:paraId="314CB1C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140.3</w:t>
            </w:r>
          </w:p>
        </w:tc>
        <w:tc>
          <w:tcPr>
            <w:tcW w:w="299" w:type="pct"/>
            <w:vAlign w:val="center"/>
          </w:tcPr>
          <w:p w14:paraId="7E2E634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132.1</w:t>
            </w:r>
          </w:p>
        </w:tc>
        <w:tc>
          <w:tcPr>
            <w:tcW w:w="297" w:type="pct"/>
            <w:vAlign w:val="center"/>
          </w:tcPr>
          <w:p w14:paraId="505038C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106.3</w:t>
            </w:r>
          </w:p>
        </w:tc>
        <w:tc>
          <w:tcPr>
            <w:tcW w:w="346" w:type="pct"/>
            <w:vAlign w:val="center"/>
          </w:tcPr>
          <w:p w14:paraId="42CEE42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98.3</w:t>
            </w:r>
          </w:p>
        </w:tc>
        <w:tc>
          <w:tcPr>
            <w:tcW w:w="363" w:type="pct"/>
            <w:vAlign w:val="center"/>
          </w:tcPr>
          <w:p w14:paraId="3D8AE23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1710.2</w:t>
            </w:r>
          </w:p>
        </w:tc>
      </w:tr>
      <w:tr w14:paraId="17547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1134D94C">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pacing w:val="-21"/>
                <w:sz w:val="18"/>
                <w14:textFill>
                  <w14:solidFill>
                    <w14:schemeClr w14:val="tx1"/>
                  </w14:solidFill>
                </w14:textFill>
              </w:rPr>
              <w:t>相对湿度</w:t>
            </w:r>
            <w:r>
              <w:rPr>
                <w:rFonts w:ascii="Times New Roman" w:hAnsi="Times New Roman" w:eastAsia="宋体" w:cs="Times New Roman"/>
                <w:color w:val="000000" w:themeColor="text1"/>
                <w:spacing w:val="-11"/>
                <w:sz w:val="18"/>
                <w14:textFill>
                  <w14:solidFill>
                    <w14:schemeClr w14:val="tx1"/>
                  </w14:solidFill>
                </w14:textFill>
              </w:rPr>
              <w:t>（</w:t>
            </w:r>
            <w:r>
              <w:rPr>
                <w:rFonts w:ascii="Times New Roman" w:hAnsi="Times New Roman" w:cs="Times New Roman"/>
                <w:color w:val="000000" w:themeColor="text1"/>
                <w:spacing w:val="-11"/>
                <w:sz w:val="18"/>
                <w14:textFill>
                  <w14:solidFill>
                    <w14:schemeClr w14:val="tx1"/>
                  </w14:solidFill>
                </w14:textFill>
              </w:rPr>
              <w:t>%</w:t>
            </w:r>
            <w:r>
              <w:rPr>
                <w:rFonts w:ascii="Times New Roman" w:hAnsi="Times New Roman" w:eastAsia="宋体" w:cs="Times New Roman"/>
                <w:color w:val="000000" w:themeColor="text1"/>
                <w:spacing w:val="-11"/>
                <w:sz w:val="18"/>
                <w14:textFill>
                  <w14:solidFill>
                    <w14:schemeClr w14:val="tx1"/>
                  </w14:solidFill>
                </w14:textFill>
              </w:rPr>
              <w:t>）</w:t>
            </w:r>
          </w:p>
        </w:tc>
        <w:tc>
          <w:tcPr>
            <w:tcW w:w="317" w:type="pct"/>
            <w:vAlign w:val="center"/>
          </w:tcPr>
          <w:p w14:paraId="56558BF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78</w:t>
            </w:r>
          </w:p>
        </w:tc>
        <w:tc>
          <w:tcPr>
            <w:tcW w:w="346" w:type="pct"/>
            <w:vAlign w:val="center"/>
          </w:tcPr>
          <w:p w14:paraId="0DFF5D1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73</w:t>
            </w:r>
          </w:p>
        </w:tc>
        <w:tc>
          <w:tcPr>
            <w:tcW w:w="346" w:type="pct"/>
            <w:vAlign w:val="center"/>
          </w:tcPr>
          <w:p w14:paraId="1F7E610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67</w:t>
            </w:r>
          </w:p>
        </w:tc>
        <w:tc>
          <w:tcPr>
            <w:tcW w:w="346" w:type="pct"/>
            <w:vAlign w:val="center"/>
          </w:tcPr>
          <w:p w14:paraId="47467254">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68</w:t>
            </w:r>
          </w:p>
        </w:tc>
        <w:tc>
          <w:tcPr>
            <w:tcW w:w="346" w:type="pct"/>
            <w:vAlign w:val="center"/>
          </w:tcPr>
          <w:p w14:paraId="31803EF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76</w:t>
            </w:r>
          </w:p>
        </w:tc>
        <w:tc>
          <w:tcPr>
            <w:tcW w:w="346" w:type="pct"/>
            <w:vAlign w:val="center"/>
          </w:tcPr>
          <w:p w14:paraId="55AE4684">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85</w:t>
            </w:r>
          </w:p>
        </w:tc>
        <w:tc>
          <w:tcPr>
            <w:tcW w:w="298" w:type="pct"/>
            <w:vAlign w:val="center"/>
          </w:tcPr>
          <w:p w14:paraId="346E3B8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88</w:t>
            </w:r>
          </w:p>
        </w:tc>
        <w:tc>
          <w:tcPr>
            <w:tcW w:w="369" w:type="pct"/>
            <w:vAlign w:val="center"/>
          </w:tcPr>
          <w:p w14:paraId="5936F55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87</w:t>
            </w:r>
          </w:p>
        </w:tc>
        <w:tc>
          <w:tcPr>
            <w:tcW w:w="297" w:type="pct"/>
            <w:vAlign w:val="center"/>
          </w:tcPr>
          <w:p w14:paraId="40BD86F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86</w:t>
            </w:r>
          </w:p>
        </w:tc>
        <w:tc>
          <w:tcPr>
            <w:tcW w:w="299" w:type="pct"/>
            <w:vAlign w:val="center"/>
          </w:tcPr>
          <w:p w14:paraId="2987B59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84</w:t>
            </w:r>
          </w:p>
        </w:tc>
        <w:tc>
          <w:tcPr>
            <w:tcW w:w="297" w:type="pct"/>
            <w:vAlign w:val="center"/>
          </w:tcPr>
          <w:p w14:paraId="7882C28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83</w:t>
            </w:r>
          </w:p>
        </w:tc>
        <w:tc>
          <w:tcPr>
            <w:tcW w:w="346" w:type="pct"/>
            <w:vAlign w:val="center"/>
          </w:tcPr>
          <w:p w14:paraId="4A3EA59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81</w:t>
            </w:r>
          </w:p>
        </w:tc>
        <w:tc>
          <w:tcPr>
            <w:tcW w:w="363" w:type="pct"/>
            <w:vAlign w:val="center"/>
          </w:tcPr>
          <w:p w14:paraId="45EF123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80</w:t>
            </w:r>
          </w:p>
        </w:tc>
      </w:tr>
      <w:tr w14:paraId="5AC74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17A35E8F">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pacing w:val="-39"/>
                <w:sz w:val="18"/>
                <w14:textFill>
                  <w14:solidFill>
                    <w14:schemeClr w14:val="tx1"/>
                  </w14:solidFill>
                </w14:textFill>
              </w:rPr>
              <w:t>平均风速</w:t>
            </w:r>
            <w:r>
              <w:rPr>
                <w:rFonts w:ascii="Times New Roman" w:hAnsi="Times New Roman" w:eastAsia="宋体" w:cs="Times New Roman"/>
                <w:color w:val="000000" w:themeColor="text1"/>
                <w:spacing w:val="-11"/>
                <w:sz w:val="18"/>
                <w14:textFill>
                  <w14:solidFill>
                    <w14:schemeClr w14:val="tx1"/>
                  </w14:solidFill>
                </w14:textFill>
              </w:rPr>
              <w:t>（</w:t>
            </w:r>
            <w:r>
              <w:rPr>
                <w:rFonts w:ascii="Times New Roman" w:hAnsi="Times New Roman" w:cs="Times New Roman"/>
                <w:color w:val="000000" w:themeColor="text1"/>
                <w:spacing w:val="-11"/>
                <w:sz w:val="18"/>
                <w14:textFill>
                  <w14:solidFill>
                    <w14:schemeClr w14:val="tx1"/>
                  </w14:solidFill>
                </w14:textFill>
              </w:rPr>
              <w:t>m/s</w:t>
            </w:r>
            <w:r>
              <w:rPr>
                <w:rFonts w:ascii="Times New Roman" w:hAnsi="Times New Roman" w:eastAsia="宋体" w:cs="Times New Roman"/>
                <w:color w:val="000000" w:themeColor="text1"/>
                <w:spacing w:val="-11"/>
                <w:sz w:val="18"/>
                <w14:textFill>
                  <w14:solidFill>
                    <w14:schemeClr w14:val="tx1"/>
                  </w14:solidFill>
                </w14:textFill>
              </w:rPr>
              <w:t>）</w:t>
            </w:r>
          </w:p>
        </w:tc>
        <w:tc>
          <w:tcPr>
            <w:tcW w:w="317" w:type="pct"/>
            <w:vAlign w:val="center"/>
          </w:tcPr>
          <w:p w14:paraId="736CA766">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w:t>
            </w:r>
          </w:p>
        </w:tc>
        <w:tc>
          <w:tcPr>
            <w:tcW w:w="346" w:type="pct"/>
            <w:vAlign w:val="center"/>
          </w:tcPr>
          <w:p w14:paraId="517E724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w:t>
            </w:r>
          </w:p>
        </w:tc>
        <w:tc>
          <w:tcPr>
            <w:tcW w:w="346" w:type="pct"/>
            <w:vAlign w:val="center"/>
          </w:tcPr>
          <w:p w14:paraId="3A5D215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346" w:type="pct"/>
            <w:vAlign w:val="center"/>
          </w:tcPr>
          <w:p w14:paraId="3503460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w:t>
            </w:r>
          </w:p>
        </w:tc>
        <w:tc>
          <w:tcPr>
            <w:tcW w:w="346" w:type="pct"/>
            <w:vAlign w:val="center"/>
          </w:tcPr>
          <w:p w14:paraId="67AEE06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w:t>
            </w:r>
          </w:p>
        </w:tc>
        <w:tc>
          <w:tcPr>
            <w:tcW w:w="346" w:type="pct"/>
            <w:vAlign w:val="center"/>
          </w:tcPr>
          <w:p w14:paraId="302E5E0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w:t>
            </w:r>
          </w:p>
        </w:tc>
        <w:tc>
          <w:tcPr>
            <w:tcW w:w="298" w:type="pct"/>
            <w:vAlign w:val="center"/>
          </w:tcPr>
          <w:p w14:paraId="00DE584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w:t>
            </w:r>
          </w:p>
        </w:tc>
        <w:tc>
          <w:tcPr>
            <w:tcW w:w="369" w:type="pct"/>
            <w:vAlign w:val="center"/>
          </w:tcPr>
          <w:p w14:paraId="72BA78C6">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w:t>
            </w:r>
          </w:p>
        </w:tc>
        <w:tc>
          <w:tcPr>
            <w:tcW w:w="297" w:type="pct"/>
            <w:vAlign w:val="center"/>
          </w:tcPr>
          <w:p w14:paraId="33B2660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w:t>
            </w:r>
          </w:p>
        </w:tc>
        <w:tc>
          <w:tcPr>
            <w:tcW w:w="299" w:type="pct"/>
            <w:vAlign w:val="center"/>
          </w:tcPr>
          <w:p w14:paraId="791CBD8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w:t>
            </w:r>
          </w:p>
        </w:tc>
        <w:tc>
          <w:tcPr>
            <w:tcW w:w="297" w:type="pct"/>
            <w:vAlign w:val="center"/>
          </w:tcPr>
          <w:p w14:paraId="0A1B03B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w:t>
            </w:r>
          </w:p>
        </w:tc>
        <w:tc>
          <w:tcPr>
            <w:tcW w:w="346" w:type="pct"/>
            <w:vAlign w:val="center"/>
          </w:tcPr>
          <w:p w14:paraId="388ED78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w:t>
            </w:r>
          </w:p>
        </w:tc>
        <w:tc>
          <w:tcPr>
            <w:tcW w:w="363" w:type="pct"/>
            <w:vAlign w:val="center"/>
          </w:tcPr>
          <w:p w14:paraId="74A0392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w:t>
            </w:r>
          </w:p>
        </w:tc>
      </w:tr>
      <w:tr w14:paraId="10B76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Merge w:val="restart"/>
            <w:vAlign w:val="center"/>
          </w:tcPr>
          <w:p w14:paraId="6EA1DF03">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pacing w:val="-21"/>
                <w:sz w:val="18"/>
                <w14:textFill>
                  <w14:solidFill>
                    <w14:schemeClr w14:val="tx1"/>
                  </w14:solidFill>
                </w14:textFill>
              </w:rPr>
              <w:t>最多风向及频</w:t>
            </w:r>
            <w:r>
              <w:rPr>
                <w:rFonts w:ascii="Times New Roman" w:hAnsi="Times New Roman" w:eastAsia="宋体" w:cs="Times New Roman"/>
                <w:color w:val="000000" w:themeColor="text1"/>
                <w:sz w:val="18"/>
                <w14:textFill>
                  <w14:solidFill>
                    <w14:schemeClr w14:val="tx1"/>
                  </w14:solidFill>
                </w14:textFill>
              </w:rPr>
              <w:t>率</w:t>
            </w:r>
          </w:p>
        </w:tc>
        <w:tc>
          <w:tcPr>
            <w:tcW w:w="317" w:type="pct"/>
            <w:vAlign w:val="center"/>
          </w:tcPr>
          <w:p w14:paraId="11BBB77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t>
            </w:r>
          </w:p>
        </w:tc>
        <w:tc>
          <w:tcPr>
            <w:tcW w:w="346" w:type="pct"/>
            <w:vAlign w:val="center"/>
          </w:tcPr>
          <w:p w14:paraId="06F5C33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t>
            </w:r>
          </w:p>
        </w:tc>
        <w:tc>
          <w:tcPr>
            <w:tcW w:w="346" w:type="pct"/>
            <w:vAlign w:val="center"/>
          </w:tcPr>
          <w:p w14:paraId="495922F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346" w:type="pct"/>
            <w:vAlign w:val="center"/>
          </w:tcPr>
          <w:p w14:paraId="209C4AE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346" w:type="pct"/>
            <w:vAlign w:val="center"/>
          </w:tcPr>
          <w:p w14:paraId="6662B8A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346" w:type="pct"/>
            <w:vAlign w:val="center"/>
          </w:tcPr>
          <w:p w14:paraId="565B234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298" w:type="pct"/>
            <w:vAlign w:val="center"/>
          </w:tcPr>
          <w:p w14:paraId="1A08C83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NE</w:t>
            </w:r>
          </w:p>
        </w:tc>
        <w:tc>
          <w:tcPr>
            <w:tcW w:w="369" w:type="pct"/>
            <w:vAlign w:val="center"/>
          </w:tcPr>
          <w:p w14:paraId="68473C4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NE</w:t>
            </w:r>
          </w:p>
        </w:tc>
        <w:tc>
          <w:tcPr>
            <w:tcW w:w="297" w:type="pct"/>
            <w:vAlign w:val="center"/>
          </w:tcPr>
          <w:p w14:paraId="003E272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299" w:type="pct"/>
            <w:vAlign w:val="center"/>
          </w:tcPr>
          <w:p w14:paraId="7A03CA0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297" w:type="pct"/>
            <w:vAlign w:val="center"/>
          </w:tcPr>
          <w:p w14:paraId="595FE23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346" w:type="pct"/>
            <w:vAlign w:val="center"/>
          </w:tcPr>
          <w:p w14:paraId="56C3DBD4">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363" w:type="pct"/>
            <w:vAlign w:val="center"/>
          </w:tcPr>
          <w:p w14:paraId="619F5E3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r>
      <w:tr w14:paraId="1A916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Merge w:val="continue"/>
            <w:vAlign w:val="center"/>
          </w:tcPr>
          <w:p w14:paraId="6070A61E">
            <w:pPr>
              <w:jc w:val="center"/>
              <w:rPr>
                <w:rFonts w:ascii="Times New Roman" w:hAnsi="Times New Roman" w:cs="Times New Roman" w:eastAsiaTheme="minorEastAsia"/>
                <w:color w:val="000000" w:themeColor="text1"/>
                <w:lang w:eastAsia="en-US"/>
                <w14:textFill>
                  <w14:solidFill>
                    <w14:schemeClr w14:val="tx1"/>
                  </w14:solidFill>
                </w14:textFill>
              </w:rPr>
            </w:pPr>
          </w:p>
        </w:tc>
        <w:tc>
          <w:tcPr>
            <w:tcW w:w="317" w:type="pct"/>
            <w:vAlign w:val="center"/>
          </w:tcPr>
          <w:p w14:paraId="2E0D3254">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w:t>
            </w:r>
          </w:p>
        </w:tc>
        <w:tc>
          <w:tcPr>
            <w:tcW w:w="346" w:type="pct"/>
            <w:vAlign w:val="center"/>
          </w:tcPr>
          <w:p w14:paraId="1CC77FB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w:t>
            </w:r>
          </w:p>
        </w:tc>
        <w:tc>
          <w:tcPr>
            <w:tcW w:w="346" w:type="pct"/>
            <w:vAlign w:val="center"/>
          </w:tcPr>
          <w:p w14:paraId="11BC29C6">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346" w:type="pct"/>
            <w:vAlign w:val="center"/>
          </w:tcPr>
          <w:p w14:paraId="66A81B3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346" w:type="pct"/>
            <w:vAlign w:val="center"/>
          </w:tcPr>
          <w:p w14:paraId="118A523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w:t>
            </w:r>
          </w:p>
        </w:tc>
        <w:tc>
          <w:tcPr>
            <w:tcW w:w="346" w:type="pct"/>
            <w:vAlign w:val="center"/>
          </w:tcPr>
          <w:p w14:paraId="7EC13A4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w:t>
            </w:r>
          </w:p>
        </w:tc>
        <w:tc>
          <w:tcPr>
            <w:tcW w:w="298" w:type="pct"/>
            <w:vAlign w:val="center"/>
          </w:tcPr>
          <w:p w14:paraId="6407516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w:t>
            </w:r>
          </w:p>
        </w:tc>
        <w:tc>
          <w:tcPr>
            <w:tcW w:w="369" w:type="pct"/>
            <w:vAlign w:val="center"/>
          </w:tcPr>
          <w:p w14:paraId="35BA102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w:t>
            </w:r>
          </w:p>
        </w:tc>
        <w:tc>
          <w:tcPr>
            <w:tcW w:w="297" w:type="pct"/>
            <w:vAlign w:val="center"/>
          </w:tcPr>
          <w:p w14:paraId="51FE242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w:t>
            </w:r>
          </w:p>
        </w:tc>
        <w:tc>
          <w:tcPr>
            <w:tcW w:w="299" w:type="pct"/>
            <w:vAlign w:val="center"/>
          </w:tcPr>
          <w:p w14:paraId="45E5A2E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w:t>
            </w:r>
          </w:p>
        </w:tc>
        <w:tc>
          <w:tcPr>
            <w:tcW w:w="297" w:type="pct"/>
            <w:vAlign w:val="center"/>
          </w:tcPr>
          <w:p w14:paraId="775EC6A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w:t>
            </w:r>
          </w:p>
        </w:tc>
        <w:tc>
          <w:tcPr>
            <w:tcW w:w="346" w:type="pct"/>
            <w:vAlign w:val="center"/>
          </w:tcPr>
          <w:p w14:paraId="031BF02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w:t>
            </w:r>
          </w:p>
        </w:tc>
        <w:tc>
          <w:tcPr>
            <w:tcW w:w="363" w:type="pct"/>
            <w:vAlign w:val="center"/>
          </w:tcPr>
          <w:p w14:paraId="61663C1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w:t>
            </w:r>
          </w:p>
        </w:tc>
      </w:tr>
      <w:tr w14:paraId="2FB54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Merge w:val="continue"/>
            <w:vAlign w:val="center"/>
          </w:tcPr>
          <w:p w14:paraId="5694E37B">
            <w:pPr>
              <w:jc w:val="center"/>
              <w:rPr>
                <w:rFonts w:ascii="Times New Roman" w:hAnsi="Times New Roman" w:cs="Times New Roman" w:eastAsiaTheme="minorEastAsia"/>
                <w:color w:val="000000" w:themeColor="text1"/>
                <w:lang w:eastAsia="en-US"/>
                <w14:textFill>
                  <w14:solidFill>
                    <w14:schemeClr w14:val="tx1"/>
                  </w14:solidFill>
                </w14:textFill>
              </w:rPr>
            </w:pPr>
          </w:p>
        </w:tc>
        <w:tc>
          <w:tcPr>
            <w:tcW w:w="317" w:type="pct"/>
            <w:vAlign w:val="center"/>
          </w:tcPr>
          <w:p w14:paraId="07725C7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346" w:type="pct"/>
            <w:vAlign w:val="center"/>
          </w:tcPr>
          <w:p w14:paraId="1A2E689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346" w:type="pct"/>
            <w:vAlign w:val="center"/>
          </w:tcPr>
          <w:p w14:paraId="41ECB8D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346" w:type="pct"/>
            <w:vAlign w:val="center"/>
          </w:tcPr>
          <w:p w14:paraId="736616A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346" w:type="pct"/>
            <w:vAlign w:val="center"/>
          </w:tcPr>
          <w:p w14:paraId="75366C5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346" w:type="pct"/>
            <w:vAlign w:val="center"/>
          </w:tcPr>
          <w:p w14:paraId="7F9F33E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298" w:type="pct"/>
            <w:vAlign w:val="center"/>
          </w:tcPr>
          <w:p w14:paraId="1891968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369" w:type="pct"/>
            <w:vAlign w:val="center"/>
          </w:tcPr>
          <w:p w14:paraId="7D70050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297" w:type="pct"/>
            <w:vAlign w:val="center"/>
          </w:tcPr>
          <w:p w14:paraId="4A932AA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299" w:type="pct"/>
            <w:vAlign w:val="center"/>
          </w:tcPr>
          <w:p w14:paraId="39A2F974">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297" w:type="pct"/>
            <w:vAlign w:val="center"/>
          </w:tcPr>
          <w:p w14:paraId="3CA35F9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346" w:type="pct"/>
            <w:vAlign w:val="center"/>
          </w:tcPr>
          <w:p w14:paraId="6D1D318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c>
          <w:tcPr>
            <w:tcW w:w="363" w:type="pct"/>
            <w:vAlign w:val="center"/>
          </w:tcPr>
          <w:p w14:paraId="2785392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r>
      <w:tr w14:paraId="13DAD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Merge w:val="continue"/>
            <w:vAlign w:val="center"/>
          </w:tcPr>
          <w:p w14:paraId="5958F7CC">
            <w:pPr>
              <w:jc w:val="center"/>
              <w:rPr>
                <w:rFonts w:ascii="Times New Roman" w:hAnsi="Times New Roman" w:cs="Times New Roman" w:eastAsiaTheme="minorEastAsia"/>
                <w:color w:val="000000" w:themeColor="text1"/>
                <w:lang w:eastAsia="en-US"/>
                <w14:textFill>
                  <w14:solidFill>
                    <w14:schemeClr w14:val="tx1"/>
                  </w14:solidFill>
                </w14:textFill>
              </w:rPr>
            </w:pPr>
          </w:p>
        </w:tc>
        <w:tc>
          <w:tcPr>
            <w:tcW w:w="317" w:type="pct"/>
            <w:vAlign w:val="center"/>
          </w:tcPr>
          <w:p w14:paraId="372E27E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55</w:t>
            </w:r>
          </w:p>
        </w:tc>
        <w:tc>
          <w:tcPr>
            <w:tcW w:w="346" w:type="pct"/>
            <w:vAlign w:val="center"/>
          </w:tcPr>
          <w:p w14:paraId="61866C3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45</w:t>
            </w:r>
          </w:p>
        </w:tc>
        <w:tc>
          <w:tcPr>
            <w:tcW w:w="346" w:type="pct"/>
            <w:vAlign w:val="center"/>
          </w:tcPr>
          <w:p w14:paraId="3041C8C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37</w:t>
            </w:r>
          </w:p>
        </w:tc>
        <w:tc>
          <w:tcPr>
            <w:tcW w:w="346" w:type="pct"/>
            <w:vAlign w:val="center"/>
          </w:tcPr>
          <w:p w14:paraId="69FC9E4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35</w:t>
            </w:r>
          </w:p>
        </w:tc>
        <w:tc>
          <w:tcPr>
            <w:tcW w:w="346" w:type="pct"/>
            <w:vAlign w:val="center"/>
          </w:tcPr>
          <w:p w14:paraId="251DDB0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37</w:t>
            </w:r>
          </w:p>
        </w:tc>
        <w:tc>
          <w:tcPr>
            <w:tcW w:w="346" w:type="pct"/>
            <w:vAlign w:val="center"/>
          </w:tcPr>
          <w:p w14:paraId="211F627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40</w:t>
            </w:r>
          </w:p>
        </w:tc>
        <w:tc>
          <w:tcPr>
            <w:tcW w:w="298" w:type="pct"/>
            <w:vAlign w:val="center"/>
          </w:tcPr>
          <w:p w14:paraId="03D9592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45</w:t>
            </w:r>
          </w:p>
        </w:tc>
        <w:tc>
          <w:tcPr>
            <w:tcW w:w="369" w:type="pct"/>
            <w:vAlign w:val="center"/>
          </w:tcPr>
          <w:p w14:paraId="7C52693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46</w:t>
            </w:r>
          </w:p>
        </w:tc>
        <w:tc>
          <w:tcPr>
            <w:tcW w:w="297" w:type="pct"/>
            <w:vAlign w:val="center"/>
          </w:tcPr>
          <w:p w14:paraId="094187A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47</w:t>
            </w:r>
          </w:p>
        </w:tc>
        <w:tc>
          <w:tcPr>
            <w:tcW w:w="299" w:type="pct"/>
            <w:vAlign w:val="center"/>
          </w:tcPr>
          <w:p w14:paraId="2EF5530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52</w:t>
            </w:r>
          </w:p>
        </w:tc>
        <w:tc>
          <w:tcPr>
            <w:tcW w:w="297" w:type="pct"/>
            <w:vAlign w:val="center"/>
          </w:tcPr>
          <w:p w14:paraId="63473B2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57</w:t>
            </w:r>
          </w:p>
        </w:tc>
        <w:tc>
          <w:tcPr>
            <w:tcW w:w="346" w:type="pct"/>
            <w:vAlign w:val="center"/>
          </w:tcPr>
          <w:p w14:paraId="39837374">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60</w:t>
            </w:r>
          </w:p>
        </w:tc>
        <w:tc>
          <w:tcPr>
            <w:tcW w:w="363" w:type="pct"/>
            <w:vAlign w:val="center"/>
          </w:tcPr>
          <w:p w14:paraId="7B21BD3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46</w:t>
            </w:r>
          </w:p>
        </w:tc>
      </w:tr>
      <w:tr w14:paraId="2989A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52F7C5D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z w:val="18"/>
                <w14:textFill>
                  <w14:solidFill>
                    <w14:schemeClr w14:val="tx1"/>
                  </w14:solidFill>
                </w14:textFill>
              </w:rPr>
              <w:t>日照时数</w:t>
            </w:r>
            <w:r>
              <w:rPr>
                <w:rFonts w:ascii="Times New Roman" w:hAnsi="Times New Roman" w:cs="Times New Roman"/>
                <w:color w:val="000000" w:themeColor="text1"/>
                <w:sz w:val="18"/>
                <w14:textFill>
                  <w14:solidFill>
                    <w14:schemeClr w14:val="tx1"/>
                  </w14:solidFill>
                </w14:textFill>
              </w:rPr>
              <w:t>(h)</w:t>
            </w:r>
          </w:p>
        </w:tc>
        <w:tc>
          <w:tcPr>
            <w:tcW w:w="317" w:type="pct"/>
            <w:vAlign w:val="center"/>
          </w:tcPr>
          <w:p w14:paraId="0CC43C9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238.9</w:t>
            </w:r>
          </w:p>
        </w:tc>
        <w:tc>
          <w:tcPr>
            <w:tcW w:w="346" w:type="pct"/>
            <w:vAlign w:val="center"/>
          </w:tcPr>
          <w:p w14:paraId="2235D8C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218.9</w:t>
            </w:r>
          </w:p>
        </w:tc>
        <w:tc>
          <w:tcPr>
            <w:tcW w:w="346" w:type="pct"/>
            <w:vAlign w:val="center"/>
          </w:tcPr>
          <w:p w14:paraId="081152D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238.3</w:t>
            </w:r>
          </w:p>
        </w:tc>
        <w:tc>
          <w:tcPr>
            <w:tcW w:w="346" w:type="pct"/>
            <w:vAlign w:val="center"/>
          </w:tcPr>
          <w:p w14:paraId="15D2731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222.4</w:t>
            </w:r>
          </w:p>
        </w:tc>
        <w:tc>
          <w:tcPr>
            <w:tcW w:w="346" w:type="pct"/>
            <w:vAlign w:val="center"/>
          </w:tcPr>
          <w:p w14:paraId="0383F62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205.8</w:t>
            </w:r>
          </w:p>
        </w:tc>
        <w:tc>
          <w:tcPr>
            <w:tcW w:w="346" w:type="pct"/>
            <w:vAlign w:val="center"/>
          </w:tcPr>
          <w:p w14:paraId="126679C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130.5</w:t>
            </w:r>
          </w:p>
        </w:tc>
        <w:tc>
          <w:tcPr>
            <w:tcW w:w="298" w:type="pct"/>
            <w:vAlign w:val="center"/>
          </w:tcPr>
          <w:p w14:paraId="0057780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96.2</w:t>
            </w:r>
          </w:p>
        </w:tc>
        <w:tc>
          <w:tcPr>
            <w:tcW w:w="369" w:type="pct"/>
            <w:vAlign w:val="center"/>
          </w:tcPr>
          <w:p w14:paraId="71B2509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132.7</w:t>
            </w:r>
          </w:p>
        </w:tc>
        <w:tc>
          <w:tcPr>
            <w:tcW w:w="297" w:type="pct"/>
            <w:vAlign w:val="center"/>
          </w:tcPr>
          <w:p w14:paraId="24819F5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158.6</w:t>
            </w:r>
          </w:p>
        </w:tc>
        <w:tc>
          <w:tcPr>
            <w:tcW w:w="299" w:type="pct"/>
            <w:vAlign w:val="center"/>
          </w:tcPr>
          <w:p w14:paraId="56E724C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190.4</w:t>
            </w:r>
          </w:p>
        </w:tc>
        <w:tc>
          <w:tcPr>
            <w:tcW w:w="297" w:type="pct"/>
            <w:vAlign w:val="center"/>
          </w:tcPr>
          <w:p w14:paraId="678B5BE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195.0</w:t>
            </w:r>
          </w:p>
        </w:tc>
        <w:tc>
          <w:tcPr>
            <w:tcW w:w="346" w:type="pct"/>
            <w:vAlign w:val="center"/>
          </w:tcPr>
          <w:p w14:paraId="71F8EE8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225.2</w:t>
            </w:r>
          </w:p>
        </w:tc>
        <w:tc>
          <w:tcPr>
            <w:tcW w:w="363" w:type="pct"/>
            <w:vAlign w:val="center"/>
          </w:tcPr>
          <w:p w14:paraId="5E8D52D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2252.9</w:t>
            </w:r>
          </w:p>
        </w:tc>
      </w:tr>
      <w:tr w14:paraId="5BE0A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3B337295">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pacing w:val="-22"/>
                <w:sz w:val="18"/>
                <w14:textFill>
                  <w14:solidFill>
                    <w14:schemeClr w14:val="tx1"/>
                  </w14:solidFill>
                </w14:textFill>
              </w:rPr>
              <w:t>大风日数</w:t>
            </w:r>
            <w:r>
              <w:rPr>
                <w:rFonts w:ascii="Times New Roman" w:hAnsi="Times New Roman" w:eastAsia="宋体" w:cs="Times New Roman"/>
                <w:color w:val="000000" w:themeColor="text1"/>
                <w:spacing w:val="-21"/>
                <w:sz w:val="18"/>
                <w14:textFill>
                  <w14:solidFill>
                    <w14:schemeClr w14:val="tx1"/>
                  </w14:solidFill>
                </w14:textFill>
              </w:rPr>
              <w:t>（</w:t>
            </w:r>
            <w:r>
              <w:rPr>
                <w:rFonts w:ascii="Times New Roman" w:hAnsi="Times New Roman" w:eastAsia="宋体" w:cs="Times New Roman"/>
                <w:color w:val="000000" w:themeColor="text1"/>
                <w:spacing w:val="-20"/>
                <w:sz w:val="18"/>
                <w14:textFill>
                  <w14:solidFill>
                    <w14:schemeClr w14:val="tx1"/>
                  </w14:solidFill>
                </w14:textFill>
              </w:rPr>
              <w:t>天</w:t>
            </w:r>
            <w:r>
              <w:rPr>
                <w:rFonts w:ascii="Times New Roman" w:hAnsi="Times New Roman" w:eastAsia="宋体" w:cs="Times New Roman"/>
                <w:color w:val="000000" w:themeColor="text1"/>
                <w:sz w:val="18"/>
                <w14:textFill>
                  <w14:solidFill>
                    <w14:schemeClr w14:val="tx1"/>
                  </w14:solidFill>
                </w14:textFill>
              </w:rPr>
              <w:t>）</w:t>
            </w:r>
          </w:p>
        </w:tc>
        <w:tc>
          <w:tcPr>
            <w:tcW w:w="317" w:type="pct"/>
            <w:vAlign w:val="center"/>
          </w:tcPr>
          <w:p w14:paraId="0A4B793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w:t>
            </w:r>
          </w:p>
        </w:tc>
        <w:tc>
          <w:tcPr>
            <w:tcW w:w="346" w:type="pct"/>
            <w:vAlign w:val="center"/>
          </w:tcPr>
          <w:p w14:paraId="5B083FFB">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w:t>
            </w:r>
          </w:p>
        </w:tc>
        <w:tc>
          <w:tcPr>
            <w:tcW w:w="346" w:type="pct"/>
            <w:vAlign w:val="center"/>
          </w:tcPr>
          <w:p w14:paraId="4E87A50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0.2</w:t>
            </w:r>
          </w:p>
        </w:tc>
        <w:tc>
          <w:tcPr>
            <w:tcW w:w="346" w:type="pct"/>
            <w:vAlign w:val="center"/>
          </w:tcPr>
          <w:p w14:paraId="68EF25B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w:t>
            </w:r>
          </w:p>
        </w:tc>
        <w:tc>
          <w:tcPr>
            <w:tcW w:w="346" w:type="pct"/>
            <w:vAlign w:val="center"/>
          </w:tcPr>
          <w:p w14:paraId="13343D5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0.3</w:t>
            </w:r>
          </w:p>
        </w:tc>
        <w:tc>
          <w:tcPr>
            <w:tcW w:w="346" w:type="pct"/>
            <w:vAlign w:val="center"/>
          </w:tcPr>
          <w:p w14:paraId="2A8F4F0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0.1</w:t>
            </w:r>
          </w:p>
        </w:tc>
        <w:tc>
          <w:tcPr>
            <w:tcW w:w="298" w:type="pct"/>
            <w:vAlign w:val="center"/>
          </w:tcPr>
          <w:p w14:paraId="14B94C9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w:t>
            </w:r>
          </w:p>
        </w:tc>
        <w:tc>
          <w:tcPr>
            <w:tcW w:w="369" w:type="pct"/>
            <w:vAlign w:val="center"/>
          </w:tcPr>
          <w:p w14:paraId="70F9BBA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0.2</w:t>
            </w:r>
          </w:p>
        </w:tc>
        <w:tc>
          <w:tcPr>
            <w:tcW w:w="297" w:type="pct"/>
            <w:vAlign w:val="center"/>
          </w:tcPr>
          <w:p w14:paraId="79123E4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w:t>
            </w:r>
          </w:p>
        </w:tc>
        <w:tc>
          <w:tcPr>
            <w:tcW w:w="299" w:type="pct"/>
            <w:vAlign w:val="center"/>
          </w:tcPr>
          <w:p w14:paraId="5112B2C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w:t>
            </w:r>
          </w:p>
        </w:tc>
        <w:tc>
          <w:tcPr>
            <w:tcW w:w="297" w:type="pct"/>
            <w:vAlign w:val="center"/>
          </w:tcPr>
          <w:p w14:paraId="2A83988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w:t>
            </w:r>
          </w:p>
        </w:tc>
        <w:tc>
          <w:tcPr>
            <w:tcW w:w="346" w:type="pct"/>
            <w:vAlign w:val="center"/>
          </w:tcPr>
          <w:p w14:paraId="12A53AD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w:t>
            </w:r>
          </w:p>
        </w:tc>
        <w:tc>
          <w:tcPr>
            <w:tcW w:w="363" w:type="pct"/>
            <w:vAlign w:val="center"/>
          </w:tcPr>
          <w:p w14:paraId="4EBCD4E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w:t>
            </w:r>
          </w:p>
        </w:tc>
      </w:tr>
      <w:tr w14:paraId="243BB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367FC667">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pacing w:val="-22"/>
                <w:sz w:val="18"/>
                <w14:textFill>
                  <w14:solidFill>
                    <w14:schemeClr w14:val="tx1"/>
                  </w14:solidFill>
                </w14:textFill>
              </w:rPr>
              <w:t>阴天日数</w:t>
            </w:r>
            <w:r>
              <w:rPr>
                <w:rFonts w:ascii="Times New Roman" w:hAnsi="Times New Roman" w:eastAsia="宋体" w:cs="Times New Roman"/>
                <w:color w:val="000000" w:themeColor="text1"/>
                <w:spacing w:val="-21"/>
                <w:sz w:val="18"/>
                <w14:textFill>
                  <w14:solidFill>
                    <w14:schemeClr w14:val="tx1"/>
                  </w14:solidFill>
                </w14:textFill>
              </w:rPr>
              <w:t>（</w:t>
            </w:r>
            <w:r>
              <w:rPr>
                <w:rFonts w:ascii="Times New Roman" w:hAnsi="Times New Roman" w:eastAsia="宋体" w:cs="Times New Roman"/>
                <w:color w:val="000000" w:themeColor="text1"/>
                <w:spacing w:val="-20"/>
                <w:sz w:val="18"/>
                <w14:textFill>
                  <w14:solidFill>
                    <w14:schemeClr w14:val="tx1"/>
                  </w14:solidFill>
                </w14:textFill>
              </w:rPr>
              <w:t>天</w:t>
            </w:r>
            <w:r>
              <w:rPr>
                <w:rFonts w:ascii="Times New Roman" w:hAnsi="Times New Roman" w:eastAsia="宋体" w:cs="Times New Roman"/>
                <w:color w:val="000000" w:themeColor="text1"/>
                <w:sz w:val="18"/>
                <w14:textFill>
                  <w14:solidFill>
                    <w14:schemeClr w14:val="tx1"/>
                  </w14:solidFill>
                </w14:textFill>
              </w:rPr>
              <w:t>）</w:t>
            </w:r>
          </w:p>
        </w:tc>
        <w:tc>
          <w:tcPr>
            <w:tcW w:w="317" w:type="pct"/>
            <w:vAlign w:val="center"/>
          </w:tcPr>
          <w:p w14:paraId="7C0A27A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w:t>
            </w:r>
          </w:p>
        </w:tc>
        <w:tc>
          <w:tcPr>
            <w:tcW w:w="346" w:type="pct"/>
            <w:vAlign w:val="center"/>
          </w:tcPr>
          <w:p w14:paraId="7D252A4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3.9</w:t>
            </w:r>
          </w:p>
        </w:tc>
        <w:tc>
          <w:tcPr>
            <w:tcW w:w="346" w:type="pct"/>
            <w:vAlign w:val="center"/>
          </w:tcPr>
          <w:p w14:paraId="7432C96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4.9</w:t>
            </w:r>
          </w:p>
        </w:tc>
        <w:tc>
          <w:tcPr>
            <w:tcW w:w="346" w:type="pct"/>
            <w:vAlign w:val="center"/>
          </w:tcPr>
          <w:p w14:paraId="6625C793">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6.3</w:t>
            </w:r>
          </w:p>
        </w:tc>
        <w:tc>
          <w:tcPr>
            <w:tcW w:w="346" w:type="pct"/>
            <w:vAlign w:val="center"/>
          </w:tcPr>
          <w:p w14:paraId="774AEEB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12.9</w:t>
            </w:r>
          </w:p>
        </w:tc>
        <w:tc>
          <w:tcPr>
            <w:tcW w:w="346" w:type="pct"/>
            <w:vAlign w:val="center"/>
          </w:tcPr>
          <w:p w14:paraId="5EDFA47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24.0</w:t>
            </w:r>
          </w:p>
        </w:tc>
        <w:tc>
          <w:tcPr>
            <w:tcW w:w="298" w:type="pct"/>
            <w:vAlign w:val="center"/>
          </w:tcPr>
          <w:p w14:paraId="1D1645B6">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28.1</w:t>
            </w:r>
          </w:p>
        </w:tc>
        <w:tc>
          <w:tcPr>
            <w:tcW w:w="369" w:type="pct"/>
            <w:vAlign w:val="center"/>
          </w:tcPr>
          <w:p w14:paraId="6F98393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24.0</w:t>
            </w:r>
          </w:p>
        </w:tc>
        <w:tc>
          <w:tcPr>
            <w:tcW w:w="297" w:type="pct"/>
            <w:vAlign w:val="center"/>
          </w:tcPr>
          <w:p w14:paraId="3AEF016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18.2</w:t>
            </w:r>
          </w:p>
        </w:tc>
        <w:tc>
          <w:tcPr>
            <w:tcW w:w="299" w:type="pct"/>
            <w:vAlign w:val="center"/>
          </w:tcPr>
          <w:p w14:paraId="731B5F2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11.7</w:t>
            </w:r>
          </w:p>
        </w:tc>
        <w:tc>
          <w:tcPr>
            <w:tcW w:w="297" w:type="pct"/>
            <w:vAlign w:val="center"/>
          </w:tcPr>
          <w:p w14:paraId="2D4D7B8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7.1</w:t>
            </w:r>
          </w:p>
        </w:tc>
        <w:tc>
          <w:tcPr>
            <w:tcW w:w="346" w:type="pct"/>
            <w:vAlign w:val="center"/>
          </w:tcPr>
          <w:p w14:paraId="43CE85A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2.7</w:t>
            </w:r>
          </w:p>
        </w:tc>
        <w:tc>
          <w:tcPr>
            <w:tcW w:w="363" w:type="pct"/>
            <w:vAlign w:val="center"/>
          </w:tcPr>
          <w:p w14:paraId="71861A16">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146.7</w:t>
            </w:r>
          </w:p>
        </w:tc>
      </w:tr>
      <w:tr w14:paraId="0A6CD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1377F457">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z w:val="18"/>
                <w14:textFill>
                  <w14:solidFill>
                    <w14:schemeClr w14:val="tx1"/>
                  </w14:solidFill>
                </w14:textFill>
              </w:rPr>
              <w:t>雾日数（天）</w:t>
            </w:r>
          </w:p>
        </w:tc>
        <w:tc>
          <w:tcPr>
            <w:tcW w:w="317" w:type="pct"/>
            <w:vAlign w:val="center"/>
          </w:tcPr>
          <w:p w14:paraId="35C4DF0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18.5</w:t>
            </w:r>
          </w:p>
        </w:tc>
        <w:tc>
          <w:tcPr>
            <w:tcW w:w="346" w:type="pct"/>
            <w:vAlign w:val="center"/>
          </w:tcPr>
          <w:p w14:paraId="0569B815">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5.5</w:t>
            </w:r>
          </w:p>
        </w:tc>
        <w:tc>
          <w:tcPr>
            <w:tcW w:w="346" w:type="pct"/>
            <w:vAlign w:val="center"/>
          </w:tcPr>
          <w:p w14:paraId="7F864546">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2.0</w:t>
            </w:r>
          </w:p>
        </w:tc>
        <w:tc>
          <w:tcPr>
            <w:tcW w:w="346" w:type="pct"/>
            <w:vAlign w:val="center"/>
          </w:tcPr>
          <w:p w14:paraId="379E2F3C">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w:t>
            </w:r>
          </w:p>
        </w:tc>
        <w:tc>
          <w:tcPr>
            <w:tcW w:w="346" w:type="pct"/>
            <w:vAlign w:val="center"/>
          </w:tcPr>
          <w:p w14:paraId="74F3A63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w:t>
            </w:r>
          </w:p>
        </w:tc>
        <w:tc>
          <w:tcPr>
            <w:tcW w:w="346" w:type="pct"/>
            <w:vAlign w:val="center"/>
          </w:tcPr>
          <w:p w14:paraId="7D06E2F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0.3</w:t>
            </w:r>
          </w:p>
        </w:tc>
        <w:tc>
          <w:tcPr>
            <w:tcW w:w="298" w:type="pct"/>
            <w:vAlign w:val="center"/>
          </w:tcPr>
          <w:p w14:paraId="3A386D46">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0.2</w:t>
            </w:r>
          </w:p>
        </w:tc>
        <w:tc>
          <w:tcPr>
            <w:tcW w:w="369" w:type="pct"/>
            <w:vAlign w:val="center"/>
          </w:tcPr>
          <w:p w14:paraId="6BB3B256">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297" w:type="pct"/>
            <w:vAlign w:val="center"/>
          </w:tcPr>
          <w:p w14:paraId="35C1DB4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3.5</w:t>
            </w:r>
          </w:p>
        </w:tc>
        <w:tc>
          <w:tcPr>
            <w:tcW w:w="299" w:type="pct"/>
            <w:vAlign w:val="center"/>
          </w:tcPr>
          <w:p w14:paraId="1AFE157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10.0</w:t>
            </w:r>
          </w:p>
        </w:tc>
        <w:tc>
          <w:tcPr>
            <w:tcW w:w="297" w:type="pct"/>
            <w:vAlign w:val="center"/>
          </w:tcPr>
          <w:p w14:paraId="3615240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17.9</w:t>
            </w:r>
          </w:p>
        </w:tc>
        <w:tc>
          <w:tcPr>
            <w:tcW w:w="346" w:type="pct"/>
            <w:vAlign w:val="center"/>
          </w:tcPr>
          <w:p w14:paraId="7AC79356">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23.3</w:t>
            </w:r>
          </w:p>
        </w:tc>
        <w:tc>
          <w:tcPr>
            <w:tcW w:w="363" w:type="pct"/>
            <w:vAlign w:val="center"/>
          </w:tcPr>
          <w:p w14:paraId="260B2FB0">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85.9</w:t>
            </w:r>
          </w:p>
        </w:tc>
      </w:tr>
      <w:tr w14:paraId="346F1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6049369D">
            <w:pPr>
              <w:pStyle w:val="281"/>
              <w:jc w:val="center"/>
              <w:rPr>
                <w:rFonts w:ascii="Times New Roman" w:hAnsi="Times New Roman" w:eastAsia="宋体" w:cs="Times New Roman"/>
                <w:color w:val="000000" w:themeColor="text1"/>
                <w:sz w:val="18"/>
                <w14:textFill>
                  <w14:solidFill>
                    <w14:schemeClr w14:val="tx1"/>
                  </w14:solidFill>
                </w14:textFill>
              </w:rPr>
            </w:pPr>
            <w:r>
              <w:rPr>
                <w:rFonts w:ascii="Times New Roman" w:hAnsi="Times New Roman" w:eastAsia="宋体" w:cs="Times New Roman"/>
                <w:color w:val="000000" w:themeColor="text1"/>
                <w:spacing w:val="-22"/>
                <w:sz w:val="18"/>
                <w14:textFill>
                  <w14:solidFill>
                    <w14:schemeClr w14:val="tx1"/>
                  </w14:solidFill>
                </w14:textFill>
              </w:rPr>
              <w:t>雷暴日数</w:t>
            </w:r>
            <w:r>
              <w:rPr>
                <w:rFonts w:ascii="Times New Roman" w:hAnsi="Times New Roman" w:eastAsia="宋体" w:cs="Times New Roman"/>
                <w:color w:val="000000" w:themeColor="text1"/>
                <w:spacing w:val="-21"/>
                <w:sz w:val="18"/>
                <w14:textFill>
                  <w14:solidFill>
                    <w14:schemeClr w14:val="tx1"/>
                  </w14:solidFill>
                </w14:textFill>
              </w:rPr>
              <w:t>（</w:t>
            </w:r>
            <w:r>
              <w:rPr>
                <w:rFonts w:ascii="Times New Roman" w:hAnsi="Times New Roman" w:eastAsia="宋体" w:cs="Times New Roman"/>
                <w:color w:val="000000" w:themeColor="text1"/>
                <w:spacing w:val="-20"/>
                <w:sz w:val="18"/>
                <w14:textFill>
                  <w14:solidFill>
                    <w14:schemeClr w14:val="tx1"/>
                  </w14:solidFill>
                </w14:textFill>
              </w:rPr>
              <w:t>天</w:t>
            </w:r>
            <w:r>
              <w:rPr>
                <w:rFonts w:ascii="Times New Roman" w:hAnsi="Times New Roman" w:eastAsia="宋体" w:cs="Times New Roman"/>
                <w:color w:val="000000" w:themeColor="text1"/>
                <w:sz w:val="18"/>
                <w14:textFill>
                  <w14:solidFill>
                    <w14:schemeClr w14:val="tx1"/>
                  </w14:solidFill>
                </w14:textFill>
              </w:rPr>
              <w:t>）</w:t>
            </w:r>
          </w:p>
        </w:tc>
        <w:tc>
          <w:tcPr>
            <w:tcW w:w="317" w:type="pct"/>
            <w:vAlign w:val="center"/>
          </w:tcPr>
          <w:p w14:paraId="401001E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w:t>
            </w:r>
          </w:p>
        </w:tc>
        <w:tc>
          <w:tcPr>
            <w:tcW w:w="346" w:type="pct"/>
            <w:vAlign w:val="center"/>
          </w:tcPr>
          <w:p w14:paraId="5ECEE3C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w:t>
            </w:r>
          </w:p>
        </w:tc>
        <w:tc>
          <w:tcPr>
            <w:tcW w:w="346" w:type="pct"/>
            <w:vAlign w:val="center"/>
          </w:tcPr>
          <w:p w14:paraId="10A47579">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4.0</w:t>
            </w:r>
          </w:p>
        </w:tc>
        <w:tc>
          <w:tcPr>
            <w:tcW w:w="346" w:type="pct"/>
            <w:vAlign w:val="center"/>
          </w:tcPr>
          <w:p w14:paraId="32C372E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9.5</w:t>
            </w:r>
          </w:p>
        </w:tc>
        <w:tc>
          <w:tcPr>
            <w:tcW w:w="346" w:type="pct"/>
            <w:vAlign w:val="center"/>
          </w:tcPr>
          <w:p w14:paraId="1814F848">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10.1</w:t>
            </w:r>
          </w:p>
        </w:tc>
        <w:tc>
          <w:tcPr>
            <w:tcW w:w="346" w:type="pct"/>
            <w:vAlign w:val="center"/>
          </w:tcPr>
          <w:p w14:paraId="6A79965E">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10.2</w:t>
            </w:r>
          </w:p>
        </w:tc>
        <w:tc>
          <w:tcPr>
            <w:tcW w:w="298" w:type="pct"/>
            <w:vAlign w:val="center"/>
          </w:tcPr>
          <w:p w14:paraId="5B54C51F">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7.8</w:t>
            </w:r>
          </w:p>
        </w:tc>
        <w:tc>
          <w:tcPr>
            <w:tcW w:w="369" w:type="pct"/>
            <w:vAlign w:val="center"/>
          </w:tcPr>
          <w:p w14:paraId="3501754A">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12.6</w:t>
            </w:r>
          </w:p>
        </w:tc>
        <w:tc>
          <w:tcPr>
            <w:tcW w:w="297" w:type="pct"/>
            <w:vAlign w:val="center"/>
          </w:tcPr>
          <w:p w14:paraId="7F39E8D2">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12.4</w:t>
            </w:r>
          </w:p>
        </w:tc>
        <w:tc>
          <w:tcPr>
            <w:tcW w:w="299" w:type="pct"/>
            <w:vAlign w:val="center"/>
          </w:tcPr>
          <w:p w14:paraId="4365B2C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5.3</w:t>
            </w:r>
          </w:p>
        </w:tc>
        <w:tc>
          <w:tcPr>
            <w:tcW w:w="297" w:type="pct"/>
            <w:vAlign w:val="center"/>
          </w:tcPr>
          <w:p w14:paraId="368F294D">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346" w:type="pct"/>
            <w:vAlign w:val="center"/>
          </w:tcPr>
          <w:p w14:paraId="1A6A2001">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w:t>
            </w:r>
          </w:p>
        </w:tc>
        <w:tc>
          <w:tcPr>
            <w:tcW w:w="363" w:type="pct"/>
            <w:vAlign w:val="center"/>
          </w:tcPr>
          <w:p w14:paraId="039F2157">
            <w:pPr>
              <w:pStyle w:val="2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76.9</w:t>
            </w:r>
          </w:p>
        </w:tc>
      </w:tr>
    </w:tbl>
    <w:p w14:paraId="6C22110A">
      <w:pPr>
        <w:spacing w:line="360" w:lineRule="auto"/>
        <w:ind w:firstLine="480" w:firstLineChars="200"/>
        <w:jc w:val="left"/>
        <w:rPr>
          <w:color w:val="000000" w:themeColor="text1"/>
          <w:sz w:val="24"/>
          <w14:textFill>
            <w14:solidFill>
              <w14:schemeClr w14:val="tx1"/>
            </w14:solidFill>
          </w14:textFill>
        </w:rPr>
      </w:pPr>
    </w:p>
    <w:p w14:paraId="14580DD5">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6.1.2预测方案</w:t>
      </w:r>
    </w:p>
    <w:p w14:paraId="3E12CC00">
      <w:pPr>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1、预测方案及预测内容</w:t>
      </w:r>
    </w:p>
    <w:p w14:paraId="573404C5">
      <w:pPr>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预测因子：</w:t>
      </w:r>
      <w:r>
        <w:rPr>
          <w:color w:val="000000" w:themeColor="text1"/>
          <w:sz w:val="24"/>
          <w14:textFill>
            <w14:solidFill>
              <w14:schemeClr w14:val="tx1"/>
            </w14:solidFill>
          </w14:textFill>
        </w:rPr>
        <w:t>颗粒物（TSP）、非甲烷总烃。</w:t>
      </w:r>
    </w:p>
    <w:p w14:paraId="3F1887B9">
      <w:pPr>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预测范围：</w:t>
      </w:r>
      <w:r>
        <w:rPr>
          <w:color w:val="000000" w:themeColor="text1"/>
          <w:sz w:val="24"/>
          <w14:textFill>
            <w14:solidFill>
              <w14:schemeClr w14:val="tx1"/>
            </w14:solidFill>
          </w14:textFill>
        </w:rPr>
        <w:t>预测范围为评价区域内最大地面浓度点。</w:t>
      </w:r>
    </w:p>
    <w:p w14:paraId="66F3FF8D">
      <w:pPr>
        <w:spacing w:line="360" w:lineRule="auto"/>
        <w:ind w:firstLine="480"/>
        <w:rPr>
          <w:color w:val="000000" w:themeColor="text1"/>
          <w:sz w:val="24"/>
          <w14:textFill>
            <w14:solidFill>
              <w14:schemeClr w14:val="tx1"/>
            </w14:solidFill>
          </w14:textFill>
        </w:rPr>
      </w:pPr>
      <w:r>
        <w:rPr>
          <w:b/>
          <w:color w:val="000000" w:themeColor="text1"/>
          <w:sz w:val="24"/>
          <w14:textFill>
            <w14:solidFill>
              <w14:schemeClr w14:val="tx1"/>
            </w14:solidFill>
          </w14:textFill>
        </w:rPr>
        <w:t>预测内容：</w:t>
      </w:r>
      <w:r>
        <w:rPr>
          <w:color w:val="000000" w:themeColor="text1"/>
          <w:sz w:val="24"/>
          <w14:textFill>
            <w14:solidFill>
              <w14:schemeClr w14:val="tx1"/>
            </w14:solidFill>
          </w14:textFill>
        </w:rPr>
        <w:t>由于项目大气污染排放预测等级为二级，仅预测最大落地浓度及环境保护目标小时浓度的影响分析。</w:t>
      </w:r>
    </w:p>
    <w:p w14:paraId="52D1A426">
      <w:pPr>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2、预测模式</w:t>
      </w:r>
    </w:p>
    <w:p w14:paraId="613E3184">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根据HJ/T2.2-2018《大气环境影响评价技术导则—大气环境》规定，推荐估算模式AERSCREEN作为预测模式，预测下风向最大落地浓度及占标率，并依此确定大气评价等级；同时根据</w:t>
      </w:r>
      <w:r>
        <w:rPr>
          <w:bCs/>
          <w:color w:val="000000" w:themeColor="text1"/>
          <w:sz w:val="24"/>
          <w14:textFill>
            <w14:solidFill>
              <w14:schemeClr w14:val="tx1"/>
            </w14:solidFill>
          </w14:textFill>
        </w:rPr>
        <w:t>环境空气质量现状</w:t>
      </w:r>
      <w:r>
        <w:rPr>
          <w:color w:val="000000" w:themeColor="text1"/>
          <w:sz w:val="24"/>
          <w14:textFill>
            <w14:solidFill>
              <w14:schemeClr w14:val="tx1"/>
            </w14:solidFill>
          </w14:textFill>
        </w:rPr>
        <w:t>大气背景值，叠加污染源贡献值，预测出保护目标污染物预测值，依此分析其污染物对环境保护目标的影响程度。</w:t>
      </w:r>
    </w:p>
    <w:p w14:paraId="0C6E1DFF">
      <w:pPr>
        <w:pStyle w:val="111"/>
        <w:spacing w:line="360" w:lineRule="auto"/>
        <w:ind w:firstLine="480" w:firstLineChars="200"/>
        <w:rPr>
          <w:b/>
          <w:color w:val="000000" w:themeColor="text1"/>
          <w14:textFill>
            <w14:solidFill>
              <w14:schemeClr w14:val="tx1"/>
            </w14:solidFill>
          </w14:textFill>
        </w:rPr>
      </w:pPr>
      <w:r>
        <w:rPr>
          <w:b/>
          <w:color w:val="000000" w:themeColor="text1"/>
          <w14:textFill>
            <w14:solidFill>
              <w14:schemeClr w14:val="tx1"/>
            </w14:solidFill>
          </w14:textFill>
        </w:rPr>
        <w:t>3、预测参数</w:t>
      </w:r>
    </w:p>
    <w:p w14:paraId="58AE8A62">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表6.1-2  估算模式参数表</w:t>
      </w:r>
    </w:p>
    <w:tbl>
      <w:tblPr>
        <w:tblStyle w:val="43"/>
        <w:tblW w:w="5000" w:type="pct"/>
        <w:tblInd w:w="0" w:type="dxa"/>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40"/>
        <w:gridCol w:w="2841"/>
        <w:gridCol w:w="2841"/>
      </w:tblGrid>
      <w:tr w14:paraId="536137C5">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0C0EE24B">
            <w:pPr>
              <w:pStyle w:val="293"/>
              <w:rPr>
                <w:color w:val="000000" w:themeColor="text1"/>
                <w14:textFill>
                  <w14:solidFill>
                    <w14:schemeClr w14:val="tx1"/>
                  </w14:solidFill>
                </w14:textFill>
              </w:rPr>
            </w:pPr>
            <w:r>
              <w:rPr>
                <w:color w:val="000000" w:themeColor="text1"/>
                <w14:textFill>
                  <w14:solidFill>
                    <w14:schemeClr w14:val="tx1"/>
                  </w14:solidFill>
                </w14:textFill>
              </w:rPr>
              <w:t>参数</w:t>
            </w:r>
          </w:p>
        </w:tc>
        <w:tc>
          <w:tcPr>
            <w:tcW w:w="1667" w:type="pct"/>
            <w:vAlign w:val="center"/>
          </w:tcPr>
          <w:p w14:paraId="25C8A6CA">
            <w:pPr>
              <w:pStyle w:val="293"/>
              <w:rPr>
                <w:color w:val="000000" w:themeColor="text1"/>
                <w14:textFill>
                  <w14:solidFill>
                    <w14:schemeClr w14:val="tx1"/>
                  </w14:solidFill>
                </w14:textFill>
              </w:rPr>
            </w:pPr>
            <w:r>
              <w:rPr>
                <w:color w:val="000000" w:themeColor="text1"/>
                <w14:textFill>
                  <w14:solidFill>
                    <w14:schemeClr w14:val="tx1"/>
                  </w14:solidFill>
                </w14:textFill>
              </w:rPr>
              <w:t>取值</w:t>
            </w:r>
          </w:p>
        </w:tc>
      </w:tr>
      <w:tr w14:paraId="22031AB0">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restart"/>
            <w:vAlign w:val="center"/>
          </w:tcPr>
          <w:p w14:paraId="0AE4B904">
            <w:pPr>
              <w:pStyle w:val="293"/>
              <w:rPr>
                <w:color w:val="000000" w:themeColor="text1"/>
                <w14:textFill>
                  <w14:solidFill>
                    <w14:schemeClr w14:val="tx1"/>
                  </w14:solidFill>
                </w14:textFill>
              </w:rPr>
            </w:pPr>
            <w:r>
              <w:rPr>
                <w:color w:val="000000" w:themeColor="text1"/>
                <w14:textFill>
                  <w14:solidFill>
                    <w14:schemeClr w14:val="tx1"/>
                  </w14:solidFill>
                </w14:textFill>
              </w:rPr>
              <w:t>城市/农村选项</w:t>
            </w:r>
          </w:p>
        </w:tc>
        <w:tc>
          <w:tcPr>
            <w:tcW w:w="1667" w:type="pct"/>
            <w:vAlign w:val="center"/>
          </w:tcPr>
          <w:p w14:paraId="06A68C69">
            <w:pPr>
              <w:pStyle w:val="293"/>
              <w:rPr>
                <w:color w:val="000000" w:themeColor="text1"/>
                <w14:textFill>
                  <w14:solidFill>
                    <w14:schemeClr w14:val="tx1"/>
                  </w14:solidFill>
                </w14:textFill>
              </w:rPr>
            </w:pPr>
            <w:r>
              <w:rPr>
                <w:color w:val="000000" w:themeColor="text1"/>
                <w14:textFill>
                  <w14:solidFill>
                    <w14:schemeClr w14:val="tx1"/>
                  </w14:solidFill>
                </w14:textFill>
              </w:rPr>
              <w:t>城市/农村</w:t>
            </w:r>
          </w:p>
        </w:tc>
        <w:tc>
          <w:tcPr>
            <w:tcW w:w="1667" w:type="pct"/>
            <w:vAlign w:val="center"/>
          </w:tcPr>
          <w:p w14:paraId="7188EFD4">
            <w:pPr>
              <w:pStyle w:val="293"/>
              <w:rPr>
                <w:color w:val="000000" w:themeColor="text1"/>
                <w14:textFill>
                  <w14:solidFill>
                    <w14:schemeClr w14:val="tx1"/>
                  </w14:solidFill>
                </w14:textFill>
              </w:rPr>
            </w:pPr>
            <w:r>
              <w:rPr>
                <w:color w:val="000000" w:themeColor="text1"/>
                <w14:textFill>
                  <w14:solidFill>
                    <w14:schemeClr w14:val="tx1"/>
                  </w14:solidFill>
                </w14:textFill>
              </w:rPr>
              <w:t>农村</w:t>
            </w:r>
          </w:p>
        </w:tc>
      </w:tr>
      <w:tr w14:paraId="65B3FD73">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continue"/>
            <w:vAlign w:val="center"/>
          </w:tcPr>
          <w:p w14:paraId="1DF7120E">
            <w:pPr>
              <w:pStyle w:val="293"/>
              <w:rPr>
                <w:color w:val="000000" w:themeColor="text1"/>
                <w14:textFill>
                  <w14:solidFill>
                    <w14:schemeClr w14:val="tx1"/>
                  </w14:solidFill>
                </w14:textFill>
              </w:rPr>
            </w:pPr>
          </w:p>
        </w:tc>
        <w:tc>
          <w:tcPr>
            <w:tcW w:w="1667" w:type="pct"/>
            <w:vAlign w:val="center"/>
          </w:tcPr>
          <w:p w14:paraId="1C854CE5">
            <w:pPr>
              <w:pStyle w:val="293"/>
              <w:rPr>
                <w:color w:val="000000" w:themeColor="text1"/>
                <w14:textFill>
                  <w14:solidFill>
                    <w14:schemeClr w14:val="tx1"/>
                  </w14:solidFill>
                </w14:textFill>
              </w:rPr>
            </w:pPr>
            <w:r>
              <w:rPr>
                <w:color w:val="000000" w:themeColor="text1"/>
                <w14:textFill>
                  <w14:solidFill>
                    <w14:schemeClr w14:val="tx1"/>
                  </w14:solidFill>
                </w14:textFill>
              </w:rPr>
              <w:t>人口数（城市选项时）</w:t>
            </w:r>
          </w:p>
        </w:tc>
        <w:tc>
          <w:tcPr>
            <w:tcW w:w="1667" w:type="pct"/>
            <w:vAlign w:val="center"/>
          </w:tcPr>
          <w:p w14:paraId="5036F61B">
            <w:pPr>
              <w:pStyle w:val="293"/>
              <w:rPr>
                <w:color w:val="000000" w:themeColor="text1"/>
                <w14:textFill>
                  <w14:solidFill>
                    <w14:schemeClr w14:val="tx1"/>
                  </w14:solidFill>
                </w14:textFill>
              </w:rPr>
            </w:pPr>
            <w:r>
              <w:rPr>
                <w:color w:val="000000" w:themeColor="text1"/>
                <w14:textFill>
                  <w14:solidFill>
                    <w14:schemeClr w14:val="tx1"/>
                  </w14:solidFill>
                </w14:textFill>
              </w:rPr>
              <w:t>/</w:t>
            </w:r>
          </w:p>
        </w:tc>
      </w:tr>
      <w:tr w14:paraId="6EDAA4D8">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4B45D7EE">
            <w:pPr>
              <w:pStyle w:val="293"/>
              <w:rPr>
                <w:color w:val="000000" w:themeColor="text1"/>
                <w14:textFill>
                  <w14:solidFill>
                    <w14:schemeClr w14:val="tx1"/>
                  </w14:solidFill>
                </w14:textFill>
              </w:rPr>
            </w:pPr>
            <w:r>
              <w:rPr>
                <w:color w:val="000000" w:themeColor="text1"/>
                <w14:textFill>
                  <w14:solidFill>
                    <w14:schemeClr w14:val="tx1"/>
                  </w14:solidFill>
                </w14:textFill>
              </w:rPr>
              <w:t>最高环境温度/</w:t>
            </w:r>
            <w:r>
              <w:rPr>
                <w:rFonts w:hint="eastAsia" w:ascii="宋体" w:hAnsi="宋体" w:cs="宋体"/>
                <w:color w:val="000000" w:themeColor="text1"/>
                <w14:textFill>
                  <w14:solidFill>
                    <w14:schemeClr w14:val="tx1"/>
                  </w14:solidFill>
                </w14:textFill>
              </w:rPr>
              <w:t>℃</w:t>
            </w:r>
          </w:p>
        </w:tc>
        <w:tc>
          <w:tcPr>
            <w:tcW w:w="1667" w:type="pct"/>
            <w:vAlign w:val="center"/>
          </w:tcPr>
          <w:p w14:paraId="023BF498">
            <w:pPr>
              <w:pStyle w:val="293"/>
              <w:rPr>
                <w:color w:val="000000" w:themeColor="text1"/>
                <w14:textFill>
                  <w14:solidFill>
                    <w14:schemeClr w14:val="tx1"/>
                  </w14:solidFill>
                </w14:textFill>
              </w:rPr>
            </w:pPr>
            <w:r>
              <w:rPr>
                <w:color w:val="000000" w:themeColor="text1"/>
                <w14:textFill>
                  <w14:solidFill>
                    <w14:schemeClr w14:val="tx1"/>
                  </w14:solidFill>
                </w14:textFill>
              </w:rPr>
              <w:t>23.7</w:t>
            </w:r>
          </w:p>
        </w:tc>
      </w:tr>
      <w:tr w14:paraId="71C5CF93">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11911348">
            <w:pPr>
              <w:pStyle w:val="293"/>
              <w:rPr>
                <w:color w:val="000000" w:themeColor="text1"/>
                <w14:textFill>
                  <w14:solidFill>
                    <w14:schemeClr w14:val="tx1"/>
                  </w14:solidFill>
                </w14:textFill>
              </w:rPr>
            </w:pPr>
            <w:r>
              <w:rPr>
                <w:color w:val="000000" w:themeColor="text1"/>
                <w14:textFill>
                  <w14:solidFill>
                    <w14:schemeClr w14:val="tx1"/>
                  </w14:solidFill>
                </w14:textFill>
              </w:rPr>
              <w:t>最低环境温度/</w:t>
            </w:r>
            <w:r>
              <w:rPr>
                <w:rFonts w:hint="eastAsia" w:ascii="宋体" w:hAnsi="宋体" w:cs="宋体"/>
                <w:color w:val="000000" w:themeColor="text1"/>
                <w14:textFill>
                  <w14:solidFill>
                    <w14:schemeClr w14:val="tx1"/>
                  </w14:solidFill>
                </w14:textFill>
              </w:rPr>
              <w:t>℃</w:t>
            </w:r>
          </w:p>
        </w:tc>
        <w:tc>
          <w:tcPr>
            <w:tcW w:w="1667" w:type="pct"/>
            <w:vAlign w:val="center"/>
          </w:tcPr>
          <w:p w14:paraId="68493EE8">
            <w:pPr>
              <w:pStyle w:val="293"/>
              <w:rPr>
                <w:color w:val="000000" w:themeColor="text1"/>
                <w14:textFill>
                  <w14:solidFill>
                    <w14:schemeClr w14:val="tx1"/>
                  </w14:solidFill>
                </w14:textFill>
              </w:rPr>
            </w:pPr>
            <w:r>
              <w:rPr>
                <w:color w:val="000000" w:themeColor="text1"/>
                <w14:textFill>
                  <w14:solidFill>
                    <w14:schemeClr w14:val="tx1"/>
                  </w14:solidFill>
                </w14:textFill>
              </w:rPr>
              <w:t>12.3</w:t>
            </w:r>
          </w:p>
        </w:tc>
      </w:tr>
      <w:tr w14:paraId="4CB49486">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616734FF">
            <w:pPr>
              <w:pStyle w:val="293"/>
              <w:rPr>
                <w:color w:val="000000" w:themeColor="text1"/>
                <w14:textFill>
                  <w14:solidFill>
                    <w14:schemeClr w14:val="tx1"/>
                  </w14:solidFill>
                </w14:textFill>
              </w:rPr>
            </w:pPr>
            <w:r>
              <w:rPr>
                <w:color w:val="000000" w:themeColor="text1"/>
                <w14:textFill>
                  <w14:solidFill>
                    <w14:schemeClr w14:val="tx1"/>
                  </w14:solidFill>
                </w14:textFill>
              </w:rPr>
              <w:t>土地利用类型</w:t>
            </w:r>
          </w:p>
        </w:tc>
        <w:tc>
          <w:tcPr>
            <w:tcW w:w="1667" w:type="pct"/>
            <w:vAlign w:val="center"/>
          </w:tcPr>
          <w:p w14:paraId="4FA463CD">
            <w:pPr>
              <w:pStyle w:val="293"/>
              <w:rPr>
                <w:color w:val="000000" w:themeColor="text1"/>
                <w14:textFill>
                  <w14:solidFill>
                    <w14:schemeClr w14:val="tx1"/>
                  </w14:solidFill>
                </w14:textFill>
              </w:rPr>
            </w:pPr>
            <w:r>
              <w:rPr>
                <w:color w:val="000000" w:themeColor="text1"/>
                <w14:textFill>
                  <w14:solidFill>
                    <w14:schemeClr w14:val="tx1"/>
                  </w14:solidFill>
                </w14:textFill>
              </w:rPr>
              <w:t>农作地</w:t>
            </w:r>
          </w:p>
        </w:tc>
      </w:tr>
      <w:tr w14:paraId="28403FFE">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4BF48E5F">
            <w:pPr>
              <w:pStyle w:val="293"/>
              <w:rPr>
                <w:color w:val="000000" w:themeColor="text1"/>
                <w14:textFill>
                  <w14:solidFill>
                    <w14:schemeClr w14:val="tx1"/>
                  </w14:solidFill>
                </w14:textFill>
              </w:rPr>
            </w:pPr>
            <w:r>
              <w:rPr>
                <w:color w:val="000000" w:themeColor="text1"/>
                <w14:textFill>
                  <w14:solidFill>
                    <w14:schemeClr w14:val="tx1"/>
                  </w14:solidFill>
                </w14:textFill>
              </w:rPr>
              <w:t>区域湿度条件</w:t>
            </w:r>
          </w:p>
        </w:tc>
        <w:tc>
          <w:tcPr>
            <w:tcW w:w="1667" w:type="pct"/>
            <w:vAlign w:val="center"/>
          </w:tcPr>
          <w:p w14:paraId="45F31C67">
            <w:pPr>
              <w:pStyle w:val="293"/>
              <w:rPr>
                <w:color w:val="000000" w:themeColor="text1"/>
                <w14:textFill>
                  <w14:solidFill>
                    <w14:schemeClr w14:val="tx1"/>
                  </w14:solidFill>
                </w14:textFill>
              </w:rPr>
            </w:pPr>
            <w:r>
              <w:rPr>
                <w:color w:val="000000" w:themeColor="text1"/>
                <w14:textFill>
                  <w14:solidFill>
                    <w14:schemeClr w14:val="tx1"/>
                  </w14:solidFill>
                </w14:textFill>
              </w:rPr>
              <w:t>中度湿度区域</w:t>
            </w:r>
          </w:p>
        </w:tc>
      </w:tr>
      <w:tr w14:paraId="4D909175">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restart"/>
            <w:vAlign w:val="center"/>
          </w:tcPr>
          <w:p w14:paraId="51A65CD8">
            <w:pPr>
              <w:pStyle w:val="293"/>
              <w:rPr>
                <w:color w:val="000000" w:themeColor="text1"/>
                <w14:textFill>
                  <w14:solidFill>
                    <w14:schemeClr w14:val="tx1"/>
                  </w14:solidFill>
                </w14:textFill>
              </w:rPr>
            </w:pPr>
            <w:r>
              <w:rPr>
                <w:color w:val="000000" w:themeColor="text1"/>
                <w14:textFill>
                  <w14:solidFill>
                    <w14:schemeClr w14:val="tx1"/>
                  </w14:solidFill>
                </w14:textFill>
              </w:rPr>
              <w:t>是否考虑地形</w:t>
            </w:r>
          </w:p>
        </w:tc>
        <w:tc>
          <w:tcPr>
            <w:tcW w:w="1667" w:type="pct"/>
            <w:vAlign w:val="center"/>
          </w:tcPr>
          <w:p w14:paraId="71F64193">
            <w:pPr>
              <w:pStyle w:val="293"/>
              <w:rPr>
                <w:color w:val="000000" w:themeColor="text1"/>
                <w14:textFill>
                  <w14:solidFill>
                    <w14:schemeClr w14:val="tx1"/>
                  </w14:solidFill>
                </w14:textFill>
              </w:rPr>
            </w:pPr>
            <w:r>
              <w:rPr>
                <w:color w:val="000000" w:themeColor="text1"/>
                <w14:textFill>
                  <w14:solidFill>
                    <w14:schemeClr w14:val="tx1"/>
                  </w14:solidFill>
                </w14:textFill>
              </w:rPr>
              <w:t>考虑地形</w:t>
            </w:r>
          </w:p>
        </w:tc>
        <w:tc>
          <w:tcPr>
            <w:tcW w:w="1667" w:type="pct"/>
            <w:vAlign w:val="center"/>
          </w:tcPr>
          <w:p w14:paraId="17A839BA">
            <w:pPr>
              <w:pStyle w:val="293"/>
              <w:rPr>
                <w:color w:val="000000" w:themeColor="text1"/>
                <w14:textFill>
                  <w14:solidFill>
                    <w14:schemeClr w14:val="tx1"/>
                  </w14:solidFill>
                </w14:textFill>
              </w:rPr>
            </w:pPr>
            <w:r>
              <w:rPr>
                <w:color w:val="000000" w:themeColor="text1"/>
                <w14:textFill>
                  <w14:solidFill>
                    <w14:schemeClr w14:val="tx1"/>
                  </w14:solidFill>
                </w14:textFill>
              </w:rPr>
              <w:t>是</w:t>
            </w:r>
          </w:p>
        </w:tc>
      </w:tr>
      <w:tr w14:paraId="30341E89">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continue"/>
            <w:vAlign w:val="center"/>
          </w:tcPr>
          <w:p w14:paraId="77E69900">
            <w:pPr>
              <w:pStyle w:val="293"/>
              <w:rPr>
                <w:color w:val="000000" w:themeColor="text1"/>
                <w14:textFill>
                  <w14:solidFill>
                    <w14:schemeClr w14:val="tx1"/>
                  </w14:solidFill>
                </w14:textFill>
              </w:rPr>
            </w:pPr>
          </w:p>
        </w:tc>
        <w:tc>
          <w:tcPr>
            <w:tcW w:w="1667" w:type="pct"/>
            <w:vAlign w:val="center"/>
          </w:tcPr>
          <w:p w14:paraId="4AE8FD8E">
            <w:pPr>
              <w:pStyle w:val="293"/>
              <w:rPr>
                <w:color w:val="000000" w:themeColor="text1"/>
                <w14:textFill>
                  <w14:solidFill>
                    <w14:schemeClr w14:val="tx1"/>
                  </w14:solidFill>
                </w14:textFill>
              </w:rPr>
            </w:pPr>
            <w:r>
              <w:rPr>
                <w:color w:val="000000" w:themeColor="text1"/>
                <w14:textFill>
                  <w14:solidFill>
                    <w14:schemeClr w14:val="tx1"/>
                  </w14:solidFill>
                </w14:textFill>
              </w:rPr>
              <w:t>地形数据分辨率/m</w:t>
            </w:r>
          </w:p>
        </w:tc>
        <w:tc>
          <w:tcPr>
            <w:tcW w:w="1667" w:type="pct"/>
            <w:vAlign w:val="center"/>
          </w:tcPr>
          <w:p w14:paraId="4377FF5B">
            <w:pPr>
              <w:pStyle w:val="293"/>
              <w:rPr>
                <w:color w:val="000000" w:themeColor="text1"/>
                <w14:textFill>
                  <w14:solidFill>
                    <w14:schemeClr w14:val="tx1"/>
                  </w14:solidFill>
                </w14:textFill>
              </w:rPr>
            </w:pPr>
            <w:r>
              <w:rPr>
                <w:color w:val="000000" w:themeColor="text1"/>
                <w14:textFill>
                  <w14:solidFill>
                    <w14:schemeClr w14:val="tx1"/>
                  </w14:solidFill>
                </w14:textFill>
              </w:rPr>
              <w:t>90</w:t>
            </w:r>
          </w:p>
        </w:tc>
      </w:tr>
      <w:tr w14:paraId="26D60EC5">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restart"/>
            <w:vAlign w:val="center"/>
          </w:tcPr>
          <w:p w14:paraId="13168752">
            <w:pPr>
              <w:pStyle w:val="293"/>
              <w:rPr>
                <w:color w:val="000000" w:themeColor="text1"/>
                <w14:textFill>
                  <w14:solidFill>
                    <w14:schemeClr w14:val="tx1"/>
                  </w14:solidFill>
                </w14:textFill>
              </w:rPr>
            </w:pPr>
            <w:r>
              <w:rPr>
                <w:color w:val="000000" w:themeColor="text1"/>
                <w14:textFill>
                  <w14:solidFill>
                    <w14:schemeClr w14:val="tx1"/>
                  </w14:solidFill>
                </w14:textFill>
              </w:rPr>
              <w:t>是否考虑岸线熏烟</w:t>
            </w:r>
          </w:p>
        </w:tc>
        <w:tc>
          <w:tcPr>
            <w:tcW w:w="1667" w:type="pct"/>
            <w:vAlign w:val="center"/>
          </w:tcPr>
          <w:p w14:paraId="3B2E7DBF">
            <w:pPr>
              <w:pStyle w:val="293"/>
              <w:rPr>
                <w:color w:val="000000" w:themeColor="text1"/>
                <w14:textFill>
                  <w14:solidFill>
                    <w14:schemeClr w14:val="tx1"/>
                  </w14:solidFill>
                </w14:textFill>
              </w:rPr>
            </w:pPr>
            <w:r>
              <w:rPr>
                <w:color w:val="000000" w:themeColor="text1"/>
                <w14:textFill>
                  <w14:solidFill>
                    <w14:schemeClr w14:val="tx1"/>
                  </w14:solidFill>
                </w14:textFill>
              </w:rPr>
              <w:t>考虑岸线熏烟</w:t>
            </w:r>
          </w:p>
        </w:tc>
        <w:tc>
          <w:tcPr>
            <w:tcW w:w="1667" w:type="pct"/>
            <w:vAlign w:val="center"/>
          </w:tcPr>
          <w:p w14:paraId="7ED370FA">
            <w:pPr>
              <w:pStyle w:val="293"/>
              <w:rPr>
                <w:color w:val="000000" w:themeColor="text1"/>
                <w14:textFill>
                  <w14:solidFill>
                    <w14:schemeClr w14:val="tx1"/>
                  </w14:solidFill>
                </w14:textFill>
              </w:rPr>
            </w:pPr>
            <w:r>
              <w:rPr>
                <w:color w:val="000000" w:themeColor="text1"/>
                <w14:textFill>
                  <w14:solidFill>
                    <w14:schemeClr w14:val="tx1"/>
                  </w14:solidFill>
                </w14:textFill>
              </w:rPr>
              <w:t>否</w:t>
            </w:r>
          </w:p>
        </w:tc>
      </w:tr>
      <w:tr w14:paraId="538492C5">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continue"/>
            <w:vAlign w:val="center"/>
          </w:tcPr>
          <w:p w14:paraId="7C18ED42">
            <w:pPr>
              <w:pStyle w:val="293"/>
              <w:rPr>
                <w:color w:val="000000" w:themeColor="text1"/>
                <w14:textFill>
                  <w14:solidFill>
                    <w14:schemeClr w14:val="tx1"/>
                  </w14:solidFill>
                </w14:textFill>
              </w:rPr>
            </w:pPr>
          </w:p>
        </w:tc>
        <w:tc>
          <w:tcPr>
            <w:tcW w:w="1667" w:type="pct"/>
            <w:vAlign w:val="center"/>
          </w:tcPr>
          <w:p w14:paraId="275FEA36">
            <w:pPr>
              <w:pStyle w:val="293"/>
              <w:rPr>
                <w:color w:val="000000" w:themeColor="text1"/>
                <w14:textFill>
                  <w14:solidFill>
                    <w14:schemeClr w14:val="tx1"/>
                  </w14:solidFill>
                </w14:textFill>
              </w:rPr>
            </w:pPr>
            <w:r>
              <w:rPr>
                <w:color w:val="000000" w:themeColor="text1"/>
                <w14:textFill>
                  <w14:solidFill>
                    <w14:schemeClr w14:val="tx1"/>
                  </w14:solidFill>
                </w14:textFill>
              </w:rPr>
              <w:t>岸线距离/km</w:t>
            </w:r>
          </w:p>
        </w:tc>
        <w:tc>
          <w:tcPr>
            <w:tcW w:w="1667" w:type="pct"/>
            <w:vAlign w:val="center"/>
          </w:tcPr>
          <w:p w14:paraId="5AB4BD22">
            <w:pPr>
              <w:pStyle w:val="293"/>
              <w:rPr>
                <w:color w:val="000000" w:themeColor="text1"/>
                <w14:textFill>
                  <w14:solidFill>
                    <w14:schemeClr w14:val="tx1"/>
                  </w14:solidFill>
                </w14:textFill>
              </w:rPr>
            </w:pPr>
            <w:r>
              <w:rPr>
                <w:color w:val="000000" w:themeColor="text1"/>
                <w14:textFill>
                  <w14:solidFill>
                    <w14:schemeClr w14:val="tx1"/>
                  </w14:solidFill>
                </w14:textFill>
              </w:rPr>
              <w:t>/</w:t>
            </w:r>
          </w:p>
        </w:tc>
      </w:tr>
      <w:tr w14:paraId="58D16368">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continue"/>
            <w:vAlign w:val="center"/>
          </w:tcPr>
          <w:p w14:paraId="76B4AFA2">
            <w:pPr>
              <w:pStyle w:val="293"/>
              <w:rPr>
                <w:color w:val="000000" w:themeColor="text1"/>
                <w14:textFill>
                  <w14:solidFill>
                    <w14:schemeClr w14:val="tx1"/>
                  </w14:solidFill>
                </w14:textFill>
              </w:rPr>
            </w:pPr>
          </w:p>
        </w:tc>
        <w:tc>
          <w:tcPr>
            <w:tcW w:w="1667" w:type="pct"/>
            <w:vAlign w:val="center"/>
          </w:tcPr>
          <w:p w14:paraId="711C31EF">
            <w:pPr>
              <w:pStyle w:val="293"/>
              <w:rPr>
                <w:color w:val="000000" w:themeColor="text1"/>
                <w14:textFill>
                  <w14:solidFill>
                    <w14:schemeClr w14:val="tx1"/>
                  </w14:solidFill>
                </w14:textFill>
              </w:rPr>
            </w:pPr>
            <w:r>
              <w:rPr>
                <w:color w:val="000000" w:themeColor="text1"/>
                <w14:textFill>
                  <w14:solidFill>
                    <w14:schemeClr w14:val="tx1"/>
                  </w14:solidFill>
                </w14:textFill>
              </w:rPr>
              <w:t>岸线方向</w:t>
            </w:r>
          </w:p>
        </w:tc>
        <w:tc>
          <w:tcPr>
            <w:tcW w:w="1667" w:type="pct"/>
            <w:vAlign w:val="center"/>
          </w:tcPr>
          <w:p w14:paraId="329DEFCC">
            <w:pPr>
              <w:pStyle w:val="293"/>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571F2B73">
      <w:pPr>
        <w:adjustRightInd w:val="0"/>
        <w:snapToGrid w:val="0"/>
        <w:jc w:val="center"/>
        <w:rPr>
          <w:b/>
          <w:color w:val="000000" w:themeColor="text1"/>
          <w:sz w:val="24"/>
          <w14:textFill>
            <w14:solidFill>
              <w14:schemeClr w14:val="tx1"/>
            </w14:solidFill>
          </w14:textFill>
        </w:rPr>
      </w:pPr>
    </w:p>
    <w:p w14:paraId="6908CC0F">
      <w:pPr>
        <w:adjustRightInd w:val="0"/>
        <w:snapToGrid w:val="0"/>
        <w:jc w:val="center"/>
        <w:rPr>
          <w:b/>
          <w:color w:val="000000" w:themeColor="text1"/>
          <w:sz w:val="24"/>
          <w14:textFill>
            <w14:solidFill>
              <w14:schemeClr w14:val="tx1"/>
            </w14:solidFill>
          </w14:textFill>
        </w:rPr>
      </w:pPr>
    </w:p>
    <w:p w14:paraId="2DB51AF9">
      <w:pPr>
        <w:adjustRightInd w:val="0"/>
        <w:snapToGrid w:val="0"/>
        <w:jc w:val="center"/>
        <w:rPr>
          <w:b/>
          <w:color w:val="000000" w:themeColor="text1"/>
          <w:sz w:val="24"/>
          <w14:textFill>
            <w14:solidFill>
              <w14:schemeClr w14:val="tx1"/>
            </w14:solidFill>
          </w14:textFill>
        </w:rPr>
      </w:pPr>
    </w:p>
    <w:p w14:paraId="12E80392">
      <w:pPr>
        <w:adjustRightInd w:val="0"/>
        <w:snapToGrid w:val="0"/>
        <w:jc w:val="center"/>
        <w:rPr>
          <w:b/>
          <w:color w:val="000000" w:themeColor="text1"/>
          <w:sz w:val="24"/>
          <w14:textFill>
            <w14:solidFill>
              <w14:schemeClr w14:val="tx1"/>
            </w14:solidFill>
          </w14:textFill>
        </w:rPr>
      </w:pPr>
    </w:p>
    <w:p w14:paraId="6FF497A5">
      <w:pPr>
        <w:adjustRightInd w:val="0"/>
        <w:snapToGrid w:val="0"/>
        <w:jc w:val="center"/>
        <w:rPr>
          <w:b/>
          <w:color w:val="000000" w:themeColor="text1"/>
          <w:sz w:val="24"/>
          <w14:textFill>
            <w14:solidFill>
              <w14:schemeClr w14:val="tx1"/>
            </w14:solidFill>
          </w14:textFill>
        </w:rPr>
      </w:pPr>
    </w:p>
    <w:p w14:paraId="75AFB96E">
      <w:pPr>
        <w:adjustRightInd w:val="0"/>
        <w:snapToGrid w:val="0"/>
        <w:jc w:val="center"/>
        <w:rPr>
          <w:b/>
          <w:color w:val="000000" w:themeColor="text1"/>
          <w:sz w:val="24"/>
          <w14:textFill>
            <w14:solidFill>
              <w14:schemeClr w14:val="tx1"/>
            </w14:solidFill>
          </w14:textFill>
        </w:rPr>
      </w:pPr>
    </w:p>
    <w:p w14:paraId="77877897">
      <w:pPr>
        <w:adjustRightInd w:val="0"/>
        <w:snapToGrid w:val="0"/>
        <w:jc w:val="center"/>
        <w:rPr>
          <w:b/>
          <w:color w:val="000000" w:themeColor="text1"/>
          <w:sz w:val="24"/>
          <w14:textFill>
            <w14:solidFill>
              <w14:schemeClr w14:val="tx1"/>
            </w14:solidFill>
          </w14:textFill>
        </w:rPr>
      </w:pPr>
    </w:p>
    <w:p w14:paraId="57C9BA20">
      <w:pPr>
        <w:adjustRightInd w:val="0"/>
        <w:snapToGrid w:val="0"/>
        <w:jc w:val="center"/>
        <w:rPr>
          <w:b/>
          <w:color w:val="000000" w:themeColor="text1"/>
          <w:sz w:val="24"/>
          <w14:textFill>
            <w14:solidFill>
              <w14:schemeClr w14:val="tx1"/>
            </w14:solidFill>
          </w14:textFill>
        </w:rPr>
      </w:pPr>
    </w:p>
    <w:p w14:paraId="63A479BB">
      <w:pPr>
        <w:adjustRightInd w:val="0"/>
        <w:snapToGrid w:val="0"/>
        <w:jc w:val="center"/>
        <w:rPr>
          <w:b/>
          <w:color w:val="000000" w:themeColor="text1"/>
          <w:sz w:val="24"/>
          <w14:textFill>
            <w14:solidFill>
              <w14:schemeClr w14:val="tx1"/>
            </w14:solidFill>
          </w14:textFill>
        </w:rPr>
      </w:pPr>
    </w:p>
    <w:p w14:paraId="0EFB178A">
      <w:pPr>
        <w:adjustRightInd w:val="0"/>
        <w:snapToGrid w:val="0"/>
        <w:jc w:val="center"/>
        <w:rPr>
          <w:b/>
          <w:color w:val="000000" w:themeColor="text1"/>
          <w:sz w:val="24"/>
          <w14:textFill>
            <w14:solidFill>
              <w14:schemeClr w14:val="tx1"/>
            </w14:solidFill>
          </w14:textFill>
        </w:rPr>
      </w:pPr>
    </w:p>
    <w:p w14:paraId="407CF722">
      <w:pPr>
        <w:adjustRightInd w:val="0"/>
        <w:snapToGrid w:val="0"/>
        <w:jc w:val="center"/>
        <w:rPr>
          <w:b/>
          <w:color w:val="000000" w:themeColor="text1"/>
          <w:sz w:val="24"/>
          <w14:textFill>
            <w14:solidFill>
              <w14:schemeClr w14:val="tx1"/>
            </w14:solidFill>
          </w14:textFill>
        </w:rPr>
      </w:pPr>
    </w:p>
    <w:p w14:paraId="5E55878F">
      <w:pPr>
        <w:adjustRightInd w:val="0"/>
        <w:snapToGrid w:val="0"/>
        <w:jc w:val="center"/>
        <w:rPr>
          <w:b/>
          <w:color w:val="000000" w:themeColor="text1"/>
          <w:sz w:val="24"/>
          <w14:textFill>
            <w14:solidFill>
              <w14:schemeClr w14:val="tx1"/>
            </w14:solidFill>
          </w14:textFill>
        </w:rPr>
      </w:pPr>
    </w:p>
    <w:p w14:paraId="674E622F">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表6.1-3  正常工况拟建项目污染物排放情况汇总表</w:t>
      </w:r>
    </w:p>
    <w:tbl>
      <w:tblPr>
        <w:tblStyle w:val="42"/>
        <w:tblW w:w="5269" w:type="pct"/>
        <w:tblInd w:w="-459"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709"/>
        <w:gridCol w:w="1334"/>
        <w:gridCol w:w="857"/>
        <w:gridCol w:w="900"/>
        <w:gridCol w:w="1131"/>
        <w:gridCol w:w="964"/>
        <w:gridCol w:w="1001"/>
        <w:gridCol w:w="836"/>
      </w:tblGrid>
      <w:tr w14:paraId="1FF6E5E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95" w:type="pct"/>
            <w:vMerge w:val="restart"/>
            <w:vAlign w:val="center"/>
          </w:tcPr>
          <w:p w14:paraId="5F3E2BBC">
            <w:pPr>
              <w:jc w:val="center"/>
              <w:rPr>
                <w:b/>
                <w:color w:val="000000" w:themeColor="text1"/>
                <w:szCs w:val="21"/>
                <w14:textFill>
                  <w14:solidFill>
                    <w14:schemeClr w14:val="tx1"/>
                  </w14:solidFill>
                </w14:textFill>
              </w:rPr>
            </w:pPr>
          </w:p>
          <w:p w14:paraId="7969330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工序</w:t>
            </w:r>
          </w:p>
        </w:tc>
        <w:tc>
          <w:tcPr>
            <w:tcW w:w="395" w:type="pct"/>
            <w:vMerge w:val="restart"/>
            <w:vAlign w:val="center"/>
          </w:tcPr>
          <w:p w14:paraId="2CA5717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编号</w:t>
            </w:r>
          </w:p>
        </w:tc>
        <w:tc>
          <w:tcPr>
            <w:tcW w:w="743" w:type="pct"/>
            <w:vMerge w:val="restart"/>
            <w:vAlign w:val="center"/>
          </w:tcPr>
          <w:p w14:paraId="04DE46E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排气量</w:t>
            </w:r>
          </w:p>
          <w:p w14:paraId="388D60C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(Nm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/h)</w:t>
            </w:r>
          </w:p>
        </w:tc>
        <w:tc>
          <w:tcPr>
            <w:tcW w:w="477" w:type="pct"/>
            <w:vMerge w:val="restart"/>
            <w:vAlign w:val="center"/>
          </w:tcPr>
          <w:p w14:paraId="7C547CA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污染物名称</w:t>
            </w:r>
          </w:p>
        </w:tc>
        <w:tc>
          <w:tcPr>
            <w:tcW w:w="501" w:type="pct"/>
            <w:vMerge w:val="restart"/>
            <w:vAlign w:val="center"/>
          </w:tcPr>
          <w:p w14:paraId="1D13B57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质量标准mg/m</w:t>
            </w:r>
            <w:r>
              <w:rPr>
                <w:b/>
                <w:color w:val="000000" w:themeColor="text1"/>
                <w:szCs w:val="21"/>
                <w:vertAlign w:val="superscript"/>
                <w14:textFill>
                  <w14:solidFill>
                    <w14:schemeClr w14:val="tx1"/>
                  </w14:solidFill>
                </w14:textFill>
              </w:rPr>
              <w:t>3</w:t>
            </w:r>
          </w:p>
        </w:tc>
        <w:tc>
          <w:tcPr>
            <w:tcW w:w="630" w:type="pct"/>
            <w:vMerge w:val="restart"/>
            <w:vAlign w:val="center"/>
          </w:tcPr>
          <w:p w14:paraId="34889CA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排放速率(kg/h)</w:t>
            </w:r>
          </w:p>
        </w:tc>
        <w:tc>
          <w:tcPr>
            <w:tcW w:w="1094" w:type="pct"/>
            <w:gridSpan w:val="2"/>
            <w:vAlign w:val="center"/>
          </w:tcPr>
          <w:p w14:paraId="3426513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排气筒参数</w:t>
            </w:r>
          </w:p>
        </w:tc>
        <w:tc>
          <w:tcPr>
            <w:tcW w:w="465" w:type="pct"/>
            <w:vMerge w:val="restart"/>
            <w:vAlign w:val="center"/>
          </w:tcPr>
          <w:p w14:paraId="25C7313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烟气温度</w:t>
            </w:r>
            <w:r>
              <w:rPr>
                <w:rFonts w:hint="eastAsia" w:ascii="宋体" w:hAnsi="宋体" w:cs="宋体"/>
                <w:b/>
                <w:color w:val="000000" w:themeColor="text1"/>
                <w:szCs w:val="21"/>
                <w14:textFill>
                  <w14:solidFill>
                    <w14:schemeClr w14:val="tx1"/>
                  </w14:solidFill>
                </w14:textFill>
              </w:rPr>
              <w:t>℃</w:t>
            </w:r>
          </w:p>
        </w:tc>
      </w:tr>
      <w:tr w14:paraId="3ABF392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95" w:type="pct"/>
            <w:vMerge w:val="continue"/>
            <w:vAlign w:val="center"/>
          </w:tcPr>
          <w:p w14:paraId="0185D72A">
            <w:pPr>
              <w:jc w:val="center"/>
              <w:rPr>
                <w:color w:val="000000" w:themeColor="text1"/>
                <w:szCs w:val="21"/>
                <w14:textFill>
                  <w14:solidFill>
                    <w14:schemeClr w14:val="tx1"/>
                  </w14:solidFill>
                </w14:textFill>
              </w:rPr>
            </w:pPr>
          </w:p>
        </w:tc>
        <w:tc>
          <w:tcPr>
            <w:tcW w:w="395" w:type="pct"/>
            <w:vMerge w:val="continue"/>
            <w:vAlign w:val="center"/>
          </w:tcPr>
          <w:p w14:paraId="212B467D">
            <w:pPr>
              <w:jc w:val="center"/>
              <w:rPr>
                <w:color w:val="000000" w:themeColor="text1"/>
                <w:szCs w:val="21"/>
                <w14:textFill>
                  <w14:solidFill>
                    <w14:schemeClr w14:val="tx1"/>
                  </w14:solidFill>
                </w14:textFill>
              </w:rPr>
            </w:pPr>
          </w:p>
        </w:tc>
        <w:tc>
          <w:tcPr>
            <w:tcW w:w="743" w:type="pct"/>
            <w:vMerge w:val="continue"/>
            <w:vAlign w:val="center"/>
          </w:tcPr>
          <w:p w14:paraId="34F77911">
            <w:pPr>
              <w:jc w:val="center"/>
              <w:rPr>
                <w:color w:val="000000" w:themeColor="text1"/>
                <w:szCs w:val="21"/>
                <w14:textFill>
                  <w14:solidFill>
                    <w14:schemeClr w14:val="tx1"/>
                  </w14:solidFill>
                </w14:textFill>
              </w:rPr>
            </w:pPr>
          </w:p>
        </w:tc>
        <w:tc>
          <w:tcPr>
            <w:tcW w:w="477" w:type="pct"/>
            <w:vMerge w:val="continue"/>
            <w:vAlign w:val="center"/>
          </w:tcPr>
          <w:p w14:paraId="3C8495A8">
            <w:pPr>
              <w:jc w:val="center"/>
              <w:rPr>
                <w:color w:val="000000" w:themeColor="text1"/>
                <w:szCs w:val="21"/>
                <w14:textFill>
                  <w14:solidFill>
                    <w14:schemeClr w14:val="tx1"/>
                  </w14:solidFill>
                </w14:textFill>
              </w:rPr>
            </w:pPr>
          </w:p>
        </w:tc>
        <w:tc>
          <w:tcPr>
            <w:tcW w:w="501" w:type="pct"/>
            <w:vMerge w:val="continue"/>
            <w:vAlign w:val="center"/>
          </w:tcPr>
          <w:p w14:paraId="7B0C97FF">
            <w:pPr>
              <w:jc w:val="center"/>
              <w:rPr>
                <w:b/>
                <w:color w:val="000000" w:themeColor="text1"/>
                <w:szCs w:val="21"/>
                <w14:textFill>
                  <w14:solidFill>
                    <w14:schemeClr w14:val="tx1"/>
                  </w14:solidFill>
                </w14:textFill>
              </w:rPr>
            </w:pPr>
          </w:p>
        </w:tc>
        <w:tc>
          <w:tcPr>
            <w:tcW w:w="630" w:type="pct"/>
            <w:vMerge w:val="continue"/>
            <w:vAlign w:val="center"/>
          </w:tcPr>
          <w:p w14:paraId="61A3B523">
            <w:pPr>
              <w:jc w:val="center"/>
              <w:rPr>
                <w:b/>
                <w:color w:val="000000" w:themeColor="text1"/>
                <w:szCs w:val="21"/>
                <w14:textFill>
                  <w14:solidFill>
                    <w14:schemeClr w14:val="tx1"/>
                  </w14:solidFill>
                </w14:textFill>
              </w:rPr>
            </w:pPr>
          </w:p>
        </w:tc>
        <w:tc>
          <w:tcPr>
            <w:tcW w:w="537" w:type="pct"/>
            <w:vAlign w:val="center"/>
          </w:tcPr>
          <w:p w14:paraId="5CEFD94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高 度</w:t>
            </w:r>
          </w:p>
          <w:p w14:paraId="2063A70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w:t>
            </w:r>
          </w:p>
        </w:tc>
        <w:tc>
          <w:tcPr>
            <w:tcW w:w="557" w:type="pct"/>
            <w:vAlign w:val="center"/>
          </w:tcPr>
          <w:p w14:paraId="3F73BDD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内 径</w:t>
            </w:r>
          </w:p>
          <w:p w14:paraId="69C89C6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w:t>
            </w:r>
          </w:p>
        </w:tc>
        <w:tc>
          <w:tcPr>
            <w:tcW w:w="465" w:type="pct"/>
            <w:vMerge w:val="continue"/>
            <w:vAlign w:val="center"/>
          </w:tcPr>
          <w:p w14:paraId="39FDCF8C">
            <w:pPr>
              <w:jc w:val="center"/>
              <w:rPr>
                <w:color w:val="000000" w:themeColor="text1"/>
                <w:szCs w:val="21"/>
                <w14:textFill>
                  <w14:solidFill>
                    <w14:schemeClr w14:val="tx1"/>
                  </w14:solidFill>
                </w14:textFill>
              </w:rPr>
            </w:pPr>
          </w:p>
        </w:tc>
      </w:tr>
      <w:tr w14:paraId="4151190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95" w:type="pct"/>
            <w:vMerge w:val="restart"/>
            <w:vAlign w:val="center"/>
          </w:tcPr>
          <w:p w14:paraId="480844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造粒</w:t>
            </w:r>
            <w:r>
              <w:rPr>
                <w:b/>
                <w:color w:val="000000" w:themeColor="text1"/>
                <w:szCs w:val="21"/>
                <w14:textFill>
                  <w14:solidFill>
                    <w14:schemeClr w14:val="tx1"/>
                  </w14:solidFill>
                </w14:textFill>
              </w:rPr>
              <w:t>工序</w:t>
            </w:r>
          </w:p>
        </w:tc>
        <w:tc>
          <w:tcPr>
            <w:tcW w:w="395" w:type="pct"/>
            <w:vMerge w:val="restart"/>
            <w:vAlign w:val="center"/>
          </w:tcPr>
          <w:p w14:paraId="38F52D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G1</w:t>
            </w:r>
          </w:p>
        </w:tc>
        <w:tc>
          <w:tcPr>
            <w:tcW w:w="743" w:type="pct"/>
            <w:vMerge w:val="restart"/>
            <w:vAlign w:val="center"/>
          </w:tcPr>
          <w:p w14:paraId="22393AC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6000（1440</w:t>
            </w:r>
            <w:r>
              <w:rPr>
                <w:b/>
                <w:color w:val="000000" w:themeColor="text1"/>
                <w:szCs w:val="21"/>
                <w14:textFill>
                  <w14:solidFill>
                    <w14:schemeClr w14:val="tx1"/>
                  </w14:solidFill>
                </w14:textFill>
              </w:rPr>
              <w:t>万m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/a</w:t>
            </w:r>
            <w:r>
              <w:rPr>
                <w:color w:val="000000" w:themeColor="text1"/>
                <w:szCs w:val="21"/>
                <w14:textFill>
                  <w14:solidFill>
                    <w14:schemeClr w14:val="tx1"/>
                  </w14:solidFill>
                </w14:textFill>
              </w:rPr>
              <w:t>）</w:t>
            </w:r>
          </w:p>
        </w:tc>
        <w:tc>
          <w:tcPr>
            <w:tcW w:w="477" w:type="pct"/>
            <w:vAlign w:val="center"/>
          </w:tcPr>
          <w:p w14:paraId="57A93E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501" w:type="pct"/>
            <w:vAlign w:val="center"/>
          </w:tcPr>
          <w:p w14:paraId="2EAE58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630" w:type="pct"/>
            <w:vAlign w:val="center"/>
          </w:tcPr>
          <w:p w14:paraId="2DFA22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0.0047</w:t>
            </w:r>
          </w:p>
        </w:tc>
        <w:tc>
          <w:tcPr>
            <w:tcW w:w="537" w:type="pct"/>
            <w:vMerge w:val="restart"/>
            <w:vAlign w:val="center"/>
          </w:tcPr>
          <w:p w14:paraId="49002F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557" w:type="pct"/>
            <w:vMerge w:val="restart"/>
            <w:vAlign w:val="center"/>
          </w:tcPr>
          <w:p w14:paraId="2B753F0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465" w:type="pct"/>
            <w:vMerge w:val="restart"/>
            <w:vAlign w:val="center"/>
          </w:tcPr>
          <w:p w14:paraId="77E3F9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14:paraId="41CE4BC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95" w:type="pct"/>
            <w:vMerge w:val="continue"/>
            <w:vAlign w:val="center"/>
          </w:tcPr>
          <w:p w14:paraId="4FECFBD3">
            <w:pPr>
              <w:jc w:val="center"/>
              <w:rPr>
                <w:color w:val="000000" w:themeColor="text1"/>
                <w:szCs w:val="21"/>
                <w14:textFill>
                  <w14:solidFill>
                    <w14:schemeClr w14:val="tx1"/>
                  </w14:solidFill>
                </w14:textFill>
              </w:rPr>
            </w:pPr>
          </w:p>
        </w:tc>
        <w:tc>
          <w:tcPr>
            <w:tcW w:w="395" w:type="pct"/>
            <w:vMerge w:val="continue"/>
            <w:vAlign w:val="center"/>
          </w:tcPr>
          <w:p w14:paraId="05EDE736">
            <w:pPr>
              <w:jc w:val="center"/>
              <w:rPr>
                <w:color w:val="000000" w:themeColor="text1"/>
                <w:szCs w:val="21"/>
                <w14:textFill>
                  <w14:solidFill>
                    <w14:schemeClr w14:val="tx1"/>
                  </w14:solidFill>
                </w14:textFill>
              </w:rPr>
            </w:pPr>
          </w:p>
        </w:tc>
        <w:tc>
          <w:tcPr>
            <w:tcW w:w="743" w:type="pct"/>
            <w:vMerge w:val="continue"/>
            <w:vAlign w:val="center"/>
          </w:tcPr>
          <w:p w14:paraId="51811088">
            <w:pPr>
              <w:jc w:val="center"/>
              <w:rPr>
                <w:color w:val="000000" w:themeColor="text1"/>
                <w:szCs w:val="21"/>
                <w14:textFill>
                  <w14:solidFill>
                    <w14:schemeClr w14:val="tx1"/>
                  </w14:solidFill>
                </w14:textFill>
              </w:rPr>
            </w:pPr>
          </w:p>
        </w:tc>
        <w:tc>
          <w:tcPr>
            <w:tcW w:w="477" w:type="pct"/>
            <w:vAlign w:val="center"/>
          </w:tcPr>
          <w:p w14:paraId="751DC8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501" w:type="pct"/>
            <w:vAlign w:val="center"/>
          </w:tcPr>
          <w:p w14:paraId="2EDF6F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30" w:type="pct"/>
            <w:vAlign w:val="center"/>
          </w:tcPr>
          <w:p w14:paraId="43EEB4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0.0984</w:t>
            </w:r>
          </w:p>
        </w:tc>
        <w:tc>
          <w:tcPr>
            <w:tcW w:w="537" w:type="pct"/>
            <w:vMerge w:val="continue"/>
            <w:vAlign w:val="center"/>
          </w:tcPr>
          <w:p w14:paraId="33116F5C">
            <w:pPr>
              <w:jc w:val="center"/>
              <w:rPr>
                <w:b/>
                <w:color w:val="000000" w:themeColor="text1"/>
                <w:szCs w:val="21"/>
                <w14:textFill>
                  <w14:solidFill>
                    <w14:schemeClr w14:val="tx1"/>
                  </w14:solidFill>
                </w14:textFill>
              </w:rPr>
            </w:pPr>
          </w:p>
        </w:tc>
        <w:tc>
          <w:tcPr>
            <w:tcW w:w="557" w:type="pct"/>
            <w:vMerge w:val="continue"/>
            <w:vAlign w:val="center"/>
          </w:tcPr>
          <w:p w14:paraId="4C2E99A3">
            <w:pPr>
              <w:jc w:val="center"/>
              <w:rPr>
                <w:b/>
                <w:color w:val="000000" w:themeColor="text1"/>
                <w:szCs w:val="21"/>
                <w14:textFill>
                  <w14:solidFill>
                    <w14:schemeClr w14:val="tx1"/>
                  </w14:solidFill>
                </w14:textFill>
              </w:rPr>
            </w:pPr>
          </w:p>
        </w:tc>
        <w:tc>
          <w:tcPr>
            <w:tcW w:w="465" w:type="pct"/>
            <w:vMerge w:val="continue"/>
            <w:vAlign w:val="center"/>
          </w:tcPr>
          <w:p w14:paraId="72B77553">
            <w:pPr>
              <w:jc w:val="center"/>
              <w:rPr>
                <w:color w:val="000000" w:themeColor="text1"/>
                <w:szCs w:val="21"/>
                <w14:textFill>
                  <w14:solidFill>
                    <w14:schemeClr w14:val="tx1"/>
                  </w14:solidFill>
                </w14:textFill>
              </w:rPr>
            </w:pPr>
          </w:p>
        </w:tc>
      </w:tr>
      <w:tr w14:paraId="1B25AB1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95" w:type="pct"/>
            <w:vMerge w:val="restart"/>
            <w:vAlign w:val="center"/>
          </w:tcPr>
          <w:p w14:paraId="56921BD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工序</w:t>
            </w:r>
          </w:p>
        </w:tc>
        <w:tc>
          <w:tcPr>
            <w:tcW w:w="395" w:type="pct"/>
            <w:vMerge w:val="restart"/>
            <w:vAlign w:val="center"/>
          </w:tcPr>
          <w:p w14:paraId="02FEF64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编号</w:t>
            </w:r>
          </w:p>
        </w:tc>
        <w:tc>
          <w:tcPr>
            <w:tcW w:w="743" w:type="pct"/>
            <w:vMerge w:val="restart"/>
            <w:vAlign w:val="center"/>
          </w:tcPr>
          <w:p w14:paraId="6A1A92A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排放方式</w:t>
            </w:r>
          </w:p>
        </w:tc>
        <w:tc>
          <w:tcPr>
            <w:tcW w:w="477" w:type="pct"/>
            <w:vMerge w:val="restart"/>
            <w:vAlign w:val="center"/>
          </w:tcPr>
          <w:p w14:paraId="667F899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污染物名称</w:t>
            </w:r>
          </w:p>
        </w:tc>
        <w:tc>
          <w:tcPr>
            <w:tcW w:w="501" w:type="pct"/>
            <w:vMerge w:val="restart"/>
            <w:vAlign w:val="center"/>
          </w:tcPr>
          <w:p w14:paraId="4B01107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质量标准mg/m</w:t>
            </w:r>
            <w:r>
              <w:rPr>
                <w:b/>
                <w:color w:val="000000" w:themeColor="text1"/>
                <w:szCs w:val="21"/>
                <w:vertAlign w:val="superscript"/>
                <w14:textFill>
                  <w14:solidFill>
                    <w14:schemeClr w14:val="tx1"/>
                  </w14:solidFill>
                </w14:textFill>
              </w:rPr>
              <w:t>3</w:t>
            </w:r>
          </w:p>
        </w:tc>
        <w:tc>
          <w:tcPr>
            <w:tcW w:w="630" w:type="pct"/>
            <w:vMerge w:val="restart"/>
            <w:vAlign w:val="center"/>
          </w:tcPr>
          <w:p w14:paraId="035D2A7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排放速 率</w:t>
            </w:r>
          </w:p>
          <w:p w14:paraId="68F4F04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(kg/h)</w:t>
            </w:r>
          </w:p>
        </w:tc>
        <w:tc>
          <w:tcPr>
            <w:tcW w:w="1558" w:type="pct"/>
            <w:gridSpan w:val="3"/>
            <w:vAlign w:val="center"/>
          </w:tcPr>
          <w:p w14:paraId="4BB0CEB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面源参数</w:t>
            </w:r>
          </w:p>
        </w:tc>
      </w:tr>
      <w:tr w14:paraId="52735E9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95" w:type="pct"/>
            <w:vMerge w:val="continue"/>
            <w:vAlign w:val="center"/>
          </w:tcPr>
          <w:p w14:paraId="07E96BD7">
            <w:pPr>
              <w:jc w:val="center"/>
              <w:rPr>
                <w:color w:val="000000" w:themeColor="text1"/>
                <w:szCs w:val="21"/>
                <w14:textFill>
                  <w14:solidFill>
                    <w14:schemeClr w14:val="tx1"/>
                  </w14:solidFill>
                </w14:textFill>
              </w:rPr>
            </w:pPr>
          </w:p>
        </w:tc>
        <w:tc>
          <w:tcPr>
            <w:tcW w:w="395" w:type="pct"/>
            <w:vMerge w:val="continue"/>
            <w:vAlign w:val="center"/>
          </w:tcPr>
          <w:p w14:paraId="37067BAE">
            <w:pPr>
              <w:jc w:val="center"/>
              <w:rPr>
                <w:color w:val="000000" w:themeColor="text1"/>
                <w:szCs w:val="21"/>
                <w14:textFill>
                  <w14:solidFill>
                    <w14:schemeClr w14:val="tx1"/>
                  </w14:solidFill>
                </w14:textFill>
              </w:rPr>
            </w:pPr>
          </w:p>
        </w:tc>
        <w:tc>
          <w:tcPr>
            <w:tcW w:w="743" w:type="pct"/>
            <w:vMerge w:val="continue"/>
            <w:vAlign w:val="center"/>
          </w:tcPr>
          <w:p w14:paraId="4AEE1D53">
            <w:pPr>
              <w:jc w:val="center"/>
              <w:rPr>
                <w:color w:val="000000" w:themeColor="text1"/>
                <w:szCs w:val="21"/>
                <w14:textFill>
                  <w14:solidFill>
                    <w14:schemeClr w14:val="tx1"/>
                  </w14:solidFill>
                </w14:textFill>
              </w:rPr>
            </w:pPr>
          </w:p>
        </w:tc>
        <w:tc>
          <w:tcPr>
            <w:tcW w:w="477" w:type="pct"/>
            <w:vMerge w:val="continue"/>
            <w:vAlign w:val="center"/>
          </w:tcPr>
          <w:p w14:paraId="339C89F8">
            <w:pPr>
              <w:jc w:val="center"/>
              <w:rPr>
                <w:color w:val="000000" w:themeColor="text1"/>
                <w:szCs w:val="21"/>
                <w14:textFill>
                  <w14:solidFill>
                    <w14:schemeClr w14:val="tx1"/>
                  </w14:solidFill>
                </w14:textFill>
              </w:rPr>
            </w:pPr>
          </w:p>
        </w:tc>
        <w:tc>
          <w:tcPr>
            <w:tcW w:w="501" w:type="pct"/>
            <w:vMerge w:val="continue"/>
            <w:vAlign w:val="center"/>
          </w:tcPr>
          <w:p w14:paraId="04ED508A">
            <w:pPr>
              <w:jc w:val="center"/>
              <w:rPr>
                <w:b/>
                <w:color w:val="000000" w:themeColor="text1"/>
                <w:szCs w:val="21"/>
                <w14:textFill>
                  <w14:solidFill>
                    <w14:schemeClr w14:val="tx1"/>
                  </w14:solidFill>
                </w14:textFill>
              </w:rPr>
            </w:pPr>
          </w:p>
        </w:tc>
        <w:tc>
          <w:tcPr>
            <w:tcW w:w="630" w:type="pct"/>
            <w:vMerge w:val="continue"/>
            <w:vAlign w:val="center"/>
          </w:tcPr>
          <w:p w14:paraId="1BB87789">
            <w:pPr>
              <w:jc w:val="center"/>
              <w:rPr>
                <w:b/>
                <w:color w:val="000000" w:themeColor="text1"/>
                <w:szCs w:val="21"/>
                <w14:textFill>
                  <w14:solidFill>
                    <w14:schemeClr w14:val="tx1"/>
                  </w14:solidFill>
                </w14:textFill>
              </w:rPr>
            </w:pPr>
          </w:p>
        </w:tc>
        <w:tc>
          <w:tcPr>
            <w:tcW w:w="537" w:type="pct"/>
            <w:vAlign w:val="center"/>
          </w:tcPr>
          <w:p w14:paraId="2BF157D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长(m)</w:t>
            </w:r>
          </w:p>
        </w:tc>
        <w:tc>
          <w:tcPr>
            <w:tcW w:w="557" w:type="pct"/>
            <w:vAlign w:val="center"/>
          </w:tcPr>
          <w:p w14:paraId="714F9DE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宽(m)</w:t>
            </w:r>
          </w:p>
        </w:tc>
        <w:tc>
          <w:tcPr>
            <w:tcW w:w="465" w:type="pct"/>
            <w:vAlign w:val="center"/>
          </w:tcPr>
          <w:p w14:paraId="53F6058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高 (m)</w:t>
            </w:r>
          </w:p>
        </w:tc>
      </w:tr>
      <w:tr w14:paraId="309BBF7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695" w:type="pct"/>
            <w:vMerge w:val="restart"/>
            <w:vAlign w:val="center"/>
          </w:tcPr>
          <w:p w14:paraId="3623C4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造粒</w:t>
            </w:r>
            <w:r>
              <w:rPr>
                <w:b/>
                <w:color w:val="000000" w:themeColor="text1"/>
                <w:szCs w:val="21"/>
                <w14:textFill>
                  <w14:solidFill>
                    <w14:schemeClr w14:val="tx1"/>
                  </w14:solidFill>
                </w14:textFill>
              </w:rPr>
              <w:t>工序</w:t>
            </w:r>
          </w:p>
        </w:tc>
        <w:tc>
          <w:tcPr>
            <w:tcW w:w="395" w:type="pct"/>
            <w:vAlign w:val="center"/>
          </w:tcPr>
          <w:p w14:paraId="25F8E9C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43" w:type="pct"/>
            <w:vMerge w:val="restart"/>
            <w:vAlign w:val="center"/>
          </w:tcPr>
          <w:p w14:paraId="65DB14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477" w:type="pct"/>
            <w:vAlign w:val="center"/>
          </w:tcPr>
          <w:p w14:paraId="31B5699C">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501" w:type="pct"/>
            <w:vAlign w:val="center"/>
          </w:tcPr>
          <w:p w14:paraId="5FC6D9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630" w:type="pct"/>
            <w:vAlign w:val="center"/>
          </w:tcPr>
          <w:p w14:paraId="5B0E27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0.0104</w:t>
            </w:r>
          </w:p>
        </w:tc>
        <w:tc>
          <w:tcPr>
            <w:tcW w:w="537" w:type="pct"/>
            <w:vAlign w:val="center"/>
          </w:tcPr>
          <w:p w14:paraId="6E6270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w:t>
            </w:r>
          </w:p>
        </w:tc>
        <w:tc>
          <w:tcPr>
            <w:tcW w:w="557" w:type="pct"/>
            <w:vAlign w:val="center"/>
          </w:tcPr>
          <w:p w14:paraId="62FAF9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w:t>
            </w:r>
          </w:p>
        </w:tc>
        <w:tc>
          <w:tcPr>
            <w:tcW w:w="465" w:type="pct"/>
            <w:vAlign w:val="center"/>
          </w:tcPr>
          <w:p w14:paraId="510386A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14:paraId="33CB3AD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95" w:type="pct"/>
            <w:vMerge w:val="continue"/>
            <w:vAlign w:val="center"/>
          </w:tcPr>
          <w:p w14:paraId="3D667816">
            <w:pPr>
              <w:jc w:val="center"/>
              <w:rPr>
                <w:color w:val="000000" w:themeColor="text1"/>
                <w:szCs w:val="21"/>
                <w14:textFill>
                  <w14:solidFill>
                    <w14:schemeClr w14:val="tx1"/>
                  </w14:solidFill>
                </w14:textFill>
              </w:rPr>
            </w:pPr>
          </w:p>
        </w:tc>
        <w:tc>
          <w:tcPr>
            <w:tcW w:w="395" w:type="pct"/>
            <w:vAlign w:val="center"/>
          </w:tcPr>
          <w:p w14:paraId="47BC25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43" w:type="pct"/>
            <w:vMerge w:val="continue"/>
            <w:vAlign w:val="center"/>
          </w:tcPr>
          <w:p w14:paraId="4B93CDC2">
            <w:pPr>
              <w:jc w:val="center"/>
              <w:rPr>
                <w:color w:val="000000" w:themeColor="text1"/>
                <w:szCs w:val="21"/>
                <w14:textFill>
                  <w14:solidFill>
                    <w14:schemeClr w14:val="tx1"/>
                  </w14:solidFill>
                </w14:textFill>
              </w:rPr>
            </w:pPr>
          </w:p>
        </w:tc>
        <w:tc>
          <w:tcPr>
            <w:tcW w:w="477" w:type="pct"/>
            <w:vAlign w:val="center"/>
          </w:tcPr>
          <w:p w14:paraId="1FB817D0">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非甲烷总烃</w:t>
            </w:r>
          </w:p>
        </w:tc>
        <w:tc>
          <w:tcPr>
            <w:tcW w:w="501" w:type="pct"/>
            <w:vAlign w:val="center"/>
          </w:tcPr>
          <w:p w14:paraId="133DD5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30" w:type="pct"/>
            <w:vAlign w:val="center"/>
          </w:tcPr>
          <w:p w14:paraId="665E8D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0.0729</w:t>
            </w:r>
          </w:p>
        </w:tc>
        <w:tc>
          <w:tcPr>
            <w:tcW w:w="537" w:type="pct"/>
            <w:vAlign w:val="center"/>
          </w:tcPr>
          <w:p w14:paraId="438AD9E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w:t>
            </w:r>
          </w:p>
        </w:tc>
        <w:tc>
          <w:tcPr>
            <w:tcW w:w="557" w:type="pct"/>
            <w:vAlign w:val="center"/>
          </w:tcPr>
          <w:p w14:paraId="0E0BD2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w:t>
            </w:r>
          </w:p>
        </w:tc>
        <w:tc>
          <w:tcPr>
            <w:tcW w:w="465" w:type="pct"/>
            <w:vAlign w:val="center"/>
          </w:tcPr>
          <w:p w14:paraId="2B5A90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bl>
    <w:p w14:paraId="587089B8">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6.1.3正常工况废气环境影响分析</w:t>
      </w:r>
    </w:p>
    <w:p w14:paraId="26713A77">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1、有组织废气环境影响分析</w:t>
      </w:r>
    </w:p>
    <w:p w14:paraId="55CF6E77">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（1）造粒热熔挤出有组织废气环境影响分析</w:t>
      </w:r>
    </w:p>
    <w:p w14:paraId="6CC7EFF4">
      <w:pPr>
        <w:pStyle w:val="11"/>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本项目造粒热熔挤出产生的废气主要为颗粒物、非甲烷总烃。</w:t>
      </w:r>
    </w:p>
    <w:p w14:paraId="5CA73C1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本次评价采用HJ/T2.2-2018推介的AERSCREEN模式分别对颗粒物、非甲烷总烃下风向的轴线浓度进行计算，并计算相应浓度</w:t>
      </w:r>
      <w:r>
        <w:rPr>
          <w:rFonts w:hint="eastAsia"/>
          <w:color w:val="000000" w:themeColor="text1"/>
          <w:sz w:val="24"/>
          <w:lang w:eastAsia="zh-CN"/>
          <w14:textFill>
            <w14:solidFill>
              <w14:schemeClr w14:val="tx1"/>
            </w14:solidFill>
          </w14:textFill>
        </w:rPr>
        <w:t>的</w:t>
      </w:r>
      <w:r>
        <w:rPr>
          <w:color w:val="000000" w:themeColor="text1"/>
          <w:sz w:val="24"/>
          <w14:textFill>
            <w14:solidFill>
              <w14:schemeClr w14:val="tx1"/>
            </w14:solidFill>
          </w14:textFill>
        </w:rPr>
        <w:t>占标率，结果见表6.1-4。</w:t>
      </w:r>
    </w:p>
    <w:p w14:paraId="57EF18FF">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表6.1-4  采用估算模式计算结果表</w:t>
      </w:r>
    </w:p>
    <w:tbl>
      <w:tblPr>
        <w:tblStyle w:val="42"/>
        <w:tblW w:w="5000" w:type="pct"/>
        <w:tblInd w:w="0" w:type="dxa"/>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Layout w:type="fixed"/>
        <w:tblCellMar>
          <w:top w:w="0" w:type="dxa"/>
          <w:left w:w="108" w:type="dxa"/>
          <w:bottom w:w="0" w:type="dxa"/>
          <w:right w:w="108" w:type="dxa"/>
        </w:tblCellMar>
      </w:tblPr>
      <w:tblGrid>
        <w:gridCol w:w="1382"/>
        <w:gridCol w:w="2269"/>
        <w:gridCol w:w="1560"/>
        <w:gridCol w:w="1825"/>
        <w:gridCol w:w="1486"/>
      </w:tblGrid>
      <w:tr w14:paraId="5130565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vMerge w:val="restart"/>
            <w:shd w:val="clear" w:color="auto" w:fill="auto"/>
            <w:noWrap/>
            <w:vAlign w:val="center"/>
          </w:tcPr>
          <w:p w14:paraId="046BFC4A">
            <w:pPr>
              <w:widowControl/>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距源中心下风向距离D/m</w:t>
            </w:r>
          </w:p>
        </w:tc>
        <w:tc>
          <w:tcPr>
            <w:tcW w:w="1331" w:type="pct"/>
            <w:shd w:val="clear" w:color="auto" w:fill="auto"/>
            <w:noWrap/>
            <w:vAlign w:val="center"/>
          </w:tcPr>
          <w:p w14:paraId="0A8AAF8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915" w:type="pct"/>
            <w:shd w:val="clear" w:color="auto" w:fill="auto"/>
            <w:noWrap/>
            <w:vAlign w:val="center"/>
          </w:tcPr>
          <w:p w14:paraId="20D30553">
            <w:pPr>
              <w:widowControl/>
              <w:jc w:val="center"/>
              <w:rPr>
                <w:color w:val="000000" w:themeColor="text1"/>
                <w:kern w:val="0"/>
                <w:szCs w:val="21"/>
                <w14:textFill>
                  <w14:solidFill>
                    <w14:schemeClr w14:val="tx1"/>
                  </w14:solidFill>
                </w14:textFill>
              </w:rPr>
            </w:pPr>
          </w:p>
        </w:tc>
        <w:tc>
          <w:tcPr>
            <w:tcW w:w="1943" w:type="pct"/>
            <w:gridSpan w:val="2"/>
            <w:shd w:val="clear" w:color="auto" w:fill="auto"/>
            <w:noWrap/>
            <w:vAlign w:val="center"/>
          </w:tcPr>
          <w:p w14:paraId="5BEF32A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r>
      <w:tr w14:paraId="0EC99ED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vMerge w:val="continue"/>
            <w:shd w:val="clear" w:color="auto" w:fill="auto"/>
            <w:noWrap/>
            <w:vAlign w:val="center"/>
          </w:tcPr>
          <w:p w14:paraId="30EE5B3E">
            <w:pPr>
              <w:widowControl/>
              <w:jc w:val="center"/>
              <w:rPr>
                <w:color w:val="000000" w:themeColor="text1"/>
                <w:kern w:val="0"/>
                <w:szCs w:val="21"/>
                <w14:textFill>
                  <w14:solidFill>
                    <w14:schemeClr w14:val="tx1"/>
                  </w14:solidFill>
                </w14:textFill>
              </w:rPr>
            </w:pPr>
          </w:p>
        </w:tc>
        <w:tc>
          <w:tcPr>
            <w:tcW w:w="1331" w:type="pct"/>
            <w:shd w:val="clear" w:color="auto" w:fill="auto"/>
            <w:noWrap/>
            <w:vAlign w:val="center"/>
          </w:tcPr>
          <w:p w14:paraId="0ADA56A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下风向预测浓度C</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915" w:type="pct"/>
            <w:shd w:val="clear" w:color="auto" w:fill="auto"/>
            <w:noWrap/>
            <w:vAlign w:val="center"/>
          </w:tcPr>
          <w:p w14:paraId="27C729E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浓度占标率P</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w:t>
            </w:r>
          </w:p>
        </w:tc>
        <w:tc>
          <w:tcPr>
            <w:tcW w:w="1071" w:type="pct"/>
            <w:shd w:val="clear" w:color="auto" w:fill="auto"/>
            <w:noWrap/>
            <w:vAlign w:val="center"/>
          </w:tcPr>
          <w:p w14:paraId="1AD63EB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下风向预测浓度C</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872" w:type="pct"/>
            <w:shd w:val="clear" w:color="auto" w:fill="auto"/>
            <w:noWrap/>
            <w:vAlign w:val="center"/>
          </w:tcPr>
          <w:p w14:paraId="68AEA3E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浓度占标率P</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w:t>
            </w:r>
          </w:p>
        </w:tc>
      </w:tr>
      <w:tr w14:paraId="2895BBF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B3819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331" w:type="pct"/>
            <w:shd w:val="clear" w:color="auto" w:fill="auto"/>
            <w:noWrap/>
            <w:vAlign w:val="center"/>
          </w:tcPr>
          <w:p w14:paraId="7D8814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0.000002</w:t>
            </w:r>
          </w:p>
        </w:tc>
        <w:tc>
          <w:tcPr>
            <w:tcW w:w="915" w:type="pct"/>
            <w:shd w:val="clear" w:color="auto" w:fill="auto"/>
            <w:noWrap/>
            <w:vAlign w:val="center"/>
          </w:tcPr>
          <w:p w14:paraId="283887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4D4CE3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0.000038</w:t>
            </w:r>
          </w:p>
        </w:tc>
        <w:tc>
          <w:tcPr>
            <w:tcW w:w="872" w:type="pct"/>
            <w:shd w:val="clear" w:color="auto" w:fill="auto"/>
            <w:noWrap/>
            <w:vAlign w:val="center"/>
          </w:tcPr>
          <w:p w14:paraId="1F369F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6DCFA27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93900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331" w:type="pct"/>
            <w:shd w:val="clear" w:color="auto" w:fill="auto"/>
            <w:noWrap/>
            <w:vAlign w:val="center"/>
          </w:tcPr>
          <w:p w14:paraId="3A7EC6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0.000017</w:t>
            </w:r>
          </w:p>
        </w:tc>
        <w:tc>
          <w:tcPr>
            <w:tcW w:w="915" w:type="pct"/>
            <w:shd w:val="clear" w:color="auto" w:fill="auto"/>
            <w:noWrap/>
            <w:vAlign w:val="center"/>
          </w:tcPr>
          <w:p w14:paraId="5EF58F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21E045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0.000356</w:t>
            </w:r>
          </w:p>
        </w:tc>
        <w:tc>
          <w:tcPr>
            <w:tcW w:w="872" w:type="pct"/>
            <w:shd w:val="clear" w:color="auto" w:fill="auto"/>
            <w:noWrap/>
            <w:vAlign w:val="center"/>
          </w:tcPr>
          <w:p w14:paraId="0FC08C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w:t>
            </w:r>
          </w:p>
        </w:tc>
      </w:tr>
      <w:tr w14:paraId="3A30931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6161B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331" w:type="pct"/>
            <w:shd w:val="clear" w:color="auto" w:fill="auto"/>
            <w:noWrap/>
            <w:vAlign w:val="center"/>
          </w:tcPr>
          <w:p w14:paraId="336F29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0.000034</w:t>
            </w:r>
          </w:p>
        </w:tc>
        <w:tc>
          <w:tcPr>
            <w:tcW w:w="915" w:type="pct"/>
            <w:shd w:val="clear" w:color="auto" w:fill="auto"/>
            <w:noWrap/>
            <w:vAlign w:val="center"/>
          </w:tcPr>
          <w:p w14:paraId="2635A3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0D50E2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0.000717</w:t>
            </w:r>
          </w:p>
        </w:tc>
        <w:tc>
          <w:tcPr>
            <w:tcW w:w="872" w:type="pct"/>
            <w:shd w:val="clear" w:color="auto" w:fill="auto"/>
            <w:noWrap/>
            <w:vAlign w:val="center"/>
          </w:tcPr>
          <w:p w14:paraId="6ECF21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425841E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3E589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331" w:type="pct"/>
            <w:shd w:val="clear" w:color="auto" w:fill="auto"/>
            <w:noWrap/>
            <w:vAlign w:val="center"/>
          </w:tcPr>
          <w:p w14:paraId="1BC7BF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0.000045</w:t>
            </w:r>
          </w:p>
        </w:tc>
        <w:tc>
          <w:tcPr>
            <w:tcW w:w="915" w:type="pct"/>
            <w:shd w:val="clear" w:color="auto" w:fill="auto"/>
            <w:noWrap/>
            <w:vAlign w:val="center"/>
          </w:tcPr>
          <w:p w14:paraId="2412EE9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7FBEBD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0.000932</w:t>
            </w:r>
          </w:p>
        </w:tc>
        <w:tc>
          <w:tcPr>
            <w:tcW w:w="872" w:type="pct"/>
            <w:shd w:val="clear" w:color="auto" w:fill="auto"/>
            <w:noWrap/>
            <w:vAlign w:val="center"/>
          </w:tcPr>
          <w:p w14:paraId="711B9B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11A6C16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C57FB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331" w:type="pct"/>
            <w:shd w:val="clear" w:color="auto" w:fill="auto"/>
            <w:noWrap/>
            <w:vAlign w:val="center"/>
          </w:tcPr>
          <w:p w14:paraId="122547C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0.000071</w:t>
            </w:r>
          </w:p>
        </w:tc>
        <w:tc>
          <w:tcPr>
            <w:tcW w:w="915" w:type="pct"/>
            <w:shd w:val="clear" w:color="auto" w:fill="auto"/>
            <w:noWrap/>
            <w:vAlign w:val="center"/>
          </w:tcPr>
          <w:p w14:paraId="1E6DF2E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4E826B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0.001495</w:t>
            </w:r>
          </w:p>
        </w:tc>
        <w:tc>
          <w:tcPr>
            <w:tcW w:w="872" w:type="pct"/>
            <w:shd w:val="clear" w:color="auto" w:fill="auto"/>
            <w:noWrap/>
            <w:vAlign w:val="center"/>
          </w:tcPr>
          <w:p w14:paraId="6A8323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3B934F6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95C84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1331" w:type="pct"/>
            <w:shd w:val="clear" w:color="auto" w:fill="auto"/>
            <w:noWrap/>
            <w:vAlign w:val="center"/>
          </w:tcPr>
          <w:p w14:paraId="744692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0.000091</w:t>
            </w:r>
          </w:p>
        </w:tc>
        <w:tc>
          <w:tcPr>
            <w:tcW w:w="915" w:type="pct"/>
            <w:shd w:val="clear" w:color="auto" w:fill="auto"/>
            <w:noWrap/>
            <w:vAlign w:val="center"/>
          </w:tcPr>
          <w:p w14:paraId="5E0C94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FA8AF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0.001908</w:t>
            </w:r>
          </w:p>
        </w:tc>
        <w:tc>
          <w:tcPr>
            <w:tcW w:w="872" w:type="pct"/>
            <w:shd w:val="clear" w:color="auto" w:fill="auto"/>
            <w:noWrap/>
            <w:vAlign w:val="center"/>
          </w:tcPr>
          <w:p w14:paraId="3A45C4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24A3889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74B8F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331" w:type="pct"/>
            <w:shd w:val="clear" w:color="auto" w:fill="auto"/>
            <w:noWrap/>
            <w:vAlign w:val="center"/>
          </w:tcPr>
          <w:p w14:paraId="713829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0.000103</w:t>
            </w:r>
          </w:p>
        </w:tc>
        <w:tc>
          <w:tcPr>
            <w:tcW w:w="915" w:type="pct"/>
            <w:shd w:val="clear" w:color="auto" w:fill="auto"/>
            <w:noWrap/>
            <w:vAlign w:val="center"/>
          </w:tcPr>
          <w:p w14:paraId="469200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660DC4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0.002149</w:t>
            </w:r>
          </w:p>
        </w:tc>
        <w:tc>
          <w:tcPr>
            <w:tcW w:w="872" w:type="pct"/>
            <w:shd w:val="clear" w:color="auto" w:fill="auto"/>
            <w:noWrap/>
            <w:vAlign w:val="center"/>
          </w:tcPr>
          <w:p w14:paraId="152881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w:t>
            </w:r>
          </w:p>
        </w:tc>
      </w:tr>
      <w:tr w14:paraId="0B03431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E4596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175</w:t>
            </w:r>
          </w:p>
        </w:tc>
        <w:tc>
          <w:tcPr>
            <w:tcW w:w="1331" w:type="pct"/>
            <w:shd w:val="clear" w:color="auto" w:fill="auto"/>
            <w:noWrap/>
            <w:vAlign w:val="center"/>
          </w:tcPr>
          <w:p w14:paraId="3FF9E0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0.000107</w:t>
            </w:r>
          </w:p>
        </w:tc>
        <w:tc>
          <w:tcPr>
            <w:tcW w:w="915" w:type="pct"/>
            <w:shd w:val="clear" w:color="auto" w:fill="auto"/>
            <w:noWrap/>
            <w:vAlign w:val="center"/>
          </w:tcPr>
          <w:p w14:paraId="46A82F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DFB76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0.002242</w:t>
            </w:r>
          </w:p>
        </w:tc>
        <w:tc>
          <w:tcPr>
            <w:tcW w:w="872" w:type="pct"/>
            <w:shd w:val="clear" w:color="auto" w:fill="auto"/>
            <w:noWrap/>
            <w:vAlign w:val="center"/>
          </w:tcPr>
          <w:p w14:paraId="7EBBF2E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w:t>
            </w:r>
          </w:p>
        </w:tc>
      </w:tr>
      <w:tr w14:paraId="38239F8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AE886B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196</w:t>
            </w:r>
          </w:p>
        </w:tc>
        <w:tc>
          <w:tcPr>
            <w:tcW w:w="1331" w:type="pct"/>
            <w:shd w:val="clear" w:color="auto" w:fill="auto"/>
            <w:noWrap/>
            <w:vAlign w:val="center"/>
          </w:tcPr>
          <w:p w14:paraId="084F823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0.000108</w:t>
            </w:r>
          </w:p>
        </w:tc>
        <w:tc>
          <w:tcPr>
            <w:tcW w:w="915" w:type="pct"/>
            <w:shd w:val="clear" w:color="auto" w:fill="auto"/>
            <w:noWrap/>
            <w:vAlign w:val="center"/>
          </w:tcPr>
          <w:p w14:paraId="5321F73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0.01</w:t>
            </w:r>
          </w:p>
        </w:tc>
        <w:tc>
          <w:tcPr>
            <w:tcW w:w="1071" w:type="pct"/>
            <w:shd w:val="clear" w:color="auto" w:fill="auto"/>
            <w:noWrap/>
            <w:vAlign w:val="center"/>
          </w:tcPr>
          <w:p w14:paraId="22B12996">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0.002261</w:t>
            </w:r>
          </w:p>
        </w:tc>
        <w:tc>
          <w:tcPr>
            <w:tcW w:w="872" w:type="pct"/>
            <w:shd w:val="clear" w:color="auto" w:fill="auto"/>
            <w:noWrap/>
            <w:vAlign w:val="center"/>
          </w:tcPr>
          <w:p w14:paraId="2698DC1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0.11</w:t>
            </w:r>
          </w:p>
        </w:tc>
      </w:tr>
      <w:tr w14:paraId="0614F7B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2C5F21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331" w:type="pct"/>
            <w:shd w:val="clear" w:color="auto" w:fill="auto"/>
            <w:noWrap/>
            <w:vAlign w:val="center"/>
          </w:tcPr>
          <w:p w14:paraId="7AB3223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0.000108</w:t>
            </w:r>
          </w:p>
        </w:tc>
        <w:tc>
          <w:tcPr>
            <w:tcW w:w="915" w:type="pct"/>
            <w:shd w:val="clear" w:color="auto" w:fill="auto"/>
            <w:noWrap/>
            <w:vAlign w:val="center"/>
          </w:tcPr>
          <w:p w14:paraId="603FD0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C8061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0.00226</w:t>
            </w:r>
          </w:p>
        </w:tc>
        <w:tc>
          <w:tcPr>
            <w:tcW w:w="872" w:type="pct"/>
            <w:shd w:val="clear" w:color="auto" w:fill="auto"/>
            <w:noWrap/>
            <w:vAlign w:val="center"/>
          </w:tcPr>
          <w:p w14:paraId="78DF58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w:t>
            </w:r>
          </w:p>
        </w:tc>
      </w:tr>
      <w:tr w14:paraId="3135421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F9AA3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w:t>
            </w:r>
          </w:p>
        </w:tc>
        <w:tc>
          <w:tcPr>
            <w:tcW w:w="1331" w:type="pct"/>
            <w:shd w:val="clear" w:color="auto" w:fill="auto"/>
            <w:noWrap/>
            <w:vAlign w:val="center"/>
          </w:tcPr>
          <w:p w14:paraId="4CE26D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0.000107</w:t>
            </w:r>
          </w:p>
        </w:tc>
        <w:tc>
          <w:tcPr>
            <w:tcW w:w="915" w:type="pct"/>
            <w:shd w:val="clear" w:color="auto" w:fill="auto"/>
            <w:noWrap/>
            <w:vAlign w:val="center"/>
          </w:tcPr>
          <w:p w14:paraId="6D4B82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8EDA5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0.002236</w:t>
            </w:r>
          </w:p>
        </w:tc>
        <w:tc>
          <w:tcPr>
            <w:tcW w:w="872" w:type="pct"/>
            <w:shd w:val="clear" w:color="auto" w:fill="auto"/>
            <w:noWrap/>
            <w:vAlign w:val="center"/>
          </w:tcPr>
          <w:p w14:paraId="2823D3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w:t>
            </w:r>
          </w:p>
        </w:tc>
      </w:tr>
      <w:tr w14:paraId="5F8D9FF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E7E1BE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1331" w:type="pct"/>
            <w:shd w:val="clear" w:color="auto" w:fill="auto"/>
            <w:noWrap/>
            <w:vAlign w:val="center"/>
          </w:tcPr>
          <w:p w14:paraId="446927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0.000104</w:t>
            </w:r>
          </w:p>
        </w:tc>
        <w:tc>
          <w:tcPr>
            <w:tcW w:w="915" w:type="pct"/>
            <w:shd w:val="clear" w:color="auto" w:fill="auto"/>
            <w:noWrap/>
            <w:vAlign w:val="center"/>
          </w:tcPr>
          <w:p w14:paraId="1BD2E3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8F8AF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0.002187</w:t>
            </w:r>
          </w:p>
        </w:tc>
        <w:tc>
          <w:tcPr>
            <w:tcW w:w="872" w:type="pct"/>
            <w:shd w:val="clear" w:color="auto" w:fill="auto"/>
            <w:noWrap/>
            <w:vAlign w:val="center"/>
          </w:tcPr>
          <w:p w14:paraId="69D8B59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w:t>
            </w:r>
          </w:p>
        </w:tc>
      </w:tr>
      <w:tr w14:paraId="7EAD83F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A608BC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265</w:t>
            </w:r>
          </w:p>
        </w:tc>
        <w:tc>
          <w:tcPr>
            <w:tcW w:w="1331" w:type="pct"/>
            <w:shd w:val="clear" w:color="auto" w:fill="auto"/>
            <w:noWrap/>
            <w:vAlign w:val="center"/>
          </w:tcPr>
          <w:p w14:paraId="5390BE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0.000102</w:t>
            </w:r>
          </w:p>
        </w:tc>
        <w:tc>
          <w:tcPr>
            <w:tcW w:w="915" w:type="pct"/>
            <w:shd w:val="clear" w:color="auto" w:fill="auto"/>
            <w:noWrap/>
            <w:vAlign w:val="center"/>
          </w:tcPr>
          <w:p w14:paraId="76C9A9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D8833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0.002127</w:t>
            </w:r>
          </w:p>
        </w:tc>
        <w:tc>
          <w:tcPr>
            <w:tcW w:w="872" w:type="pct"/>
            <w:shd w:val="clear" w:color="auto" w:fill="auto"/>
            <w:noWrap/>
            <w:vAlign w:val="center"/>
          </w:tcPr>
          <w:p w14:paraId="25E2F9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w:t>
            </w:r>
          </w:p>
        </w:tc>
      </w:tr>
      <w:tr w14:paraId="0FA0C78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FBFFE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275</w:t>
            </w:r>
          </w:p>
        </w:tc>
        <w:tc>
          <w:tcPr>
            <w:tcW w:w="1331" w:type="pct"/>
            <w:shd w:val="clear" w:color="auto" w:fill="auto"/>
            <w:noWrap/>
            <w:vAlign w:val="center"/>
          </w:tcPr>
          <w:p w14:paraId="114CDC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c>
          <w:tcPr>
            <w:tcW w:w="915" w:type="pct"/>
            <w:shd w:val="clear" w:color="auto" w:fill="auto"/>
            <w:noWrap/>
            <w:vAlign w:val="center"/>
          </w:tcPr>
          <w:p w14:paraId="15B521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01E2B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0.002103</w:t>
            </w:r>
          </w:p>
        </w:tc>
        <w:tc>
          <w:tcPr>
            <w:tcW w:w="872" w:type="pct"/>
            <w:shd w:val="clear" w:color="auto" w:fill="auto"/>
            <w:noWrap/>
            <w:vAlign w:val="center"/>
          </w:tcPr>
          <w:p w14:paraId="156D72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w:t>
            </w:r>
          </w:p>
        </w:tc>
      </w:tr>
      <w:tr w14:paraId="0FA9941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F06B3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331" w:type="pct"/>
            <w:shd w:val="clear" w:color="auto" w:fill="auto"/>
            <w:noWrap/>
            <w:vAlign w:val="center"/>
          </w:tcPr>
          <w:p w14:paraId="6298D5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0.000098</w:t>
            </w:r>
          </w:p>
        </w:tc>
        <w:tc>
          <w:tcPr>
            <w:tcW w:w="915" w:type="pct"/>
            <w:shd w:val="clear" w:color="auto" w:fill="auto"/>
            <w:noWrap/>
            <w:vAlign w:val="center"/>
          </w:tcPr>
          <w:p w14:paraId="3DED7E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2755E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0.002061</w:t>
            </w:r>
          </w:p>
        </w:tc>
        <w:tc>
          <w:tcPr>
            <w:tcW w:w="872" w:type="pct"/>
            <w:shd w:val="clear" w:color="auto" w:fill="auto"/>
            <w:noWrap/>
            <w:vAlign w:val="center"/>
          </w:tcPr>
          <w:p w14:paraId="0D5A34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4B478EA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FED0AE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325</w:t>
            </w:r>
          </w:p>
        </w:tc>
        <w:tc>
          <w:tcPr>
            <w:tcW w:w="1331" w:type="pct"/>
            <w:shd w:val="clear" w:color="auto" w:fill="auto"/>
            <w:noWrap/>
            <w:vAlign w:val="center"/>
          </w:tcPr>
          <w:p w14:paraId="0CAED4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0.000097</w:t>
            </w:r>
          </w:p>
        </w:tc>
        <w:tc>
          <w:tcPr>
            <w:tcW w:w="915" w:type="pct"/>
            <w:shd w:val="clear" w:color="auto" w:fill="auto"/>
            <w:noWrap/>
            <w:vAlign w:val="center"/>
          </w:tcPr>
          <w:p w14:paraId="09B80A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B2BAD0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0.002035</w:t>
            </w:r>
          </w:p>
        </w:tc>
        <w:tc>
          <w:tcPr>
            <w:tcW w:w="872" w:type="pct"/>
            <w:shd w:val="clear" w:color="auto" w:fill="auto"/>
            <w:noWrap/>
            <w:vAlign w:val="center"/>
          </w:tcPr>
          <w:p w14:paraId="019913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142E5C5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C5F7D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1331" w:type="pct"/>
            <w:shd w:val="clear" w:color="auto" w:fill="auto"/>
            <w:noWrap/>
            <w:vAlign w:val="center"/>
          </w:tcPr>
          <w:p w14:paraId="00C58D7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0.000097</w:t>
            </w:r>
          </w:p>
        </w:tc>
        <w:tc>
          <w:tcPr>
            <w:tcW w:w="915" w:type="pct"/>
            <w:shd w:val="clear" w:color="auto" w:fill="auto"/>
            <w:noWrap/>
            <w:vAlign w:val="center"/>
          </w:tcPr>
          <w:p w14:paraId="3367757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42D3C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0.002037</w:t>
            </w:r>
          </w:p>
        </w:tc>
        <w:tc>
          <w:tcPr>
            <w:tcW w:w="872" w:type="pct"/>
            <w:shd w:val="clear" w:color="auto" w:fill="auto"/>
            <w:noWrap/>
            <w:vAlign w:val="center"/>
          </w:tcPr>
          <w:p w14:paraId="1F6173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0B84FA0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30211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375</w:t>
            </w:r>
          </w:p>
        </w:tc>
        <w:tc>
          <w:tcPr>
            <w:tcW w:w="1331" w:type="pct"/>
            <w:shd w:val="clear" w:color="auto" w:fill="auto"/>
            <w:noWrap/>
            <w:vAlign w:val="center"/>
          </w:tcPr>
          <w:p w14:paraId="46532DA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0.000097</w:t>
            </w:r>
          </w:p>
        </w:tc>
        <w:tc>
          <w:tcPr>
            <w:tcW w:w="915" w:type="pct"/>
            <w:shd w:val="clear" w:color="auto" w:fill="auto"/>
            <w:noWrap/>
            <w:vAlign w:val="center"/>
          </w:tcPr>
          <w:p w14:paraId="381189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C1846A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0.002027</w:t>
            </w:r>
          </w:p>
        </w:tc>
        <w:tc>
          <w:tcPr>
            <w:tcW w:w="872" w:type="pct"/>
            <w:shd w:val="clear" w:color="auto" w:fill="auto"/>
            <w:noWrap/>
            <w:vAlign w:val="center"/>
          </w:tcPr>
          <w:p w14:paraId="5FBD4A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77B951A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ACFA3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1331" w:type="pct"/>
            <w:shd w:val="clear" w:color="auto" w:fill="auto"/>
            <w:noWrap/>
            <w:vAlign w:val="center"/>
          </w:tcPr>
          <w:p w14:paraId="12028E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0.000096</w:t>
            </w:r>
          </w:p>
        </w:tc>
        <w:tc>
          <w:tcPr>
            <w:tcW w:w="915" w:type="pct"/>
            <w:shd w:val="clear" w:color="auto" w:fill="auto"/>
            <w:noWrap/>
            <w:vAlign w:val="center"/>
          </w:tcPr>
          <w:p w14:paraId="016B98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AEE1C7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0.002008</w:t>
            </w:r>
          </w:p>
        </w:tc>
        <w:tc>
          <w:tcPr>
            <w:tcW w:w="872" w:type="pct"/>
            <w:shd w:val="clear" w:color="auto" w:fill="auto"/>
            <w:noWrap/>
            <w:vAlign w:val="center"/>
          </w:tcPr>
          <w:p w14:paraId="0B6109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7D41F83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69909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425</w:t>
            </w:r>
          </w:p>
        </w:tc>
        <w:tc>
          <w:tcPr>
            <w:tcW w:w="1331" w:type="pct"/>
            <w:shd w:val="clear" w:color="auto" w:fill="auto"/>
            <w:noWrap/>
            <w:vAlign w:val="center"/>
          </w:tcPr>
          <w:p w14:paraId="600A2F9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0.000095</w:t>
            </w:r>
          </w:p>
        </w:tc>
        <w:tc>
          <w:tcPr>
            <w:tcW w:w="915" w:type="pct"/>
            <w:shd w:val="clear" w:color="auto" w:fill="auto"/>
            <w:noWrap/>
            <w:vAlign w:val="center"/>
          </w:tcPr>
          <w:p w14:paraId="735434E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ACBB8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0.001982</w:t>
            </w:r>
          </w:p>
        </w:tc>
        <w:tc>
          <w:tcPr>
            <w:tcW w:w="872" w:type="pct"/>
            <w:shd w:val="clear" w:color="auto" w:fill="auto"/>
            <w:noWrap/>
            <w:vAlign w:val="center"/>
          </w:tcPr>
          <w:p w14:paraId="5CC772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3FAD1D6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C723D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450</w:t>
            </w:r>
          </w:p>
        </w:tc>
        <w:tc>
          <w:tcPr>
            <w:tcW w:w="1331" w:type="pct"/>
            <w:shd w:val="clear" w:color="auto" w:fill="auto"/>
            <w:noWrap/>
            <w:vAlign w:val="center"/>
          </w:tcPr>
          <w:p w14:paraId="4C322D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0.000093</w:t>
            </w:r>
          </w:p>
        </w:tc>
        <w:tc>
          <w:tcPr>
            <w:tcW w:w="915" w:type="pct"/>
            <w:shd w:val="clear" w:color="auto" w:fill="auto"/>
            <w:noWrap/>
            <w:vAlign w:val="center"/>
          </w:tcPr>
          <w:p w14:paraId="2458C9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689A5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0.001953</w:t>
            </w:r>
          </w:p>
        </w:tc>
        <w:tc>
          <w:tcPr>
            <w:tcW w:w="872" w:type="pct"/>
            <w:shd w:val="clear" w:color="auto" w:fill="auto"/>
            <w:noWrap/>
            <w:vAlign w:val="center"/>
          </w:tcPr>
          <w:p w14:paraId="0EB940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4C9AA79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5295A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475</w:t>
            </w:r>
          </w:p>
        </w:tc>
        <w:tc>
          <w:tcPr>
            <w:tcW w:w="1331" w:type="pct"/>
            <w:shd w:val="clear" w:color="auto" w:fill="auto"/>
            <w:noWrap/>
            <w:vAlign w:val="center"/>
          </w:tcPr>
          <w:p w14:paraId="4B7689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0.000092</w:t>
            </w:r>
          </w:p>
        </w:tc>
        <w:tc>
          <w:tcPr>
            <w:tcW w:w="915" w:type="pct"/>
            <w:shd w:val="clear" w:color="auto" w:fill="auto"/>
            <w:noWrap/>
            <w:vAlign w:val="center"/>
          </w:tcPr>
          <w:p w14:paraId="03F994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06AD9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0.00192</w:t>
            </w:r>
          </w:p>
        </w:tc>
        <w:tc>
          <w:tcPr>
            <w:tcW w:w="872" w:type="pct"/>
            <w:shd w:val="clear" w:color="auto" w:fill="auto"/>
            <w:noWrap/>
            <w:vAlign w:val="center"/>
          </w:tcPr>
          <w:p w14:paraId="6641D09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1E8AE60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0B918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331" w:type="pct"/>
            <w:shd w:val="clear" w:color="auto" w:fill="auto"/>
            <w:noWrap/>
            <w:vAlign w:val="center"/>
          </w:tcPr>
          <w:p w14:paraId="6F279E0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0.00009</w:t>
            </w:r>
          </w:p>
        </w:tc>
        <w:tc>
          <w:tcPr>
            <w:tcW w:w="915" w:type="pct"/>
            <w:shd w:val="clear" w:color="auto" w:fill="auto"/>
            <w:noWrap/>
            <w:vAlign w:val="center"/>
          </w:tcPr>
          <w:p w14:paraId="25724A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B08DC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0.001886</w:t>
            </w:r>
          </w:p>
        </w:tc>
        <w:tc>
          <w:tcPr>
            <w:tcW w:w="872" w:type="pct"/>
            <w:shd w:val="clear" w:color="auto" w:fill="auto"/>
            <w:noWrap/>
            <w:vAlign w:val="center"/>
          </w:tcPr>
          <w:p w14:paraId="2C6B4B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w:t>
            </w:r>
          </w:p>
        </w:tc>
      </w:tr>
      <w:tr w14:paraId="11F3C05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E6CAD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525</w:t>
            </w:r>
          </w:p>
        </w:tc>
        <w:tc>
          <w:tcPr>
            <w:tcW w:w="1331" w:type="pct"/>
            <w:shd w:val="clear" w:color="auto" w:fill="auto"/>
            <w:noWrap/>
            <w:vAlign w:val="center"/>
          </w:tcPr>
          <w:p w14:paraId="0C06428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0.000088</w:t>
            </w:r>
          </w:p>
        </w:tc>
        <w:tc>
          <w:tcPr>
            <w:tcW w:w="915" w:type="pct"/>
            <w:shd w:val="clear" w:color="auto" w:fill="auto"/>
            <w:noWrap/>
            <w:vAlign w:val="center"/>
          </w:tcPr>
          <w:p w14:paraId="6240217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4C19B26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0.001851</w:t>
            </w:r>
          </w:p>
        </w:tc>
        <w:tc>
          <w:tcPr>
            <w:tcW w:w="872" w:type="pct"/>
            <w:shd w:val="clear" w:color="auto" w:fill="auto"/>
            <w:noWrap/>
            <w:vAlign w:val="center"/>
          </w:tcPr>
          <w:p w14:paraId="65466AB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w:t>
            </w:r>
          </w:p>
        </w:tc>
      </w:tr>
      <w:tr w14:paraId="11B1A75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543571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w:t>
            </w:r>
          </w:p>
        </w:tc>
        <w:tc>
          <w:tcPr>
            <w:tcW w:w="1331" w:type="pct"/>
            <w:shd w:val="clear" w:color="auto" w:fill="auto"/>
            <w:noWrap/>
            <w:vAlign w:val="center"/>
          </w:tcPr>
          <w:p w14:paraId="4DB83D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0.000087</w:t>
            </w:r>
          </w:p>
        </w:tc>
        <w:tc>
          <w:tcPr>
            <w:tcW w:w="915" w:type="pct"/>
            <w:shd w:val="clear" w:color="auto" w:fill="auto"/>
            <w:noWrap/>
            <w:vAlign w:val="center"/>
          </w:tcPr>
          <w:p w14:paraId="33EE3C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11FCB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0.001816</w:t>
            </w:r>
          </w:p>
        </w:tc>
        <w:tc>
          <w:tcPr>
            <w:tcW w:w="872" w:type="pct"/>
            <w:shd w:val="clear" w:color="auto" w:fill="auto"/>
            <w:noWrap/>
            <w:vAlign w:val="center"/>
          </w:tcPr>
          <w:p w14:paraId="50D1D09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w:t>
            </w:r>
          </w:p>
        </w:tc>
      </w:tr>
      <w:tr w14:paraId="7F10FAB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B4EAAB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575</w:t>
            </w:r>
          </w:p>
        </w:tc>
        <w:tc>
          <w:tcPr>
            <w:tcW w:w="1331" w:type="pct"/>
            <w:shd w:val="clear" w:color="auto" w:fill="auto"/>
            <w:noWrap/>
            <w:vAlign w:val="center"/>
          </w:tcPr>
          <w:p w14:paraId="0CB2D43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0.000085</w:t>
            </w:r>
          </w:p>
        </w:tc>
        <w:tc>
          <w:tcPr>
            <w:tcW w:w="915" w:type="pct"/>
            <w:shd w:val="clear" w:color="auto" w:fill="auto"/>
            <w:noWrap/>
            <w:vAlign w:val="center"/>
          </w:tcPr>
          <w:p w14:paraId="742AD8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37BCA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0.001781</w:t>
            </w:r>
          </w:p>
        </w:tc>
        <w:tc>
          <w:tcPr>
            <w:tcW w:w="872" w:type="pct"/>
            <w:shd w:val="clear" w:color="auto" w:fill="auto"/>
            <w:noWrap/>
            <w:vAlign w:val="center"/>
          </w:tcPr>
          <w:p w14:paraId="2B3191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w:t>
            </w:r>
          </w:p>
        </w:tc>
      </w:tr>
      <w:tr w14:paraId="0B601B9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C9E62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p>
        </w:tc>
        <w:tc>
          <w:tcPr>
            <w:tcW w:w="1331" w:type="pct"/>
            <w:shd w:val="clear" w:color="auto" w:fill="auto"/>
            <w:noWrap/>
            <w:vAlign w:val="center"/>
          </w:tcPr>
          <w:p w14:paraId="386913B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0.000083</w:t>
            </w:r>
          </w:p>
        </w:tc>
        <w:tc>
          <w:tcPr>
            <w:tcW w:w="915" w:type="pct"/>
            <w:shd w:val="clear" w:color="auto" w:fill="auto"/>
            <w:noWrap/>
            <w:vAlign w:val="center"/>
          </w:tcPr>
          <w:p w14:paraId="58AEFC1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0ADB1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0.001747</w:t>
            </w:r>
          </w:p>
        </w:tc>
        <w:tc>
          <w:tcPr>
            <w:tcW w:w="872" w:type="pct"/>
            <w:shd w:val="clear" w:color="auto" w:fill="auto"/>
            <w:noWrap/>
            <w:vAlign w:val="center"/>
          </w:tcPr>
          <w:p w14:paraId="0E250E7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w:t>
            </w:r>
          </w:p>
        </w:tc>
      </w:tr>
      <w:tr w14:paraId="1EC2668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51906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625</w:t>
            </w:r>
          </w:p>
        </w:tc>
        <w:tc>
          <w:tcPr>
            <w:tcW w:w="1331" w:type="pct"/>
            <w:shd w:val="clear" w:color="auto" w:fill="auto"/>
            <w:noWrap/>
            <w:vAlign w:val="center"/>
          </w:tcPr>
          <w:p w14:paraId="78477B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0.000082</w:t>
            </w:r>
          </w:p>
        </w:tc>
        <w:tc>
          <w:tcPr>
            <w:tcW w:w="915" w:type="pct"/>
            <w:shd w:val="clear" w:color="auto" w:fill="auto"/>
            <w:noWrap/>
            <w:vAlign w:val="center"/>
          </w:tcPr>
          <w:p w14:paraId="279321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8FD5A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0.001714</w:t>
            </w:r>
          </w:p>
        </w:tc>
        <w:tc>
          <w:tcPr>
            <w:tcW w:w="872" w:type="pct"/>
            <w:shd w:val="clear" w:color="auto" w:fill="auto"/>
            <w:noWrap/>
            <w:vAlign w:val="center"/>
          </w:tcPr>
          <w:p w14:paraId="5530AF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w:t>
            </w:r>
          </w:p>
        </w:tc>
      </w:tr>
      <w:tr w14:paraId="4C2C019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73034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650</w:t>
            </w:r>
          </w:p>
        </w:tc>
        <w:tc>
          <w:tcPr>
            <w:tcW w:w="1331" w:type="pct"/>
            <w:shd w:val="clear" w:color="auto" w:fill="auto"/>
            <w:noWrap/>
            <w:vAlign w:val="center"/>
          </w:tcPr>
          <w:p w14:paraId="2E36AD9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0.00008</w:t>
            </w:r>
          </w:p>
        </w:tc>
        <w:tc>
          <w:tcPr>
            <w:tcW w:w="915" w:type="pct"/>
            <w:shd w:val="clear" w:color="auto" w:fill="auto"/>
            <w:noWrap/>
            <w:vAlign w:val="center"/>
          </w:tcPr>
          <w:p w14:paraId="5A945B4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38814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0.001681</w:t>
            </w:r>
          </w:p>
        </w:tc>
        <w:tc>
          <w:tcPr>
            <w:tcW w:w="872" w:type="pct"/>
            <w:shd w:val="clear" w:color="auto" w:fill="auto"/>
            <w:noWrap/>
            <w:vAlign w:val="center"/>
          </w:tcPr>
          <w:p w14:paraId="4AC956E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57261EE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B6AD2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675</w:t>
            </w:r>
          </w:p>
        </w:tc>
        <w:tc>
          <w:tcPr>
            <w:tcW w:w="1331" w:type="pct"/>
            <w:shd w:val="clear" w:color="auto" w:fill="auto"/>
            <w:noWrap/>
            <w:vAlign w:val="center"/>
          </w:tcPr>
          <w:p w14:paraId="1AE478E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0.000079</w:t>
            </w:r>
          </w:p>
        </w:tc>
        <w:tc>
          <w:tcPr>
            <w:tcW w:w="915" w:type="pct"/>
            <w:shd w:val="clear" w:color="auto" w:fill="auto"/>
            <w:noWrap/>
            <w:vAlign w:val="center"/>
          </w:tcPr>
          <w:p w14:paraId="26691A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42888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0.001649</w:t>
            </w:r>
          </w:p>
        </w:tc>
        <w:tc>
          <w:tcPr>
            <w:tcW w:w="872" w:type="pct"/>
            <w:shd w:val="clear" w:color="auto" w:fill="auto"/>
            <w:noWrap/>
            <w:vAlign w:val="center"/>
          </w:tcPr>
          <w:p w14:paraId="0A172A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5B86797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1352B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700</w:t>
            </w:r>
          </w:p>
        </w:tc>
        <w:tc>
          <w:tcPr>
            <w:tcW w:w="1331" w:type="pct"/>
            <w:shd w:val="clear" w:color="auto" w:fill="auto"/>
            <w:noWrap/>
            <w:vAlign w:val="center"/>
          </w:tcPr>
          <w:p w14:paraId="2784B9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0.000077</w:t>
            </w:r>
          </w:p>
        </w:tc>
        <w:tc>
          <w:tcPr>
            <w:tcW w:w="915" w:type="pct"/>
            <w:shd w:val="clear" w:color="auto" w:fill="auto"/>
            <w:noWrap/>
            <w:vAlign w:val="center"/>
          </w:tcPr>
          <w:p w14:paraId="2F989B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28A57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0.00162</w:t>
            </w:r>
          </w:p>
        </w:tc>
        <w:tc>
          <w:tcPr>
            <w:tcW w:w="872" w:type="pct"/>
            <w:shd w:val="clear" w:color="auto" w:fill="auto"/>
            <w:noWrap/>
            <w:vAlign w:val="center"/>
          </w:tcPr>
          <w:p w14:paraId="2D2FC5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12F0E93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2BE79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725</w:t>
            </w:r>
          </w:p>
        </w:tc>
        <w:tc>
          <w:tcPr>
            <w:tcW w:w="1331" w:type="pct"/>
            <w:shd w:val="clear" w:color="auto" w:fill="auto"/>
            <w:noWrap/>
            <w:vAlign w:val="center"/>
          </w:tcPr>
          <w:p w14:paraId="38CC814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0.000077</w:t>
            </w:r>
          </w:p>
        </w:tc>
        <w:tc>
          <w:tcPr>
            <w:tcW w:w="915" w:type="pct"/>
            <w:shd w:val="clear" w:color="auto" w:fill="auto"/>
            <w:noWrap/>
            <w:vAlign w:val="center"/>
          </w:tcPr>
          <w:p w14:paraId="457C9D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65897E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0.001606</w:t>
            </w:r>
          </w:p>
        </w:tc>
        <w:tc>
          <w:tcPr>
            <w:tcW w:w="872" w:type="pct"/>
            <w:shd w:val="clear" w:color="auto" w:fill="auto"/>
            <w:noWrap/>
            <w:vAlign w:val="center"/>
          </w:tcPr>
          <w:p w14:paraId="64DDA3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0C81CE4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8FAD79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750</w:t>
            </w:r>
          </w:p>
        </w:tc>
        <w:tc>
          <w:tcPr>
            <w:tcW w:w="1331" w:type="pct"/>
            <w:shd w:val="clear" w:color="auto" w:fill="auto"/>
            <w:noWrap/>
            <w:vAlign w:val="center"/>
          </w:tcPr>
          <w:p w14:paraId="5020E0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0.000076</w:t>
            </w:r>
          </w:p>
        </w:tc>
        <w:tc>
          <w:tcPr>
            <w:tcW w:w="915" w:type="pct"/>
            <w:shd w:val="clear" w:color="auto" w:fill="auto"/>
            <w:noWrap/>
            <w:vAlign w:val="center"/>
          </w:tcPr>
          <w:p w14:paraId="2C4867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1CE19A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0.001591</w:t>
            </w:r>
          </w:p>
        </w:tc>
        <w:tc>
          <w:tcPr>
            <w:tcW w:w="872" w:type="pct"/>
            <w:shd w:val="clear" w:color="auto" w:fill="auto"/>
            <w:noWrap/>
            <w:vAlign w:val="center"/>
          </w:tcPr>
          <w:p w14:paraId="51278DC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4E7D0C3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2E296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775</w:t>
            </w:r>
          </w:p>
        </w:tc>
        <w:tc>
          <w:tcPr>
            <w:tcW w:w="1331" w:type="pct"/>
            <w:shd w:val="clear" w:color="auto" w:fill="auto"/>
            <w:noWrap/>
            <w:vAlign w:val="center"/>
          </w:tcPr>
          <w:p w14:paraId="585FD1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0.000075</w:t>
            </w:r>
          </w:p>
        </w:tc>
        <w:tc>
          <w:tcPr>
            <w:tcW w:w="915" w:type="pct"/>
            <w:shd w:val="clear" w:color="auto" w:fill="auto"/>
            <w:noWrap/>
            <w:vAlign w:val="center"/>
          </w:tcPr>
          <w:p w14:paraId="442C46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4FD3E3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0.001575</w:t>
            </w:r>
          </w:p>
        </w:tc>
        <w:tc>
          <w:tcPr>
            <w:tcW w:w="872" w:type="pct"/>
            <w:shd w:val="clear" w:color="auto" w:fill="auto"/>
            <w:noWrap/>
            <w:vAlign w:val="center"/>
          </w:tcPr>
          <w:p w14:paraId="27E335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5A97DEF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0D7CE9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800</w:t>
            </w:r>
          </w:p>
        </w:tc>
        <w:tc>
          <w:tcPr>
            <w:tcW w:w="1331" w:type="pct"/>
            <w:shd w:val="clear" w:color="auto" w:fill="auto"/>
            <w:noWrap/>
            <w:vAlign w:val="center"/>
          </w:tcPr>
          <w:p w14:paraId="5F893D9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0.000074</w:t>
            </w:r>
          </w:p>
        </w:tc>
        <w:tc>
          <w:tcPr>
            <w:tcW w:w="915" w:type="pct"/>
            <w:shd w:val="clear" w:color="auto" w:fill="auto"/>
            <w:noWrap/>
            <w:vAlign w:val="center"/>
          </w:tcPr>
          <w:p w14:paraId="0012F7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832E6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0.001559</w:t>
            </w:r>
          </w:p>
        </w:tc>
        <w:tc>
          <w:tcPr>
            <w:tcW w:w="872" w:type="pct"/>
            <w:shd w:val="clear" w:color="auto" w:fill="auto"/>
            <w:noWrap/>
            <w:vAlign w:val="center"/>
          </w:tcPr>
          <w:p w14:paraId="71EA546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5AE5E76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1E732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825</w:t>
            </w:r>
          </w:p>
        </w:tc>
        <w:tc>
          <w:tcPr>
            <w:tcW w:w="1331" w:type="pct"/>
            <w:shd w:val="clear" w:color="auto" w:fill="auto"/>
            <w:noWrap/>
            <w:vAlign w:val="center"/>
          </w:tcPr>
          <w:p w14:paraId="7CE229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0.000074</w:t>
            </w:r>
          </w:p>
        </w:tc>
        <w:tc>
          <w:tcPr>
            <w:tcW w:w="915" w:type="pct"/>
            <w:shd w:val="clear" w:color="auto" w:fill="auto"/>
            <w:noWrap/>
            <w:vAlign w:val="center"/>
          </w:tcPr>
          <w:p w14:paraId="744FA5F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66671F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0.001541</w:t>
            </w:r>
          </w:p>
        </w:tc>
        <w:tc>
          <w:tcPr>
            <w:tcW w:w="872" w:type="pct"/>
            <w:shd w:val="clear" w:color="auto" w:fill="auto"/>
            <w:noWrap/>
            <w:vAlign w:val="center"/>
          </w:tcPr>
          <w:p w14:paraId="319BE4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5462816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A5EC2A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850</w:t>
            </w:r>
          </w:p>
        </w:tc>
        <w:tc>
          <w:tcPr>
            <w:tcW w:w="1331" w:type="pct"/>
            <w:shd w:val="clear" w:color="auto" w:fill="auto"/>
            <w:noWrap/>
            <w:vAlign w:val="center"/>
          </w:tcPr>
          <w:p w14:paraId="1726E2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0.000073</w:t>
            </w:r>
          </w:p>
        </w:tc>
        <w:tc>
          <w:tcPr>
            <w:tcW w:w="915" w:type="pct"/>
            <w:shd w:val="clear" w:color="auto" w:fill="auto"/>
            <w:noWrap/>
            <w:vAlign w:val="center"/>
          </w:tcPr>
          <w:p w14:paraId="577015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ED703A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0.001524</w:t>
            </w:r>
          </w:p>
        </w:tc>
        <w:tc>
          <w:tcPr>
            <w:tcW w:w="872" w:type="pct"/>
            <w:shd w:val="clear" w:color="auto" w:fill="auto"/>
            <w:noWrap/>
            <w:vAlign w:val="center"/>
          </w:tcPr>
          <w:p w14:paraId="2131FCC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3E5A5CD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42D7C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875</w:t>
            </w:r>
          </w:p>
        </w:tc>
        <w:tc>
          <w:tcPr>
            <w:tcW w:w="1331" w:type="pct"/>
            <w:shd w:val="clear" w:color="auto" w:fill="auto"/>
            <w:noWrap/>
            <w:vAlign w:val="center"/>
          </w:tcPr>
          <w:p w14:paraId="21C1CD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0.000072</w:t>
            </w:r>
          </w:p>
        </w:tc>
        <w:tc>
          <w:tcPr>
            <w:tcW w:w="915" w:type="pct"/>
            <w:shd w:val="clear" w:color="auto" w:fill="auto"/>
            <w:noWrap/>
            <w:vAlign w:val="center"/>
          </w:tcPr>
          <w:p w14:paraId="40D987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6CD62A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0.001505</w:t>
            </w:r>
          </w:p>
        </w:tc>
        <w:tc>
          <w:tcPr>
            <w:tcW w:w="872" w:type="pct"/>
            <w:shd w:val="clear" w:color="auto" w:fill="auto"/>
            <w:noWrap/>
            <w:vAlign w:val="center"/>
          </w:tcPr>
          <w:p w14:paraId="71E91B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r>
      <w:tr w14:paraId="645CB22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71520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p>
        </w:tc>
        <w:tc>
          <w:tcPr>
            <w:tcW w:w="1331" w:type="pct"/>
            <w:shd w:val="clear" w:color="auto" w:fill="auto"/>
            <w:noWrap/>
            <w:vAlign w:val="center"/>
          </w:tcPr>
          <w:p w14:paraId="2CB1C6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0.000071</w:t>
            </w:r>
          </w:p>
        </w:tc>
        <w:tc>
          <w:tcPr>
            <w:tcW w:w="915" w:type="pct"/>
            <w:shd w:val="clear" w:color="auto" w:fill="auto"/>
            <w:noWrap/>
            <w:vAlign w:val="center"/>
          </w:tcPr>
          <w:p w14:paraId="1A0347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A78F1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0.001491</w:t>
            </w:r>
          </w:p>
        </w:tc>
        <w:tc>
          <w:tcPr>
            <w:tcW w:w="872" w:type="pct"/>
            <w:shd w:val="clear" w:color="auto" w:fill="auto"/>
            <w:noWrap/>
            <w:vAlign w:val="center"/>
          </w:tcPr>
          <w:p w14:paraId="3D76508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4849CA8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4798B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925</w:t>
            </w:r>
          </w:p>
        </w:tc>
        <w:tc>
          <w:tcPr>
            <w:tcW w:w="1331" w:type="pct"/>
            <w:shd w:val="clear" w:color="auto" w:fill="auto"/>
            <w:noWrap/>
            <w:vAlign w:val="center"/>
          </w:tcPr>
          <w:p w14:paraId="011F51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0.000071</w:t>
            </w:r>
          </w:p>
        </w:tc>
        <w:tc>
          <w:tcPr>
            <w:tcW w:w="915" w:type="pct"/>
            <w:shd w:val="clear" w:color="auto" w:fill="auto"/>
            <w:noWrap/>
            <w:vAlign w:val="center"/>
          </w:tcPr>
          <w:p w14:paraId="6DEB0F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6878F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0.001477</w:t>
            </w:r>
          </w:p>
        </w:tc>
        <w:tc>
          <w:tcPr>
            <w:tcW w:w="872" w:type="pct"/>
            <w:shd w:val="clear" w:color="auto" w:fill="auto"/>
            <w:noWrap/>
            <w:vAlign w:val="center"/>
          </w:tcPr>
          <w:p w14:paraId="4D9DF5A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48C300F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2BF47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950</w:t>
            </w:r>
          </w:p>
        </w:tc>
        <w:tc>
          <w:tcPr>
            <w:tcW w:w="1331" w:type="pct"/>
            <w:shd w:val="clear" w:color="auto" w:fill="auto"/>
            <w:noWrap/>
            <w:vAlign w:val="center"/>
          </w:tcPr>
          <w:p w14:paraId="15A137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w:t>
            </w:r>
          </w:p>
        </w:tc>
        <w:tc>
          <w:tcPr>
            <w:tcW w:w="915" w:type="pct"/>
            <w:shd w:val="clear" w:color="auto" w:fill="auto"/>
            <w:noWrap/>
            <w:vAlign w:val="center"/>
          </w:tcPr>
          <w:p w14:paraId="598F04D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2123D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0.001463</w:t>
            </w:r>
          </w:p>
        </w:tc>
        <w:tc>
          <w:tcPr>
            <w:tcW w:w="872" w:type="pct"/>
            <w:shd w:val="clear" w:color="auto" w:fill="auto"/>
            <w:noWrap/>
            <w:vAlign w:val="center"/>
          </w:tcPr>
          <w:p w14:paraId="255361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41B66E2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63C59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975</w:t>
            </w:r>
          </w:p>
        </w:tc>
        <w:tc>
          <w:tcPr>
            <w:tcW w:w="1331" w:type="pct"/>
            <w:shd w:val="clear" w:color="auto" w:fill="auto"/>
            <w:noWrap/>
            <w:vAlign w:val="center"/>
          </w:tcPr>
          <w:p w14:paraId="6B28F3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0.000069</w:t>
            </w:r>
          </w:p>
        </w:tc>
        <w:tc>
          <w:tcPr>
            <w:tcW w:w="915" w:type="pct"/>
            <w:shd w:val="clear" w:color="auto" w:fill="auto"/>
            <w:noWrap/>
            <w:vAlign w:val="center"/>
          </w:tcPr>
          <w:p w14:paraId="289D5A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31A70E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0.001448</w:t>
            </w:r>
          </w:p>
        </w:tc>
        <w:tc>
          <w:tcPr>
            <w:tcW w:w="872" w:type="pct"/>
            <w:shd w:val="clear" w:color="auto" w:fill="auto"/>
            <w:noWrap/>
            <w:vAlign w:val="center"/>
          </w:tcPr>
          <w:p w14:paraId="6D879D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40FBB7D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F471A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w:t>
            </w:r>
          </w:p>
        </w:tc>
        <w:tc>
          <w:tcPr>
            <w:tcW w:w="1331" w:type="pct"/>
            <w:shd w:val="clear" w:color="auto" w:fill="auto"/>
            <w:noWrap/>
            <w:vAlign w:val="center"/>
          </w:tcPr>
          <w:p w14:paraId="39EAB3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0.000068</w:t>
            </w:r>
          </w:p>
        </w:tc>
        <w:tc>
          <w:tcPr>
            <w:tcW w:w="915" w:type="pct"/>
            <w:shd w:val="clear" w:color="auto" w:fill="auto"/>
            <w:noWrap/>
            <w:vAlign w:val="center"/>
          </w:tcPr>
          <w:p w14:paraId="508204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4E070F9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0.001433</w:t>
            </w:r>
          </w:p>
        </w:tc>
        <w:tc>
          <w:tcPr>
            <w:tcW w:w="872" w:type="pct"/>
            <w:shd w:val="clear" w:color="auto" w:fill="auto"/>
            <w:noWrap/>
            <w:vAlign w:val="center"/>
          </w:tcPr>
          <w:p w14:paraId="1032E3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78ECD03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0F7D6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1025</w:t>
            </w:r>
          </w:p>
        </w:tc>
        <w:tc>
          <w:tcPr>
            <w:tcW w:w="1331" w:type="pct"/>
            <w:shd w:val="clear" w:color="auto" w:fill="auto"/>
            <w:noWrap/>
            <w:vAlign w:val="center"/>
          </w:tcPr>
          <w:p w14:paraId="1FB31F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0.000068</w:t>
            </w:r>
          </w:p>
        </w:tc>
        <w:tc>
          <w:tcPr>
            <w:tcW w:w="915" w:type="pct"/>
            <w:shd w:val="clear" w:color="auto" w:fill="auto"/>
            <w:noWrap/>
            <w:vAlign w:val="center"/>
          </w:tcPr>
          <w:p w14:paraId="5BA36B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CBE21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0.001418</w:t>
            </w:r>
          </w:p>
        </w:tc>
        <w:tc>
          <w:tcPr>
            <w:tcW w:w="872" w:type="pct"/>
            <w:shd w:val="clear" w:color="auto" w:fill="auto"/>
            <w:noWrap/>
            <w:vAlign w:val="center"/>
          </w:tcPr>
          <w:p w14:paraId="13698B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650366F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9AE2A3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1038</w:t>
            </w:r>
          </w:p>
        </w:tc>
        <w:tc>
          <w:tcPr>
            <w:tcW w:w="1331" w:type="pct"/>
            <w:shd w:val="clear" w:color="auto" w:fill="auto"/>
            <w:noWrap/>
            <w:vAlign w:val="center"/>
          </w:tcPr>
          <w:p w14:paraId="771D93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0.000067</w:t>
            </w:r>
          </w:p>
        </w:tc>
        <w:tc>
          <w:tcPr>
            <w:tcW w:w="915" w:type="pct"/>
            <w:shd w:val="clear" w:color="auto" w:fill="auto"/>
            <w:noWrap/>
            <w:vAlign w:val="center"/>
          </w:tcPr>
          <w:p w14:paraId="633C69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4321774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0.001412</w:t>
            </w:r>
          </w:p>
        </w:tc>
        <w:tc>
          <w:tcPr>
            <w:tcW w:w="872" w:type="pct"/>
            <w:shd w:val="clear" w:color="auto" w:fill="auto"/>
            <w:noWrap/>
            <w:vAlign w:val="center"/>
          </w:tcPr>
          <w:p w14:paraId="4AD3CB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2ABF1D4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40EF6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1045</w:t>
            </w:r>
          </w:p>
        </w:tc>
        <w:tc>
          <w:tcPr>
            <w:tcW w:w="1331" w:type="pct"/>
            <w:shd w:val="clear" w:color="auto" w:fill="auto"/>
            <w:noWrap/>
            <w:vAlign w:val="center"/>
          </w:tcPr>
          <w:p w14:paraId="76DCA8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0.000067</w:t>
            </w:r>
          </w:p>
        </w:tc>
        <w:tc>
          <w:tcPr>
            <w:tcW w:w="915" w:type="pct"/>
            <w:shd w:val="clear" w:color="auto" w:fill="auto"/>
            <w:noWrap/>
            <w:vAlign w:val="center"/>
          </w:tcPr>
          <w:p w14:paraId="17B8CD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B5064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0.001402</w:t>
            </w:r>
          </w:p>
        </w:tc>
        <w:tc>
          <w:tcPr>
            <w:tcW w:w="872" w:type="pct"/>
            <w:shd w:val="clear" w:color="auto" w:fill="auto"/>
            <w:noWrap/>
            <w:vAlign w:val="center"/>
          </w:tcPr>
          <w:p w14:paraId="6F2E50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7D2D6C0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D1F58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1050</w:t>
            </w:r>
          </w:p>
        </w:tc>
        <w:tc>
          <w:tcPr>
            <w:tcW w:w="1331" w:type="pct"/>
            <w:shd w:val="clear" w:color="auto" w:fill="auto"/>
            <w:noWrap/>
            <w:vAlign w:val="center"/>
          </w:tcPr>
          <w:p w14:paraId="387379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0.000067</w:t>
            </w:r>
          </w:p>
        </w:tc>
        <w:tc>
          <w:tcPr>
            <w:tcW w:w="915" w:type="pct"/>
            <w:shd w:val="clear" w:color="auto" w:fill="auto"/>
            <w:noWrap/>
            <w:vAlign w:val="center"/>
          </w:tcPr>
          <w:p w14:paraId="2901B6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6E258F4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0.001396</w:t>
            </w:r>
          </w:p>
        </w:tc>
        <w:tc>
          <w:tcPr>
            <w:tcW w:w="872" w:type="pct"/>
            <w:shd w:val="clear" w:color="auto" w:fill="auto"/>
            <w:noWrap/>
            <w:vAlign w:val="center"/>
          </w:tcPr>
          <w:p w14:paraId="12310F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75ED553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1A78B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1075</w:t>
            </w:r>
          </w:p>
        </w:tc>
        <w:tc>
          <w:tcPr>
            <w:tcW w:w="1331" w:type="pct"/>
            <w:shd w:val="clear" w:color="auto" w:fill="auto"/>
            <w:noWrap/>
            <w:vAlign w:val="center"/>
          </w:tcPr>
          <w:p w14:paraId="34C189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0.000066</w:t>
            </w:r>
          </w:p>
        </w:tc>
        <w:tc>
          <w:tcPr>
            <w:tcW w:w="915" w:type="pct"/>
            <w:shd w:val="clear" w:color="auto" w:fill="auto"/>
            <w:noWrap/>
            <w:vAlign w:val="center"/>
          </w:tcPr>
          <w:p w14:paraId="62F28E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A577C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0.001387</w:t>
            </w:r>
          </w:p>
        </w:tc>
        <w:tc>
          <w:tcPr>
            <w:tcW w:w="872" w:type="pct"/>
            <w:shd w:val="clear" w:color="auto" w:fill="auto"/>
            <w:noWrap/>
            <w:vAlign w:val="center"/>
          </w:tcPr>
          <w:p w14:paraId="0BF569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0D8B94A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9185E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1100</w:t>
            </w:r>
          </w:p>
        </w:tc>
        <w:tc>
          <w:tcPr>
            <w:tcW w:w="1331" w:type="pct"/>
            <w:shd w:val="clear" w:color="auto" w:fill="auto"/>
            <w:noWrap/>
            <w:vAlign w:val="center"/>
          </w:tcPr>
          <w:p w14:paraId="189F1F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0.000066</w:t>
            </w:r>
          </w:p>
        </w:tc>
        <w:tc>
          <w:tcPr>
            <w:tcW w:w="915" w:type="pct"/>
            <w:shd w:val="clear" w:color="auto" w:fill="auto"/>
            <w:noWrap/>
            <w:vAlign w:val="center"/>
          </w:tcPr>
          <w:p w14:paraId="2368719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42440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0.001372</w:t>
            </w:r>
          </w:p>
        </w:tc>
        <w:tc>
          <w:tcPr>
            <w:tcW w:w="872" w:type="pct"/>
            <w:shd w:val="clear" w:color="auto" w:fill="auto"/>
            <w:noWrap/>
            <w:vAlign w:val="center"/>
          </w:tcPr>
          <w:p w14:paraId="4CADDE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1231AA1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6E071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1125</w:t>
            </w:r>
          </w:p>
        </w:tc>
        <w:tc>
          <w:tcPr>
            <w:tcW w:w="1331" w:type="pct"/>
            <w:shd w:val="clear" w:color="auto" w:fill="auto"/>
            <w:noWrap/>
            <w:vAlign w:val="center"/>
          </w:tcPr>
          <w:p w14:paraId="254494A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0.000065</w:t>
            </w:r>
          </w:p>
        </w:tc>
        <w:tc>
          <w:tcPr>
            <w:tcW w:w="915" w:type="pct"/>
            <w:shd w:val="clear" w:color="auto" w:fill="auto"/>
            <w:noWrap/>
            <w:vAlign w:val="center"/>
          </w:tcPr>
          <w:p w14:paraId="3EA300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92336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0.001356</w:t>
            </w:r>
          </w:p>
        </w:tc>
        <w:tc>
          <w:tcPr>
            <w:tcW w:w="872" w:type="pct"/>
            <w:shd w:val="clear" w:color="auto" w:fill="auto"/>
            <w:noWrap/>
            <w:vAlign w:val="center"/>
          </w:tcPr>
          <w:p w14:paraId="30F015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714D1D7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42B943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1150</w:t>
            </w:r>
          </w:p>
        </w:tc>
        <w:tc>
          <w:tcPr>
            <w:tcW w:w="1331" w:type="pct"/>
            <w:shd w:val="clear" w:color="auto" w:fill="auto"/>
            <w:noWrap/>
            <w:vAlign w:val="center"/>
          </w:tcPr>
          <w:p w14:paraId="719164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0.000064</w:t>
            </w:r>
          </w:p>
        </w:tc>
        <w:tc>
          <w:tcPr>
            <w:tcW w:w="915" w:type="pct"/>
            <w:shd w:val="clear" w:color="auto" w:fill="auto"/>
            <w:noWrap/>
            <w:vAlign w:val="center"/>
          </w:tcPr>
          <w:p w14:paraId="03D5D6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2FD99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0.001341</w:t>
            </w:r>
          </w:p>
        </w:tc>
        <w:tc>
          <w:tcPr>
            <w:tcW w:w="872" w:type="pct"/>
            <w:shd w:val="clear" w:color="auto" w:fill="auto"/>
            <w:noWrap/>
            <w:vAlign w:val="center"/>
          </w:tcPr>
          <w:p w14:paraId="0F364A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0387A3A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662B6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1175</w:t>
            </w:r>
          </w:p>
        </w:tc>
        <w:tc>
          <w:tcPr>
            <w:tcW w:w="1331" w:type="pct"/>
            <w:shd w:val="clear" w:color="auto" w:fill="auto"/>
            <w:noWrap/>
            <w:vAlign w:val="center"/>
          </w:tcPr>
          <w:p w14:paraId="125F7E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0.000063</w:t>
            </w:r>
          </w:p>
        </w:tc>
        <w:tc>
          <w:tcPr>
            <w:tcW w:w="915" w:type="pct"/>
            <w:shd w:val="clear" w:color="auto" w:fill="auto"/>
            <w:noWrap/>
            <w:vAlign w:val="center"/>
          </w:tcPr>
          <w:p w14:paraId="065320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DD5AD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0.001326</w:t>
            </w:r>
          </w:p>
        </w:tc>
        <w:tc>
          <w:tcPr>
            <w:tcW w:w="872" w:type="pct"/>
            <w:shd w:val="clear" w:color="auto" w:fill="auto"/>
            <w:noWrap/>
            <w:vAlign w:val="center"/>
          </w:tcPr>
          <w:p w14:paraId="3A2C5B7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5E248DA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29E8E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w:t>
            </w:r>
          </w:p>
        </w:tc>
        <w:tc>
          <w:tcPr>
            <w:tcW w:w="1331" w:type="pct"/>
            <w:shd w:val="clear" w:color="auto" w:fill="auto"/>
            <w:noWrap/>
            <w:vAlign w:val="center"/>
          </w:tcPr>
          <w:p w14:paraId="40B709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0.000063</w:t>
            </w:r>
          </w:p>
        </w:tc>
        <w:tc>
          <w:tcPr>
            <w:tcW w:w="915" w:type="pct"/>
            <w:shd w:val="clear" w:color="auto" w:fill="auto"/>
            <w:noWrap/>
            <w:vAlign w:val="center"/>
          </w:tcPr>
          <w:p w14:paraId="525F9E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DFD5B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0.00131</w:t>
            </w:r>
          </w:p>
        </w:tc>
        <w:tc>
          <w:tcPr>
            <w:tcW w:w="872" w:type="pct"/>
            <w:shd w:val="clear" w:color="auto" w:fill="auto"/>
            <w:noWrap/>
            <w:vAlign w:val="center"/>
          </w:tcPr>
          <w:p w14:paraId="3EC9F7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r>
      <w:tr w14:paraId="561187A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D7D73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1225</w:t>
            </w:r>
          </w:p>
        </w:tc>
        <w:tc>
          <w:tcPr>
            <w:tcW w:w="1331" w:type="pct"/>
            <w:shd w:val="clear" w:color="auto" w:fill="auto"/>
            <w:noWrap/>
            <w:vAlign w:val="center"/>
          </w:tcPr>
          <w:p w14:paraId="73B746A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0.000062</w:t>
            </w:r>
          </w:p>
        </w:tc>
        <w:tc>
          <w:tcPr>
            <w:tcW w:w="915" w:type="pct"/>
            <w:shd w:val="clear" w:color="auto" w:fill="auto"/>
            <w:noWrap/>
            <w:vAlign w:val="center"/>
          </w:tcPr>
          <w:p w14:paraId="1CDC97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1EE41F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0.001295</w:t>
            </w:r>
          </w:p>
        </w:tc>
        <w:tc>
          <w:tcPr>
            <w:tcW w:w="872" w:type="pct"/>
            <w:shd w:val="clear" w:color="auto" w:fill="auto"/>
            <w:noWrap/>
            <w:vAlign w:val="center"/>
          </w:tcPr>
          <w:p w14:paraId="41E9A8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12AA6F6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0F155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1250</w:t>
            </w:r>
          </w:p>
        </w:tc>
        <w:tc>
          <w:tcPr>
            <w:tcW w:w="1331" w:type="pct"/>
            <w:shd w:val="clear" w:color="auto" w:fill="auto"/>
            <w:noWrap/>
            <w:vAlign w:val="center"/>
          </w:tcPr>
          <w:p w14:paraId="0658D00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0.000061</w:t>
            </w:r>
          </w:p>
        </w:tc>
        <w:tc>
          <w:tcPr>
            <w:tcW w:w="915" w:type="pct"/>
            <w:shd w:val="clear" w:color="auto" w:fill="auto"/>
            <w:noWrap/>
            <w:vAlign w:val="center"/>
          </w:tcPr>
          <w:p w14:paraId="48D872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31F241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0.001281</w:t>
            </w:r>
          </w:p>
        </w:tc>
        <w:tc>
          <w:tcPr>
            <w:tcW w:w="872" w:type="pct"/>
            <w:shd w:val="clear" w:color="auto" w:fill="auto"/>
            <w:noWrap/>
            <w:vAlign w:val="center"/>
          </w:tcPr>
          <w:p w14:paraId="32852C3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2F3FEEC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7ABD4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1275</w:t>
            </w:r>
          </w:p>
        </w:tc>
        <w:tc>
          <w:tcPr>
            <w:tcW w:w="1331" w:type="pct"/>
            <w:shd w:val="clear" w:color="auto" w:fill="auto"/>
            <w:noWrap/>
            <w:vAlign w:val="center"/>
          </w:tcPr>
          <w:p w14:paraId="7A7812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0.000061</w:t>
            </w:r>
          </w:p>
        </w:tc>
        <w:tc>
          <w:tcPr>
            <w:tcW w:w="915" w:type="pct"/>
            <w:shd w:val="clear" w:color="auto" w:fill="auto"/>
            <w:noWrap/>
            <w:vAlign w:val="center"/>
          </w:tcPr>
          <w:p w14:paraId="228124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7D921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0.001267</w:t>
            </w:r>
          </w:p>
        </w:tc>
        <w:tc>
          <w:tcPr>
            <w:tcW w:w="872" w:type="pct"/>
            <w:shd w:val="clear" w:color="auto" w:fill="auto"/>
            <w:noWrap/>
            <w:vAlign w:val="center"/>
          </w:tcPr>
          <w:p w14:paraId="510F44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7B3957B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739DB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1300</w:t>
            </w:r>
          </w:p>
        </w:tc>
        <w:tc>
          <w:tcPr>
            <w:tcW w:w="1331" w:type="pct"/>
            <w:shd w:val="clear" w:color="auto" w:fill="auto"/>
            <w:noWrap/>
            <w:vAlign w:val="center"/>
          </w:tcPr>
          <w:p w14:paraId="709338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0.00006</w:t>
            </w:r>
          </w:p>
        </w:tc>
        <w:tc>
          <w:tcPr>
            <w:tcW w:w="915" w:type="pct"/>
            <w:shd w:val="clear" w:color="auto" w:fill="auto"/>
            <w:noWrap/>
            <w:vAlign w:val="center"/>
          </w:tcPr>
          <w:p w14:paraId="00BE87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F183E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0.001256</w:t>
            </w:r>
          </w:p>
        </w:tc>
        <w:tc>
          <w:tcPr>
            <w:tcW w:w="872" w:type="pct"/>
            <w:shd w:val="clear" w:color="auto" w:fill="auto"/>
            <w:noWrap/>
            <w:vAlign w:val="center"/>
          </w:tcPr>
          <w:p w14:paraId="637C99A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2637273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D0E93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1325</w:t>
            </w:r>
          </w:p>
        </w:tc>
        <w:tc>
          <w:tcPr>
            <w:tcW w:w="1331" w:type="pct"/>
            <w:shd w:val="clear" w:color="auto" w:fill="auto"/>
            <w:noWrap/>
            <w:vAlign w:val="center"/>
          </w:tcPr>
          <w:p w14:paraId="193F03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0.000059</w:t>
            </w:r>
          </w:p>
        </w:tc>
        <w:tc>
          <w:tcPr>
            <w:tcW w:w="915" w:type="pct"/>
            <w:shd w:val="clear" w:color="auto" w:fill="auto"/>
            <w:noWrap/>
            <w:vAlign w:val="center"/>
          </w:tcPr>
          <w:p w14:paraId="23A5CA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9C765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0.001246</w:t>
            </w:r>
          </w:p>
        </w:tc>
        <w:tc>
          <w:tcPr>
            <w:tcW w:w="872" w:type="pct"/>
            <w:shd w:val="clear" w:color="auto" w:fill="auto"/>
            <w:noWrap/>
            <w:vAlign w:val="center"/>
          </w:tcPr>
          <w:p w14:paraId="47079D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548E276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B377E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1350</w:t>
            </w:r>
          </w:p>
        </w:tc>
        <w:tc>
          <w:tcPr>
            <w:tcW w:w="1331" w:type="pct"/>
            <w:shd w:val="clear" w:color="auto" w:fill="auto"/>
            <w:noWrap/>
            <w:vAlign w:val="center"/>
          </w:tcPr>
          <w:p w14:paraId="41A13D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0.000059</w:t>
            </w:r>
          </w:p>
        </w:tc>
        <w:tc>
          <w:tcPr>
            <w:tcW w:w="915" w:type="pct"/>
            <w:shd w:val="clear" w:color="auto" w:fill="auto"/>
            <w:noWrap/>
            <w:vAlign w:val="center"/>
          </w:tcPr>
          <w:p w14:paraId="257AD7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9CF4A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0.001235</w:t>
            </w:r>
          </w:p>
        </w:tc>
        <w:tc>
          <w:tcPr>
            <w:tcW w:w="872" w:type="pct"/>
            <w:shd w:val="clear" w:color="auto" w:fill="auto"/>
            <w:noWrap/>
            <w:vAlign w:val="center"/>
          </w:tcPr>
          <w:p w14:paraId="5C2A4E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41EF32A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649BE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1375</w:t>
            </w:r>
          </w:p>
        </w:tc>
        <w:tc>
          <w:tcPr>
            <w:tcW w:w="1331" w:type="pct"/>
            <w:shd w:val="clear" w:color="auto" w:fill="auto"/>
            <w:noWrap/>
            <w:vAlign w:val="center"/>
          </w:tcPr>
          <w:p w14:paraId="07BFB94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0.000058</w:t>
            </w:r>
          </w:p>
        </w:tc>
        <w:tc>
          <w:tcPr>
            <w:tcW w:w="915" w:type="pct"/>
            <w:shd w:val="clear" w:color="auto" w:fill="auto"/>
            <w:noWrap/>
            <w:vAlign w:val="center"/>
          </w:tcPr>
          <w:p w14:paraId="22E605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B1B3C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0.001224</w:t>
            </w:r>
          </w:p>
        </w:tc>
        <w:tc>
          <w:tcPr>
            <w:tcW w:w="872" w:type="pct"/>
            <w:shd w:val="clear" w:color="auto" w:fill="auto"/>
            <w:noWrap/>
            <w:vAlign w:val="center"/>
          </w:tcPr>
          <w:p w14:paraId="1EE890F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1973D9C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1B6D9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1400</w:t>
            </w:r>
          </w:p>
        </w:tc>
        <w:tc>
          <w:tcPr>
            <w:tcW w:w="1331" w:type="pct"/>
            <w:shd w:val="clear" w:color="auto" w:fill="auto"/>
            <w:noWrap/>
            <w:vAlign w:val="center"/>
          </w:tcPr>
          <w:p w14:paraId="6529E5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0.000058</w:t>
            </w:r>
          </w:p>
        </w:tc>
        <w:tc>
          <w:tcPr>
            <w:tcW w:w="915" w:type="pct"/>
            <w:shd w:val="clear" w:color="auto" w:fill="auto"/>
            <w:noWrap/>
            <w:vAlign w:val="center"/>
          </w:tcPr>
          <w:p w14:paraId="46FC42D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60314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0.001213</w:t>
            </w:r>
          </w:p>
        </w:tc>
        <w:tc>
          <w:tcPr>
            <w:tcW w:w="872" w:type="pct"/>
            <w:shd w:val="clear" w:color="auto" w:fill="auto"/>
            <w:noWrap/>
            <w:vAlign w:val="center"/>
          </w:tcPr>
          <w:p w14:paraId="51AF6D0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2E209D4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823D0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1425</w:t>
            </w:r>
          </w:p>
        </w:tc>
        <w:tc>
          <w:tcPr>
            <w:tcW w:w="1331" w:type="pct"/>
            <w:shd w:val="clear" w:color="auto" w:fill="auto"/>
            <w:noWrap/>
            <w:vAlign w:val="center"/>
          </w:tcPr>
          <w:p w14:paraId="1AE815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0.000057</w:t>
            </w:r>
          </w:p>
        </w:tc>
        <w:tc>
          <w:tcPr>
            <w:tcW w:w="915" w:type="pct"/>
            <w:shd w:val="clear" w:color="auto" w:fill="auto"/>
            <w:noWrap/>
            <w:vAlign w:val="center"/>
          </w:tcPr>
          <w:p w14:paraId="766EFB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3BBB6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0.001202</w:t>
            </w:r>
          </w:p>
        </w:tc>
        <w:tc>
          <w:tcPr>
            <w:tcW w:w="872" w:type="pct"/>
            <w:shd w:val="clear" w:color="auto" w:fill="auto"/>
            <w:noWrap/>
            <w:vAlign w:val="center"/>
          </w:tcPr>
          <w:p w14:paraId="542384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27AACE0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EE3CB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1450</w:t>
            </w:r>
          </w:p>
        </w:tc>
        <w:tc>
          <w:tcPr>
            <w:tcW w:w="1331" w:type="pct"/>
            <w:shd w:val="clear" w:color="auto" w:fill="auto"/>
            <w:noWrap/>
            <w:vAlign w:val="center"/>
          </w:tcPr>
          <w:p w14:paraId="393304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0.000057</w:t>
            </w:r>
          </w:p>
        </w:tc>
        <w:tc>
          <w:tcPr>
            <w:tcW w:w="915" w:type="pct"/>
            <w:shd w:val="clear" w:color="auto" w:fill="auto"/>
            <w:noWrap/>
            <w:vAlign w:val="center"/>
          </w:tcPr>
          <w:p w14:paraId="52B6D1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B638AB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0.001191</w:t>
            </w:r>
          </w:p>
        </w:tc>
        <w:tc>
          <w:tcPr>
            <w:tcW w:w="872" w:type="pct"/>
            <w:shd w:val="clear" w:color="auto" w:fill="auto"/>
            <w:noWrap/>
            <w:vAlign w:val="center"/>
          </w:tcPr>
          <w:p w14:paraId="4BCF9C3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233DD15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C3D40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1475</w:t>
            </w:r>
          </w:p>
        </w:tc>
        <w:tc>
          <w:tcPr>
            <w:tcW w:w="1331" w:type="pct"/>
            <w:shd w:val="clear" w:color="auto" w:fill="auto"/>
            <w:noWrap/>
            <w:vAlign w:val="center"/>
          </w:tcPr>
          <w:p w14:paraId="266293F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0.000056</w:t>
            </w:r>
          </w:p>
        </w:tc>
        <w:tc>
          <w:tcPr>
            <w:tcW w:w="915" w:type="pct"/>
            <w:shd w:val="clear" w:color="auto" w:fill="auto"/>
            <w:noWrap/>
            <w:vAlign w:val="center"/>
          </w:tcPr>
          <w:p w14:paraId="097C8B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6A9804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0.00118</w:t>
            </w:r>
          </w:p>
        </w:tc>
        <w:tc>
          <w:tcPr>
            <w:tcW w:w="872" w:type="pct"/>
            <w:shd w:val="clear" w:color="auto" w:fill="auto"/>
            <w:noWrap/>
            <w:vAlign w:val="center"/>
          </w:tcPr>
          <w:p w14:paraId="5AE48F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4823D79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92D5F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1500</w:t>
            </w:r>
          </w:p>
        </w:tc>
        <w:tc>
          <w:tcPr>
            <w:tcW w:w="1331" w:type="pct"/>
            <w:shd w:val="clear" w:color="auto" w:fill="auto"/>
            <w:noWrap/>
            <w:vAlign w:val="center"/>
          </w:tcPr>
          <w:p w14:paraId="2CBCC3C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0.000056</w:t>
            </w:r>
          </w:p>
        </w:tc>
        <w:tc>
          <w:tcPr>
            <w:tcW w:w="915" w:type="pct"/>
            <w:shd w:val="clear" w:color="auto" w:fill="auto"/>
            <w:noWrap/>
            <w:vAlign w:val="center"/>
          </w:tcPr>
          <w:p w14:paraId="14EBEDC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6184C3A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0.001169</w:t>
            </w:r>
          </w:p>
        </w:tc>
        <w:tc>
          <w:tcPr>
            <w:tcW w:w="872" w:type="pct"/>
            <w:shd w:val="clear" w:color="auto" w:fill="auto"/>
            <w:noWrap/>
            <w:vAlign w:val="center"/>
          </w:tcPr>
          <w:p w14:paraId="7D3551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414811B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8F497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1525</w:t>
            </w:r>
          </w:p>
        </w:tc>
        <w:tc>
          <w:tcPr>
            <w:tcW w:w="1331" w:type="pct"/>
            <w:shd w:val="clear" w:color="auto" w:fill="auto"/>
            <w:noWrap/>
            <w:vAlign w:val="center"/>
          </w:tcPr>
          <w:p w14:paraId="48BA12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0.000055</w:t>
            </w:r>
          </w:p>
        </w:tc>
        <w:tc>
          <w:tcPr>
            <w:tcW w:w="915" w:type="pct"/>
            <w:shd w:val="clear" w:color="auto" w:fill="auto"/>
            <w:noWrap/>
            <w:vAlign w:val="center"/>
          </w:tcPr>
          <w:p w14:paraId="3AFB7F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4CDAAE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0.001158</w:t>
            </w:r>
          </w:p>
        </w:tc>
        <w:tc>
          <w:tcPr>
            <w:tcW w:w="872" w:type="pct"/>
            <w:shd w:val="clear" w:color="auto" w:fill="auto"/>
            <w:noWrap/>
            <w:vAlign w:val="center"/>
          </w:tcPr>
          <w:p w14:paraId="3B6427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0EAFD3C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5E325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1550</w:t>
            </w:r>
          </w:p>
        </w:tc>
        <w:tc>
          <w:tcPr>
            <w:tcW w:w="1331" w:type="pct"/>
            <w:shd w:val="clear" w:color="auto" w:fill="auto"/>
            <w:noWrap/>
            <w:vAlign w:val="center"/>
          </w:tcPr>
          <w:p w14:paraId="666BA6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0.000055</w:t>
            </w:r>
          </w:p>
        </w:tc>
        <w:tc>
          <w:tcPr>
            <w:tcW w:w="915" w:type="pct"/>
            <w:shd w:val="clear" w:color="auto" w:fill="auto"/>
            <w:noWrap/>
            <w:vAlign w:val="center"/>
          </w:tcPr>
          <w:p w14:paraId="083DA1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D262F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0.001148</w:t>
            </w:r>
          </w:p>
        </w:tc>
        <w:tc>
          <w:tcPr>
            <w:tcW w:w="872" w:type="pct"/>
            <w:shd w:val="clear" w:color="auto" w:fill="auto"/>
            <w:noWrap/>
            <w:vAlign w:val="center"/>
          </w:tcPr>
          <w:p w14:paraId="54918FE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6FA04C6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520EF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1560</w:t>
            </w:r>
          </w:p>
        </w:tc>
        <w:tc>
          <w:tcPr>
            <w:tcW w:w="1331" w:type="pct"/>
            <w:shd w:val="clear" w:color="auto" w:fill="auto"/>
            <w:noWrap/>
            <w:vAlign w:val="center"/>
          </w:tcPr>
          <w:p w14:paraId="1F9006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0.000054</w:t>
            </w:r>
          </w:p>
        </w:tc>
        <w:tc>
          <w:tcPr>
            <w:tcW w:w="915" w:type="pct"/>
            <w:shd w:val="clear" w:color="auto" w:fill="auto"/>
            <w:noWrap/>
            <w:vAlign w:val="center"/>
          </w:tcPr>
          <w:p w14:paraId="5157E4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AB7B3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0.001137</w:t>
            </w:r>
          </w:p>
        </w:tc>
        <w:tc>
          <w:tcPr>
            <w:tcW w:w="872" w:type="pct"/>
            <w:shd w:val="clear" w:color="auto" w:fill="auto"/>
            <w:noWrap/>
            <w:vAlign w:val="center"/>
          </w:tcPr>
          <w:p w14:paraId="7684E2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3457CEF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87F01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1575</w:t>
            </w:r>
          </w:p>
        </w:tc>
        <w:tc>
          <w:tcPr>
            <w:tcW w:w="1331" w:type="pct"/>
            <w:shd w:val="clear" w:color="auto" w:fill="auto"/>
            <w:noWrap/>
            <w:vAlign w:val="center"/>
          </w:tcPr>
          <w:p w14:paraId="636577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0.000054</w:t>
            </w:r>
          </w:p>
        </w:tc>
        <w:tc>
          <w:tcPr>
            <w:tcW w:w="915" w:type="pct"/>
            <w:shd w:val="clear" w:color="auto" w:fill="auto"/>
            <w:noWrap/>
            <w:vAlign w:val="center"/>
          </w:tcPr>
          <w:p w14:paraId="30096B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B171B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0.001126</w:t>
            </w:r>
          </w:p>
        </w:tc>
        <w:tc>
          <w:tcPr>
            <w:tcW w:w="872" w:type="pct"/>
            <w:shd w:val="clear" w:color="auto" w:fill="auto"/>
            <w:noWrap/>
            <w:vAlign w:val="center"/>
          </w:tcPr>
          <w:p w14:paraId="53CC24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6E2E5F0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B5F62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1600</w:t>
            </w:r>
          </w:p>
        </w:tc>
        <w:tc>
          <w:tcPr>
            <w:tcW w:w="1331" w:type="pct"/>
            <w:shd w:val="clear" w:color="auto" w:fill="auto"/>
            <w:noWrap/>
            <w:vAlign w:val="center"/>
          </w:tcPr>
          <w:p w14:paraId="14461A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0.000054</w:t>
            </w:r>
          </w:p>
        </w:tc>
        <w:tc>
          <w:tcPr>
            <w:tcW w:w="915" w:type="pct"/>
            <w:shd w:val="clear" w:color="auto" w:fill="auto"/>
            <w:noWrap/>
            <w:vAlign w:val="center"/>
          </w:tcPr>
          <w:p w14:paraId="47FDEE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474E6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0.001123</w:t>
            </w:r>
          </w:p>
        </w:tc>
        <w:tc>
          <w:tcPr>
            <w:tcW w:w="872" w:type="pct"/>
            <w:shd w:val="clear" w:color="auto" w:fill="auto"/>
            <w:noWrap/>
            <w:vAlign w:val="center"/>
          </w:tcPr>
          <w:p w14:paraId="681487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35A9BE9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D79545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1625</w:t>
            </w:r>
          </w:p>
        </w:tc>
        <w:tc>
          <w:tcPr>
            <w:tcW w:w="1331" w:type="pct"/>
            <w:shd w:val="clear" w:color="auto" w:fill="auto"/>
            <w:noWrap/>
            <w:vAlign w:val="center"/>
          </w:tcPr>
          <w:p w14:paraId="02BB58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0.000053</w:t>
            </w:r>
          </w:p>
        </w:tc>
        <w:tc>
          <w:tcPr>
            <w:tcW w:w="915" w:type="pct"/>
            <w:shd w:val="clear" w:color="auto" w:fill="auto"/>
            <w:noWrap/>
            <w:vAlign w:val="center"/>
          </w:tcPr>
          <w:p w14:paraId="7E9895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845C8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0.001116</w:t>
            </w:r>
          </w:p>
        </w:tc>
        <w:tc>
          <w:tcPr>
            <w:tcW w:w="872" w:type="pct"/>
            <w:shd w:val="clear" w:color="auto" w:fill="auto"/>
            <w:noWrap/>
            <w:vAlign w:val="center"/>
          </w:tcPr>
          <w:p w14:paraId="6135954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13E27AB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496D8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1650</w:t>
            </w:r>
          </w:p>
        </w:tc>
        <w:tc>
          <w:tcPr>
            <w:tcW w:w="1331" w:type="pct"/>
            <w:shd w:val="clear" w:color="auto" w:fill="auto"/>
            <w:noWrap/>
            <w:vAlign w:val="center"/>
          </w:tcPr>
          <w:p w14:paraId="523C86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0.000053</w:t>
            </w:r>
          </w:p>
        </w:tc>
        <w:tc>
          <w:tcPr>
            <w:tcW w:w="915" w:type="pct"/>
            <w:shd w:val="clear" w:color="auto" w:fill="auto"/>
            <w:noWrap/>
            <w:vAlign w:val="center"/>
          </w:tcPr>
          <w:p w14:paraId="5C7A27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640E3A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0.001106</w:t>
            </w:r>
          </w:p>
        </w:tc>
        <w:tc>
          <w:tcPr>
            <w:tcW w:w="872" w:type="pct"/>
            <w:shd w:val="clear" w:color="auto" w:fill="auto"/>
            <w:noWrap/>
            <w:vAlign w:val="center"/>
          </w:tcPr>
          <w:p w14:paraId="11FC682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61988E5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DF44A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1675</w:t>
            </w:r>
          </w:p>
        </w:tc>
        <w:tc>
          <w:tcPr>
            <w:tcW w:w="1331" w:type="pct"/>
            <w:shd w:val="clear" w:color="auto" w:fill="auto"/>
            <w:noWrap/>
            <w:vAlign w:val="center"/>
          </w:tcPr>
          <w:p w14:paraId="624BC6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0.000052</w:t>
            </w:r>
          </w:p>
        </w:tc>
        <w:tc>
          <w:tcPr>
            <w:tcW w:w="915" w:type="pct"/>
            <w:shd w:val="clear" w:color="auto" w:fill="auto"/>
            <w:noWrap/>
            <w:vAlign w:val="center"/>
          </w:tcPr>
          <w:p w14:paraId="6B3391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E7664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0.001096</w:t>
            </w:r>
          </w:p>
        </w:tc>
        <w:tc>
          <w:tcPr>
            <w:tcW w:w="872" w:type="pct"/>
            <w:shd w:val="clear" w:color="auto" w:fill="auto"/>
            <w:noWrap/>
            <w:vAlign w:val="center"/>
          </w:tcPr>
          <w:p w14:paraId="2BB4463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7DA5F3B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68BAE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1700</w:t>
            </w:r>
          </w:p>
        </w:tc>
        <w:tc>
          <w:tcPr>
            <w:tcW w:w="1331" w:type="pct"/>
            <w:shd w:val="clear" w:color="auto" w:fill="auto"/>
            <w:noWrap/>
            <w:vAlign w:val="center"/>
          </w:tcPr>
          <w:p w14:paraId="5D47E7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0.000052</w:t>
            </w:r>
          </w:p>
        </w:tc>
        <w:tc>
          <w:tcPr>
            <w:tcW w:w="915" w:type="pct"/>
            <w:shd w:val="clear" w:color="auto" w:fill="auto"/>
            <w:noWrap/>
            <w:vAlign w:val="center"/>
          </w:tcPr>
          <w:p w14:paraId="165C59F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FDFAC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0.001086</w:t>
            </w:r>
          </w:p>
        </w:tc>
        <w:tc>
          <w:tcPr>
            <w:tcW w:w="872" w:type="pct"/>
            <w:shd w:val="clear" w:color="auto" w:fill="auto"/>
            <w:noWrap/>
            <w:vAlign w:val="center"/>
          </w:tcPr>
          <w:p w14:paraId="33BBC5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26FDFA2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D08B26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1725</w:t>
            </w:r>
          </w:p>
        </w:tc>
        <w:tc>
          <w:tcPr>
            <w:tcW w:w="1331" w:type="pct"/>
            <w:shd w:val="clear" w:color="auto" w:fill="auto"/>
            <w:noWrap/>
            <w:vAlign w:val="center"/>
          </w:tcPr>
          <w:p w14:paraId="354E82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0.000051</w:t>
            </w:r>
          </w:p>
        </w:tc>
        <w:tc>
          <w:tcPr>
            <w:tcW w:w="915" w:type="pct"/>
            <w:shd w:val="clear" w:color="auto" w:fill="auto"/>
            <w:noWrap/>
            <w:vAlign w:val="center"/>
          </w:tcPr>
          <w:p w14:paraId="44914E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FACF4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0.001076</w:t>
            </w:r>
          </w:p>
        </w:tc>
        <w:tc>
          <w:tcPr>
            <w:tcW w:w="872" w:type="pct"/>
            <w:shd w:val="clear" w:color="auto" w:fill="auto"/>
            <w:noWrap/>
            <w:vAlign w:val="center"/>
          </w:tcPr>
          <w:p w14:paraId="6C7C5F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0DEAADD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6B061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1750</w:t>
            </w:r>
          </w:p>
        </w:tc>
        <w:tc>
          <w:tcPr>
            <w:tcW w:w="1331" w:type="pct"/>
            <w:shd w:val="clear" w:color="auto" w:fill="auto"/>
            <w:noWrap/>
            <w:vAlign w:val="center"/>
          </w:tcPr>
          <w:p w14:paraId="5A1071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0.000051</w:t>
            </w:r>
          </w:p>
        </w:tc>
        <w:tc>
          <w:tcPr>
            <w:tcW w:w="915" w:type="pct"/>
            <w:shd w:val="clear" w:color="auto" w:fill="auto"/>
            <w:noWrap/>
            <w:vAlign w:val="center"/>
          </w:tcPr>
          <w:p w14:paraId="52D395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4A9F73E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0.001066</w:t>
            </w:r>
          </w:p>
        </w:tc>
        <w:tc>
          <w:tcPr>
            <w:tcW w:w="872" w:type="pct"/>
            <w:shd w:val="clear" w:color="auto" w:fill="auto"/>
            <w:noWrap/>
            <w:vAlign w:val="center"/>
          </w:tcPr>
          <w:p w14:paraId="3B80E2E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65275A1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40017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1775</w:t>
            </w:r>
          </w:p>
        </w:tc>
        <w:tc>
          <w:tcPr>
            <w:tcW w:w="1331" w:type="pct"/>
            <w:shd w:val="clear" w:color="auto" w:fill="auto"/>
            <w:noWrap/>
            <w:vAlign w:val="center"/>
          </w:tcPr>
          <w:p w14:paraId="59AB5C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w:t>
            </w:r>
          </w:p>
        </w:tc>
        <w:tc>
          <w:tcPr>
            <w:tcW w:w="915" w:type="pct"/>
            <w:shd w:val="clear" w:color="auto" w:fill="auto"/>
            <w:noWrap/>
            <w:vAlign w:val="center"/>
          </w:tcPr>
          <w:p w14:paraId="5D9539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C518D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0.001056</w:t>
            </w:r>
          </w:p>
        </w:tc>
        <w:tc>
          <w:tcPr>
            <w:tcW w:w="872" w:type="pct"/>
            <w:shd w:val="clear" w:color="auto" w:fill="auto"/>
            <w:noWrap/>
            <w:vAlign w:val="center"/>
          </w:tcPr>
          <w:p w14:paraId="55848B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17E3FDD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AB776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1800</w:t>
            </w:r>
          </w:p>
        </w:tc>
        <w:tc>
          <w:tcPr>
            <w:tcW w:w="1331" w:type="pct"/>
            <w:shd w:val="clear" w:color="auto" w:fill="auto"/>
            <w:noWrap/>
            <w:vAlign w:val="center"/>
          </w:tcPr>
          <w:p w14:paraId="323E7F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w:t>
            </w:r>
          </w:p>
        </w:tc>
        <w:tc>
          <w:tcPr>
            <w:tcW w:w="915" w:type="pct"/>
            <w:shd w:val="clear" w:color="auto" w:fill="auto"/>
            <w:noWrap/>
            <w:vAlign w:val="center"/>
          </w:tcPr>
          <w:p w14:paraId="0D3237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57F9E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0.001047</w:t>
            </w:r>
          </w:p>
        </w:tc>
        <w:tc>
          <w:tcPr>
            <w:tcW w:w="872" w:type="pct"/>
            <w:shd w:val="clear" w:color="auto" w:fill="auto"/>
            <w:noWrap/>
            <w:vAlign w:val="center"/>
          </w:tcPr>
          <w:p w14:paraId="7E6BF7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3EFB8FF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76721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1825</w:t>
            </w:r>
          </w:p>
        </w:tc>
        <w:tc>
          <w:tcPr>
            <w:tcW w:w="1331" w:type="pct"/>
            <w:shd w:val="clear" w:color="auto" w:fill="auto"/>
            <w:noWrap/>
            <w:vAlign w:val="center"/>
          </w:tcPr>
          <w:p w14:paraId="46A8F8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0.00005</w:t>
            </w:r>
          </w:p>
        </w:tc>
        <w:tc>
          <w:tcPr>
            <w:tcW w:w="915" w:type="pct"/>
            <w:shd w:val="clear" w:color="auto" w:fill="auto"/>
            <w:noWrap/>
            <w:vAlign w:val="center"/>
          </w:tcPr>
          <w:p w14:paraId="7011E4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28D14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0.001037</w:t>
            </w:r>
          </w:p>
        </w:tc>
        <w:tc>
          <w:tcPr>
            <w:tcW w:w="872" w:type="pct"/>
            <w:shd w:val="clear" w:color="auto" w:fill="auto"/>
            <w:noWrap/>
            <w:vAlign w:val="center"/>
          </w:tcPr>
          <w:p w14:paraId="715728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32D21B8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F8E58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1850</w:t>
            </w:r>
          </w:p>
        </w:tc>
        <w:tc>
          <w:tcPr>
            <w:tcW w:w="1331" w:type="pct"/>
            <w:shd w:val="clear" w:color="auto" w:fill="auto"/>
            <w:noWrap/>
            <w:vAlign w:val="center"/>
          </w:tcPr>
          <w:p w14:paraId="74EF58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0.000049</w:t>
            </w:r>
          </w:p>
        </w:tc>
        <w:tc>
          <w:tcPr>
            <w:tcW w:w="915" w:type="pct"/>
            <w:shd w:val="clear" w:color="auto" w:fill="auto"/>
            <w:noWrap/>
            <w:vAlign w:val="center"/>
          </w:tcPr>
          <w:p w14:paraId="0C51F4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1A0A81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0.001028</w:t>
            </w:r>
          </w:p>
        </w:tc>
        <w:tc>
          <w:tcPr>
            <w:tcW w:w="872" w:type="pct"/>
            <w:shd w:val="clear" w:color="auto" w:fill="auto"/>
            <w:noWrap/>
            <w:vAlign w:val="center"/>
          </w:tcPr>
          <w:p w14:paraId="139584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40DE3AD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D8F6C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1875</w:t>
            </w:r>
          </w:p>
        </w:tc>
        <w:tc>
          <w:tcPr>
            <w:tcW w:w="1331" w:type="pct"/>
            <w:shd w:val="clear" w:color="auto" w:fill="auto"/>
            <w:noWrap/>
            <w:vAlign w:val="center"/>
          </w:tcPr>
          <w:p w14:paraId="4C5CC22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0.000049</w:t>
            </w:r>
          </w:p>
        </w:tc>
        <w:tc>
          <w:tcPr>
            <w:tcW w:w="915" w:type="pct"/>
            <w:shd w:val="clear" w:color="auto" w:fill="auto"/>
            <w:noWrap/>
            <w:vAlign w:val="center"/>
          </w:tcPr>
          <w:p w14:paraId="09C50A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7ECC2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0.001019</w:t>
            </w:r>
          </w:p>
        </w:tc>
        <w:tc>
          <w:tcPr>
            <w:tcW w:w="872" w:type="pct"/>
            <w:shd w:val="clear" w:color="auto" w:fill="auto"/>
            <w:noWrap/>
            <w:vAlign w:val="center"/>
          </w:tcPr>
          <w:p w14:paraId="46FAD0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0D97C90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645C1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1900</w:t>
            </w:r>
          </w:p>
        </w:tc>
        <w:tc>
          <w:tcPr>
            <w:tcW w:w="1331" w:type="pct"/>
            <w:shd w:val="clear" w:color="auto" w:fill="auto"/>
            <w:noWrap/>
            <w:vAlign w:val="center"/>
          </w:tcPr>
          <w:p w14:paraId="661ED4B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0.000048</w:t>
            </w:r>
          </w:p>
        </w:tc>
        <w:tc>
          <w:tcPr>
            <w:tcW w:w="915" w:type="pct"/>
            <w:shd w:val="clear" w:color="auto" w:fill="auto"/>
            <w:noWrap/>
            <w:vAlign w:val="center"/>
          </w:tcPr>
          <w:p w14:paraId="5ECAAD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4E48B2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0.00101</w:t>
            </w:r>
          </w:p>
        </w:tc>
        <w:tc>
          <w:tcPr>
            <w:tcW w:w="872" w:type="pct"/>
            <w:shd w:val="clear" w:color="auto" w:fill="auto"/>
            <w:noWrap/>
            <w:vAlign w:val="center"/>
          </w:tcPr>
          <w:p w14:paraId="44B319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4A9203F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42550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1925</w:t>
            </w:r>
          </w:p>
        </w:tc>
        <w:tc>
          <w:tcPr>
            <w:tcW w:w="1331" w:type="pct"/>
            <w:shd w:val="clear" w:color="auto" w:fill="auto"/>
            <w:noWrap/>
            <w:vAlign w:val="center"/>
          </w:tcPr>
          <w:p w14:paraId="0153CC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0.000048</w:t>
            </w:r>
          </w:p>
        </w:tc>
        <w:tc>
          <w:tcPr>
            <w:tcW w:w="915" w:type="pct"/>
            <w:shd w:val="clear" w:color="auto" w:fill="auto"/>
            <w:noWrap/>
            <w:vAlign w:val="center"/>
          </w:tcPr>
          <w:p w14:paraId="1F68DE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578604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0.001001</w:t>
            </w:r>
          </w:p>
        </w:tc>
        <w:tc>
          <w:tcPr>
            <w:tcW w:w="872" w:type="pct"/>
            <w:shd w:val="clear" w:color="auto" w:fill="auto"/>
            <w:noWrap/>
            <w:vAlign w:val="center"/>
          </w:tcPr>
          <w:p w14:paraId="138A66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483F07A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CB4188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1950</w:t>
            </w:r>
          </w:p>
        </w:tc>
        <w:tc>
          <w:tcPr>
            <w:tcW w:w="1331" w:type="pct"/>
            <w:shd w:val="clear" w:color="auto" w:fill="auto"/>
            <w:noWrap/>
            <w:vAlign w:val="center"/>
          </w:tcPr>
          <w:p w14:paraId="24ED4D1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0.000047</w:t>
            </w:r>
          </w:p>
        </w:tc>
        <w:tc>
          <w:tcPr>
            <w:tcW w:w="915" w:type="pct"/>
            <w:shd w:val="clear" w:color="auto" w:fill="auto"/>
            <w:noWrap/>
            <w:vAlign w:val="center"/>
          </w:tcPr>
          <w:p w14:paraId="083AFA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317769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0.000992</w:t>
            </w:r>
          </w:p>
        </w:tc>
        <w:tc>
          <w:tcPr>
            <w:tcW w:w="872" w:type="pct"/>
            <w:shd w:val="clear" w:color="auto" w:fill="auto"/>
            <w:noWrap/>
            <w:vAlign w:val="center"/>
          </w:tcPr>
          <w:p w14:paraId="57A81B7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1BC0B0A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C065A9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1975</w:t>
            </w:r>
          </w:p>
        </w:tc>
        <w:tc>
          <w:tcPr>
            <w:tcW w:w="1331" w:type="pct"/>
            <w:shd w:val="clear" w:color="auto" w:fill="auto"/>
            <w:noWrap/>
            <w:vAlign w:val="center"/>
          </w:tcPr>
          <w:p w14:paraId="7B53C8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0.000047</w:t>
            </w:r>
          </w:p>
        </w:tc>
        <w:tc>
          <w:tcPr>
            <w:tcW w:w="915" w:type="pct"/>
            <w:shd w:val="clear" w:color="auto" w:fill="auto"/>
            <w:noWrap/>
            <w:vAlign w:val="center"/>
          </w:tcPr>
          <w:p w14:paraId="7D1020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19165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0.000984</w:t>
            </w:r>
          </w:p>
        </w:tc>
        <w:tc>
          <w:tcPr>
            <w:tcW w:w="872" w:type="pct"/>
            <w:shd w:val="clear" w:color="auto" w:fill="auto"/>
            <w:noWrap/>
            <w:vAlign w:val="center"/>
          </w:tcPr>
          <w:p w14:paraId="077F53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6C88B63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CE222B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2000</w:t>
            </w:r>
          </w:p>
        </w:tc>
        <w:tc>
          <w:tcPr>
            <w:tcW w:w="1331" w:type="pct"/>
            <w:shd w:val="clear" w:color="auto" w:fill="auto"/>
            <w:noWrap/>
            <w:vAlign w:val="center"/>
          </w:tcPr>
          <w:p w14:paraId="3693E9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0.000047</w:t>
            </w:r>
          </w:p>
        </w:tc>
        <w:tc>
          <w:tcPr>
            <w:tcW w:w="915" w:type="pct"/>
            <w:shd w:val="clear" w:color="auto" w:fill="auto"/>
            <w:noWrap/>
            <w:vAlign w:val="center"/>
          </w:tcPr>
          <w:p w14:paraId="7F00026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0DD1E1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0.000975</w:t>
            </w:r>
          </w:p>
        </w:tc>
        <w:tc>
          <w:tcPr>
            <w:tcW w:w="872" w:type="pct"/>
            <w:shd w:val="clear" w:color="auto" w:fill="auto"/>
            <w:noWrap/>
            <w:vAlign w:val="center"/>
          </w:tcPr>
          <w:p w14:paraId="473AAE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3EB8E71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A6F9C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2025</w:t>
            </w:r>
          </w:p>
        </w:tc>
        <w:tc>
          <w:tcPr>
            <w:tcW w:w="1331" w:type="pct"/>
            <w:shd w:val="clear" w:color="auto" w:fill="auto"/>
            <w:noWrap/>
            <w:vAlign w:val="center"/>
          </w:tcPr>
          <w:p w14:paraId="4AF6E6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0.000046</w:t>
            </w:r>
          </w:p>
        </w:tc>
        <w:tc>
          <w:tcPr>
            <w:tcW w:w="915" w:type="pct"/>
            <w:shd w:val="clear" w:color="auto" w:fill="auto"/>
            <w:noWrap/>
            <w:vAlign w:val="center"/>
          </w:tcPr>
          <w:p w14:paraId="2E04E1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2FFC59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0.000967</w:t>
            </w:r>
          </w:p>
        </w:tc>
        <w:tc>
          <w:tcPr>
            <w:tcW w:w="872" w:type="pct"/>
            <w:shd w:val="clear" w:color="auto" w:fill="auto"/>
            <w:noWrap/>
            <w:vAlign w:val="center"/>
          </w:tcPr>
          <w:p w14:paraId="4151BC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373FCA3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210B0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2050</w:t>
            </w:r>
          </w:p>
        </w:tc>
        <w:tc>
          <w:tcPr>
            <w:tcW w:w="1331" w:type="pct"/>
            <w:shd w:val="clear" w:color="auto" w:fill="auto"/>
            <w:noWrap/>
            <w:vAlign w:val="center"/>
          </w:tcPr>
          <w:p w14:paraId="7D4955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0.000046</w:t>
            </w:r>
          </w:p>
        </w:tc>
        <w:tc>
          <w:tcPr>
            <w:tcW w:w="915" w:type="pct"/>
            <w:shd w:val="clear" w:color="auto" w:fill="auto"/>
            <w:noWrap/>
            <w:vAlign w:val="center"/>
          </w:tcPr>
          <w:p w14:paraId="2B54C5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60C99A1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0.000958</w:t>
            </w:r>
          </w:p>
        </w:tc>
        <w:tc>
          <w:tcPr>
            <w:tcW w:w="872" w:type="pct"/>
            <w:shd w:val="clear" w:color="auto" w:fill="auto"/>
            <w:noWrap/>
            <w:vAlign w:val="center"/>
          </w:tcPr>
          <w:p w14:paraId="1022E1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7325651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36DBA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2075</w:t>
            </w:r>
          </w:p>
        </w:tc>
        <w:tc>
          <w:tcPr>
            <w:tcW w:w="1331" w:type="pct"/>
            <w:shd w:val="clear" w:color="auto" w:fill="auto"/>
            <w:noWrap/>
            <w:vAlign w:val="center"/>
          </w:tcPr>
          <w:p w14:paraId="5934CD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0.000045</w:t>
            </w:r>
          </w:p>
        </w:tc>
        <w:tc>
          <w:tcPr>
            <w:tcW w:w="915" w:type="pct"/>
            <w:shd w:val="clear" w:color="auto" w:fill="auto"/>
            <w:noWrap/>
            <w:vAlign w:val="center"/>
          </w:tcPr>
          <w:p w14:paraId="0AA419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71" w:type="pct"/>
            <w:shd w:val="clear" w:color="auto" w:fill="auto"/>
            <w:noWrap/>
            <w:vAlign w:val="center"/>
          </w:tcPr>
          <w:p w14:paraId="787BD4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0.00095</w:t>
            </w:r>
          </w:p>
        </w:tc>
        <w:tc>
          <w:tcPr>
            <w:tcW w:w="872" w:type="pct"/>
            <w:shd w:val="clear" w:color="auto" w:fill="auto"/>
            <w:noWrap/>
            <w:vAlign w:val="center"/>
          </w:tcPr>
          <w:p w14:paraId="422C964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010B931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7241C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2100</w:t>
            </w:r>
          </w:p>
        </w:tc>
        <w:tc>
          <w:tcPr>
            <w:tcW w:w="1331" w:type="pct"/>
            <w:shd w:val="clear" w:color="auto" w:fill="auto"/>
            <w:noWrap/>
            <w:vAlign w:val="center"/>
          </w:tcPr>
          <w:p w14:paraId="14BC8D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0.000045</w:t>
            </w:r>
          </w:p>
        </w:tc>
        <w:tc>
          <w:tcPr>
            <w:tcW w:w="915" w:type="pct"/>
            <w:shd w:val="clear" w:color="auto" w:fill="auto"/>
            <w:noWrap/>
            <w:vAlign w:val="center"/>
          </w:tcPr>
          <w:p w14:paraId="3611BA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168AFF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0.000942</w:t>
            </w:r>
          </w:p>
        </w:tc>
        <w:tc>
          <w:tcPr>
            <w:tcW w:w="872" w:type="pct"/>
            <w:shd w:val="clear" w:color="auto" w:fill="auto"/>
            <w:noWrap/>
            <w:vAlign w:val="center"/>
          </w:tcPr>
          <w:p w14:paraId="5C868F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45EAEC5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E8268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2125</w:t>
            </w:r>
          </w:p>
        </w:tc>
        <w:tc>
          <w:tcPr>
            <w:tcW w:w="1331" w:type="pct"/>
            <w:shd w:val="clear" w:color="auto" w:fill="auto"/>
            <w:noWrap/>
            <w:vAlign w:val="center"/>
          </w:tcPr>
          <w:p w14:paraId="747F1C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0.000045</w:t>
            </w:r>
          </w:p>
        </w:tc>
        <w:tc>
          <w:tcPr>
            <w:tcW w:w="915" w:type="pct"/>
            <w:shd w:val="clear" w:color="auto" w:fill="auto"/>
            <w:noWrap/>
            <w:vAlign w:val="center"/>
          </w:tcPr>
          <w:p w14:paraId="107D89E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789711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0.000934</w:t>
            </w:r>
          </w:p>
        </w:tc>
        <w:tc>
          <w:tcPr>
            <w:tcW w:w="872" w:type="pct"/>
            <w:shd w:val="clear" w:color="auto" w:fill="auto"/>
            <w:noWrap/>
            <w:vAlign w:val="center"/>
          </w:tcPr>
          <w:p w14:paraId="6660DF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05AA86E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78DBDA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2150</w:t>
            </w:r>
          </w:p>
        </w:tc>
        <w:tc>
          <w:tcPr>
            <w:tcW w:w="1331" w:type="pct"/>
            <w:shd w:val="clear" w:color="auto" w:fill="auto"/>
            <w:noWrap/>
            <w:vAlign w:val="center"/>
          </w:tcPr>
          <w:p w14:paraId="69951A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0.000044</w:t>
            </w:r>
          </w:p>
        </w:tc>
        <w:tc>
          <w:tcPr>
            <w:tcW w:w="915" w:type="pct"/>
            <w:shd w:val="clear" w:color="auto" w:fill="auto"/>
            <w:noWrap/>
            <w:vAlign w:val="center"/>
          </w:tcPr>
          <w:p w14:paraId="51C663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35BD31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0.000926</w:t>
            </w:r>
          </w:p>
        </w:tc>
        <w:tc>
          <w:tcPr>
            <w:tcW w:w="872" w:type="pct"/>
            <w:shd w:val="clear" w:color="auto" w:fill="auto"/>
            <w:noWrap/>
            <w:vAlign w:val="center"/>
          </w:tcPr>
          <w:p w14:paraId="4A660D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0A2C8CA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D5123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2175</w:t>
            </w:r>
          </w:p>
        </w:tc>
        <w:tc>
          <w:tcPr>
            <w:tcW w:w="1331" w:type="pct"/>
            <w:shd w:val="clear" w:color="auto" w:fill="auto"/>
            <w:noWrap/>
            <w:vAlign w:val="center"/>
          </w:tcPr>
          <w:p w14:paraId="761836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0.000044</w:t>
            </w:r>
          </w:p>
        </w:tc>
        <w:tc>
          <w:tcPr>
            <w:tcW w:w="915" w:type="pct"/>
            <w:shd w:val="clear" w:color="auto" w:fill="auto"/>
            <w:noWrap/>
            <w:vAlign w:val="center"/>
          </w:tcPr>
          <w:p w14:paraId="6CE01F9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1091C77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0.000919</w:t>
            </w:r>
          </w:p>
        </w:tc>
        <w:tc>
          <w:tcPr>
            <w:tcW w:w="872" w:type="pct"/>
            <w:shd w:val="clear" w:color="auto" w:fill="auto"/>
            <w:noWrap/>
            <w:vAlign w:val="center"/>
          </w:tcPr>
          <w:p w14:paraId="6D856A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59675E9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7B816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2200</w:t>
            </w:r>
          </w:p>
        </w:tc>
        <w:tc>
          <w:tcPr>
            <w:tcW w:w="1331" w:type="pct"/>
            <w:shd w:val="clear" w:color="auto" w:fill="auto"/>
            <w:noWrap/>
            <w:vAlign w:val="center"/>
          </w:tcPr>
          <w:p w14:paraId="43C969A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0.000044</w:t>
            </w:r>
          </w:p>
        </w:tc>
        <w:tc>
          <w:tcPr>
            <w:tcW w:w="915" w:type="pct"/>
            <w:shd w:val="clear" w:color="auto" w:fill="auto"/>
            <w:noWrap/>
            <w:vAlign w:val="center"/>
          </w:tcPr>
          <w:p w14:paraId="5C2715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4C0140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0.000911</w:t>
            </w:r>
          </w:p>
        </w:tc>
        <w:tc>
          <w:tcPr>
            <w:tcW w:w="872" w:type="pct"/>
            <w:shd w:val="clear" w:color="auto" w:fill="auto"/>
            <w:noWrap/>
            <w:vAlign w:val="center"/>
          </w:tcPr>
          <w:p w14:paraId="729FAC8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34B430E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62E1D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2225</w:t>
            </w:r>
          </w:p>
        </w:tc>
        <w:tc>
          <w:tcPr>
            <w:tcW w:w="1331" w:type="pct"/>
            <w:shd w:val="clear" w:color="auto" w:fill="auto"/>
            <w:noWrap/>
            <w:vAlign w:val="center"/>
          </w:tcPr>
          <w:p w14:paraId="5BC9C4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0.000043</w:t>
            </w:r>
          </w:p>
        </w:tc>
        <w:tc>
          <w:tcPr>
            <w:tcW w:w="915" w:type="pct"/>
            <w:shd w:val="clear" w:color="auto" w:fill="auto"/>
            <w:noWrap/>
            <w:vAlign w:val="center"/>
          </w:tcPr>
          <w:p w14:paraId="65A882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2D7905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0.000904</w:t>
            </w:r>
          </w:p>
        </w:tc>
        <w:tc>
          <w:tcPr>
            <w:tcW w:w="872" w:type="pct"/>
            <w:shd w:val="clear" w:color="auto" w:fill="auto"/>
            <w:noWrap/>
            <w:vAlign w:val="center"/>
          </w:tcPr>
          <w:p w14:paraId="380C617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15AC985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020AD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2250</w:t>
            </w:r>
          </w:p>
        </w:tc>
        <w:tc>
          <w:tcPr>
            <w:tcW w:w="1331" w:type="pct"/>
            <w:shd w:val="clear" w:color="auto" w:fill="auto"/>
            <w:noWrap/>
            <w:vAlign w:val="center"/>
          </w:tcPr>
          <w:p w14:paraId="4391530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0.000043</w:t>
            </w:r>
          </w:p>
        </w:tc>
        <w:tc>
          <w:tcPr>
            <w:tcW w:w="915" w:type="pct"/>
            <w:shd w:val="clear" w:color="auto" w:fill="auto"/>
            <w:noWrap/>
            <w:vAlign w:val="center"/>
          </w:tcPr>
          <w:p w14:paraId="3DA6EB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0E5F6E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0.000896</w:t>
            </w:r>
          </w:p>
        </w:tc>
        <w:tc>
          <w:tcPr>
            <w:tcW w:w="872" w:type="pct"/>
            <w:shd w:val="clear" w:color="auto" w:fill="auto"/>
            <w:noWrap/>
            <w:vAlign w:val="center"/>
          </w:tcPr>
          <w:p w14:paraId="1D6927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3C26CCA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567F9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2275</w:t>
            </w:r>
          </w:p>
        </w:tc>
        <w:tc>
          <w:tcPr>
            <w:tcW w:w="1331" w:type="pct"/>
            <w:shd w:val="clear" w:color="auto" w:fill="auto"/>
            <w:noWrap/>
            <w:vAlign w:val="center"/>
          </w:tcPr>
          <w:p w14:paraId="3DE1E2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0.000042</w:t>
            </w:r>
          </w:p>
        </w:tc>
        <w:tc>
          <w:tcPr>
            <w:tcW w:w="915" w:type="pct"/>
            <w:shd w:val="clear" w:color="auto" w:fill="auto"/>
            <w:noWrap/>
            <w:vAlign w:val="center"/>
          </w:tcPr>
          <w:p w14:paraId="0D32FB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3B02E5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0.000889</w:t>
            </w:r>
          </w:p>
        </w:tc>
        <w:tc>
          <w:tcPr>
            <w:tcW w:w="872" w:type="pct"/>
            <w:shd w:val="clear" w:color="auto" w:fill="auto"/>
            <w:noWrap/>
            <w:vAlign w:val="center"/>
          </w:tcPr>
          <w:p w14:paraId="430BAB9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44D7020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9D7EA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2300</w:t>
            </w:r>
          </w:p>
        </w:tc>
        <w:tc>
          <w:tcPr>
            <w:tcW w:w="1331" w:type="pct"/>
            <w:shd w:val="clear" w:color="auto" w:fill="auto"/>
            <w:noWrap/>
            <w:vAlign w:val="center"/>
          </w:tcPr>
          <w:p w14:paraId="4DE78B8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0.000042</w:t>
            </w:r>
          </w:p>
        </w:tc>
        <w:tc>
          <w:tcPr>
            <w:tcW w:w="915" w:type="pct"/>
            <w:shd w:val="clear" w:color="auto" w:fill="auto"/>
            <w:noWrap/>
            <w:vAlign w:val="center"/>
          </w:tcPr>
          <w:p w14:paraId="5DA32F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6405F8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0.000882</w:t>
            </w:r>
          </w:p>
        </w:tc>
        <w:tc>
          <w:tcPr>
            <w:tcW w:w="872" w:type="pct"/>
            <w:shd w:val="clear" w:color="auto" w:fill="auto"/>
            <w:noWrap/>
            <w:vAlign w:val="center"/>
          </w:tcPr>
          <w:p w14:paraId="172B0A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3A0C4F5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1F151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2325</w:t>
            </w:r>
          </w:p>
        </w:tc>
        <w:tc>
          <w:tcPr>
            <w:tcW w:w="1331" w:type="pct"/>
            <w:shd w:val="clear" w:color="auto" w:fill="auto"/>
            <w:noWrap/>
            <w:vAlign w:val="center"/>
          </w:tcPr>
          <w:p w14:paraId="542707B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0.000042</w:t>
            </w:r>
          </w:p>
        </w:tc>
        <w:tc>
          <w:tcPr>
            <w:tcW w:w="915" w:type="pct"/>
            <w:shd w:val="clear" w:color="auto" w:fill="auto"/>
            <w:noWrap/>
            <w:vAlign w:val="center"/>
          </w:tcPr>
          <w:p w14:paraId="3B7C996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613F5F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0.000875</w:t>
            </w:r>
          </w:p>
        </w:tc>
        <w:tc>
          <w:tcPr>
            <w:tcW w:w="872" w:type="pct"/>
            <w:shd w:val="clear" w:color="auto" w:fill="auto"/>
            <w:noWrap/>
            <w:vAlign w:val="center"/>
          </w:tcPr>
          <w:p w14:paraId="721B06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241DCB0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2FF6A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2350</w:t>
            </w:r>
          </w:p>
        </w:tc>
        <w:tc>
          <w:tcPr>
            <w:tcW w:w="1331" w:type="pct"/>
            <w:shd w:val="clear" w:color="auto" w:fill="auto"/>
            <w:noWrap/>
            <w:vAlign w:val="center"/>
          </w:tcPr>
          <w:p w14:paraId="17115F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0.000041</w:t>
            </w:r>
          </w:p>
        </w:tc>
        <w:tc>
          <w:tcPr>
            <w:tcW w:w="915" w:type="pct"/>
            <w:shd w:val="clear" w:color="auto" w:fill="auto"/>
            <w:noWrap/>
            <w:vAlign w:val="center"/>
          </w:tcPr>
          <w:p w14:paraId="42F627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2753C8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0.000868</w:t>
            </w:r>
          </w:p>
        </w:tc>
        <w:tc>
          <w:tcPr>
            <w:tcW w:w="872" w:type="pct"/>
            <w:shd w:val="clear" w:color="auto" w:fill="auto"/>
            <w:noWrap/>
            <w:vAlign w:val="center"/>
          </w:tcPr>
          <w:p w14:paraId="1E1212D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26D67D0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31DA3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2375</w:t>
            </w:r>
          </w:p>
        </w:tc>
        <w:tc>
          <w:tcPr>
            <w:tcW w:w="1331" w:type="pct"/>
            <w:shd w:val="clear" w:color="auto" w:fill="auto"/>
            <w:noWrap/>
            <w:vAlign w:val="center"/>
          </w:tcPr>
          <w:p w14:paraId="3F16BD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0.000041</w:t>
            </w:r>
          </w:p>
        </w:tc>
        <w:tc>
          <w:tcPr>
            <w:tcW w:w="915" w:type="pct"/>
            <w:shd w:val="clear" w:color="auto" w:fill="auto"/>
            <w:noWrap/>
            <w:vAlign w:val="center"/>
          </w:tcPr>
          <w:p w14:paraId="3DDC65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1181D3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0.000861</w:t>
            </w:r>
          </w:p>
        </w:tc>
        <w:tc>
          <w:tcPr>
            <w:tcW w:w="872" w:type="pct"/>
            <w:shd w:val="clear" w:color="auto" w:fill="auto"/>
            <w:noWrap/>
            <w:vAlign w:val="center"/>
          </w:tcPr>
          <w:p w14:paraId="669F6B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57C58D4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A4934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2400</w:t>
            </w:r>
          </w:p>
        </w:tc>
        <w:tc>
          <w:tcPr>
            <w:tcW w:w="1331" w:type="pct"/>
            <w:shd w:val="clear" w:color="auto" w:fill="auto"/>
            <w:noWrap/>
            <w:vAlign w:val="center"/>
          </w:tcPr>
          <w:p w14:paraId="1A8F98E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0.000041</w:t>
            </w:r>
          </w:p>
        </w:tc>
        <w:tc>
          <w:tcPr>
            <w:tcW w:w="915" w:type="pct"/>
            <w:shd w:val="clear" w:color="auto" w:fill="auto"/>
            <w:noWrap/>
            <w:vAlign w:val="center"/>
          </w:tcPr>
          <w:p w14:paraId="4F29923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6A6E58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0.000854</w:t>
            </w:r>
          </w:p>
        </w:tc>
        <w:tc>
          <w:tcPr>
            <w:tcW w:w="872" w:type="pct"/>
            <w:shd w:val="clear" w:color="auto" w:fill="auto"/>
            <w:noWrap/>
            <w:vAlign w:val="center"/>
          </w:tcPr>
          <w:p w14:paraId="74F23A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0A8D9F7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25FB7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2425</w:t>
            </w:r>
          </w:p>
        </w:tc>
        <w:tc>
          <w:tcPr>
            <w:tcW w:w="1331" w:type="pct"/>
            <w:shd w:val="clear" w:color="auto" w:fill="auto"/>
            <w:noWrap/>
            <w:vAlign w:val="center"/>
          </w:tcPr>
          <w:p w14:paraId="1EC815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0.000041</w:t>
            </w:r>
          </w:p>
        </w:tc>
        <w:tc>
          <w:tcPr>
            <w:tcW w:w="915" w:type="pct"/>
            <w:shd w:val="clear" w:color="auto" w:fill="auto"/>
            <w:noWrap/>
            <w:vAlign w:val="center"/>
          </w:tcPr>
          <w:p w14:paraId="3860767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01BB66F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0.000848</w:t>
            </w:r>
          </w:p>
        </w:tc>
        <w:tc>
          <w:tcPr>
            <w:tcW w:w="872" w:type="pct"/>
            <w:shd w:val="clear" w:color="auto" w:fill="auto"/>
            <w:noWrap/>
            <w:vAlign w:val="center"/>
          </w:tcPr>
          <w:p w14:paraId="4B4D8B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4A66BFB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91F84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2450</w:t>
            </w:r>
          </w:p>
        </w:tc>
        <w:tc>
          <w:tcPr>
            <w:tcW w:w="1331" w:type="pct"/>
            <w:shd w:val="clear" w:color="auto" w:fill="auto"/>
            <w:noWrap/>
            <w:vAlign w:val="center"/>
          </w:tcPr>
          <w:p w14:paraId="0B8CFD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w:t>
            </w:r>
          </w:p>
        </w:tc>
        <w:tc>
          <w:tcPr>
            <w:tcW w:w="915" w:type="pct"/>
            <w:shd w:val="clear" w:color="auto" w:fill="auto"/>
            <w:noWrap/>
            <w:vAlign w:val="center"/>
          </w:tcPr>
          <w:p w14:paraId="09AC62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30A254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0.000843</w:t>
            </w:r>
          </w:p>
        </w:tc>
        <w:tc>
          <w:tcPr>
            <w:tcW w:w="872" w:type="pct"/>
            <w:shd w:val="clear" w:color="auto" w:fill="auto"/>
            <w:noWrap/>
            <w:vAlign w:val="center"/>
          </w:tcPr>
          <w:p w14:paraId="09CC86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5948B0F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29DFF6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2475</w:t>
            </w:r>
          </w:p>
        </w:tc>
        <w:tc>
          <w:tcPr>
            <w:tcW w:w="1331" w:type="pct"/>
            <w:shd w:val="clear" w:color="auto" w:fill="auto"/>
            <w:noWrap/>
            <w:vAlign w:val="center"/>
          </w:tcPr>
          <w:p w14:paraId="0301D0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w:t>
            </w:r>
          </w:p>
        </w:tc>
        <w:tc>
          <w:tcPr>
            <w:tcW w:w="915" w:type="pct"/>
            <w:shd w:val="clear" w:color="auto" w:fill="auto"/>
            <w:noWrap/>
            <w:vAlign w:val="center"/>
          </w:tcPr>
          <w:p w14:paraId="6FE073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472576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0.000837</w:t>
            </w:r>
          </w:p>
        </w:tc>
        <w:tc>
          <w:tcPr>
            <w:tcW w:w="872" w:type="pct"/>
            <w:shd w:val="clear" w:color="auto" w:fill="auto"/>
            <w:noWrap/>
            <w:vAlign w:val="center"/>
          </w:tcPr>
          <w:p w14:paraId="7A9366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r w14:paraId="61671B3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E824B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2500</w:t>
            </w:r>
          </w:p>
        </w:tc>
        <w:tc>
          <w:tcPr>
            <w:tcW w:w="1331" w:type="pct"/>
            <w:shd w:val="clear" w:color="auto" w:fill="auto"/>
            <w:noWrap/>
            <w:vAlign w:val="center"/>
          </w:tcPr>
          <w:p w14:paraId="25597D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0.00004</w:t>
            </w:r>
          </w:p>
        </w:tc>
        <w:tc>
          <w:tcPr>
            <w:tcW w:w="915" w:type="pct"/>
            <w:shd w:val="clear" w:color="auto" w:fill="auto"/>
            <w:noWrap/>
            <w:vAlign w:val="center"/>
          </w:tcPr>
          <w:p w14:paraId="3EB289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71" w:type="pct"/>
            <w:shd w:val="clear" w:color="auto" w:fill="auto"/>
            <w:noWrap/>
            <w:vAlign w:val="center"/>
          </w:tcPr>
          <w:p w14:paraId="7DCD94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0.000832</w:t>
            </w:r>
          </w:p>
        </w:tc>
        <w:tc>
          <w:tcPr>
            <w:tcW w:w="872" w:type="pct"/>
            <w:shd w:val="clear" w:color="auto" w:fill="auto"/>
            <w:noWrap/>
            <w:vAlign w:val="center"/>
          </w:tcPr>
          <w:p w14:paraId="41F2F95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r>
    </w:tbl>
    <w:p w14:paraId="7A351729">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根据表6.1-4预测结果，颗粒物、非甲烷总烃的最大地面浓度占标率P</w:t>
      </w:r>
      <w:r>
        <w:rPr>
          <w:color w:val="000000" w:themeColor="text1"/>
          <w:sz w:val="24"/>
          <w:vertAlign w:val="subscript"/>
          <w14:textFill>
            <w14:solidFill>
              <w14:schemeClr w14:val="tx1"/>
            </w14:solidFill>
          </w14:textFill>
        </w:rPr>
        <w:t>max=</w:t>
      </w:r>
      <w:r>
        <w:rPr>
          <w:color w:val="000000" w:themeColor="text1"/>
          <w:sz w:val="24"/>
          <w14:textFill>
            <w14:solidFill>
              <w14:schemeClr w14:val="tx1"/>
            </w14:solidFill>
          </w14:textFill>
        </w:rPr>
        <w:t>0.11&lt;1%。根据HJ/T2.2-2018的要求，不再用预测模式进一步进行预测。</w:t>
      </w:r>
    </w:p>
    <w:p w14:paraId="7013D184">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颗粒物、非甲烷总烃的最大落地浓度位于污染源下风向196m处，最大落地浓度分别为</w:t>
      </w:r>
      <w:r>
        <w:rPr>
          <w:b/>
          <w:color w:val="000000" w:themeColor="text1"/>
          <w:sz w:val="24"/>
          <w14:textFill>
            <w14:solidFill>
              <w14:schemeClr w14:val="tx1"/>
            </w14:solidFill>
          </w14:textFill>
        </w:rPr>
        <w:t>0.000108</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b/>
          <w:color w:val="000000" w:themeColor="text1"/>
          <w:sz w:val="24"/>
          <w14:textFill>
            <w14:solidFill>
              <w14:schemeClr w14:val="tx1"/>
            </w14:solidFill>
          </w14:textFill>
        </w:rPr>
        <w:t>0.002261</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w:t>
      </w:r>
    </w:p>
    <w:p w14:paraId="013404B2">
      <w:pPr>
        <w:pStyle w:val="11"/>
        <w:spacing w:line="360" w:lineRule="auto"/>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（2）生活废气环境影响分析</w:t>
      </w:r>
    </w:p>
    <w:p w14:paraId="54377649">
      <w:pPr>
        <w:pStyle w:val="111"/>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本项目生活废气主要为食堂油烟。</w:t>
      </w:r>
    </w:p>
    <w:p w14:paraId="658F2F4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通过第3章工程分析可得，本项目共15人就餐，本环评要求建设小型油烟净化装置，总引风量为2000m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/h，净化效率60%的油烟净化设施处理后，排放量为0.00132t/a，排放浓度为0.55mg/m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，满足GB18483—2001《饮食业油烟排放标准》油烟最高允许排放浓度2mg/m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。项目区烟道出口周围150m范围内无其他建筑物，对周围环境影响可接受。</w:t>
      </w:r>
    </w:p>
    <w:p w14:paraId="11284752">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2、无组织废气（造粒热熔挤出废气）环境影响分析</w:t>
      </w:r>
    </w:p>
    <w:p w14:paraId="3145BDD0">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（1）造粒热熔挤出无组织废气环境影响分析</w:t>
      </w:r>
    </w:p>
    <w:p w14:paraId="2DF8506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本次评价采用HJ/T2.2-2018推介的AERSCREEN模式分别对颗粒物、非甲烷总烃下风向的轴线浓度进行计算，并计算相应浓度</w:t>
      </w:r>
      <w:r>
        <w:rPr>
          <w:rFonts w:hint="eastAsia"/>
          <w:color w:val="000000" w:themeColor="text1"/>
          <w:sz w:val="24"/>
          <w:lang w:eastAsia="zh-CN"/>
          <w14:textFill>
            <w14:solidFill>
              <w14:schemeClr w14:val="tx1"/>
            </w14:solidFill>
          </w14:textFill>
        </w:rPr>
        <w:t>的</w:t>
      </w:r>
      <w:r>
        <w:rPr>
          <w:color w:val="000000" w:themeColor="text1"/>
          <w:sz w:val="24"/>
          <w14:textFill>
            <w14:solidFill>
              <w14:schemeClr w14:val="tx1"/>
            </w14:solidFill>
          </w14:textFill>
        </w:rPr>
        <w:t>占标率，结果见表6.1-5。</w:t>
      </w:r>
    </w:p>
    <w:p w14:paraId="3A79958E">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表6.1-5  采用估算模式计算结果表</w:t>
      </w:r>
    </w:p>
    <w:tbl>
      <w:tblPr>
        <w:tblStyle w:val="42"/>
        <w:tblW w:w="5000" w:type="pct"/>
        <w:tblInd w:w="0" w:type="dxa"/>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Layout w:type="fixed"/>
        <w:tblCellMar>
          <w:top w:w="0" w:type="dxa"/>
          <w:left w:w="108" w:type="dxa"/>
          <w:bottom w:w="0" w:type="dxa"/>
          <w:right w:w="108" w:type="dxa"/>
        </w:tblCellMar>
      </w:tblPr>
      <w:tblGrid>
        <w:gridCol w:w="1382"/>
        <w:gridCol w:w="2269"/>
        <w:gridCol w:w="1560"/>
        <w:gridCol w:w="1825"/>
        <w:gridCol w:w="1486"/>
      </w:tblGrid>
      <w:tr w14:paraId="40D1D05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vMerge w:val="restart"/>
            <w:shd w:val="clear" w:color="auto" w:fill="auto"/>
            <w:noWrap/>
            <w:vAlign w:val="center"/>
          </w:tcPr>
          <w:p w14:paraId="770A7744">
            <w:pPr>
              <w:widowControl/>
              <w:jc w:val="center"/>
              <w:rPr>
                <w:color w:val="000000" w:themeColor="text1"/>
                <w:kern w:val="0"/>
                <w:sz w:val="22"/>
                <w:szCs w:val="22"/>
                <w14:textFill>
                  <w14:solidFill>
                    <w14:schemeClr w14:val="tx1"/>
                  </w14:solidFill>
                </w14:textFill>
              </w:rPr>
            </w:pPr>
            <w:r>
              <w:rPr>
                <w:b/>
                <w:color w:val="000000" w:themeColor="text1"/>
                <w:szCs w:val="21"/>
                <w14:textFill>
                  <w14:solidFill>
                    <w14:schemeClr w14:val="tx1"/>
                  </w14:solidFill>
                </w14:textFill>
              </w:rPr>
              <w:t>距源中心下风向距离D/m</w:t>
            </w:r>
          </w:p>
        </w:tc>
        <w:tc>
          <w:tcPr>
            <w:tcW w:w="1331" w:type="pct"/>
            <w:shd w:val="clear" w:color="auto" w:fill="auto"/>
            <w:noWrap/>
            <w:vAlign w:val="center"/>
          </w:tcPr>
          <w:p w14:paraId="278CAA04">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颗粒物</w:t>
            </w:r>
          </w:p>
        </w:tc>
        <w:tc>
          <w:tcPr>
            <w:tcW w:w="915" w:type="pct"/>
            <w:shd w:val="clear" w:color="auto" w:fill="auto"/>
            <w:noWrap/>
            <w:vAlign w:val="center"/>
          </w:tcPr>
          <w:p w14:paraId="261665D4">
            <w:pPr>
              <w:widowControl/>
              <w:jc w:val="center"/>
              <w:rPr>
                <w:color w:val="000000" w:themeColor="text1"/>
                <w:kern w:val="0"/>
                <w:sz w:val="22"/>
                <w:szCs w:val="22"/>
                <w14:textFill>
                  <w14:solidFill>
                    <w14:schemeClr w14:val="tx1"/>
                  </w14:solidFill>
                </w14:textFill>
              </w:rPr>
            </w:pPr>
          </w:p>
        </w:tc>
        <w:tc>
          <w:tcPr>
            <w:tcW w:w="1943" w:type="pct"/>
            <w:gridSpan w:val="2"/>
            <w:shd w:val="clear" w:color="auto" w:fill="auto"/>
            <w:noWrap/>
            <w:vAlign w:val="center"/>
          </w:tcPr>
          <w:p w14:paraId="3CDA4CF9">
            <w:pPr>
              <w:widowControl/>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非甲烷总烃</w:t>
            </w:r>
          </w:p>
        </w:tc>
      </w:tr>
      <w:tr w14:paraId="2838FF9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vMerge w:val="continue"/>
            <w:shd w:val="clear" w:color="auto" w:fill="auto"/>
            <w:noWrap/>
            <w:vAlign w:val="center"/>
          </w:tcPr>
          <w:p w14:paraId="22C21E71">
            <w:pPr>
              <w:widowControl/>
              <w:jc w:val="center"/>
              <w:rPr>
                <w:color w:val="000000" w:themeColor="text1"/>
                <w:kern w:val="0"/>
                <w:sz w:val="22"/>
                <w:szCs w:val="22"/>
                <w14:textFill>
                  <w14:solidFill>
                    <w14:schemeClr w14:val="tx1"/>
                  </w14:solidFill>
                </w14:textFill>
              </w:rPr>
            </w:pPr>
          </w:p>
        </w:tc>
        <w:tc>
          <w:tcPr>
            <w:tcW w:w="1331" w:type="pct"/>
            <w:shd w:val="clear" w:color="auto" w:fill="auto"/>
            <w:noWrap/>
            <w:vAlign w:val="center"/>
          </w:tcPr>
          <w:p w14:paraId="1B360E1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下风向预测浓度C</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915" w:type="pct"/>
            <w:shd w:val="clear" w:color="auto" w:fill="auto"/>
            <w:noWrap/>
            <w:vAlign w:val="center"/>
          </w:tcPr>
          <w:p w14:paraId="33E0E2C6">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浓度占标率P</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w:t>
            </w:r>
          </w:p>
        </w:tc>
        <w:tc>
          <w:tcPr>
            <w:tcW w:w="1071" w:type="pct"/>
            <w:shd w:val="clear" w:color="auto" w:fill="auto"/>
            <w:noWrap/>
            <w:vAlign w:val="center"/>
          </w:tcPr>
          <w:p w14:paraId="3D70726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下风向预测浓度C</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872" w:type="pct"/>
            <w:shd w:val="clear" w:color="auto" w:fill="auto"/>
            <w:noWrap/>
            <w:vAlign w:val="center"/>
          </w:tcPr>
          <w:p w14:paraId="3E67880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浓度占标率P</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w:t>
            </w:r>
          </w:p>
        </w:tc>
      </w:tr>
      <w:tr w14:paraId="3278C2C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63F8EB6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w:t>
            </w:r>
          </w:p>
        </w:tc>
        <w:tc>
          <w:tcPr>
            <w:tcW w:w="1331" w:type="pct"/>
            <w:shd w:val="clear" w:color="auto" w:fill="auto"/>
            <w:noWrap/>
            <w:vAlign w:val="bottom"/>
          </w:tcPr>
          <w:p w14:paraId="252C6DB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0.011983</w:t>
            </w:r>
          </w:p>
        </w:tc>
        <w:tc>
          <w:tcPr>
            <w:tcW w:w="915" w:type="pct"/>
            <w:shd w:val="clear" w:color="auto" w:fill="auto"/>
            <w:noWrap/>
            <w:vAlign w:val="bottom"/>
          </w:tcPr>
          <w:p w14:paraId="1667865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1.33</w:t>
            </w:r>
          </w:p>
        </w:tc>
        <w:tc>
          <w:tcPr>
            <w:tcW w:w="1071" w:type="pct"/>
            <w:shd w:val="clear" w:color="auto" w:fill="auto"/>
            <w:noWrap/>
            <w:vAlign w:val="bottom"/>
          </w:tcPr>
          <w:p w14:paraId="131BA60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0.083996</w:t>
            </w:r>
          </w:p>
        </w:tc>
        <w:tc>
          <w:tcPr>
            <w:tcW w:w="872" w:type="pct"/>
            <w:shd w:val="clear" w:color="auto" w:fill="auto"/>
            <w:noWrap/>
            <w:vAlign w:val="bottom"/>
          </w:tcPr>
          <w:p w14:paraId="560A950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4.2</w:t>
            </w:r>
          </w:p>
        </w:tc>
      </w:tr>
      <w:tr w14:paraId="546F4A1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DB91CC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25</w:t>
            </w:r>
          </w:p>
        </w:tc>
        <w:tc>
          <w:tcPr>
            <w:tcW w:w="1331" w:type="pct"/>
            <w:shd w:val="clear" w:color="auto" w:fill="auto"/>
            <w:noWrap/>
            <w:vAlign w:val="bottom"/>
          </w:tcPr>
          <w:p w14:paraId="4D2FE1E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0.014956</w:t>
            </w:r>
          </w:p>
        </w:tc>
        <w:tc>
          <w:tcPr>
            <w:tcW w:w="915" w:type="pct"/>
            <w:shd w:val="clear" w:color="auto" w:fill="auto"/>
            <w:noWrap/>
            <w:vAlign w:val="bottom"/>
          </w:tcPr>
          <w:p w14:paraId="2CB92D7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1.66</w:t>
            </w:r>
          </w:p>
        </w:tc>
        <w:tc>
          <w:tcPr>
            <w:tcW w:w="1071" w:type="pct"/>
            <w:shd w:val="clear" w:color="auto" w:fill="auto"/>
            <w:noWrap/>
            <w:vAlign w:val="bottom"/>
          </w:tcPr>
          <w:p w14:paraId="4BADF34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0.104836</w:t>
            </w:r>
          </w:p>
        </w:tc>
        <w:tc>
          <w:tcPr>
            <w:tcW w:w="872" w:type="pct"/>
            <w:shd w:val="clear" w:color="auto" w:fill="auto"/>
            <w:noWrap/>
            <w:vAlign w:val="bottom"/>
          </w:tcPr>
          <w:p w14:paraId="2AD3106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5.24</w:t>
            </w:r>
          </w:p>
        </w:tc>
      </w:tr>
      <w:tr w14:paraId="7867857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B023C5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50</w:t>
            </w:r>
          </w:p>
        </w:tc>
        <w:tc>
          <w:tcPr>
            <w:tcW w:w="1331" w:type="pct"/>
            <w:shd w:val="clear" w:color="auto" w:fill="auto"/>
            <w:noWrap/>
            <w:vAlign w:val="bottom"/>
          </w:tcPr>
          <w:p w14:paraId="73F4316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0.018103</w:t>
            </w:r>
          </w:p>
        </w:tc>
        <w:tc>
          <w:tcPr>
            <w:tcW w:w="915" w:type="pct"/>
            <w:shd w:val="clear" w:color="auto" w:fill="auto"/>
            <w:noWrap/>
            <w:vAlign w:val="bottom"/>
          </w:tcPr>
          <w:p w14:paraId="5777E5E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2.01</w:t>
            </w:r>
          </w:p>
        </w:tc>
        <w:tc>
          <w:tcPr>
            <w:tcW w:w="1071" w:type="pct"/>
            <w:shd w:val="clear" w:color="auto" w:fill="auto"/>
            <w:noWrap/>
            <w:vAlign w:val="bottom"/>
          </w:tcPr>
          <w:p w14:paraId="56A7C8E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0.126895</w:t>
            </w:r>
          </w:p>
        </w:tc>
        <w:tc>
          <w:tcPr>
            <w:tcW w:w="872" w:type="pct"/>
            <w:shd w:val="clear" w:color="auto" w:fill="auto"/>
            <w:noWrap/>
            <w:vAlign w:val="bottom"/>
          </w:tcPr>
          <w:p w14:paraId="50114AF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6.34</w:t>
            </w:r>
          </w:p>
        </w:tc>
      </w:tr>
      <w:tr w14:paraId="0641AC2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75AF947">
            <w:pPr>
              <w:jc w:val="center"/>
              <w:rPr>
                <w:b/>
                <w:color w:val="000000" w:themeColor="text1"/>
                <w:sz w:val="22"/>
                <w:szCs w:val="22"/>
                <w14:textFill>
                  <w14:solidFill>
                    <w14:schemeClr w14:val="tx1"/>
                  </w14:solidFill>
                </w14:textFill>
              </w:rPr>
            </w:pPr>
            <w:r>
              <w:rPr>
                <w:b/>
                <w:color w:val="000000" w:themeColor="text1"/>
                <w:sz w:val="22"/>
                <w:szCs w:val="22"/>
                <w14:textFill>
                  <w14:solidFill>
                    <w14:schemeClr w14:val="tx1"/>
                  </w14:solidFill>
                </w14:textFill>
              </w:rPr>
              <w:t>57</w:t>
            </w:r>
          </w:p>
        </w:tc>
        <w:tc>
          <w:tcPr>
            <w:tcW w:w="1331" w:type="pct"/>
            <w:shd w:val="clear" w:color="auto" w:fill="auto"/>
            <w:noWrap/>
            <w:vAlign w:val="bottom"/>
          </w:tcPr>
          <w:p w14:paraId="6B7816BA">
            <w:pPr>
              <w:jc w:val="center"/>
              <w:rPr>
                <w:b/>
                <w:color w:val="000000" w:themeColor="text1"/>
                <w:sz w:val="22"/>
                <w:szCs w:val="22"/>
                <w14:textFill>
                  <w14:solidFill>
                    <w14:schemeClr w14:val="tx1"/>
                  </w14:solidFill>
                </w14:textFill>
              </w:rPr>
            </w:pPr>
            <w:r>
              <w:rPr>
                <w:b/>
                <w:color w:val="000000" w:themeColor="text1"/>
                <w:sz w:val="22"/>
                <w:szCs w:val="22"/>
                <w14:textFill>
                  <w14:solidFill>
                    <w14:schemeClr w14:val="tx1"/>
                  </w14:solidFill>
                </w14:textFill>
              </w:rPr>
              <w:t>0.018286</w:t>
            </w:r>
          </w:p>
        </w:tc>
        <w:tc>
          <w:tcPr>
            <w:tcW w:w="915" w:type="pct"/>
            <w:shd w:val="clear" w:color="auto" w:fill="auto"/>
            <w:noWrap/>
            <w:vAlign w:val="bottom"/>
          </w:tcPr>
          <w:p w14:paraId="57E90735">
            <w:pPr>
              <w:jc w:val="center"/>
              <w:rPr>
                <w:b/>
                <w:color w:val="000000" w:themeColor="text1"/>
                <w:sz w:val="22"/>
                <w:szCs w:val="22"/>
                <w14:textFill>
                  <w14:solidFill>
                    <w14:schemeClr w14:val="tx1"/>
                  </w14:solidFill>
                </w14:textFill>
              </w:rPr>
            </w:pPr>
            <w:r>
              <w:rPr>
                <w:b/>
                <w:color w:val="000000" w:themeColor="text1"/>
                <w:sz w:val="22"/>
                <w:szCs w:val="22"/>
                <w14:textFill>
                  <w14:solidFill>
                    <w14:schemeClr w14:val="tx1"/>
                  </w14:solidFill>
                </w14:textFill>
              </w:rPr>
              <w:t>2.03</w:t>
            </w:r>
          </w:p>
        </w:tc>
        <w:tc>
          <w:tcPr>
            <w:tcW w:w="1071" w:type="pct"/>
            <w:shd w:val="clear" w:color="auto" w:fill="auto"/>
            <w:noWrap/>
            <w:vAlign w:val="bottom"/>
          </w:tcPr>
          <w:p w14:paraId="06BA36D2">
            <w:pPr>
              <w:jc w:val="center"/>
              <w:rPr>
                <w:b/>
                <w:color w:val="000000" w:themeColor="text1"/>
                <w:sz w:val="22"/>
                <w:szCs w:val="22"/>
                <w14:textFill>
                  <w14:solidFill>
                    <w14:schemeClr w14:val="tx1"/>
                  </w14:solidFill>
                </w14:textFill>
              </w:rPr>
            </w:pPr>
            <w:r>
              <w:rPr>
                <w:b/>
                <w:color w:val="000000" w:themeColor="text1"/>
                <w:sz w:val="22"/>
                <w:szCs w:val="22"/>
                <w14:textFill>
                  <w14:solidFill>
                    <w14:schemeClr w14:val="tx1"/>
                  </w14:solidFill>
                </w14:textFill>
              </w:rPr>
              <w:t>0.128178</w:t>
            </w:r>
          </w:p>
        </w:tc>
        <w:tc>
          <w:tcPr>
            <w:tcW w:w="872" w:type="pct"/>
            <w:shd w:val="clear" w:color="auto" w:fill="auto"/>
            <w:noWrap/>
            <w:vAlign w:val="bottom"/>
          </w:tcPr>
          <w:p w14:paraId="1C06BF4B">
            <w:pPr>
              <w:jc w:val="center"/>
              <w:rPr>
                <w:b/>
                <w:color w:val="000000" w:themeColor="text1"/>
                <w:sz w:val="22"/>
                <w:szCs w:val="22"/>
                <w14:textFill>
                  <w14:solidFill>
                    <w14:schemeClr w14:val="tx1"/>
                  </w14:solidFill>
                </w14:textFill>
              </w:rPr>
            </w:pPr>
            <w:r>
              <w:rPr>
                <w:b/>
                <w:color w:val="000000" w:themeColor="text1"/>
                <w:sz w:val="22"/>
                <w:szCs w:val="22"/>
                <w14:textFill>
                  <w14:solidFill>
                    <w14:schemeClr w14:val="tx1"/>
                  </w14:solidFill>
                </w14:textFill>
              </w:rPr>
              <w:t>6.41</w:t>
            </w:r>
          </w:p>
        </w:tc>
      </w:tr>
      <w:tr w14:paraId="593CFB2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4106A6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75</w:t>
            </w:r>
          </w:p>
        </w:tc>
        <w:tc>
          <w:tcPr>
            <w:tcW w:w="1331" w:type="pct"/>
            <w:shd w:val="clear" w:color="auto" w:fill="auto"/>
            <w:noWrap/>
            <w:vAlign w:val="bottom"/>
          </w:tcPr>
          <w:p w14:paraId="60E0ACD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0.016859</w:t>
            </w:r>
          </w:p>
        </w:tc>
        <w:tc>
          <w:tcPr>
            <w:tcW w:w="915" w:type="pct"/>
            <w:shd w:val="clear" w:color="auto" w:fill="auto"/>
            <w:noWrap/>
            <w:vAlign w:val="bottom"/>
          </w:tcPr>
          <w:p w14:paraId="5DC4427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1.87</w:t>
            </w:r>
          </w:p>
        </w:tc>
        <w:tc>
          <w:tcPr>
            <w:tcW w:w="1071" w:type="pct"/>
            <w:shd w:val="clear" w:color="auto" w:fill="auto"/>
            <w:noWrap/>
            <w:vAlign w:val="bottom"/>
          </w:tcPr>
          <w:p w14:paraId="68FA6E3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0.118175</w:t>
            </w:r>
          </w:p>
        </w:tc>
        <w:tc>
          <w:tcPr>
            <w:tcW w:w="872" w:type="pct"/>
            <w:shd w:val="clear" w:color="auto" w:fill="auto"/>
            <w:noWrap/>
            <w:vAlign w:val="bottom"/>
          </w:tcPr>
          <w:p w14:paraId="399416F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5.91</w:t>
            </w:r>
          </w:p>
        </w:tc>
      </w:tr>
      <w:tr w14:paraId="3BBA374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DD6255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100</w:t>
            </w:r>
          </w:p>
        </w:tc>
        <w:tc>
          <w:tcPr>
            <w:tcW w:w="1331" w:type="pct"/>
            <w:shd w:val="clear" w:color="auto" w:fill="auto"/>
            <w:noWrap/>
            <w:vAlign w:val="bottom"/>
          </w:tcPr>
          <w:p w14:paraId="4773D5A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0.015018</w:t>
            </w:r>
          </w:p>
        </w:tc>
        <w:tc>
          <w:tcPr>
            <w:tcW w:w="915" w:type="pct"/>
            <w:shd w:val="clear" w:color="auto" w:fill="auto"/>
            <w:noWrap/>
            <w:vAlign w:val="bottom"/>
          </w:tcPr>
          <w:p w14:paraId="65B21CF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1.67</w:t>
            </w:r>
          </w:p>
        </w:tc>
        <w:tc>
          <w:tcPr>
            <w:tcW w:w="1071" w:type="pct"/>
            <w:shd w:val="clear" w:color="auto" w:fill="auto"/>
            <w:noWrap/>
            <w:vAlign w:val="bottom"/>
          </w:tcPr>
          <w:p w14:paraId="51E77EC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0.10527</w:t>
            </w:r>
          </w:p>
        </w:tc>
        <w:tc>
          <w:tcPr>
            <w:tcW w:w="872" w:type="pct"/>
            <w:shd w:val="clear" w:color="auto" w:fill="auto"/>
            <w:noWrap/>
            <w:vAlign w:val="bottom"/>
          </w:tcPr>
          <w:p w14:paraId="7B7B4A6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5.26</w:t>
            </w:r>
          </w:p>
        </w:tc>
      </w:tr>
      <w:tr w14:paraId="3FF7107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62F42B6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125</w:t>
            </w:r>
          </w:p>
        </w:tc>
        <w:tc>
          <w:tcPr>
            <w:tcW w:w="1331" w:type="pct"/>
            <w:shd w:val="clear" w:color="auto" w:fill="auto"/>
            <w:noWrap/>
            <w:vAlign w:val="bottom"/>
          </w:tcPr>
          <w:p w14:paraId="05BD9D1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0.01313</w:t>
            </w:r>
          </w:p>
        </w:tc>
        <w:tc>
          <w:tcPr>
            <w:tcW w:w="915" w:type="pct"/>
            <w:shd w:val="clear" w:color="auto" w:fill="auto"/>
            <w:noWrap/>
            <w:vAlign w:val="bottom"/>
          </w:tcPr>
          <w:p w14:paraId="4E5C728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1.46</w:t>
            </w:r>
          </w:p>
        </w:tc>
        <w:tc>
          <w:tcPr>
            <w:tcW w:w="1071" w:type="pct"/>
            <w:shd w:val="clear" w:color="auto" w:fill="auto"/>
            <w:noWrap/>
            <w:vAlign w:val="bottom"/>
          </w:tcPr>
          <w:p w14:paraId="719E0B9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0.092036</w:t>
            </w:r>
          </w:p>
        </w:tc>
        <w:tc>
          <w:tcPr>
            <w:tcW w:w="872" w:type="pct"/>
            <w:shd w:val="clear" w:color="auto" w:fill="auto"/>
            <w:noWrap/>
            <w:vAlign w:val="bottom"/>
          </w:tcPr>
          <w:p w14:paraId="3D71C3E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4.6</w:t>
            </w:r>
          </w:p>
        </w:tc>
      </w:tr>
      <w:tr w14:paraId="6C80A54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76C41F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150</w:t>
            </w:r>
          </w:p>
        </w:tc>
        <w:tc>
          <w:tcPr>
            <w:tcW w:w="1331" w:type="pct"/>
            <w:shd w:val="clear" w:color="auto" w:fill="auto"/>
            <w:noWrap/>
            <w:vAlign w:val="bottom"/>
          </w:tcPr>
          <w:p w14:paraId="45CBA17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0.011715</w:t>
            </w:r>
          </w:p>
        </w:tc>
        <w:tc>
          <w:tcPr>
            <w:tcW w:w="915" w:type="pct"/>
            <w:shd w:val="clear" w:color="auto" w:fill="auto"/>
            <w:noWrap/>
            <w:vAlign w:val="bottom"/>
          </w:tcPr>
          <w:p w14:paraId="1B2B299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w:t>
            </w:r>
          </w:p>
        </w:tc>
        <w:tc>
          <w:tcPr>
            <w:tcW w:w="1071" w:type="pct"/>
            <w:shd w:val="clear" w:color="auto" w:fill="auto"/>
            <w:noWrap/>
            <w:vAlign w:val="bottom"/>
          </w:tcPr>
          <w:p w14:paraId="0B4B20E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0.082118</w:t>
            </w:r>
          </w:p>
        </w:tc>
        <w:tc>
          <w:tcPr>
            <w:tcW w:w="872" w:type="pct"/>
            <w:shd w:val="clear" w:color="auto" w:fill="auto"/>
            <w:noWrap/>
            <w:vAlign w:val="bottom"/>
          </w:tcPr>
          <w:p w14:paraId="1847792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4.11</w:t>
            </w:r>
          </w:p>
        </w:tc>
      </w:tr>
      <w:tr w14:paraId="0D2854B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DEFBD9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175</w:t>
            </w:r>
          </w:p>
        </w:tc>
        <w:tc>
          <w:tcPr>
            <w:tcW w:w="1331" w:type="pct"/>
            <w:shd w:val="clear" w:color="auto" w:fill="auto"/>
            <w:noWrap/>
            <w:vAlign w:val="bottom"/>
          </w:tcPr>
          <w:p w14:paraId="6E02364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0.011016</w:t>
            </w:r>
          </w:p>
        </w:tc>
        <w:tc>
          <w:tcPr>
            <w:tcW w:w="915" w:type="pct"/>
            <w:shd w:val="clear" w:color="auto" w:fill="auto"/>
            <w:noWrap/>
            <w:vAlign w:val="bottom"/>
          </w:tcPr>
          <w:p w14:paraId="62910AE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1.22</w:t>
            </w:r>
          </w:p>
        </w:tc>
        <w:tc>
          <w:tcPr>
            <w:tcW w:w="1071" w:type="pct"/>
            <w:shd w:val="clear" w:color="auto" w:fill="auto"/>
            <w:noWrap/>
            <w:vAlign w:val="bottom"/>
          </w:tcPr>
          <w:p w14:paraId="1788414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0.077218</w:t>
            </w:r>
          </w:p>
        </w:tc>
        <w:tc>
          <w:tcPr>
            <w:tcW w:w="872" w:type="pct"/>
            <w:shd w:val="clear" w:color="auto" w:fill="auto"/>
            <w:noWrap/>
            <w:vAlign w:val="bottom"/>
          </w:tcPr>
          <w:p w14:paraId="4AD2CA2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3.86</w:t>
            </w:r>
          </w:p>
        </w:tc>
      </w:tr>
      <w:tr w14:paraId="3A23A31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56F1479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200</w:t>
            </w:r>
          </w:p>
        </w:tc>
        <w:tc>
          <w:tcPr>
            <w:tcW w:w="1331" w:type="pct"/>
            <w:shd w:val="clear" w:color="auto" w:fill="auto"/>
            <w:noWrap/>
            <w:vAlign w:val="bottom"/>
          </w:tcPr>
          <w:p w14:paraId="142EDC7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0.010326</w:t>
            </w:r>
          </w:p>
        </w:tc>
        <w:tc>
          <w:tcPr>
            <w:tcW w:w="915" w:type="pct"/>
            <w:shd w:val="clear" w:color="auto" w:fill="auto"/>
            <w:noWrap/>
            <w:vAlign w:val="bottom"/>
          </w:tcPr>
          <w:p w14:paraId="2D821D6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1.15</w:t>
            </w:r>
          </w:p>
        </w:tc>
        <w:tc>
          <w:tcPr>
            <w:tcW w:w="1071" w:type="pct"/>
            <w:shd w:val="clear" w:color="auto" w:fill="auto"/>
            <w:noWrap/>
            <w:vAlign w:val="bottom"/>
          </w:tcPr>
          <w:p w14:paraId="429D4CB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0.072381</w:t>
            </w:r>
          </w:p>
        </w:tc>
        <w:tc>
          <w:tcPr>
            <w:tcW w:w="872" w:type="pct"/>
            <w:shd w:val="clear" w:color="auto" w:fill="auto"/>
            <w:noWrap/>
            <w:vAlign w:val="bottom"/>
          </w:tcPr>
          <w:p w14:paraId="0ADE8F0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3.62</w:t>
            </w:r>
          </w:p>
        </w:tc>
      </w:tr>
      <w:tr w14:paraId="1C98993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6360E7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225</w:t>
            </w:r>
          </w:p>
        </w:tc>
        <w:tc>
          <w:tcPr>
            <w:tcW w:w="1331" w:type="pct"/>
            <w:shd w:val="clear" w:color="auto" w:fill="auto"/>
            <w:noWrap/>
            <w:vAlign w:val="bottom"/>
          </w:tcPr>
          <w:p w14:paraId="63231FB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0.009663</w:t>
            </w:r>
          </w:p>
        </w:tc>
        <w:tc>
          <w:tcPr>
            <w:tcW w:w="915" w:type="pct"/>
            <w:shd w:val="clear" w:color="auto" w:fill="auto"/>
            <w:noWrap/>
            <w:vAlign w:val="bottom"/>
          </w:tcPr>
          <w:p w14:paraId="319CE27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1.07</w:t>
            </w:r>
          </w:p>
        </w:tc>
        <w:tc>
          <w:tcPr>
            <w:tcW w:w="1071" w:type="pct"/>
            <w:shd w:val="clear" w:color="auto" w:fill="auto"/>
            <w:noWrap/>
            <w:vAlign w:val="bottom"/>
          </w:tcPr>
          <w:p w14:paraId="67E0A8C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0.06773</w:t>
            </w:r>
          </w:p>
        </w:tc>
        <w:tc>
          <w:tcPr>
            <w:tcW w:w="872" w:type="pct"/>
            <w:shd w:val="clear" w:color="auto" w:fill="auto"/>
            <w:noWrap/>
            <w:vAlign w:val="bottom"/>
          </w:tcPr>
          <w:p w14:paraId="300A75A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3.39</w:t>
            </w:r>
          </w:p>
        </w:tc>
      </w:tr>
      <w:tr w14:paraId="6DC9249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854CF2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250</w:t>
            </w:r>
          </w:p>
        </w:tc>
        <w:tc>
          <w:tcPr>
            <w:tcW w:w="1331" w:type="pct"/>
            <w:shd w:val="clear" w:color="auto" w:fill="auto"/>
            <w:noWrap/>
            <w:vAlign w:val="bottom"/>
          </w:tcPr>
          <w:p w14:paraId="017ED10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0.009045</w:t>
            </w:r>
          </w:p>
        </w:tc>
        <w:tc>
          <w:tcPr>
            <w:tcW w:w="915" w:type="pct"/>
            <w:shd w:val="clear" w:color="auto" w:fill="auto"/>
            <w:noWrap/>
            <w:vAlign w:val="bottom"/>
          </w:tcPr>
          <w:p w14:paraId="1C971C3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1.01</w:t>
            </w:r>
          </w:p>
        </w:tc>
        <w:tc>
          <w:tcPr>
            <w:tcW w:w="1071" w:type="pct"/>
            <w:shd w:val="clear" w:color="auto" w:fill="auto"/>
            <w:noWrap/>
            <w:vAlign w:val="bottom"/>
          </w:tcPr>
          <w:p w14:paraId="5654884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0.063405</w:t>
            </w:r>
          </w:p>
        </w:tc>
        <w:tc>
          <w:tcPr>
            <w:tcW w:w="872" w:type="pct"/>
            <w:shd w:val="clear" w:color="auto" w:fill="auto"/>
            <w:noWrap/>
            <w:vAlign w:val="bottom"/>
          </w:tcPr>
          <w:p w14:paraId="1B53201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3.17</w:t>
            </w:r>
          </w:p>
        </w:tc>
      </w:tr>
      <w:tr w14:paraId="6FEFCF1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6C5A00F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265</w:t>
            </w:r>
          </w:p>
        </w:tc>
        <w:tc>
          <w:tcPr>
            <w:tcW w:w="1331" w:type="pct"/>
            <w:shd w:val="clear" w:color="auto" w:fill="auto"/>
            <w:noWrap/>
            <w:vAlign w:val="bottom"/>
          </w:tcPr>
          <w:p w14:paraId="110E636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0.008651</w:t>
            </w:r>
          </w:p>
        </w:tc>
        <w:tc>
          <w:tcPr>
            <w:tcW w:w="915" w:type="pct"/>
            <w:shd w:val="clear" w:color="auto" w:fill="auto"/>
            <w:noWrap/>
            <w:vAlign w:val="bottom"/>
          </w:tcPr>
          <w:p w14:paraId="3B8F3F4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0.96</w:t>
            </w:r>
          </w:p>
        </w:tc>
        <w:tc>
          <w:tcPr>
            <w:tcW w:w="1071" w:type="pct"/>
            <w:shd w:val="clear" w:color="auto" w:fill="auto"/>
            <w:noWrap/>
            <w:vAlign w:val="bottom"/>
          </w:tcPr>
          <w:p w14:paraId="2A34942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0.060642</w:t>
            </w:r>
          </w:p>
        </w:tc>
        <w:tc>
          <w:tcPr>
            <w:tcW w:w="872" w:type="pct"/>
            <w:shd w:val="clear" w:color="auto" w:fill="auto"/>
            <w:noWrap/>
            <w:vAlign w:val="bottom"/>
          </w:tcPr>
          <w:p w14:paraId="38CB80F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3.03</w:t>
            </w:r>
          </w:p>
        </w:tc>
      </w:tr>
      <w:tr w14:paraId="0803416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531C7C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275</w:t>
            </w:r>
          </w:p>
        </w:tc>
        <w:tc>
          <w:tcPr>
            <w:tcW w:w="1331" w:type="pct"/>
            <w:shd w:val="clear" w:color="auto" w:fill="auto"/>
            <w:noWrap/>
            <w:vAlign w:val="bottom"/>
          </w:tcPr>
          <w:p w14:paraId="164630C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0.008473</w:t>
            </w:r>
          </w:p>
        </w:tc>
        <w:tc>
          <w:tcPr>
            <w:tcW w:w="915" w:type="pct"/>
            <w:shd w:val="clear" w:color="auto" w:fill="auto"/>
            <w:noWrap/>
            <w:vAlign w:val="bottom"/>
          </w:tcPr>
          <w:p w14:paraId="61DCA31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0.94</w:t>
            </w:r>
          </w:p>
        </w:tc>
        <w:tc>
          <w:tcPr>
            <w:tcW w:w="1071" w:type="pct"/>
            <w:shd w:val="clear" w:color="auto" w:fill="auto"/>
            <w:noWrap/>
            <w:vAlign w:val="bottom"/>
          </w:tcPr>
          <w:p w14:paraId="27F0A81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0.059395</w:t>
            </w:r>
          </w:p>
        </w:tc>
        <w:tc>
          <w:tcPr>
            <w:tcW w:w="872" w:type="pct"/>
            <w:shd w:val="clear" w:color="auto" w:fill="auto"/>
            <w:noWrap/>
            <w:vAlign w:val="bottom"/>
          </w:tcPr>
          <w:p w14:paraId="10F735D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2.97</w:t>
            </w:r>
          </w:p>
        </w:tc>
      </w:tr>
      <w:tr w14:paraId="33B6BCF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FA5731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300</w:t>
            </w:r>
          </w:p>
        </w:tc>
        <w:tc>
          <w:tcPr>
            <w:tcW w:w="1331" w:type="pct"/>
            <w:shd w:val="clear" w:color="auto" w:fill="auto"/>
            <w:noWrap/>
            <w:vAlign w:val="bottom"/>
          </w:tcPr>
          <w:p w14:paraId="083D8C3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0.007946</w:t>
            </w:r>
          </w:p>
        </w:tc>
        <w:tc>
          <w:tcPr>
            <w:tcW w:w="915" w:type="pct"/>
            <w:shd w:val="clear" w:color="auto" w:fill="auto"/>
            <w:noWrap/>
            <w:vAlign w:val="bottom"/>
          </w:tcPr>
          <w:p w14:paraId="2C388C8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0.88</w:t>
            </w:r>
          </w:p>
        </w:tc>
        <w:tc>
          <w:tcPr>
            <w:tcW w:w="1071" w:type="pct"/>
            <w:shd w:val="clear" w:color="auto" w:fill="auto"/>
            <w:noWrap/>
            <w:vAlign w:val="bottom"/>
          </w:tcPr>
          <w:p w14:paraId="6E23EB6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0.055695</w:t>
            </w:r>
          </w:p>
        </w:tc>
        <w:tc>
          <w:tcPr>
            <w:tcW w:w="872" w:type="pct"/>
            <w:shd w:val="clear" w:color="auto" w:fill="auto"/>
            <w:noWrap/>
            <w:vAlign w:val="bottom"/>
          </w:tcPr>
          <w:p w14:paraId="0E42F20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2.78</w:t>
            </w:r>
          </w:p>
        </w:tc>
      </w:tr>
      <w:tr w14:paraId="63638C1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69F460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325</w:t>
            </w:r>
          </w:p>
        </w:tc>
        <w:tc>
          <w:tcPr>
            <w:tcW w:w="1331" w:type="pct"/>
            <w:shd w:val="clear" w:color="auto" w:fill="auto"/>
            <w:noWrap/>
            <w:vAlign w:val="bottom"/>
          </w:tcPr>
          <w:p w14:paraId="61EAB93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0.007464</w:t>
            </w:r>
          </w:p>
        </w:tc>
        <w:tc>
          <w:tcPr>
            <w:tcW w:w="915" w:type="pct"/>
            <w:shd w:val="clear" w:color="auto" w:fill="auto"/>
            <w:noWrap/>
            <w:vAlign w:val="bottom"/>
          </w:tcPr>
          <w:p w14:paraId="131CFC8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0.83</w:t>
            </w:r>
          </w:p>
        </w:tc>
        <w:tc>
          <w:tcPr>
            <w:tcW w:w="1071" w:type="pct"/>
            <w:shd w:val="clear" w:color="auto" w:fill="auto"/>
            <w:noWrap/>
            <w:vAlign w:val="bottom"/>
          </w:tcPr>
          <w:p w14:paraId="20C7E3A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0.052318</w:t>
            </w:r>
          </w:p>
        </w:tc>
        <w:tc>
          <w:tcPr>
            <w:tcW w:w="872" w:type="pct"/>
            <w:shd w:val="clear" w:color="auto" w:fill="auto"/>
            <w:noWrap/>
            <w:vAlign w:val="bottom"/>
          </w:tcPr>
          <w:p w14:paraId="4016CBE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2.62</w:t>
            </w:r>
          </w:p>
        </w:tc>
      </w:tr>
      <w:tr w14:paraId="2C477E8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FA0DE4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350</w:t>
            </w:r>
          </w:p>
        </w:tc>
        <w:tc>
          <w:tcPr>
            <w:tcW w:w="1331" w:type="pct"/>
            <w:shd w:val="clear" w:color="auto" w:fill="auto"/>
            <w:noWrap/>
            <w:vAlign w:val="bottom"/>
          </w:tcPr>
          <w:p w14:paraId="41194B7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0.00702</w:t>
            </w:r>
          </w:p>
        </w:tc>
        <w:tc>
          <w:tcPr>
            <w:tcW w:w="915" w:type="pct"/>
            <w:shd w:val="clear" w:color="auto" w:fill="auto"/>
            <w:noWrap/>
            <w:vAlign w:val="bottom"/>
          </w:tcPr>
          <w:p w14:paraId="32B6E5C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0.78</w:t>
            </w:r>
          </w:p>
        </w:tc>
        <w:tc>
          <w:tcPr>
            <w:tcW w:w="1071" w:type="pct"/>
            <w:shd w:val="clear" w:color="auto" w:fill="auto"/>
            <w:noWrap/>
            <w:vAlign w:val="bottom"/>
          </w:tcPr>
          <w:p w14:paraId="3772EFF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0.049206</w:t>
            </w:r>
          </w:p>
        </w:tc>
        <w:tc>
          <w:tcPr>
            <w:tcW w:w="872" w:type="pct"/>
            <w:shd w:val="clear" w:color="auto" w:fill="auto"/>
            <w:noWrap/>
            <w:vAlign w:val="bottom"/>
          </w:tcPr>
          <w:p w14:paraId="7160869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2.46</w:t>
            </w:r>
          </w:p>
        </w:tc>
      </w:tr>
      <w:tr w14:paraId="7CF1F9D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EEDF12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375</w:t>
            </w:r>
          </w:p>
        </w:tc>
        <w:tc>
          <w:tcPr>
            <w:tcW w:w="1331" w:type="pct"/>
            <w:shd w:val="clear" w:color="auto" w:fill="auto"/>
            <w:noWrap/>
            <w:vAlign w:val="bottom"/>
          </w:tcPr>
          <w:p w14:paraId="3AC9EEB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0.006616</w:t>
            </w:r>
          </w:p>
        </w:tc>
        <w:tc>
          <w:tcPr>
            <w:tcW w:w="915" w:type="pct"/>
            <w:shd w:val="clear" w:color="auto" w:fill="auto"/>
            <w:noWrap/>
            <w:vAlign w:val="bottom"/>
          </w:tcPr>
          <w:p w14:paraId="3B77D08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0.74</w:t>
            </w:r>
          </w:p>
        </w:tc>
        <w:tc>
          <w:tcPr>
            <w:tcW w:w="1071" w:type="pct"/>
            <w:shd w:val="clear" w:color="auto" w:fill="auto"/>
            <w:noWrap/>
            <w:vAlign w:val="bottom"/>
          </w:tcPr>
          <w:p w14:paraId="690699C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0.046378</w:t>
            </w:r>
          </w:p>
        </w:tc>
        <w:tc>
          <w:tcPr>
            <w:tcW w:w="872" w:type="pct"/>
            <w:shd w:val="clear" w:color="auto" w:fill="auto"/>
            <w:noWrap/>
            <w:vAlign w:val="bottom"/>
          </w:tcPr>
          <w:p w14:paraId="7DB994B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2.32</w:t>
            </w:r>
          </w:p>
        </w:tc>
      </w:tr>
      <w:tr w14:paraId="1A8A59D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AA35DA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400</w:t>
            </w:r>
          </w:p>
        </w:tc>
        <w:tc>
          <w:tcPr>
            <w:tcW w:w="1331" w:type="pct"/>
            <w:shd w:val="clear" w:color="auto" w:fill="auto"/>
            <w:noWrap/>
            <w:vAlign w:val="bottom"/>
          </w:tcPr>
          <w:p w14:paraId="5DA9BB1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0.006249</w:t>
            </w:r>
          </w:p>
        </w:tc>
        <w:tc>
          <w:tcPr>
            <w:tcW w:w="915" w:type="pct"/>
            <w:shd w:val="clear" w:color="auto" w:fill="auto"/>
            <w:noWrap/>
            <w:vAlign w:val="bottom"/>
          </w:tcPr>
          <w:p w14:paraId="2B6AF47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0.69</w:t>
            </w:r>
          </w:p>
        </w:tc>
        <w:tc>
          <w:tcPr>
            <w:tcW w:w="1071" w:type="pct"/>
            <w:shd w:val="clear" w:color="auto" w:fill="auto"/>
            <w:noWrap/>
            <w:vAlign w:val="bottom"/>
          </w:tcPr>
          <w:p w14:paraId="41FD34B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0.043804</w:t>
            </w:r>
          </w:p>
        </w:tc>
        <w:tc>
          <w:tcPr>
            <w:tcW w:w="872" w:type="pct"/>
            <w:shd w:val="clear" w:color="auto" w:fill="auto"/>
            <w:noWrap/>
            <w:vAlign w:val="bottom"/>
          </w:tcPr>
          <w:p w14:paraId="0A4C820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2.19</w:t>
            </w:r>
          </w:p>
        </w:tc>
      </w:tr>
      <w:tr w14:paraId="507857D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0F4BEA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425</w:t>
            </w:r>
          </w:p>
        </w:tc>
        <w:tc>
          <w:tcPr>
            <w:tcW w:w="1331" w:type="pct"/>
            <w:shd w:val="clear" w:color="auto" w:fill="auto"/>
            <w:noWrap/>
            <w:vAlign w:val="bottom"/>
          </w:tcPr>
          <w:p w14:paraId="15AF561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0.005914</w:t>
            </w:r>
          </w:p>
        </w:tc>
        <w:tc>
          <w:tcPr>
            <w:tcW w:w="915" w:type="pct"/>
            <w:shd w:val="clear" w:color="auto" w:fill="auto"/>
            <w:noWrap/>
            <w:vAlign w:val="bottom"/>
          </w:tcPr>
          <w:p w14:paraId="4967DC4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0.66</w:t>
            </w:r>
          </w:p>
        </w:tc>
        <w:tc>
          <w:tcPr>
            <w:tcW w:w="1071" w:type="pct"/>
            <w:shd w:val="clear" w:color="auto" w:fill="auto"/>
            <w:noWrap/>
            <w:vAlign w:val="bottom"/>
          </w:tcPr>
          <w:p w14:paraId="55DF200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0.041453</w:t>
            </w:r>
          </w:p>
        </w:tc>
        <w:tc>
          <w:tcPr>
            <w:tcW w:w="872" w:type="pct"/>
            <w:shd w:val="clear" w:color="auto" w:fill="auto"/>
            <w:noWrap/>
            <w:vAlign w:val="bottom"/>
          </w:tcPr>
          <w:p w14:paraId="45BAA36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2.07</w:t>
            </w:r>
          </w:p>
        </w:tc>
      </w:tr>
      <w:tr w14:paraId="6095A1C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FE7519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450</w:t>
            </w:r>
          </w:p>
        </w:tc>
        <w:tc>
          <w:tcPr>
            <w:tcW w:w="1331" w:type="pct"/>
            <w:shd w:val="clear" w:color="auto" w:fill="auto"/>
            <w:noWrap/>
            <w:vAlign w:val="bottom"/>
          </w:tcPr>
          <w:p w14:paraId="761E0A8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0.005605</w:t>
            </w:r>
          </w:p>
        </w:tc>
        <w:tc>
          <w:tcPr>
            <w:tcW w:w="915" w:type="pct"/>
            <w:shd w:val="clear" w:color="auto" w:fill="auto"/>
            <w:noWrap/>
            <w:vAlign w:val="bottom"/>
          </w:tcPr>
          <w:p w14:paraId="25459D2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0.62</w:t>
            </w:r>
          </w:p>
        </w:tc>
        <w:tc>
          <w:tcPr>
            <w:tcW w:w="1071" w:type="pct"/>
            <w:shd w:val="clear" w:color="auto" w:fill="auto"/>
            <w:noWrap/>
            <w:vAlign w:val="bottom"/>
          </w:tcPr>
          <w:p w14:paraId="256934E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0.039287</w:t>
            </w:r>
          </w:p>
        </w:tc>
        <w:tc>
          <w:tcPr>
            <w:tcW w:w="872" w:type="pct"/>
            <w:shd w:val="clear" w:color="auto" w:fill="auto"/>
            <w:noWrap/>
            <w:vAlign w:val="bottom"/>
          </w:tcPr>
          <w:p w14:paraId="1309DE3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1.96</w:t>
            </w:r>
          </w:p>
        </w:tc>
      </w:tr>
      <w:tr w14:paraId="3E8F076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B742F6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475</w:t>
            </w:r>
          </w:p>
        </w:tc>
        <w:tc>
          <w:tcPr>
            <w:tcW w:w="1331" w:type="pct"/>
            <w:shd w:val="clear" w:color="auto" w:fill="auto"/>
            <w:noWrap/>
            <w:vAlign w:val="bottom"/>
          </w:tcPr>
          <w:p w14:paraId="3CFB706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0.005321</w:t>
            </w:r>
          </w:p>
        </w:tc>
        <w:tc>
          <w:tcPr>
            <w:tcW w:w="915" w:type="pct"/>
            <w:shd w:val="clear" w:color="auto" w:fill="auto"/>
            <w:noWrap/>
            <w:vAlign w:val="bottom"/>
          </w:tcPr>
          <w:p w14:paraId="2B9061B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0.59</w:t>
            </w:r>
          </w:p>
        </w:tc>
        <w:tc>
          <w:tcPr>
            <w:tcW w:w="1071" w:type="pct"/>
            <w:shd w:val="clear" w:color="auto" w:fill="auto"/>
            <w:noWrap/>
            <w:vAlign w:val="bottom"/>
          </w:tcPr>
          <w:p w14:paraId="2EE8D9D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0.037297</w:t>
            </w:r>
          </w:p>
        </w:tc>
        <w:tc>
          <w:tcPr>
            <w:tcW w:w="872" w:type="pct"/>
            <w:shd w:val="clear" w:color="auto" w:fill="auto"/>
            <w:noWrap/>
            <w:vAlign w:val="bottom"/>
          </w:tcPr>
          <w:p w14:paraId="23465B0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1.86</w:t>
            </w:r>
          </w:p>
        </w:tc>
      </w:tr>
      <w:tr w14:paraId="5B33914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C4558D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500</w:t>
            </w:r>
          </w:p>
        </w:tc>
        <w:tc>
          <w:tcPr>
            <w:tcW w:w="1331" w:type="pct"/>
            <w:shd w:val="clear" w:color="auto" w:fill="auto"/>
            <w:noWrap/>
            <w:vAlign w:val="bottom"/>
          </w:tcPr>
          <w:p w14:paraId="06FF373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0.005058</w:t>
            </w:r>
          </w:p>
        </w:tc>
        <w:tc>
          <w:tcPr>
            <w:tcW w:w="915" w:type="pct"/>
            <w:shd w:val="clear" w:color="auto" w:fill="auto"/>
            <w:noWrap/>
            <w:vAlign w:val="bottom"/>
          </w:tcPr>
          <w:p w14:paraId="1F69C67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0.56</w:t>
            </w:r>
          </w:p>
        </w:tc>
        <w:tc>
          <w:tcPr>
            <w:tcW w:w="1071" w:type="pct"/>
            <w:shd w:val="clear" w:color="auto" w:fill="auto"/>
            <w:noWrap/>
            <w:vAlign w:val="bottom"/>
          </w:tcPr>
          <w:p w14:paraId="765D410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0.035456</w:t>
            </w:r>
          </w:p>
        </w:tc>
        <w:tc>
          <w:tcPr>
            <w:tcW w:w="872" w:type="pct"/>
            <w:shd w:val="clear" w:color="auto" w:fill="auto"/>
            <w:noWrap/>
            <w:vAlign w:val="bottom"/>
          </w:tcPr>
          <w:p w14:paraId="411FA44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1.77</w:t>
            </w:r>
          </w:p>
        </w:tc>
      </w:tr>
      <w:tr w14:paraId="7E66D8A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F69C73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525</w:t>
            </w:r>
          </w:p>
        </w:tc>
        <w:tc>
          <w:tcPr>
            <w:tcW w:w="1331" w:type="pct"/>
            <w:shd w:val="clear" w:color="auto" w:fill="auto"/>
            <w:noWrap/>
            <w:vAlign w:val="bottom"/>
          </w:tcPr>
          <w:p w14:paraId="5EC3747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0.004817</w:t>
            </w:r>
          </w:p>
        </w:tc>
        <w:tc>
          <w:tcPr>
            <w:tcW w:w="915" w:type="pct"/>
            <w:shd w:val="clear" w:color="auto" w:fill="auto"/>
            <w:noWrap/>
            <w:vAlign w:val="bottom"/>
          </w:tcPr>
          <w:p w14:paraId="1CF8490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0.54</w:t>
            </w:r>
          </w:p>
        </w:tc>
        <w:tc>
          <w:tcPr>
            <w:tcW w:w="1071" w:type="pct"/>
            <w:shd w:val="clear" w:color="auto" w:fill="auto"/>
            <w:noWrap/>
            <w:vAlign w:val="bottom"/>
          </w:tcPr>
          <w:p w14:paraId="28CAADF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0.033762</w:t>
            </w:r>
          </w:p>
        </w:tc>
        <w:tc>
          <w:tcPr>
            <w:tcW w:w="872" w:type="pct"/>
            <w:shd w:val="clear" w:color="auto" w:fill="auto"/>
            <w:noWrap/>
            <w:vAlign w:val="bottom"/>
          </w:tcPr>
          <w:p w14:paraId="5927F04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1.69</w:t>
            </w:r>
          </w:p>
        </w:tc>
      </w:tr>
      <w:tr w14:paraId="45E59D9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EF7CD7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550</w:t>
            </w:r>
          </w:p>
        </w:tc>
        <w:tc>
          <w:tcPr>
            <w:tcW w:w="1331" w:type="pct"/>
            <w:shd w:val="clear" w:color="auto" w:fill="auto"/>
            <w:noWrap/>
            <w:vAlign w:val="bottom"/>
          </w:tcPr>
          <w:p w14:paraId="00BF5A6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0.004594</w:t>
            </w:r>
          </w:p>
        </w:tc>
        <w:tc>
          <w:tcPr>
            <w:tcW w:w="915" w:type="pct"/>
            <w:shd w:val="clear" w:color="auto" w:fill="auto"/>
            <w:noWrap/>
            <w:vAlign w:val="bottom"/>
          </w:tcPr>
          <w:p w14:paraId="2C35D45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0.51</w:t>
            </w:r>
          </w:p>
        </w:tc>
        <w:tc>
          <w:tcPr>
            <w:tcW w:w="1071" w:type="pct"/>
            <w:shd w:val="clear" w:color="auto" w:fill="auto"/>
            <w:noWrap/>
            <w:vAlign w:val="bottom"/>
          </w:tcPr>
          <w:p w14:paraId="6F707AD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0.032201</w:t>
            </w:r>
          </w:p>
        </w:tc>
        <w:tc>
          <w:tcPr>
            <w:tcW w:w="872" w:type="pct"/>
            <w:shd w:val="clear" w:color="auto" w:fill="auto"/>
            <w:noWrap/>
            <w:vAlign w:val="bottom"/>
          </w:tcPr>
          <w:p w14:paraId="3E97C12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1.61</w:t>
            </w:r>
          </w:p>
        </w:tc>
      </w:tr>
      <w:tr w14:paraId="5676D7E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57A33C2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575</w:t>
            </w:r>
          </w:p>
        </w:tc>
        <w:tc>
          <w:tcPr>
            <w:tcW w:w="1331" w:type="pct"/>
            <w:shd w:val="clear" w:color="auto" w:fill="auto"/>
            <w:noWrap/>
            <w:vAlign w:val="bottom"/>
          </w:tcPr>
          <w:p w14:paraId="49B268A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0.004388</w:t>
            </w:r>
          </w:p>
        </w:tc>
        <w:tc>
          <w:tcPr>
            <w:tcW w:w="915" w:type="pct"/>
            <w:shd w:val="clear" w:color="auto" w:fill="auto"/>
            <w:noWrap/>
            <w:vAlign w:val="bottom"/>
          </w:tcPr>
          <w:p w14:paraId="14BBED9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0.49</w:t>
            </w:r>
          </w:p>
        </w:tc>
        <w:tc>
          <w:tcPr>
            <w:tcW w:w="1071" w:type="pct"/>
            <w:shd w:val="clear" w:color="auto" w:fill="auto"/>
            <w:noWrap/>
            <w:vAlign w:val="bottom"/>
          </w:tcPr>
          <w:p w14:paraId="54A02EB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0.030757</w:t>
            </w:r>
          </w:p>
        </w:tc>
        <w:tc>
          <w:tcPr>
            <w:tcW w:w="872" w:type="pct"/>
            <w:shd w:val="clear" w:color="auto" w:fill="auto"/>
            <w:noWrap/>
            <w:vAlign w:val="bottom"/>
          </w:tcPr>
          <w:p w14:paraId="5A62E6A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1.54</w:t>
            </w:r>
          </w:p>
        </w:tc>
      </w:tr>
      <w:tr w14:paraId="3D1D3C3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8C989A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600</w:t>
            </w:r>
          </w:p>
        </w:tc>
        <w:tc>
          <w:tcPr>
            <w:tcW w:w="1331" w:type="pct"/>
            <w:shd w:val="clear" w:color="auto" w:fill="auto"/>
            <w:noWrap/>
            <w:vAlign w:val="bottom"/>
          </w:tcPr>
          <w:p w14:paraId="117DFDB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0.004197</w:t>
            </w:r>
          </w:p>
        </w:tc>
        <w:tc>
          <w:tcPr>
            <w:tcW w:w="915" w:type="pct"/>
            <w:shd w:val="clear" w:color="auto" w:fill="auto"/>
            <w:noWrap/>
            <w:vAlign w:val="bottom"/>
          </w:tcPr>
          <w:p w14:paraId="0D21AA7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0.47</w:t>
            </w:r>
          </w:p>
        </w:tc>
        <w:tc>
          <w:tcPr>
            <w:tcW w:w="1071" w:type="pct"/>
            <w:shd w:val="clear" w:color="auto" w:fill="auto"/>
            <w:noWrap/>
            <w:vAlign w:val="bottom"/>
          </w:tcPr>
          <w:p w14:paraId="6BE3AC8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0.029419</w:t>
            </w:r>
          </w:p>
        </w:tc>
        <w:tc>
          <w:tcPr>
            <w:tcW w:w="872" w:type="pct"/>
            <w:shd w:val="clear" w:color="auto" w:fill="auto"/>
            <w:noWrap/>
            <w:vAlign w:val="bottom"/>
          </w:tcPr>
          <w:p w14:paraId="2834B24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1.47</w:t>
            </w:r>
          </w:p>
        </w:tc>
      </w:tr>
      <w:tr w14:paraId="3A2FC50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A2FFFB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625</w:t>
            </w:r>
          </w:p>
        </w:tc>
        <w:tc>
          <w:tcPr>
            <w:tcW w:w="1331" w:type="pct"/>
            <w:shd w:val="clear" w:color="auto" w:fill="auto"/>
            <w:noWrap/>
            <w:vAlign w:val="bottom"/>
          </w:tcPr>
          <w:p w14:paraId="5C1590E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0.004118</w:t>
            </w:r>
          </w:p>
        </w:tc>
        <w:tc>
          <w:tcPr>
            <w:tcW w:w="915" w:type="pct"/>
            <w:shd w:val="clear" w:color="auto" w:fill="auto"/>
            <w:noWrap/>
            <w:vAlign w:val="bottom"/>
          </w:tcPr>
          <w:p w14:paraId="7FA8145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0.46</w:t>
            </w:r>
          </w:p>
        </w:tc>
        <w:tc>
          <w:tcPr>
            <w:tcW w:w="1071" w:type="pct"/>
            <w:shd w:val="clear" w:color="auto" w:fill="auto"/>
            <w:noWrap/>
            <w:vAlign w:val="bottom"/>
          </w:tcPr>
          <w:p w14:paraId="76E442D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0.028866</w:t>
            </w:r>
          </w:p>
        </w:tc>
        <w:tc>
          <w:tcPr>
            <w:tcW w:w="872" w:type="pct"/>
            <w:shd w:val="clear" w:color="auto" w:fill="auto"/>
            <w:noWrap/>
            <w:vAlign w:val="bottom"/>
          </w:tcPr>
          <w:p w14:paraId="7AE8643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1.44</w:t>
            </w:r>
          </w:p>
        </w:tc>
      </w:tr>
      <w:tr w14:paraId="0A347D2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8AFB6E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650</w:t>
            </w:r>
          </w:p>
        </w:tc>
        <w:tc>
          <w:tcPr>
            <w:tcW w:w="1331" w:type="pct"/>
            <w:shd w:val="clear" w:color="auto" w:fill="auto"/>
            <w:noWrap/>
            <w:vAlign w:val="bottom"/>
          </w:tcPr>
          <w:p w14:paraId="3C7F35F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0.004064</w:t>
            </w:r>
          </w:p>
        </w:tc>
        <w:tc>
          <w:tcPr>
            <w:tcW w:w="915" w:type="pct"/>
            <w:shd w:val="clear" w:color="auto" w:fill="auto"/>
            <w:noWrap/>
            <w:vAlign w:val="bottom"/>
          </w:tcPr>
          <w:p w14:paraId="5D33A6B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0.45</w:t>
            </w:r>
          </w:p>
        </w:tc>
        <w:tc>
          <w:tcPr>
            <w:tcW w:w="1071" w:type="pct"/>
            <w:shd w:val="clear" w:color="auto" w:fill="auto"/>
            <w:noWrap/>
            <w:vAlign w:val="bottom"/>
          </w:tcPr>
          <w:p w14:paraId="430117F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0.028485</w:t>
            </w:r>
          </w:p>
        </w:tc>
        <w:tc>
          <w:tcPr>
            <w:tcW w:w="872" w:type="pct"/>
            <w:shd w:val="clear" w:color="auto" w:fill="auto"/>
            <w:noWrap/>
            <w:vAlign w:val="bottom"/>
          </w:tcPr>
          <w:p w14:paraId="1953ECB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1.42</w:t>
            </w:r>
          </w:p>
        </w:tc>
      </w:tr>
      <w:tr w14:paraId="2B26EA9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2B52E5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675</w:t>
            </w:r>
          </w:p>
        </w:tc>
        <w:tc>
          <w:tcPr>
            <w:tcW w:w="1331" w:type="pct"/>
            <w:shd w:val="clear" w:color="auto" w:fill="auto"/>
            <w:noWrap/>
            <w:vAlign w:val="bottom"/>
          </w:tcPr>
          <w:p w14:paraId="6AEEA8F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0.004011</w:t>
            </w:r>
          </w:p>
        </w:tc>
        <w:tc>
          <w:tcPr>
            <w:tcW w:w="915" w:type="pct"/>
            <w:shd w:val="clear" w:color="auto" w:fill="auto"/>
            <w:noWrap/>
            <w:vAlign w:val="bottom"/>
          </w:tcPr>
          <w:p w14:paraId="05A7530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0.45</w:t>
            </w:r>
          </w:p>
        </w:tc>
        <w:tc>
          <w:tcPr>
            <w:tcW w:w="1071" w:type="pct"/>
            <w:shd w:val="clear" w:color="auto" w:fill="auto"/>
            <w:noWrap/>
            <w:vAlign w:val="bottom"/>
          </w:tcPr>
          <w:p w14:paraId="3FF41A8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0.028118</w:t>
            </w:r>
          </w:p>
        </w:tc>
        <w:tc>
          <w:tcPr>
            <w:tcW w:w="872" w:type="pct"/>
            <w:shd w:val="clear" w:color="auto" w:fill="auto"/>
            <w:noWrap/>
            <w:vAlign w:val="bottom"/>
          </w:tcPr>
          <w:p w14:paraId="6EC4833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1.41</w:t>
            </w:r>
          </w:p>
        </w:tc>
      </w:tr>
      <w:tr w14:paraId="5B87339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87490B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700</w:t>
            </w:r>
          </w:p>
        </w:tc>
        <w:tc>
          <w:tcPr>
            <w:tcW w:w="1331" w:type="pct"/>
            <w:shd w:val="clear" w:color="auto" w:fill="auto"/>
            <w:noWrap/>
            <w:vAlign w:val="bottom"/>
          </w:tcPr>
          <w:p w14:paraId="56E2505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0.003959</w:t>
            </w:r>
          </w:p>
        </w:tc>
        <w:tc>
          <w:tcPr>
            <w:tcW w:w="915" w:type="pct"/>
            <w:shd w:val="clear" w:color="auto" w:fill="auto"/>
            <w:noWrap/>
            <w:vAlign w:val="bottom"/>
          </w:tcPr>
          <w:p w14:paraId="4D5EAF4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0.44</w:t>
            </w:r>
          </w:p>
        </w:tc>
        <w:tc>
          <w:tcPr>
            <w:tcW w:w="1071" w:type="pct"/>
            <w:shd w:val="clear" w:color="auto" w:fill="auto"/>
            <w:noWrap/>
            <w:vAlign w:val="bottom"/>
          </w:tcPr>
          <w:p w14:paraId="6393933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0.027754</w:t>
            </w:r>
          </w:p>
        </w:tc>
        <w:tc>
          <w:tcPr>
            <w:tcW w:w="872" w:type="pct"/>
            <w:shd w:val="clear" w:color="auto" w:fill="auto"/>
            <w:noWrap/>
            <w:vAlign w:val="bottom"/>
          </w:tcPr>
          <w:p w14:paraId="5BEAA20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1.39</w:t>
            </w:r>
          </w:p>
        </w:tc>
      </w:tr>
      <w:tr w14:paraId="2FBFDEF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A2E484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725</w:t>
            </w:r>
          </w:p>
        </w:tc>
        <w:tc>
          <w:tcPr>
            <w:tcW w:w="1331" w:type="pct"/>
            <w:shd w:val="clear" w:color="auto" w:fill="auto"/>
            <w:noWrap/>
            <w:vAlign w:val="bottom"/>
          </w:tcPr>
          <w:p w14:paraId="5E24EE0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0.003909</w:t>
            </w:r>
          </w:p>
        </w:tc>
        <w:tc>
          <w:tcPr>
            <w:tcW w:w="915" w:type="pct"/>
            <w:shd w:val="clear" w:color="auto" w:fill="auto"/>
            <w:noWrap/>
            <w:vAlign w:val="bottom"/>
          </w:tcPr>
          <w:p w14:paraId="497728C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0.43</w:t>
            </w:r>
          </w:p>
        </w:tc>
        <w:tc>
          <w:tcPr>
            <w:tcW w:w="1071" w:type="pct"/>
            <w:shd w:val="clear" w:color="auto" w:fill="auto"/>
            <w:noWrap/>
            <w:vAlign w:val="bottom"/>
          </w:tcPr>
          <w:p w14:paraId="3570ECF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0.027401</w:t>
            </w:r>
          </w:p>
        </w:tc>
        <w:tc>
          <w:tcPr>
            <w:tcW w:w="872" w:type="pct"/>
            <w:shd w:val="clear" w:color="auto" w:fill="auto"/>
            <w:noWrap/>
            <w:vAlign w:val="bottom"/>
          </w:tcPr>
          <w:p w14:paraId="4E6E500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1.37</w:t>
            </w:r>
          </w:p>
        </w:tc>
      </w:tr>
      <w:tr w14:paraId="7E3327A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BED291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750</w:t>
            </w:r>
          </w:p>
        </w:tc>
        <w:tc>
          <w:tcPr>
            <w:tcW w:w="1331" w:type="pct"/>
            <w:shd w:val="clear" w:color="auto" w:fill="auto"/>
            <w:noWrap/>
            <w:vAlign w:val="bottom"/>
          </w:tcPr>
          <w:p w14:paraId="5665F88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0.00386</w:t>
            </w:r>
          </w:p>
        </w:tc>
        <w:tc>
          <w:tcPr>
            <w:tcW w:w="915" w:type="pct"/>
            <w:shd w:val="clear" w:color="auto" w:fill="auto"/>
            <w:noWrap/>
            <w:vAlign w:val="bottom"/>
          </w:tcPr>
          <w:p w14:paraId="63A28ED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0.43</w:t>
            </w:r>
          </w:p>
        </w:tc>
        <w:tc>
          <w:tcPr>
            <w:tcW w:w="1071" w:type="pct"/>
            <w:shd w:val="clear" w:color="auto" w:fill="auto"/>
            <w:noWrap/>
            <w:vAlign w:val="bottom"/>
          </w:tcPr>
          <w:p w14:paraId="423B522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0.027057</w:t>
            </w:r>
          </w:p>
        </w:tc>
        <w:tc>
          <w:tcPr>
            <w:tcW w:w="872" w:type="pct"/>
            <w:shd w:val="clear" w:color="auto" w:fill="auto"/>
            <w:noWrap/>
            <w:vAlign w:val="bottom"/>
          </w:tcPr>
          <w:p w14:paraId="2B27D07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1.35</w:t>
            </w:r>
          </w:p>
        </w:tc>
      </w:tr>
      <w:tr w14:paraId="09CBC75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3EF34D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775</w:t>
            </w:r>
          </w:p>
        </w:tc>
        <w:tc>
          <w:tcPr>
            <w:tcW w:w="1331" w:type="pct"/>
            <w:shd w:val="clear" w:color="auto" w:fill="auto"/>
            <w:noWrap/>
            <w:vAlign w:val="bottom"/>
          </w:tcPr>
          <w:p w14:paraId="2AE06EE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0.003812</w:t>
            </w:r>
          </w:p>
        </w:tc>
        <w:tc>
          <w:tcPr>
            <w:tcW w:w="915" w:type="pct"/>
            <w:shd w:val="clear" w:color="auto" w:fill="auto"/>
            <w:noWrap/>
            <w:vAlign w:val="bottom"/>
          </w:tcPr>
          <w:p w14:paraId="4B3C9E5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0.42</w:t>
            </w:r>
          </w:p>
        </w:tc>
        <w:tc>
          <w:tcPr>
            <w:tcW w:w="1071" w:type="pct"/>
            <w:shd w:val="clear" w:color="auto" w:fill="auto"/>
            <w:noWrap/>
            <w:vAlign w:val="bottom"/>
          </w:tcPr>
          <w:p w14:paraId="4A87E7A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0.026721</w:t>
            </w:r>
          </w:p>
        </w:tc>
        <w:tc>
          <w:tcPr>
            <w:tcW w:w="872" w:type="pct"/>
            <w:shd w:val="clear" w:color="auto" w:fill="auto"/>
            <w:noWrap/>
            <w:vAlign w:val="bottom"/>
          </w:tcPr>
          <w:p w14:paraId="001977D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1.34</w:t>
            </w:r>
          </w:p>
        </w:tc>
      </w:tr>
      <w:tr w14:paraId="30D04E5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AC8593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800</w:t>
            </w:r>
          </w:p>
        </w:tc>
        <w:tc>
          <w:tcPr>
            <w:tcW w:w="1331" w:type="pct"/>
            <w:shd w:val="clear" w:color="auto" w:fill="auto"/>
            <w:noWrap/>
            <w:vAlign w:val="bottom"/>
          </w:tcPr>
          <w:p w14:paraId="50AC88D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0.003765</w:t>
            </w:r>
          </w:p>
        </w:tc>
        <w:tc>
          <w:tcPr>
            <w:tcW w:w="915" w:type="pct"/>
            <w:shd w:val="clear" w:color="auto" w:fill="auto"/>
            <w:noWrap/>
            <w:vAlign w:val="bottom"/>
          </w:tcPr>
          <w:p w14:paraId="47895A9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0.42</w:t>
            </w:r>
          </w:p>
        </w:tc>
        <w:tc>
          <w:tcPr>
            <w:tcW w:w="1071" w:type="pct"/>
            <w:shd w:val="clear" w:color="auto" w:fill="auto"/>
            <w:noWrap/>
            <w:vAlign w:val="bottom"/>
          </w:tcPr>
          <w:p w14:paraId="43728C1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0.026392</w:t>
            </w:r>
          </w:p>
        </w:tc>
        <w:tc>
          <w:tcPr>
            <w:tcW w:w="872" w:type="pct"/>
            <w:shd w:val="clear" w:color="auto" w:fill="auto"/>
            <w:noWrap/>
            <w:vAlign w:val="bottom"/>
          </w:tcPr>
          <w:p w14:paraId="203205E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1.32</w:t>
            </w:r>
          </w:p>
        </w:tc>
      </w:tr>
      <w:tr w14:paraId="439AF34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FA8CA9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825</w:t>
            </w:r>
          </w:p>
        </w:tc>
        <w:tc>
          <w:tcPr>
            <w:tcW w:w="1331" w:type="pct"/>
            <w:shd w:val="clear" w:color="auto" w:fill="auto"/>
            <w:noWrap/>
            <w:vAlign w:val="bottom"/>
          </w:tcPr>
          <w:p w14:paraId="4A5CB5E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0.003719</w:t>
            </w:r>
          </w:p>
        </w:tc>
        <w:tc>
          <w:tcPr>
            <w:tcW w:w="915" w:type="pct"/>
            <w:shd w:val="clear" w:color="auto" w:fill="auto"/>
            <w:noWrap/>
            <w:vAlign w:val="bottom"/>
          </w:tcPr>
          <w:p w14:paraId="2400F35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0.41</w:t>
            </w:r>
          </w:p>
        </w:tc>
        <w:tc>
          <w:tcPr>
            <w:tcW w:w="1071" w:type="pct"/>
            <w:shd w:val="clear" w:color="auto" w:fill="auto"/>
            <w:noWrap/>
            <w:vAlign w:val="bottom"/>
          </w:tcPr>
          <w:p w14:paraId="65713E8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0.026065</w:t>
            </w:r>
          </w:p>
        </w:tc>
        <w:tc>
          <w:tcPr>
            <w:tcW w:w="872" w:type="pct"/>
            <w:shd w:val="clear" w:color="auto" w:fill="auto"/>
            <w:noWrap/>
            <w:vAlign w:val="bottom"/>
          </w:tcPr>
          <w:p w14:paraId="11D11FE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w:t>
            </w:r>
          </w:p>
        </w:tc>
      </w:tr>
      <w:tr w14:paraId="7FF7FAE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AD0E2A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850</w:t>
            </w:r>
          </w:p>
        </w:tc>
        <w:tc>
          <w:tcPr>
            <w:tcW w:w="1331" w:type="pct"/>
            <w:shd w:val="clear" w:color="auto" w:fill="auto"/>
            <w:noWrap/>
            <w:vAlign w:val="bottom"/>
          </w:tcPr>
          <w:p w14:paraId="060A4F2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0.003673</w:t>
            </w:r>
          </w:p>
        </w:tc>
        <w:tc>
          <w:tcPr>
            <w:tcW w:w="915" w:type="pct"/>
            <w:shd w:val="clear" w:color="auto" w:fill="auto"/>
            <w:noWrap/>
            <w:vAlign w:val="bottom"/>
          </w:tcPr>
          <w:p w14:paraId="4EA2139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0.41</w:t>
            </w:r>
          </w:p>
        </w:tc>
        <w:tc>
          <w:tcPr>
            <w:tcW w:w="1071" w:type="pct"/>
            <w:shd w:val="clear" w:color="auto" w:fill="auto"/>
            <w:noWrap/>
            <w:vAlign w:val="bottom"/>
          </w:tcPr>
          <w:p w14:paraId="7922118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0.025743</w:t>
            </w:r>
          </w:p>
        </w:tc>
        <w:tc>
          <w:tcPr>
            <w:tcW w:w="872" w:type="pct"/>
            <w:shd w:val="clear" w:color="auto" w:fill="auto"/>
            <w:noWrap/>
            <w:vAlign w:val="bottom"/>
          </w:tcPr>
          <w:p w14:paraId="6868ACD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1.29</w:t>
            </w:r>
          </w:p>
        </w:tc>
      </w:tr>
      <w:tr w14:paraId="018D185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BCC0E8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875</w:t>
            </w:r>
          </w:p>
        </w:tc>
        <w:tc>
          <w:tcPr>
            <w:tcW w:w="1331" w:type="pct"/>
            <w:shd w:val="clear" w:color="auto" w:fill="auto"/>
            <w:noWrap/>
            <w:vAlign w:val="bottom"/>
          </w:tcPr>
          <w:p w14:paraId="502E700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0.003627</w:t>
            </w:r>
          </w:p>
        </w:tc>
        <w:tc>
          <w:tcPr>
            <w:tcW w:w="915" w:type="pct"/>
            <w:shd w:val="clear" w:color="auto" w:fill="auto"/>
            <w:noWrap/>
            <w:vAlign w:val="bottom"/>
          </w:tcPr>
          <w:p w14:paraId="0ACAC4A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w:t>
            </w:r>
          </w:p>
        </w:tc>
        <w:tc>
          <w:tcPr>
            <w:tcW w:w="1071" w:type="pct"/>
            <w:shd w:val="clear" w:color="auto" w:fill="auto"/>
            <w:noWrap/>
            <w:vAlign w:val="bottom"/>
          </w:tcPr>
          <w:p w14:paraId="72E3E9E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0.025421</w:t>
            </w:r>
          </w:p>
        </w:tc>
        <w:tc>
          <w:tcPr>
            <w:tcW w:w="872" w:type="pct"/>
            <w:shd w:val="clear" w:color="auto" w:fill="auto"/>
            <w:noWrap/>
            <w:vAlign w:val="bottom"/>
          </w:tcPr>
          <w:p w14:paraId="38BEFE5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1.27</w:t>
            </w:r>
          </w:p>
        </w:tc>
      </w:tr>
      <w:tr w14:paraId="78FEBB7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81DC41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900</w:t>
            </w:r>
          </w:p>
        </w:tc>
        <w:tc>
          <w:tcPr>
            <w:tcW w:w="1331" w:type="pct"/>
            <w:shd w:val="clear" w:color="auto" w:fill="auto"/>
            <w:noWrap/>
            <w:vAlign w:val="bottom"/>
          </w:tcPr>
          <w:p w14:paraId="074F690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0.003582</w:t>
            </w:r>
          </w:p>
        </w:tc>
        <w:tc>
          <w:tcPr>
            <w:tcW w:w="915" w:type="pct"/>
            <w:shd w:val="clear" w:color="auto" w:fill="auto"/>
            <w:noWrap/>
            <w:vAlign w:val="bottom"/>
          </w:tcPr>
          <w:p w14:paraId="566EFC9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w:t>
            </w:r>
          </w:p>
        </w:tc>
        <w:tc>
          <w:tcPr>
            <w:tcW w:w="1071" w:type="pct"/>
            <w:shd w:val="clear" w:color="auto" w:fill="auto"/>
            <w:noWrap/>
            <w:vAlign w:val="bottom"/>
          </w:tcPr>
          <w:p w14:paraId="2EF54B5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0.025105</w:t>
            </w:r>
          </w:p>
        </w:tc>
        <w:tc>
          <w:tcPr>
            <w:tcW w:w="872" w:type="pct"/>
            <w:shd w:val="clear" w:color="auto" w:fill="auto"/>
            <w:noWrap/>
            <w:vAlign w:val="bottom"/>
          </w:tcPr>
          <w:p w14:paraId="39F73FF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1.26</w:t>
            </w:r>
          </w:p>
        </w:tc>
      </w:tr>
      <w:tr w14:paraId="275873B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307F1C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925</w:t>
            </w:r>
          </w:p>
        </w:tc>
        <w:tc>
          <w:tcPr>
            <w:tcW w:w="1331" w:type="pct"/>
            <w:shd w:val="clear" w:color="auto" w:fill="auto"/>
            <w:noWrap/>
            <w:vAlign w:val="bottom"/>
          </w:tcPr>
          <w:p w14:paraId="575BE0D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0.003537</w:t>
            </w:r>
          </w:p>
        </w:tc>
        <w:tc>
          <w:tcPr>
            <w:tcW w:w="915" w:type="pct"/>
            <w:shd w:val="clear" w:color="auto" w:fill="auto"/>
            <w:noWrap/>
            <w:vAlign w:val="bottom"/>
          </w:tcPr>
          <w:p w14:paraId="4B72426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0.39</w:t>
            </w:r>
          </w:p>
        </w:tc>
        <w:tc>
          <w:tcPr>
            <w:tcW w:w="1071" w:type="pct"/>
            <w:shd w:val="clear" w:color="auto" w:fill="auto"/>
            <w:noWrap/>
            <w:vAlign w:val="bottom"/>
          </w:tcPr>
          <w:p w14:paraId="7505C3A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0.024794</w:t>
            </w:r>
          </w:p>
        </w:tc>
        <w:tc>
          <w:tcPr>
            <w:tcW w:w="872" w:type="pct"/>
            <w:shd w:val="clear" w:color="auto" w:fill="auto"/>
            <w:noWrap/>
            <w:vAlign w:val="bottom"/>
          </w:tcPr>
          <w:p w14:paraId="222F8B1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1.24</w:t>
            </w:r>
          </w:p>
        </w:tc>
      </w:tr>
      <w:tr w14:paraId="5FD066E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034D2C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950</w:t>
            </w:r>
          </w:p>
        </w:tc>
        <w:tc>
          <w:tcPr>
            <w:tcW w:w="1331" w:type="pct"/>
            <w:shd w:val="clear" w:color="auto" w:fill="auto"/>
            <w:noWrap/>
            <w:vAlign w:val="bottom"/>
          </w:tcPr>
          <w:p w14:paraId="672423A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0.003494</w:t>
            </w:r>
          </w:p>
        </w:tc>
        <w:tc>
          <w:tcPr>
            <w:tcW w:w="915" w:type="pct"/>
            <w:shd w:val="clear" w:color="auto" w:fill="auto"/>
            <w:noWrap/>
            <w:vAlign w:val="bottom"/>
          </w:tcPr>
          <w:p w14:paraId="19E0F7C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0.39</w:t>
            </w:r>
          </w:p>
        </w:tc>
        <w:tc>
          <w:tcPr>
            <w:tcW w:w="1071" w:type="pct"/>
            <w:shd w:val="clear" w:color="auto" w:fill="auto"/>
            <w:noWrap/>
            <w:vAlign w:val="bottom"/>
          </w:tcPr>
          <w:p w14:paraId="135F93F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0.02449</w:t>
            </w:r>
          </w:p>
        </w:tc>
        <w:tc>
          <w:tcPr>
            <w:tcW w:w="872" w:type="pct"/>
            <w:shd w:val="clear" w:color="auto" w:fill="auto"/>
            <w:noWrap/>
            <w:vAlign w:val="bottom"/>
          </w:tcPr>
          <w:p w14:paraId="32A37D2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1.22</w:t>
            </w:r>
          </w:p>
        </w:tc>
      </w:tr>
      <w:tr w14:paraId="038ABD4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E671C0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975</w:t>
            </w:r>
          </w:p>
        </w:tc>
        <w:tc>
          <w:tcPr>
            <w:tcW w:w="1331" w:type="pct"/>
            <w:shd w:val="clear" w:color="auto" w:fill="auto"/>
            <w:noWrap/>
            <w:vAlign w:val="bottom"/>
          </w:tcPr>
          <w:p w14:paraId="4924955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0.003451</w:t>
            </w:r>
          </w:p>
        </w:tc>
        <w:tc>
          <w:tcPr>
            <w:tcW w:w="915" w:type="pct"/>
            <w:shd w:val="clear" w:color="auto" w:fill="auto"/>
            <w:noWrap/>
            <w:vAlign w:val="bottom"/>
          </w:tcPr>
          <w:p w14:paraId="12440DA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0.38</w:t>
            </w:r>
          </w:p>
        </w:tc>
        <w:tc>
          <w:tcPr>
            <w:tcW w:w="1071" w:type="pct"/>
            <w:shd w:val="clear" w:color="auto" w:fill="auto"/>
            <w:noWrap/>
            <w:vAlign w:val="bottom"/>
          </w:tcPr>
          <w:p w14:paraId="70B23DE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0.024192</w:t>
            </w:r>
          </w:p>
        </w:tc>
        <w:tc>
          <w:tcPr>
            <w:tcW w:w="872" w:type="pct"/>
            <w:shd w:val="clear" w:color="auto" w:fill="auto"/>
            <w:noWrap/>
            <w:vAlign w:val="bottom"/>
          </w:tcPr>
          <w:p w14:paraId="3B610D9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1.21</w:t>
            </w:r>
          </w:p>
        </w:tc>
      </w:tr>
      <w:tr w14:paraId="5AF64E7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723A28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1000</w:t>
            </w:r>
          </w:p>
        </w:tc>
        <w:tc>
          <w:tcPr>
            <w:tcW w:w="1331" w:type="pct"/>
            <w:shd w:val="clear" w:color="auto" w:fill="auto"/>
            <w:noWrap/>
            <w:vAlign w:val="bottom"/>
          </w:tcPr>
          <w:p w14:paraId="19EEEED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0.00341</w:t>
            </w:r>
          </w:p>
        </w:tc>
        <w:tc>
          <w:tcPr>
            <w:tcW w:w="915" w:type="pct"/>
            <w:shd w:val="clear" w:color="auto" w:fill="auto"/>
            <w:noWrap/>
            <w:vAlign w:val="bottom"/>
          </w:tcPr>
          <w:p w14:paraId="1029EEC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0.38</w:t>
            </w:r>
          </w:p>
        </w:tc>
        <w:tc>
          <w:tcPr>
            <w:tcW w:w="1071" w:type="pct"/>
            <w:shd w:val="clear" w:color="auto" w:fill="auto"/>
            <w:noWrap/>
            <w:vAlign w:val="bottom"/>
          </w:tcPr>
          <w:p w14:paraId="5F8CEE4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0.023901</w:t>
            </w:r>
          </w:p>
        </w:tc>
        <w:tc>
          <w:tcPr>
            <w:tcW w:w="872" w:type="pct"/>
            <w:shd w:val="clear" w:color="auto" w:fill="auto"/>
            <w:noWrap/>
            <w:vAlign w:val="bottom"/>
          </w:tcPr>
          <w:p w14:paraId="02F20AF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w:t>
            </w:r>
          </w:p>
        </w:tc>
      </w:tr>
      <w:tr w14:paraId="400AF81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81B79E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1025</w:t>
            </w:r>
          </w:p>
        </w:tc>
        <w:tc>
          <w:tcPr>
            <w:tcW w:w="1331" w:type="pct"/>
            <w:shd w:val="clear" w:color="auto" w:fill="auto"/>
            <w:noWrap/>
            <w:vAlign w:val="bottom"/>
          </w:tcPr>
          <w:p w14:paraId="214D3BF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0.00341</w:t>
            </w:r>
          </w:p>
        </w:tc>
        <w:tc>
          <w:tcPr>
            <w:tcW w:w="915" w:type="pct"/>
            <w:shd w:val="clear" w:color="auto" w:fill="auto"/>
            <w:noWrap/>
            <w:vAlign w:val="bottom"/>
          </w:tcPr>
          <w:p w14:paraId="76778B8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0.38</w:t>
            </w:r>
          </w:p>
        </w:tc>
        <w:tc>
          <w:tcPr>
            <w:tcW w:w="1071" w:type="pct"/>
            <w:shd w:val="clear" w:color="auto" w:fill="auto"/>
            <w:noWrap/>
            <w:vAlign w:val="bottom"/>
          </w:tcPr>
          <w:p w14:paraId="4F26304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0.0239</w:t>
            </w:r>
          </w:p>
        </w:tc>
        <w:tc>
          <w:tcPr>
            <w:tcW w:w="872" w:type="pct"/>
            <w:shd w:val="clear" w:color="auto" w:fill="auto"/>
            <w:noWrap/>
            <w:vAlign w:val="bottom"/>
          </w:tcPr>
          <w:p w14:paraId="55250FC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1.19</w:t>
            </w:r>
          </w:p>
        </w:tc>
      </w:tr>
      <w:tr w14:paraId="2BD8647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09588E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1038</w:t>
            </w:r>
          </w:p>
        </w:tc>
        <w:tc>
          <w:tcPr>
            <w:tcW w:w="1331" w:type="pct"/>
            <w:shd w:val="clear" w:color="auto" w:fill="auto"/>
            <w:noWrap/>
            <w:vAlign w:val="bottom"/>
          </w:tcPr>
          <w:p w14:paraId="3188D24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0.003403</w:t>
            </w:r>
          </w:p>
        </w:tc>
        <w:tc>
          <w:tcPr>
            <w:tcW w:w="915" w:type="pct"/>
            <w:shd w:val="clear" w:color="auto" w:fill="auto"/>
            <w:noWrap/>
            <w:vAlign w:val="bottom"/>
          </w:tcPr>
          <w:p w14:paraId="7829F62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0.38</w:t>
            </w:r>
          </w:p>
        </w:tc>
        <w:tc>
          <w:tcPr>
            <w:tcW w:w="1071" w:type="pct"/>
            <w:shd w:val="clear" w:color="auto" w:fill="auto"/>
            <w:noWrap/>
            <w:vAlign w:val="bottom"/>
          </w:tcPr>
          <w:p w14:paraId="4D808C2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0.023852</w:t>
            </w:r>
          </w:p>
        </w:tc>
        <w:tc>
          <w:tcPr>
            <w:tcW w:w="872" w:type="pct"/>
            <w:shd w:val="clear" w:color="auto" w:fill="auto"/>
            <w:noWrap/>
            <w:vAlign w:val="bottom"/>
          </w:tcPr>
          <w:p w14:paraId="66722FE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1.19</w:t>
            </w:r>
          </w:p>
        </w:tc>
      </w:tr>
      <w:tr w14:paraId="4150915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E8E15C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1045</w:t>
            </w:r>
          </w:p>
        </w:tc>
        <w:tc>
          <w:tcPr>
            <w:tcW w:w="1331" w:type="pct"/>
            <w:shd w:val="clear" w:color="auto" w:fill="auto"/>
            <w:noWrap/>
            <w:vAlign w:val="bottom"/>
          </w:tcPr>
          <w:p w14:paraId="65410D0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0.003368</w:t>
            </w:r>
          </w:p>
        </w:tc>
        <w:tc>
          <w:tcPr>
            <w:tcW w:w="915" w:type="pct"/>
            <w:shd w:val="clear" w:color="auto" w:fill="auto"/>
            <w:noWrap/>
            <w:vAlign w:val="bottom"/>
          </w:tcPr>
          <w:p w14:paraId="203EEAF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0.37</w:t>
            </w:r>
          </w:p>
        </w:tc>
        <w:tc>
          <w:tcPr>
            <w:tcW w:w="1071" w:type="pct"/>
            <w:shd w:val="clear" w:color="auto" w:fill="auto"/>
            <w:noWrap/>
            <w:vAlign w:val="bottom"/>
          </w:tcPr>
          <w:p w14:paraId="6775396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0.023606</w:t>
            </w:r>
          </w:p>
        </w:tc>
        <w:tc>
          <w:tcPr>
            <w:tcW w:w="872" w:type="pct"/>
            <w:shd w:val="clear" w:color="auto" w:fill="auto"/>
            <w:noWrap/>
            <w:vAlign w:val="bottom"/>
          </w:tcPr>
          <w:p w14:paraId="7D9970C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1.18</w:t>
            </w:r>
          </w:p>
        </w:tc>
      </w:tr>
      <w:tr w14:paraId="42CA988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529672A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1050</w:t>
            </w:r>
          </w:p>
        </w:tc>
        <w:tc>
          <w:tcPr>
            <w:tcW w:w="1331" w:type="pct"/>
            <w:shd w:val="clear" w:color="auto" w:fill="auto"/>
            <w:noWrap/>
            <w:vAlign w:val="bottom"/>
          </w:tcPr>
          <w:p w14:paraId="2DF6D5C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0.003336</w:t>
            </w:r>
          </w:p>
        </w:tc>
        <w:tc>
          <w:tcPr>
            <w:tcW w:w="915" w:type="pct"/>
            <w:shd w:val="clear" w:color="auto" w:fill="auto"/>
            <w:noWrap/>
            <w:vAlign w:val="bottom"/>
          </w:tcPr>
          <w:p w14:paraId="7668F4E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0.37</w:t>
            </w:r>
          </w:p>
        </w:tc>
        <w:tc>
          <w:tcPr>
            <w:tcW w:w="1071" w:type="pct"/>
            <w:shd w:val="clear" w:color="auto" w:fill="auto"/>
            <w:noWrap/>
            <w:vAlign w:val="bottom"/>
          </w:tcPr>
          <w:p w14:paraId="11348BC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0.023387</w:t>
            </w:r>
          </w:p>
        </w:tc>
        <w:tc>
          <w:tcPr>
            <w:tcW w:w="872" w:type="pct"/>
            <w:shd w:val="clear" w:color="auto" w:fill="auto"/>
            <w:noWrap/>
            <w:vAlign w:val="bottom"/>
          </w:tcPr>
          <w:p w14:paraId="7E59577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1.17</w:t>
            </w:r>
          </w:p>
        </w:tc>
      </w:tr>
      <w:tr w14:paraId="04A54164">
        <w:tblPrEx>
          <w:tblCellMar>
            <w:top w:w="0" w:type="dxa"/>
            <w:left w:w="108" w:type="dxa"/>
            <w:bottom w:w="0" w:type="dxa"/>
            <w:right w:w="108" w:type="dxa"/>
          </w:tblCellMar>
        </w:tblPrEx>
        <w:trPr>
          <w:trHeight w:val="270" w:hRule="atLeast"/>
        </w:trPr>
        <w:tc>
          <w:tcPr>
            <w:tcW w:w="811" w:type="pct"/>
            <w:shd w:val="clear" w:color="auto" w:fill="auto"/>
            <w:noWrap/>
            <w:vAlign w:val="bottom"/>
          </w:tcPr>
          <w:p w14:paraId="06D79E4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1075</w:t>
            </w:r>
          </w:p>
        </w:tc>
        <w:tc>
          <w:tcPr>
            <w:tcW w:w="1331" w:type="pct"/>
            <w:shd w:val="clear" w:color="auto" w:fill="auto"/>
            <w:noWrap/>
            <w:vAlign w:val="bottom"/>
          </w:tcPr>
          <w:p w14:paraId="3D5AF09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0.003327</w:t>
            </w:r>
          </w:p>
        </w:tc>
        <w:tc>
          <w:tcPr>
            <w:tcW w:w="915" w:type="pct"/>
            <w:shd w:val="clear" w:color="auto" w:fill="auto"/>
            <w:noWrap/>
            <w:vAlign w:val="bottom"/>
          </w:tcPr>
          <w:p w14:paraId="4EF83AD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0.37</w:t>
            </w:r>
          </w:p>
        </w:tc>
        <w:tc>
          <w:tcPr>
            <w:tcW w:w="1071" w:type="pct"/>
            <w:shd w:val="clear" w:color="auto" w:fill="auto"/>
            <w:noWrap/>
            <w:vAlign w:val="bottom"/>
          </w:tcPr>
          <w:p w14:paraId="06313EC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0.023318</w:t>
            </w:r>
          </w:p>
        </w:tc>
        <w:tc>
          <w:tcPr>
            <w:tcW w:w="872" w:type="pct"/>
            <w:shd w:val="clear" w:color="auto" w:fill="auto"/>
            <w:noWrap/>
            <w:vAlign w:val="bottom"/>
          </w:tcPr>
          <w:p w14:paraId="41B9818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1.17</w:t>
            </w:r>
          </w:p>
        </w:tc>
      </w:tr>
      <w:tr w14:paraId="15714A3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598C8B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1100</w:t>
            </w:r>
          </w:p>
        </w:tc>
        <w:tc>
          <w:tcPr>
            <w:tcW w:w="1331" w:type="pct"/>
            <w:shd w:val="clear" w:color="auto" w:fill="auto"/>
            <w:noWrap/>
            <w:vAlign w:val="bottom"/>
          </w:tcPr>
          <w:p w14:paraId="010C572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0.003286</w:t>
            </w:r>
          </w:p>
        </w:tc>
        <w:tc>
          <w:tcPr>
            <w:tcW w:w="915" w:type="pct"/>
            <w:shd w:val="clear" w:color="auto" w:fill="auto"/>
            <w:noWrap/>
            <w:vAlign w:val="bottom"/>
          </w:tcPr>
          <w:p w14:paraId="6E69266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0.37</w:t>
            </w:r>
          </w:p>
        </w:tc>
        <w:tc>
          <w:tcPr>
            <w:tcW w:w="1071" w:type="pct"/>
            <w:shd w:val="clear" w:color="auto" w:fill="auto"/>
            <w:noWrap/>
            <w:vAlign w:val="bottom"/>
          </w:tcPr>
          <w:p w14:paraId="7E89E60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0.023036</w:t>
            </w:r>
          </w:p>
        </w:tc>
        <w:tc>
          <w:tcPr>
            <w:tcW w:w="872" w:type="pct"/>
            <w:shd w:val="clear" w:color="auto" w:fill="auto"/>
            <w:noWrap/>
            <w:vAlign w:val="bottom"/>
          </w:tcPr>
          <w:p w14:paraId="47CC4D1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1.15</w:t>
            </w:r>
          </w:p>
        </w:tc>
      </w:tr>
      <w:tr w14:paraId="2385A7C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2E3B82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1125</w:t>
            </w:r>
          </w:p>
        </w:tc>
        <w:tc>
          <w:tcPr>
            <w:tcW w:w="1331" w:type="pct"/>
            <w:shd w:val="clear" w:color="auto" w:fill="auto"/>
            <w:noWrap/>
            <w:vAlign w:val="bottom"/>
          </w:tcPr>
          <w:p w14:paraId="6538370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0.003247</w:t>
            </w:r>
          </w:p>
        </w:tc>
        <w:tc>
          <w:tcPr>
            <w:tcW w:w="915" w:type="pct"/>
            <w:shd w:val="clear" w:color="auto" w:fill="auto"/>
            <w:noWrap/>
            <w:vAlign w:val="bottom"/>
          </w:tcPr>
          <w:p w14:paraId="70A1073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0.36</w:t>
            </w:r>
          </w:p>
        </w:tc>
        <w:tc>
          <w:tcPr>
            <w:tcW w:w="1071" w:type="pct"/>
            <w:shd w:val="clear" w:color="auto" w:fill="auto"/>
            <w:noWrap/>
            <w:vAlign w:val="bottom"/>
          </w:tcPr>
          <w:p w14:paraId="06ACBC9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0.022758</w:t>
            </w:r>
          </w:p>
        </w:tc>
        <w:tc>
          <w:tcPr>
            <w:tcW w:w="872" w:type="pct"/>
            <w:shd w:val="clear" w:color="auto" w:fill="auto"/>
            <w:noWrap/>
            <w:vAlign w:val="bottom"/>
          </w:tcPr>
          <w:p w14:paraId="7338820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1.14</w:t>
            </w:r>
          </w:p>
        </w:tc>
      </w:tr>
      <w:tr w14:paraId="6A22973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3F5EFD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1150</w:t>
            </w:r>
          </w:p>
        </w:tc>
        <w:tc>
          <w:tcPr>
            <w:tcW w:w="1331" w:type="pct"/>
            <w:shd w:val="clear" w:color="auto" w:fill="auto"/>
            <w:noWrap/>
            <w:vAlign w:val="bottom"/>
          </w:tcPr>
          <w:p w14:paraId="08A8DDD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0.003208</w:t>
            </w:r>
          </w:p>
        </w:tc>
        <w:tc>
          <w:tcPr>
            <w:tcW w:w="915" w:type="pct"/>
            <w:shd w:val="clear" w:color="auto" w:fill="auto"/>
            <w:noWrap/>
            <w:vAlign w:val="bottom"/>
          </w:tcPr>
          <w:p w14:paraId="4AD7DA0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0.36</w:t>
            </w:r>
          </w:p>
        </w:tc>
        <w:tc>
          <w:tcPr>
            <w:tcW w:w="1071" w:type="pct"/>
            <w:shd w:val="clear" w:color="auto" w:fill="auto"/>
            <w:noWrap/>
            <w:vAlign w:val="bottom"/>
          </w:tcPr>
          <w:p w14:paraId="61B8E65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0.022486</w:t>
            </w:r>
          </w:p>
        </w:tc>
        <w:tc>
          <w:tcPr>
            <w:tcW w:w="872" w:type="pct"/>
            <w:shd w:val="clear" w:color="auto" w:fill="auto"/>
            <w:noWrap/>
            <w:vAlign w:val="bottom"/>
          </w:tcPr>
          <w:p w14:paraId="5275A78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1.12</w:t>
            </w:r>
          </w:p>
        </w:tc>
      </w:tr>
      <w:tr w14:paraId="7F0E4E5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6C173D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1175</w:t>
            </w:r>
          </w:p>
        </w:tc>
        <w:tc>
          <w:tcPr>
            <w:tcW w:w="1331" w:type="pct"/>
            <w:shd w:val="clear" w:color="auto" w:fill="auto"/>
            <w:noWrap/>
            <w:vAlign w:val="bottom"/>
          </w:tcPr>
          <w:p w14:paraId="2E15425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0.00317</w:t>
            </w:r>
          </w:p>
        </w:tc>
        <w:tc>
          <w:tcPr>
            <w:tcW w:w="915" w:type="pct"/>
            <w:shd w:val="clear" w:color="auto" w:fill="auto"/>
            <w:noWrap/>
            <w:vAlign w:val="bottom"/>
          </w:tcPr>
          <w:p w14:paraId="136E523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0.35</w:t>
            </w:r>
          </w:p>
        </w:tc>
        <w:tc>
          <w:tcPr>
            <w:tcW w:w="1071" w:type="pct"/>
            <w:shd w:val="clear" w:color="auto" w:fill="auto"/>
            <w:noWrap/>
            <w:vAlign w:val="bottom"/>
          </w:tcPr>
          <w:p w14:paraId="3E531B4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0.022219</w:t>
            </w:r>
          </w:p>
        </w:tc>
        <w:tc>
          <w:tcPr>
            <w:tcW w:w="872" w:type="pct"/>
            <w:shd w:val="clear" w:color="auto" w:fill="auto"/>
            <w:noWrap/>
            <w:vAlign w:val="bottom"/>
          </w:tcPr>
          <w:p w14:paraId="3556215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1.11</w:t>
            </w:r>
          </w:p>
        </w:tc>
      </w:tr>
      <w:tr w14:paraId="7110ECF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D9DCDF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1200</w:t>
            </w:r>
          </w:p>
        </w:tc>
        <w:tc>
          <w:tcPr>
            <w:tcW w:w="1331" w:type="pct"/>
            <w:shd w:val="clear" w:color="auto" w:fill="auto"/>
            <w:noWrap/>
            <w:vAlign w:val="bottom"/>
          </w:tcPr>
          <w:p w14:paraId="3457C88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0.003132</w:t>
            </w:r>
          </w:p>
        </w:tc>
        <w:tc>
          <w:tcPr>
            <w:tcW w:w="915" w:type="pct"/>
            <w:shd w:val="clear" w:color="auto" w:fill="auto"/>
            <w:noWrap/>
            <w:vAlign w:val="bottom"/>
          </w:tcPr>
          <w:p w14:paraId="7505DF7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0.35</w:t>
            </w:r>
          </w:p>
        </w:tc>
        <w:tc>
          <w:tcPr>
            <w:tcW w:w="1071" w:type="pct"/>
            <w:shd w:val="clear" w:color="auto" w:fill="auto"/>
            <w:noWrap/>
            <w:vAlign w:val="bottom"/>
          </w:tcPr>
          <w:p w14:paraId="7CCF2A3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0.021956</w:t>
            </w:r>
          </w:p>
        </w:tc>
        <w:tc>
          <w:tcPr>
            <w:tcW w:w="872" w:type="pct"/>
            <w:shd w:val="clear" w:color="auto" w:fill="auto"/>
            <w:noWrap/>
            <w:vAlign w:val="bottom"/>
          </w:tcPr>
          <w:p w14:paraId="187FAD6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w:t>
            </w:r>
          </w:p>
        </w:tc>
      </w:tr>
      <w:tr w14:paraId="72236F2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1D27DF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1225</w:t>
            </w:r>
          </w:p>
        </w:tc>
        <w:tc>
          <w:tcPr>
            <w:tcW w:w="1331" w:type="pct"/>
            <w:shd w:val="clear" w:color="auto" w:fill="auto"/>
            <w:noWrap/>
            <w:vAlign w:val="bottom"/>
          </w:tcPr>
          <w:p w14:paraId="1C0D348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0.003096</w:t>
            </w:r>
          </w:p>
        </w:tc>
        <w:tc>
          <w:tcPr>
            <w:tcW w:w="915" w:type="pct"/>
            <w:shd w:val="clear" w:color="auto" w:fill="auto"/>
            <w:noWrap/>
            <w:vAlign w:val="bottom"/>
          </w:tcPr>
          <w:p w14:paraId="39BAAB3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0.34</w:t>
            </w:r>
          </w:p>
        </w:tc>
        <w:tc>
          <w:tcPr>
            <w:tcW w:w="1071" w:type="pct"/>
            <w:shd w:val="clear" w:color="auto" w:fill="auto"/>
            <w:noWrap/>
            <w:vAlign w:val="bottom"/>
          </w:tcPr>
          <w:p w14:paraId="4121B3E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0.021699</w:t>
            </w:r>
          </w:p>
        </w:tc>
        <w:tc>
          <w:tcPr>
            <w:tcW w:w="872" w:type="pct"/>
            <w:shd w:val="clear" w:color="auto" w:fill="auto"/>
            <w:noWrap/>
            <w:vAlign w:val="bottom"/>
          </w:tcPr>
          <w:p w14:paraId="7305AD0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1.08</w:t>
            </w:r>
          </w:p>
        </w:tc>
      </w:tr>
      <w:tr w14:paraId="00C8701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507A1E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1250</w:t>
            </w:r>
          </w:p>
        </w:tc>
        <w:tc>
          <w:tcPr>
            <w:tcW w:w="1331" w:type="pct"/>
            <w:shd w:val="clear" w:color="auto" w:fill="auto"/>
            <w:noWrap/>
            <w:vAlign w:val="bottom"/>
          </w:tcPr>
          <w:p w14:paraId="3C7DD30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0.00306</w:t>
            </w:r>
          </w:p>
        </w:tc>
        <w:tc>
          <w:tcPr>
            <w:tcW w:w="915" w:type="pct"/>
            <w:shd w:val="clear" w:color="auto" w:fill="auto"/>
            <w:noWrap/>
            <w:vAlign w:val="bottom"/>
          </w:tcPr>
          <w:p w14:paraId="477878F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0.34</w:t>
            </w:r>
          </w:p>
        </w:tc>
        <w:tc>
          <w:tcPr>
            <w:tcW w:w="1071" w:type="pct"/>
            <w:shd w:val="clear" w:color="auto" w:fill="auto"/>
            <w:noWrap/>
            <w:vAlign w:val="bottom"/>
          </w:tcPr>
          <w:p w14:paraId="4A11277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0.021446</w:t>
            </w:r>
          </w:p>
        </w:tc>
        <w:tc>
          <w:tcPr>
            <w:tcW w:w="872" w:type="pct"/>
            <w:shd w:val="clear" w:color="auto" w:fill="auto"/>
            <w:noWrap/>
            <w:vAlign w:val="bottom"/>
          </w:tcPr>
          <w:p w14:paraId="7115247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1.07</w:t>
            </w:r>
          </w:p>
        </w:tc>
      </w:tr>
      <w:tr w14:paraId="1231ABB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B2BCBD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1275</w:t>
            </w:r>
          </w:p>
        </w:tc>
        <w:tc>
          <w:tcPr>
            <w:tcW w:w="1331" w:type="pct"/>
            <w:shd w:val="clear" w:color="auto" w:fill="auto"/>
            <w:noWrap/>
            <w:vAlign w:val="bottom"/>
          </w:tcPr>
          <w:p w14:paraId="2464807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0.003024</w:t>
            </w:r>
          </w:p>
        </w:tc>
        <w:tc>
          <w:tcPr>
            <w:tcW w:w="915" w:type="pct"/>
            <w:shd w:val="clear" w:color="auto" w:fill="auto"/>
            <w:noWrap/>
            <w:vAlign w:val="bottom"/>
          </w:tcPr>
          <w:p w14:paraId="7F0F084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0.34</w:t>
            </w:r>
          </w:p>
        </w:tc>
        <w:tc>
          <w:tcPr>
            <w:tcW w:w="1071" w:type="pct"/>
            <w:shd w:val="clear" w:color="auto" w:fill="auto"/>
            <w:noWrap/>
            <w:vAlign w:val="bottom"/>
          </w:tcPr>
          <w:p w14:paraId="7CCA172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0.021198</w:t>
            </w:r>
          </w:p>
        </w:tc>
        <w:tc>
          <w:tcPr>
            <w:tcW w:w="872" w:type="pct"/>
            <w:shd w:val="clear" w:color="auto" w:fill="auto"/>
            <w:noWrap/>
            <w:vAlign w:val="bottom"/>
          </w:tcPr>
          <w:p w14:paraId="42A27D5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1.06</w:t>
            </w:r>
          </w:p>
        </w:tc>
      </w:tr>
      <w:tr w14:paraId="1894215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4FD4BF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1300</w:t>
            </w:r>
          </w:p>
        </w:tc>
        <w:tc>
          <w:tcPr>
            <w:tcW w:w="1331" w:type="pct"/>
            <w:shd w:val="clear" w:color="auto" w:fill="auto"/>
            <w:noWrap/>
            <w:vAlign w:val="bottom"/>
          </w:tcPr>
          <w:p w14:paraId="6628B9A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0.002989</w:t>
            </w:r>
          </w:p>
        </w:tc>
        <w:tc>
          <w:tcPr>
            <w:tcW w:w="915" w:type="pct"/>
            <w:shd w:val="clear" w:color="auto" w:fill="auto"/>
            <w:noWrap/>
            <w:vAlign w:val="bottom"/>
          </w:tcPr>
          <w:p w14:paraId="18164FC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0.33</w:t>
            </w:r>
          </w:p>
        </w:tc>
        <w:tc>
          <w:tcPr>
            <w:tcW w:w="1071" w:type="pct"/>
            <w:shd w:val="clear" w:color="auto" w:fill="auto"/>
            <w:noWrap/>
            <w:vAlign w:val="bottom"/>
          </w:tcPr>
          <w:p w14:paraId="46E18BF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0.020954</w:t>
            </w:r>
          </w:p>
        </w:tc>
        <w:tc>
          <w:tcPr>
            <w:tcW w:w="872" w:type="pct"/>
            <w:shd w:val="clear" w:color="auto" w:fill="auto"/>
            <w:noWrap/>
            <w:vAlign w:val="bottom"/>
          </w:tcPr>
          <w:p w14:paraId="098808D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1.05</w:t>
            </w:r>
          </w:p>
        </w:tc>
      </w:tr>
      <w:tr w14:paraId="037F63C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3773C2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1325</w:t>
            </w:r>
          </w:p>
        </w:tc>
        <w:tc>
          <w:tcPr>
            <w:tcW w:w="1331" w:type="pct"/>
            <w:shd w:val="clear" w:color="auto" w:fill="auto"/>
            <w:noWrap/>
            <w:vAlign w:val="bottom"/>
          </w:tcPr>
          <w:p w14:paraId="7574D78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0.002955</w:t>
            </w:r>
          </w:p>
        </w:tc>
        <w:tc>
          <w:tcPr>
            <w:tcW w:w="915" w:type="pct"/>
            <w:shd w:val="clear" w:color="auto" w:fill="auto"/>
            <w:noWrap/>
            <w:vAlign w:val="bottom"/>
          </w:tcPr>
          <w:p w14:paraId="3F2A22E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0.33</w:t>
            </w:r>
          </w:p>
        </w:tc>
        <w:tc>
          <w:tcPr>
            <w:tcW w:w="1071" w:type="pct"/>
            <w:shd w:val="clear" w:color="auto" w:fill="auto"/>
            <w:noWrap/>
            <w:vAlign w:val="bottom"/>
          </w:tcPr>
          <w:p w14:paraId="1070FF3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0.020714</w:t>
            </w:r>
          </w:p>
        </w:tc>
        <w:tc>
          <w:tcPr>
            <w:tcW w:w="872" w:type="pct"/>
            <w:shd w:val="clear" w:color="auto" w:fill="auto"/>
            <w:noWrap/>
            <w:vAlign w:val="bottom"/>
          </w:tcPr>
          <w:p w14:paraId="54EC3E8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1.04</w:t>
            </w:r>
          </w:p>
        </w:tc>
      </w:tr>
      <w:tr w14:paraId="3C1722C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015E63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1350</w:t>
            </w:r>
          </w:p>
        </w:tc>
        <w:tc>
          <w:tcPr>
            <w:tcW w:w="1331" w:type="pct"/>
            <w:shd w:val="clear" w:color="auto" w:fill="auto"/>
            <w:noWrap/>
            <w:vAlign w:val="bottom"/>
          </w:tcPr>
          <w:p w14:paraId="3ECEFBD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0.002922</w:t>
            </w:r>
          </w:p>
        </w:tc>
        <w:tc>
          <w:tcPr>
            <w:tcW w:w="915" w:type="pct"/>
            <w:shd w:val="clear" w:color="auto" w:fill="auto"/>
            <w:noWrap/>
            <w:vAlign w:val="bottom"/>
          </w:tcPr>
          <w:p w14:paraId="244FA29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0.32</w:t>
            </w:r>
          </w:p>
        </w:tc>
        <w:tc>
          <w:tcPr>
            <w:tcW w:w="1071" w:type="pct"/>
            <w:shd w:val="clear" w:color="auto" w:fill="auto"/>
            <w:noWrap/>
            <w:vAlign w:val="bottom"/>
          </w:tcPr>
          <w:p w14:paraId="13A2168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0.020479</w:t>
            </w:r>
          </w:p>
        </w:tc>
        <w:tc>
          <w:tcPr>
            <w:tcW w:w="872" w:type="pct"/>
            <w:shd w:val="clear" w:color="auto" w:fill="auto"/>
            <w:noWrap/>
            <w:vAlign w:val="bottom"/>
          </w:tcPr>
          <w:p w14:paraId="6A7E592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1.02</w:t>
            </w:r>
          </w:p>
        </w:tc>
      </w:tr>
      <w:tr w14:paraId="2855DB1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327DA4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1375</w:t>
            </w:r>
          </w:p>
        </w:tc>
        <w:tc>
          <w:tcPr>
            <w:tcW w:w="1331" w:type="pct"/>
            <w:shd w:val="clear" w:color="auto" w:fill="auto"/>
            <w:noWrap/>
            <w:vAlign w:val="bottom"/>
          </w:tcPr>
          <w:p w14:paraId="5D5DBC4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0.002889</w:t>
            </w:r>
          </w:p>
        </w:tc>
        <w:tc>
          <w:tcPr>
            <w:tcW w:w="915" w:type="pct"/>
            <w:shd w:val="clear" w:color="auto" w:fill="auto"/>
            <w:noWrap/>
            <w:vAlign w:val="bottom"/>
          </w:tcPr>
          <w:p w14:paraId="633DB64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0.32</w:t>
            </w:r>
          </w:p>
        </w:tc>
        <w:tc>
          <w:tcPr>
            <w:tcW w:w="1071" w:type="pct"/>
            <w:shd w:val="clear" w:color="auto" w:fill="auto"/>
            <w:noWrap/>
            <w:vAlign w:val="bottom"/>
          </w:tcPr>
          <w:p w14:paraId="25EA4D1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0.020248</w:t>
            </w:r>
          </w:p>
        </w:tc>
        <w:tc>
          <w:tcPr>
            <w:tcW w:w="872" w:type="pct"/>
            <w:shd w:val="clear" w:color="auto" w:fill="auto"/>
            <w:noWrap/>
            <w:vAlign w:val="bottom"/>
          </w:tcPr>
          <w:p w14:paraId="28242F8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1.01</w:t>
            </w:r>
          </w:p>
        </w:tc>
      </w:tr>
      <w:tr w14:paraId="282658B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A63FF2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1400</w:t>
            </w:r>
          </w:p>
        </w:tc>
        <w:tc>
          <w:tcPr>
            <w:tcW w:w="1331" w:type="pct"/>
            <w:shd w:val="clear" w:color="auto" w:fill="auto"/>
            <w:noWrap/>
            <w:vAlign w:val="bottom"/>
          </w:tcPr>
          <w:p w14:paraId="3B11D46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0.002856</w:t>
            </w:r>
          </w:p>
        </w:tc>
        <w:tc>
          <w:tcPr>
            <w:tcW w:w="915" w:type="pct"/>
            <w:shd w:val="clear" w:color="auto" w:fill="auto"/>
            <w:noWrap/>
            <w:vAlign w:val="bottom"/>
          </w:tcPr>
          <w:p w14:paraId="7F38216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0.32</w:t>
            </w:r>
          </w:p>
        </w:tc>
        <w:tc>
          <w:tcPr>
            <w:tcW w:w="1071" w:type="pct"/>
            <w:shd w:val="clear" w:color="auto" w:fill="auto"/>
            <w:noWrap/>
            <w:vAlign w:val="bottom"/>
          </w:tcPr>
          <w:p w14:paraId="5C3DF0D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0.020021</w:t>
            </w:r>
          </w:p>
        </w:tc>
        <w:tc>
          <w:tcPr>
            <w:tcW w:w="872" w:type="pct"/>
            <w:shd w:val="clear" w:color="auto" w:fill="auto"/>
            <w:noWrap/>
            <w:vAlign w:val="bottom"/>
          </w:tcPr>
          <w:p w14:paraId="683D2CB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r>
      <w:tr w14:paraId="073C5C7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DF8C87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1425</w:t>
            </w:r>
          </w:p>
        </w:tc>
        <w:tc>
          <w:tcPr>
            <w:tcW w:w="1331" w:type="pct"/>
            <w:shd w:val="clear" w:color="auto" w:fill="auto"/>
            <w:noWrap/>
            <w:vAlign w:val="bottom"/>
          </w:tcPr>
          <w:p w14:paraId="046F4C1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0.002824</w:t>
            </w:r>
          </w:p>
        </w:tc>
        <w:tc>
          <w:tcPr>
            <w:tcW w:w="915" w:type="pct"/>
            <w:shd w:val="clear" w:color="auto" w:fill="auto"/>
            <w:noWrap/>
            <w:vAlign w:val="bottom"/>
          </w:tcPr>
          <w:p w14:paraId="448F0FB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0.31</w:t>
            </w:r>
          </w:p>
        </w:tc>
        <w:tc>
          <w:tcPr>
            <w:tcW w:w="1071" w:type="pct"/>
            <w:shd w:val="clear" w:color="auto" w:fill="auto"/>
            <w:noWrap/>
            <w:vAlign w:val="bottom"/>
          </w:tcPr>
          <w:p w14:paraId="71FD18D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0.019798</w:t>
            </w:r>
          </w:p>
        </w:tc>
        <w:tc>
          <w:tcPr>
            <w:tcW w:w="872" w:type="pct"/>
            <w:shd w:val="clear" w:color="auto" w:fill="auto"/>
            <w:noWrap/>
            <w:vAlign w:val="bottom"/>
          </w:tcPr>
          <w:p w14:paraId="761D511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0.99</w:t>
            </w:r>
          </w:p>
        </w:tc>
      </w:tr>
      <w:tr w14:paraId="2473EE3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62DCE92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1450</w:t>
            </w:r>
          </w:p>
        </w:tc>
        <w:tc>
          <w:tcPr>
            <w:tcW w:w="1331" w:type="pct"/>
            <w:shd w:val="clear" w:color="auto" w:fill="auto"/>
            <w:noWrap/>
            <w:vAlign w:val="bottom"/>
          </w:tcPr>
          <w:p w14:paraId="2791219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0.002793</w:t>
            </w:r>
          </w:p>
        </w:tc>
        <w:tc>
          <w:tcPr>
            <w:tcW w:w="915" w:type="pct"/>
            <w:shd w:val="clear" w:color="auto" w:fill="auto"/>
            <w:noWrap/>
            <w:vAlign w:val="bottom"/>
          </w:tcPr>
          <w:p w14:paraId="430850C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0.31</w:t>
            </w:r>
          </w:p>
        </w:tc>
        <w:tc>
          <w:tcPr>
            <w:tcW w:w="1071" w:type="pct"/>
            <w:shd w:val="clear" w:color="auto" w:fill="auto"/>
            <w:noWrap/>
            <w:vAlign w:val="bottom"/>
          </w:tcPr>
          <w:p w14:paraId="4367978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0.019579</w:t>
            </w:r>
          </w:p>
        </w:tc>
        <w:tc>
          <w:tcPr>
            <w:tcW w:w="872" w:type="pct"/>
            <w:shd w:val="clear" w:color="auto" w:fill="auto"/>
            <w:noWrap/>
            <w:vAlign w:val="bottom"/>
          </w:tcPr>
          <w:p w14:paraId="3AF4A1C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0.98</w:t>
            </w:r>
          </w:p>
        </w:tc>
      </w:tr>
      <w:tr w14:paraId="6EA6D34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7EE6F1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1475</w:t>
            </w:r>
          </w:p>
        </w:tc>
        <w:tc>
          <w:tcPr>
            <w:tcW w:w="1331" w:type="pct"/>
            <w:shd w:val="clear" w:color="auto" w:fill="auto"/>
            <w:noWrap/>
            <w:vAlign w:val="bottom"/>
          </w:tcPr>
          <w:p w14:paraId="30C3DA0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0.002762</w:t>
            </w:r>
          </w:p>
        </w:tc>
        <w:tc>
          <w:tcPr>
            <w:tcW w:w="915" w:type="pct"/>
            <w:shd w:val="clear" w:color="auto" w:fill="auto"/>
            <w:noWrap/>
            <w:vAlign w:val="bottom"/>
          </w:tcPr>
          <w:p w14:paraId="139EE63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0.31</w:t>
            </w:r>
          </w:p>
        </w:tc>
        <w:tc>
          <w:tcPr>
            <w:tcW w:w="1071" w:type="pct"/>
            <w:shd w:val="clear" w:color="auto" w:fill="auto"/>
            <w:noWrap/>
            <w:vAlign w:val="bottom"/>
          </w:tcPr>
          <w:p w14:paraId="4C6B1B7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0.019363</w:t>
            </w:r>
          </w:p>
        </w:tc>
        <w:tc>
          <w:tcPr>
            <w:tcW w:w="872" w:type="pct"/>
            <w:shd w:val="clear" w:color="auto" w:fill="auto"/>
            <w:noWrap/>
            <w:vAlign w:val="bottom"/>
          </w:tcPr>
          <w:p w14:paraId="47A5066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0.97</w:t>
            </w:r>
          </w:p>
        </w:tc>
      </w:tr>
      <w:tr w14:paraId="02873B7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E8BCA5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1500</w:t>
            </w:r>
          </w:p>
        </w:tc>
        <w:tc>
          <w:tcPr>
            <w:tcW w:w="1331" w:type="pct"/>
            <w:shd w:val="clear" w:color="auto" w:fill="auto"/>
            <w:noWrap/>
            <w:vAlign w:val="bottom"/>
          </w:tcPr>
          <w:p w14:paraId="214C156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0.002732</w:t>
            </w:r>
          </w:p>
        </w:tc>
        <w:tc>
          <w:tcPr>
            <w:tcW w:w="915" w:type="pct"/>
            <w:shd w:val="clear" w:color="auto" w:fill="auto"/>
            <w:noWrap/>
            <w:vAlign w:val="bottom"/>
          </w:tcPr>
          <w:p w14:paraId="5D593B6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w:t>
            </w:r>
          </w:p>
        </w:tc>
        <w:tc>
          <w:tcPr>
            <w:tcW w:w="1071" w:type="pct"/>
            <w:shd w:val="clear" w:color="auto" w:fill="auto"/>
            <w:noWrap/>
            <w:vAlign w:val="bottom"/>
          </w:tcPr>
          <w:p w14:paraId="0EFEF07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0.019152</w:t>
            </w:r>
          </w:p>
        </w:tc>
        <w:tc>
          <w:tcPr>
            <w:tcW w:w="872" w:type="pct"/>
            <w:shd w:val="clear" w:color="auto" w:fill="auto"/>
            <w:noWrap/>
            <w:vAlign w:val="bottom"/>
          </w:tcPr>
          <w:p w14:paraId="7ADEC7D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0.96</w:t>
            </w:r>
          </w:p>
        </w:tc>
      </w:tr>
      <w:tr w14:paraId="30DA4A1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A582D0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1525</w:t>
            </w:r>
          </w:p>
        </w:tc>
        <w:tc>
          <w:tcPr>
            <w:tcW w:w="1331" w:type="pct"/>
            <w:shd w:val="clear" w:color="auto" w:fill="auto"/>
            <w:noWrap/>
            <w:vAlign w:val="bottom"/>
          </w:tcPr>
          <w:p w14:paraId="0796762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0.002703</w:t>
            </w:r>
          </w:p>
        </w:tc>
        <w:tc>
          <w:tcPr>
            <w:tcW w:w="915" w:type="pct"/>
            <w:shd w:val="clear" w:color="auto" w:fill="auto"/>
            <w:noWrap/>
            <w:vAlign w:val="bottom"/>
          </w:tcPr>
          <w:p w14:paraId="45C800D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w:t>
            </w:r>
          </w:p>
        </w:tc>
        <w:tc>
          <w:tcPr>
            <w:tcW w:w="1071" w:type="pct"/>
            <w:shd w:val="clear" w:color="auto" w:fill="auto"/>
            <w:noWrap/>
            <w:vAlign w:val="bottom"/>
          </w:tcPr>
          <w:p w14:paraId="0DB17EA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0.018943</w:t>
            </w:r>
          </w:p>
        </w:tc>
        <w:tc>
          <w:tcPr>
            <w:tcW w:w="872" w:type="pct"/>
            <w:shd w:val="clear" w:color="auto" w:fill="auto"/>
            <w:noWrap/>
            <w:vAlign w:val="bottom"/>
          </w:tcPr>
          <w:p w14:paraId="7821789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0.95</w:t>
            </w:r>
          </w:p>
        </w:tc>
      </w:tr>
      <w:tr w14:paraId="0B5BD1D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641D8FC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1550</w:t>
            </w:r>
          </w:p>
        </w:tc>
        <w:tc>
          <w:tcPr>
            <w:tcW w:w="1331" w:type="pct"/>
            <w:shd w:val="clear" w:color="auto" w:fill="auto"/>
            <w:noWrap/>
            <w:vAlign w:val="bottom"/>
          </w:tcPr>
          <w:p w14:paraId="5AB9919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0.002673</w:t>
            </w:r>
          </w:p>
        </w:tc>
        <w:tc>
          <w:tcPr>
            <w:tcW w:w="915" w:type="pct"/>
            <w:shd w:val="clear" w:color="auto" w:fill="auto"/>
            <w:noWrap/>
            <w:vAlign w:val="bottom"/>
          </w:tcPr>
          <w:p w14:paraId="3F68C06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w:t>
            </w:r>
          </w:p>
        </w:tc>
        <w:tc>
          <w:tcPr>
            <w:tcW w:w="1071" w:type="pct"/>
            <w:shd w:val="clear" w:color="auto" w:fill="auto"/>
            <w:noWrap/>
            <w:vAlign w:val="bottom"/>
          </w:tcPr>
          <w:p w14:paraId="48278C8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0.01874</w:t>
            </w:r>
          </w:p>
        </w:tc>
        <w:tc>
          <w:tcPr>
            <w:tcW w:w="872" w:type="pct"/>
            <w:shd w:val="clear" w:color="auto" w:fill="auto"/>
            <w:noWrap/>
            <w:vAlign w:val="bottom"/>
          </w:tcPr>
          <w:p w14:paraId="160962B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0.94</w:t>
            </w:r>
          </w:p>
        </w:tc>
      </w:tr>
      <w:tr w14:paraId="2D8B5B8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9B6593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1560</w:t>
            </w:r>
          </w:p>
        </w:tc>
        <w:tc>
          <w:tcPr>
            <w:tcW w:w="1331" w:type="pct"/>
            <w:shd w:val="clear" w:color="auto" w:fill="auto"/>
            <w:noWrap/>
            <w:vAlign w:val="bottom"/>
          </w:tcPr>
          <w:p w14:paraId="06C3595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0.002645</w:t>
            </w:r>
          </w:p>
        </w:tc>
        <w:tc>
          <w:tcPr>
            <w:tcW w:w="915" w:type="pct"/>
            <w:shd w:val="clear" w:color="auto" w:fill="auto"/>
            <w:noWrap/>
            <w:vAlign w:val="bottom"/>
          </w:tcPr>
          <w:p w14:paraId="74A6243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0.29</w:t>
            </w:r>
          </w:p>
        </w:tc>
        <w:tc>
          <w:tcPr>
            <w:tcW w:w="1071" w:type="pct"/>
            <w:shd w:val="clear" w:color="auto" w:fill="auto"/>
            <w:noWrap/>
            <w:vAlign w:val="bottom"/>
          </w:tcPr>
          <w:p w14:paraId="485F756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0.018538</w:t>
            </w:r>
          </w:p>
        </w:tc>
        <w:tc>
          <w:tcPr>
            <w:tcW w:w="872" w:type="pct"/>
            <w:shd w:val="clear" w:color="auto" w:fill="auto"/>
            <w:noWrap/>
            <w:vAlign w:val="bottom"/>
          </w:tcPr>
          <w:p w14:paraId="49CB7B3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0.93</w:t>
            </w:r>
          </w:p>
        </w:tc>
      </w:tr>
      <w:tr w14:paraId="0869D0D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D911B4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1575</w:t>
            </w:r>
          </w:p>
        </w:tc>
        <w:tc>
          <w:tcPr>
            <w:tcW w:w="1331" w:type="pct"/>
            <w:shd w:val="clear" w:color="auto" w:fill="auto"/>
            <w:noWrap/>
            <w:vAlign w:val="bottom"/>
          </w:tcPr>
          <w:p w14:paraId="18E5BEA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0.002621</w:t>
            </w:r>
          </w:p>
        </w:tc>
        <w:tc>
          <w:tcPr>
            <w:tcW w:w="915" w:type="pct"/>
            <w:shd w:val="clear" w:color="auto" w:fill="auto"/>
            <w:noWrap/>
            <w:vAlign w:val="bottom"/>
          </w:tcPr>
          <w:p w14:paraId="292F009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0.29</w:t>
            </w:r>
          </w:p>
        </w:tc>
        <w:tc>
          <w:tcPr>
            <w:tcW w:w="1071" w:type="pct"/>
            <w:shd w:val="clear" w:color="auto" w:fill="auto"/>
            <w:noWrap/>
            <w:vAlign w:val="bottom"/>
          </w:tcPr>
          <w:p w14:paraId="51F60D0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0.018372</w:t>
            </w:r>
          </w:p>
        </w:tc>
        <w:tc>
          <w:tcPr>
            <w:tcW w:w="872" w:type="pct"/>
            <w:shd w:val="clear" w:color="auto" w:fill="auto"/>
            <w:noWrap/>
            <w:vAlign w:val="bottom"/>
          </w:tcPr>
          <w:p w14:paraId="17C64B7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0.92</w:t>
            </w:r>
          </w:p>
        </w:tc>
      </w:tr>
      <w:tr w14:paraId="03D14F1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961770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1600</w:t>
            </w:r>
          </w:p>
        </w:tc>
        <w:tc>
          <w:tcPr>
            <w:tcW w:w="1331" w:type="pct"/>
            <w:shd w:val="clear" w:color="auto" w:fill="auto"/>
            <w:noWrap/>
            <w:vAlign w:val="bottom"/>
          </w:tcPr>
          <w:p w14:paraId="199731E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0.002617</w:t>
            </w:r>
          </w:p>
        </w:tc>
        <w:tc>
          <w:tcPr>
            <w:tcW w:w="915" w:type="pct"/>
            <w:shd w:val="clear" w:color="auto" w:fill="auto"/>
            <w:noWrap/>
            <w:vAlign w:val="bottom"/>
          </w:tcPr>
          <w:p w14:paraId="2A2CF36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0.29</w:t>
            </w:r>
          </w:p>
        </w:tc>
        <w:tc>
          <w:tcPr>
            <w:tcW w:w="1071" w:type="pct"/>
            <w:shd w:val="clear" w:color="auto" w:fill="auto"/>
            <w:noWrap/>
            <w:vAlign w:val="bottom"/>
          </w:tcPr>
          <w:p w14:paraId="14AF363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0.018341</w:t>
            </w:r>
          </w:p>
        </w:tc>
        <w:tc>
          <w:tcPr>
            <w:tcW w:w="872" w:type="pct"/>
            <w:shd w:val="clear" w:color="auto" w:fill="auto"/>
            <w:noWrap/>
            <w:vAlign w:val="bottom"/>
          </w:tcPr>
          <w:p w14:paraId="08B991F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0.92</w:t>
            </w:r>
          </w:p>
        </w:tc>
      </w:tr>
      <w:tr w14:paraId="4ADB611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E98C0F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1625</w:t>
            </w:r>
          </w:p>
        </w:tc>
        <w:tc>
          <w:tcPr>
            <w:tcW w:w="1331" w:type="pct"/>
            <w:shd w:val="clear" w:color="auto" w:fill="auto"/>
            <w:noWrap/>
            <w:vAlign w:val="bottom"/>
          </w:tcPr>
          <w:p w14:paraId="606C021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0.002589</w:t>
            </w:r>
          </w:p>
        </w:tc>
        <w:tc>
          <w:tcPr>
            <w:tcW w:w="915" w:type="pct"/>
            <w:shd w:val="clear" w:color="auto" w:fill="auto"/>
            <w:noWrap/>
            <w:vAlign w:val="bottom"/>
          </w:tcPr>
          <w:p w14:paraId="17EA0AE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0.29</w:t>
            </w:r>
          </w:p>
        </w:tc>
        <w:tc>
          <w:tcPr>
            <w:tcW w:w="1071" w:type="pct"/>
            <w:shd w:val="clear" w:color="auto" w:fill="auto"/>
            <w:noWrap/>
            <w:vAlign w:val="bottom"/>
          </w:tcPr>
          <w:p w14:paraId="26AC424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0.018147</w:t>
            </w:r>
          </w:p>
        </w:tc>
        <w:tc>
          <w:tcPr>
            <w:tcW w:w="872" w:type="pct"/>
            <w:shd w:val="clear" w:color="auto" w:fill="auto"/>
            <w:noWrap/>
            <w:vAlign w:val="bottom"/>
          </w:tcPr>
          <w:p w14:paraId="66DD0A3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0.91</w:t>
            </w:r>
          </w:p>
        </w:tc>
      </w:tr>
      <w:tr w14:paraId="30F2772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683057B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1650</w:t>
            </w:r>
          </w:p>
        </w:tc>
        <w:tc>
          <w:tcPr>
            <w:tcW w:w="1331" w:type="pct"/>
            <w:shd w:val="clear" w:color="auto" w:fill="auto"/>
            <w:noWrap/>
            <w:vAlign w:val="bottom"/>
          </w:tcPr>
          <w:p w14:paraId="2C19EC8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0.002562</w:t>
            </w:r>
          </w:p>
        </w:tc>
        <w:tc>
          <w:tcPr>
            <w:tcW w:w="915" w:type="pct"/>
            <w:shd w:val="clear" w:color="auto" w:fill="auto"/>
            <w:noWrap/>
            <w:vAlign w:val="bottom"/>
          </w:tcPr>
          <w:p w14:paraId="79E3917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0.28</w:t>
            </w:r>
          </w:p>
        </w:tc>
        <w:tc>
          <w:tcPr>
            <w:tcW w:w="1071" w:type="pct"/>
            <w:shd w:val="clear" w:color="auto" w:fill="auto"/>
            <w:noWrap/>
            <w:vAlign w:val="bottom"/>
          </w:tcPr>
          <w:p w14:paraId="2472530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0.017957</w:t>
            </w:r>
          </w:p>
        </w:tc>
        <w:tc>
          <w:tcPr>
            <w:tcW w:w="872" w:type="pct"/>
            <w:shd w:val="clear" w:color="auto" w:fill="auto"/>
            <w:noWrap/>
            <w:vAlign w:val="bottom"/>
          </w:tcPr>
          <w:p w14:paraId="6452880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0.9</w:t>
            </w:r>
          </w:p>
        </w:tc>
      </w:tr>
      <w:tr w14:paraId="336F0DD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607ABEE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1675</w:t>
            </w:r>
          </w:p>
        </w:tc>
        <w:tc>
          <w:tcPr>
            <w:tcW w:w="1331" w:type="pct"/>
            <w:shd w:val="clear" w:color="auto" w:fill="auto"/>
            <w:noWrap/>
            <w:vAlign w:val="bottom"/>
          </w:tcPr>
          <w:p w14:paraId="7F1FD89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0.002535</w:t>
            </w:r>
          </w:p>
        </w:tc>
        <w:tc>
          <w:tcPr>
            <w:tcW w:w="915" w:type="pct"/>
            <w:shd w:val="clear" w:color="auto" w:fill="auto"/>
            <w:noWrap/>
            <w:vAlign w:val="bottom"/>
          </w:tcPr>
          <w:p w14:paraId="60A78BC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0.28</w:t>
            </w:r>
          </w:p>
        </w:tc>
        <w:tc>
          <w:tcPr>
            <w:tcW w:w="1071" w:type="pct"/>
            <w:shd w:val="clear" w:color="auto" w:fill="auto"/>
            <w:noWrap/>
            <w:vAlign w:val="bottom"/>
          </w:tcPr>
          <w:p w14:paraId="7CF4B17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0.017769</w:t>
            </w:r>
          </w:p>
        </w:tc>
        <w:tc>
          <w:tcPr>
            <w:tcW w:w="872" w:type="pct"/>
            <w:shd w:val="clear" w:color="auto" w:fill="auto"/>
            <w:noWrap/>
            <w:vAlign w:val="bottom"/>
          </w:tcPr>
          <w:p w14:paraId="59D406F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0.89</w:t>
            </w:r>
          </w:p>
        </w:tc>
      </w:tr>
      <w:tr w14:paraId="04A2F4F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14AC9D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1700</w:t>
            </w:r>
          </w:p>
        </w:tc>
        <w:tc>
          <w:tcPr>
            <w:tcW w:w="1331" w:type="pct"/>
            <w:shd w:val="clear" w:color="auto" w:fill="auto"/>
            <w:noWrap/>
            <w:vAlign w:val="bottom"/>
          </w:tcPr>
          <w:p w14:paraId="05796B8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0.002509</w:t>
            </w:r>
          </w:p>
        </w:tc>
        <w:tc>
          <w:tcPr>
            <w:tcW w:w="915" w:type="pct"/>
            <w:shd w:val="clear" w:color="auto" w:fill="auto"/>
            <w:noWrap/>
            <w:vAlign w:val="bottom"/>
          </w:tcPr>
          <w:p w14:paraId="3C2D998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0.28</w:t>
            </w:r>
          </w:p>
        </w:tc>
        <w:tc>
          <w:tcPr>
            <w:tcW w:w="1071" w:type="pct"/>
            <w:shd w:val="clear" w:color="auto" w:fill="auto"/>
            <w:noWrap/>
            <w:vAlign w:val="bottom"/>
          </w:tcPr>
          <w:p w14:paraId="0C939B3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0.017584</w:t>
            </w:r>
          </w:p>
        </w:tc>
        <w:tc>
          <w:tcPr>
            <w:tcW w:w="872" w:type="pct"/>
            <w:shd w:val="clear" w:color="auto" w:fill="auto"/>
            <w:noWrap/>
            <w:vAlign w:val="bottom"/>
          </w:tcPr>
          <w:p w14:paraId="7F41020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0.88</w:t>
            </w:r>
          </w:p>
        </w:tc>
      </w:tr>
      <w:tr w14:paraId="726B6F6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5B7907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1725</w:t>
            </w:r>
          </w:p>
        </w:tc>
        <w:tc>
          <w:tcPr>
            <w:tcW w:w="1331" w:type="pct"/>
            <w:shd w:val="clear" w:color="auto" w:fill="auto"/>
            <w:noWrap/>
            <w:vAlign w:val="bottom"/>
          </w:tcPr>
          <w:p w14:paraId="0E1ECD0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0.002483</w:t>
            </w:r>
          </w:p>
        </w:tc>
        <w:tc>
          <w:tcPr>
            <w:tcW w:w="915" w:type="pct"/>
            <w:shd w:val="clear" w:color="auto" w:fill="auto"/>
            <w:noWrap/>
            <w:vAlign w:val="bottom"/>
          </w:tcPr>
          <w:p w14:paraId="4E428D2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0.28</w:t>
            </w:r>
          </w:p>
        </w:tc>
        <w:tc>
          <w:tcPr>
            <w:tcW w:w="1071" w:type="pct"/>
            <w:shd w:val="clear" w:color="auto" w:fill="auto"/>
            <w:noWrap/>
            <w:vAlign w:val="bottom"/>
          </w:tcPr>
          <w:p w14:paraId="44EF4C5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0.017403</w:t>
            </w:r>
          </w:p>
        </w:tc>
        <w:tc>
          <w:tcPr>
            <w:tcW w:w="872" w:type="pct"/>
            <w:shd w:val="clear" w:color="auto" w:fill="auto"/>
            <w:noWrap/>
            <w:vAlign w:val="bottom"/>
          </w:tcPr>
          <w:p w14:paraId="006EAB1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0.87</w:t>
            </w:r>
          </w:p>
        </w:tc>
      </w:tr>
      <w:tr w14:paraId="05067B8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24C4929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1750</w:t>
            </w:r>
          </w:p>
        </w:tc>
        <w:tc>
          <w:tcPr>
            <w:tcW w:w="1331" w:type="pct"/>
            <w:shd w:val="clear" w:color="auto" w:fill="auto"/>
            <w:noWrap/>
            <w:vAlign w:val="bottom"/>
          </w:tcPr>
          <w:p w14:paraId="37639FF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0.002457</w:t>
            </w:r>
          </w:p>
        </w:tc>
        <w:tc>
          <w:tcPr>
            <w:tcW w:w="915" w:type="pct"/>
            <w:shd w:val="clear" w:color="auto" w:fill="auto"/>
            <w:noWrap/>
            <w:vAlign w:val="bottom"/>
          </w:tcPr>
          <w:p w14:paraId="6E4B0E2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0.27</w:t>
            </w:r>
          </w:p>
        </w:tc>
        <w:tc>
          <w:tcPr>
            <w:tcW w:w="1071" w:type="pct"/>
            <w:shd w:val="clear" w:color="auto" w:fill="auto"/>
            <w:noWrap/>
            <w:vAlign w:val="bottom"/>
          </w:tcPr>
          <w:p w14:paraId="28B027F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0.017225</w:t>
            </w:r>
          </w:p>
        </w:tc>
        <w:tc>
          <w:tcPr>
            <w:tcW w:w="872" w:type="pct"/>
            <w:shd w:val="clear" w:color="auto" w:fill="auto"/>
            <w:noWrap/>
            <w:vAlign w:val="bottom"/>
          </w:tcPr>
          <w:p w14:paraId="37DD8DB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0.86</w:t>
            </w:r>
          </w:p>
        </w:tc>
      </w:tr>
      <w:tr w14:paraId="5DE64F2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6BB644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1775</w:t>
            </w:r>
          </w:p>
        </w:tc>
        <w:tc>
          <w:tcPr>
            <w:tcW w:w="1331" w:type="pct"/>
            <w:shd w:val="clear" w:color="auto" w:fill="auto"/>
            <w:noWrap/>
            <w:vAlign w:val="bottom"/>
          </w:tcPr>
          <w:p w14:paraId="55358B1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0.002432</w:t>
            </w:r>
          </w:p>
        </w:tc>
        <w:tc>
          <w:tcPr>
            <w:tcW w:w="915" w:type="pct"/>
            <w:shd w:val="clear" w:color="auto" w:fill="auto"/>
            <w:noWrap/>
            <w:vAlign w:val="bottom"/>
          </w:tcPr>
          <w:p w14:paraId="7424CB3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0.27</w:t>
            </w:r>
          </w:p>
        </w:tc>
        <w:tc>
          <w:tcPr>
            <w:tcW w:w="1071" w:type="pct"/>
            <w:shd w:val="clear" w:color="auto" w:fill="auto"/>
            <w:noWrap/>
            <w:vAlign w:val="bottom"/>
          </w:tcPr>
          <w:p w14:paraId="0B425C2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0.017049</w:t>
            </w:r>
          </w:p>
        </w:tc>
        <w:tc>
          <w:tcPr>
            <w:tcW w:w="872" w:type="pct"/>
            <w:shd w:val="clear" w:color="auto" w:fill="auto"/>
            <w:noWrap/>
            <w:vAlign w:val="bottom"/>
          </w:tcPr>
          <w:p w14:paraId="41B647A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0.85</w:t>
            </w:r>
          </w:p>
        </w:tc>
      </w:tr>
      <w:tr w14:paraId="3E0D66E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0F668D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1800</w:t>
            </w:r>
          </w:p>
        </w:tc>
        <w:tc>
          <w:tcPr>
            <w:tcW w:w="1331" w:type="pct"/>
            <w:shd w:val="clear" w:color="auto" w:fill="auto"/>
            <w:noWrap/>
            <w:vAlign w:val="bottom"/>
          </w:tcPr>
          <w:p w14:paraId="5034E0D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0.002408</w:t>
            </w:r>
          </w:p>
        </w:tc>
        <w:tc>
          <w:tcPr>
            <w:tcW w:w="915" w:type="pct"/>
            <w:shd w:val="clear" w:color="auto" w:fill="auto"/>
            <w:noWrap/>
            <w:vAlign w:val="bottom"/>
          </w:tcPr>
          <w:p w14:paraId="110E907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0.27</w:t>
            </w:r>
          </w:p>
        </w:tc>
        <w:tc>
          <w:tcPr>
            <w:tcW w:w="1071" w:type="pct"/>
            <w:shd w:val="clear" w:color="auto" w:fill="auto"/>
            <w:noWrap/>
            <w:vAlign w:val="bottom"/>
          </w:tcPr>
          <w:p w14:paraId="4A02C1C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0.016877</w:t>
            </w:r>
          </w:p>
        </w:tc>
        <w:tc>
          <w:tcPr>
            <w:tcW w:w="872" w:type="pct"/>
            <w:shd w:val="clear" w:color="auto" w:fill="auto"/>
            <w:noWrap/>
            <w:vAlign w:val="bottom"/>
          </w:tcPr>
          <w:p w14:paraId="32BB085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0.84</w:t>
            </w:r>
          </w:p>
        </w:tc>
      </w:tr>
      <w:tr w14:paraId="1CB2703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3CCAA5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1825</w:t>
            </w:r>
          </w:p>
        </w:tc>
        <w:tc>
          <w:tcPr>
            <w:tcW w:w="1331" w:type="pct"/>
            <w:shd w:val="clear" w:color="auto" w:fill="auto"/>
            <w:noWrap/>
            <w:vAlign w:val="bottom"/>
          </w:tcPr>
          <w:p w14:paraId="36F7D8A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0.002384</w:t>
            </w:r>
          </w:p>
        </w:tc>
        <w:tc>
          <w:tcPr>
            <w:tcW w:w="915" w:type="pct"/>
            <w:shd w:val="clear" w:color="auto" w:fill="auto"/>
            <w:noWrap/>
            <w:vAlign w:val="bottom"/>
          </w:tcPr>
          <w:p w14:paraId="7BC1061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0.26</w:t>
            </w:r>
          </w:p>
        </w:tc>
        <w:tc>
          <w:tcPr>
            <w:tcW w:w="1071" w:type="pct"/>
            <w:shd w:val="clear" w:color="auto" w:fill="auto"/>
            <w:noWrap/>
            <w:vAlign w:val="bottom"/>
          </w:tcPr>
          <w:p w14:paraId="7905C52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0.016707</w:t>
            </w:r>
          </w:p>
        </w:tc>
        <w:tc>
          <w:tcPr>
            <w:tcW w:w="872" w:type="pct"/>
            <w:shd w:val="clear" w:color="auto" w:fill="auto"/>
            <w:noWrap/>
            <w:vAlign w:val="bottom"/>
          </w:tcPr>
          <w:p w14:paraId="4519442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0.84</w:t>
            </w:r>
          </w:p>
        </w:tc>
      </w:tr>
      <w:tr w14:paraId="4D9507C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1941B6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1850</w:t>
            </w:r>
          </w:p>
        </w:tc>
        <w:tc>
          <w:tcPr>
            <w:tcW w:w="1331" w:type="pct"/>
            <w:shd w:val="clear" w:color="auto" w:fill="auto"/>
            <w:noWrap/>
            <w:vAlign w:val="bottom"/>
          </w:tcPr>
          <w:p w14:paraId="6D18C52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0.00236</w:t>
            </w:r>
          </w:p>
        </w:tc>
        <w:tc>
          <w:tcPr>
            <w:tcW w:w="915" w:type="pct"/>
            <w:shd w:val="clear" w:color="auto" w:fill="auto"/>
            <w:noWrap/>
            <w:vAlign w:val="bottom"/>
          </w:tcPr>
          <w:p w14:paraId="5BA36FF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0.26</w:t>
            </w:r>
          </w:p>
        </w:tc>
        <w:tc>
          <w:tcPr>
            <w:tcW w:w="1071" w:type="pct"/>
            <w:shd w:val="clear" w:color="auto" w:fill="auto"/>
            <w:noWrap/>
            <w:vAlign w:val="bottom"/>
          </w:tcPr>
          <w:p w14:paraId="7B3115A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0.016541</w:t>
            </w:r>
          </w:p>
        </w:tc>
        <w:tc>
          <w:tcPr>
            <w:tcW w:w="872" w:type="pct"/>
            <w:shd w:val="clear" w:color="auto" w:fill="auto"/>
            <w:noWrap/>
            <w:vAlign w:val="bottom"/>
          </w:tcPr>
          <w:p w14:paraId="1EF7B50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0.83</w:t>
            </w:r>
          </w:p>
        </w:tc>
      </w:tr>
      <w:tr w14:paraId="05B42B2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991281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1875</w:t>
            </w:r>
          </w:p>
        </w:tc>
        <w:tc>
          <w:tcPr>
            <w:tcW w:w="1331" w:type="pct"/>
            <w:shd w:val="clear" w:color="auto" w:fill="auto"/>
            <w:noWrap/>
            <w:vAlign w:val="bottom"/>
          </w:tcPr>
          <w:p w14:paraId="0A08BE6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0.002337</w:t>
            </w:r>
          </w:p>
        </w:tc>
        <w:tc>
          <w:tcPr>
            <w:tcW w:w="915" w:type="pct"/>
            <w:shd w:val="clear" w:color="auto" w:fill="auto"/>
            <w:noWrap/>
            <w:vAlign w:val="bottom"/>
          </w:tcPr>
          <w:p w14:paraId="2AEC4AC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0.26</w:t>
            </w:r>
          </w:p>
        </w:tc>
        <w:tc>
          <w:tcPr>
            <w:tcW w:w="1071" w:type="pct"/>
            <w:shd w:val="clear" w:color="auto" w:fill="auto"/>
            <w:noWrap/>
            <w:vAlign w:val="bottom"/>
          </w:tcPr>
          <w:p w14:paraId="1FC0A55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0.016379</w:t>
            </w:r>
          </w:p>
        </w:tc>
        <w:tc>
          <w:tcPr>
            <w:tcW w:w="872" w:type="pct"/>
            <w:shd w:val="clear" w:color="auto" w:fill="auto"/>
            <w:noWrap/>
            <w:vAlign w:val="bottom"/>
          </w:tcPr>
          <w:p w14:paraId="7FEF42A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0.82</w:t>
            </w:r>
          </w:p>
        </w:tc>
      </w:tr>
      <w:tr w14:paraId="3A56A03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17B311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1900</w:t>
            </w:r>
          </w:p>
        </w:tc>
        <w:tc>
          <w:tcPr>
            <w:tcW w:w="1331" w:type="pct"/>
            <w:shd w:val="clear" w:color="auto" w:fill="auto"/>
            <w:noWrap/>
            <w:vAlign w:val="bottom"/>
          </w:tcPr>
          <w:p w14:paraId="3443F93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0.002314</w:t>
            </w:r>
          </w:p>
        </w:tc>
        <w:tc>
          <w:tcPr>
            <w:tcW w:w="915" w:type="pct"/>
            <w:shd w:val="clear" w:color="auto" w:fill="auto"/>
            <w:noWrap/>
            <w:vAlign w:val="bottom"/>
          </w:tcPr>
          <w:p w14:paraId="7075659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0.26</w:t>
            </w:r>
          </w:p>
        </w:tc>
        <w:tc>
          <w:tcPr>
            <w:tcW w:w="1071" w:type="pct"/>
            <w:shd w:val="clear" w:color="auto" w:fill="auto"/>
            <w:noWrap/>
            <w:vAlign w:val="bottom"/>
          </w:tcPr>
          <w:p w14:paraId="0487129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0.016219</w:t>
            </w:r>
          </w:p>
        </w:tc>
        <w:tc>
          <w:tcPr>
            <w:tcW w:w="872" w:type="pct"/>
            <w:shd w:val="clear" w:color="auto" w:fill="auto"/>
            <w:noWrap/>
            <w:vAlign w:val="bottom"/>
          </w:tcPr>
          <w:p w14:paraId="02ABB67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0.81</w:t>
            </w:r>
          </w:p>
        </w:tc>
      </w:tr>
      <w:tr w14:paraId="08807BD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A63CE5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1925</w:t>
            </w:r>
          </w:p>
        </w:tc>
        <w:tc>
          <w:tcPr>
            <w:tcW w:w="1331" w:type="pct"/>
            <w:shd w:val="clear" w:color="auto" w:fill="auto"/>
            <w:noWrap/>
            <w:vAlign w:val="bottom"/>
          </w:tcPr>
          <w:p w14:paraId="20D004B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0.002291</w:t>
            </w:r>
          </w:p>
        </w:tc>
        <w:tc>
          <w:tcPr>
            <w:tcW w:w="915" w:type="pct"/>
            <w:shd w:val="clear" w:color="auto" w:fill="auto"/>
            <w:noWrap/>
            <w:vAlign w:val="bottom"/>
          </w:tcPr>
          <w:p w14:paraId="18596D8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0.25</w:t>
            </w:r>
          </w:p>
        </w:tc>
        <w:tc>
          <w:tcPr>
            <w:tcW w:w="1071" w:type="pct"/>
            <w:shd w:val="clear" w:color="auto" w:fill="auto"/>
            <w:noWrap/>
            <w:vAlign w:val="bottom"/>
          </w:tcPr>
          <w:p w14:paraId="7B8DD7C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0.016061</w:t>
            </w:r>
          </w:p>
        </w:tc>
        <w:tc>
          <w:tcPr>
            <w:tcW w:w="872" w:type="pct"/>
            <w:shd w:val="clear" w:color="auto" w:fill="auto"/>
            <w:noWrap/>
            <w:vAlign w:val="bottom"/>
          </w:tcPr>
          <w:p w14:paraId="0DA03B0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w:t>
            </w:r>
          </w:p>
        </w:tc>
      </w:tr>
      <w:tr w14:paraId="7943B53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4215DC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1950</w:t>
            </w:r>
          </w:p>
        </w:tc>
        <w:tc>
          <w:tcPr>
            <w:tcW w:w="1331" w:type="pct"/>
            <w:shd w:val="clear" w:color="auto" w:fill="auto"/>
            <w:noWrap/>
            <w:vAlign w:val="bottom"/>
          </w:tcPr>
          <w:p w14:paraId="4D32B37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0.002269</w:t>
            </w:r>
          </w:p>
        </w:tc>
        <w:tc>
          <w:tcPr>
            <w:tcW w:w="915" w:type="pct"/>
            <w:shd w:val="clear" w:color="auto" w:fill="auto"/>
            <w:noWrap/>
            <w:vAlign w:val="bottom"/>
          </w:tcPr>
          <w:p w14:paraId="21B36FE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0.25</w:t>
            </w:r>
          </w:p>
        </w:tc>
        <w:tc>
          <w:tcPr>
            <w:tcW w:w="1071" w:type="pct"/>
            <w:shd w:val="clear" w:color="auto" w:fill="auto"/>
            <w:noWrap/>
            <w:vAlign w:val="bottom"/>
          </w:tcPr>
          <w:p w14:paraId="352DFE5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0.015906</w:t>
            </w:r>
          </w:p>
        </w:tc>
        <w:tc>
          <w:tcPr>
            <w:tcW w:w="872" w:type="pct"/>
            <w:shd w:val="clear" w:color="auto" w:fill="auto"/>
            <w:noWrap/>
            <w:vAlign w:val="bottom"/>
          </w:tcPr>
          <w:p w14:paraId="1EE36EF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w:t>
            </w:r>
          </w:p>
        </w:tc>
      </w:tr>
      <w:tr w14:paraId="496BEDC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1AAE20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1975</w:t>
            </w:r>
          </w:p>
        </w:tc>
        <w:tc>
          <w:tcPr>
            <w:tcW w:w="1331" w:type="pct"/>
            <w:shd w:val="clear" w:color="auto" w:fill="auto"/>
            <w:noWrap/>
            <w:vAlign w:val="bottom"/>
          </w:tcPr>
          <w:p w14:paraId="09E1868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0.002247</w:t>
            </w:r>
          </w:p>
        </w:tc>
        <w:tc>
          <w:tcPr>
            <w:tcW w:w="915" w:type="pct"/>
            <w:shd w:val="clear" w:color="auto" w:fill="auto"/>
            <w:noWrap/>
            <w:vAlign w:val="bottom"/>
          </w:tcPr>
          <w:p w14:paraId="7AB1033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0.25</w:t>
            </w:r>
          </w:p>
        </w:tc>
        <w:tc>
          <w:tcPr>
            <w:tcW w:w="1071" w:type="pct"/>
            <w:shd w:val="clear" w:color="auto" w:fill="auto"/>
            <w:noWrap/>
            <w:vAlign w:val="bottom"/>
          </w:tcPr>
          <w:p w14:paraId="0A69C48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0.015753</w:t>
            </w:r>
          </w:p>
        </w:tc>
        <w:tc>
          <w:tcPr>
            <w:tcW w:w="872" w:type="pct"/>
            <w:shd w:val="clear" w:color="auto" w:fill="auto"/>
            <w:noWrap/>
            <w:vAlign w:val="bottom"/>
          </w:tcPr>
          <w:p w14:paraId="0D8240F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0.79</w:t>
            </w:r>
          </w:p>
        </w:tc>
      </w:tr>
      <w:tr w14:paraId="1D25BE6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9FF244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2000</w:t>
            </w:r>
          </w:p>
        </w:tc>
        <w:tc>
          <w:tcPr>
            <w:tcW w:w="1331" w:type="pct"/>
            <w:shd w:val="clear" w:color="auto" w:fill="auto"/>
            <w:noWrap/>
            <w:vAlign w:val="bottom"/>
          </w:tcPr>
          <w:p w14:paraId="7D8DA78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0.002226</w:t>
            </w:r>
          </w:p>
        </w:tc>
        <w:tc>
          <w:tcPr>
            <w:tcW w:w="915" w:type="pct"/>
            <w:shd w:val="clear" w:color="auto" w:fill="auto"/>
            <w:noWrap/>
            <w:vAlign w:val="bottom"/>
          </w:tcPr>
          <w:p w14:paraId="61B9B11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0.25</w:t>
            </w:r>
          </w:p>
        </w:tc>
        <w:tc>
          <w:tcPr>
            <w:tcW w:w="1071" w:type="pct"/>
            <w:shd w:val="clear" w:color="auto" w:fill="auto"/>
            <w:noWrap/>
            <w:vAlign w:val="bottom"/>
          </w:tcPr>
          <w:p w14:paraId="2B3AFAF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0.015603</w:t>
            </w:r>
          </w:p>
        </w:tc>
        <w:tc>
          <w:tcPr>
            <w:tcW w:w="872" w:type="pct"/>
            <w:shd w:val="clear" w:color="auto" w:fill="auto"/>
            <w:noWrap/>
            <w:vAlign w:val="bottom"/>
          </w:tcPr>
          <w:p w14:paraId="0875309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0.78</w:t>
            </w:r>
          </w:p>
        </w:tc>
      </w:tr>
      <w:tr w14:paraId="6B67733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B44936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2025</w:t>
            </w:r>
          </w:p>
        </w:tc>
        <w:tc>
          <w:tcPr>
            <w:tcW w:w="1331" w:type="pct"/>
            <w:shd w:val="clear" w:color="auto" w:fill="auto"/>
            <w:noWrap/>
            <w:vAlign w:val="bottom"/>
          </w:tcPr>
          <w:p w14:paraId="1792B15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0.002205</w:t>
            </w:r>
          </w:p>
        </w:tc>
        <w:tc>
          <w:tcPr>
            <w:tcW w:w="915" w:type="pct"/>
            <w:shd w:val="clear" w:color="auto" w:fill="auto"/>
            <w:noWrap/>
            <w:vAlign w:val="bottom"/>
          </w:tcPr>
          <w:p w14:paraId="14ECABF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0.24</w:t>
            </w:r>
          </w:p>
        </w:tc>
        <w:tc>
          <w:tcPr>
            <w:tcW w:w="1071" w:type="pct"/>
            <w:shd w:val="clear" w:color="auto" w:fill="auto"/>
            <w:noWrap/>
            <w:vAlign w:val="bottom"/>
          </w:tcPr>
          <w:p w14:paraId="4935E23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0.015456</w:t>
            </w:r>
          </w:p>
        </w:tc>
        <w:tc>
          <w:tcPr>
            <w:tcW w:w="872" w:type="pct"/>
            <w:shd w:val="clear" w:color="auto" w:fill="auto"/>
            <w:noWrap/>
            <w:vAlign w:val="bottom"/>
          </w:tcPr>
          <w:p w14:paraId="45BB159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0.77</w:t>
            </w:r>
          </w:p>
        </w:tc>
      </w:tr>
      <w:tr w14:paraId="165700A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33299A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2050</w:t>
            </w:r>
          </w:p>
        </w:tc>
        <w:tc>
          <w:tcPr>
            <w:tcW w:w="1331" w:type="pct"/>
            <w:shd w:val="clear" w:color="auto" w:fill="auto"/>
            <w:noWrap/>
            <w:vAlign w:val="bottom"/>
          </w:tcPr>
          <w:p w14:paraId="6D40A8B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0.002184</w:t>
            </w:r>
          </w:p>
        </w:tc>
        <w:tc>
          <w:tcPr>
            <w:tcW w:w="915" w:type="pct"/>
            <w:shd w:val="clear" w:color="auto" w:fill="auto"/>
            <w:noWrap/>
            <w:vAlign w:val="bottom"/>
          </w:tcPr>
          <w:p w14:paraId="5428A04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0.24</w:t>
            </w:r>
          </w:p>
        </w:tc>
        <w:tc>
          <w:tcPr>
            <w:tcW w:w="1071" w:type="pct"/>
            <w:shd w:val="clear" w:color="auto" w:fill="auto"/>
            <w:noWrap/>
            <w:vAlign w:val="bottom"/>
          </w:tcPr>
          <w:p w14:paraId="49D7024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0.01531</w:t>
            </w:r>
          </w:p>
        </w:tc>
        <w:tc>
          <w:tcPr>
            <w:tcW w:w="872" w:type="pct"/>
            <w:shd w:val="clear" w:color="auto" w:fill="auto"/>
            <w:noWrap/>
            <w:vAlign w:val="bottom"/>
          </w:tcPr>
          <w:p w14:paraId="33BBCEB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0.77</w:t>
            </w:r>
          </w:p>
        </w:tc>
      </w:tr>
      <w:tr w14:paraId="538E7B7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CBD545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2075</w:t>
            </w:r>
          </w:p>
        </w:tc>
        <w:tc>
          <w:tcPr>
            <w:tcW w:w="1331" w:type="pct"/>
            <w:shd w:val="clear" w:color="auto" w:fill="auto"/>
            <w:noWrap/>
            <w:vAlign w:val="bottom"/>
          </w:tcPr>
          <w:p w14:paraId="065748E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0.002164</w:t>
            </w:r>
          </w:p>
        </w:tc>
        <w:tc>
          <w:tcPr>
            <w:tcW w:w="915" w:type="pct"/>
            <w:shd w:val="clear" w:color="auto" w:fill="auto"/>
            <w:noWrap/>
            <w:vAlign w:val="bottom"/>
          </w:tcPr>
          <w:p w14:paraId="476AF32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0.24</w:t>
            </w:r>
          </w:p>
        </w:tc>
        <w:tc>
          <w:tcPr>
            <w:tcW w:w="1071" w:type="pct"/>
            <w:shd w:val="clear" w:color="auto" w:fill="auto"/>
            <w:noWrap/>
            <w:vAlign w:val="bottom"/>
          </w:tcPr>
          <w:p w14:paraId="55F4842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0.015166</w:t>
            </w:r>
          </w:p>
        </w:tc>
        <w:tc>
          <w:tcPr>
            <w:tcW w:w="872" w:type="pct"/>
            <w:shd w:val="clear" w:color="auto" w:fill="auto"/>
            <w:noWrap/>
            <w:vAlign w:val="bottom"/>
          </w:tcPr>
          <w:p w14:paraId="55AF4FD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0.76</w:t>
            </w:r>
          </w:p>
        </w:tc>
      </w:tr>
      <w:tr w14:paraId="6E06B84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19AE56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2100</w:t>
            </w:r>
          </w:p>
        </w:tc>
        <w:tc>
          <w:tcPr>
            <w:tcW w:w="1331" w:type="pct"/>
            <w:shd w:val="clear" w:color="auto" w:fill="auto"/>
            <w:noWrap/>
            <w:vAlign w:val="bottom"/>
          </w:tcPr>
          <w:p w14:paraId="78E1695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0.002144</w:t>
            </w:r>
          </w:p>
        </w:tc>
        <w:tc>
          <w:tcPr>
            <w:tcW w:w="915" w:type="pct"/>
            <w:shd w:val="clear" w:color="auto" w:fill="auto"/>
            <w:noWrap/>
            <w:vAlign w:val="bottom"/>
          </w:tcPr>
          <w:p w14:paraId="7D47520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0.24</w:t>
            </w:r>
          </w:p>
        </w:tc>
        <w:tc>
          <w:tcPr>
            <w:tcW w:w="1071" w:type="pct"/>
            <w:shd w:val="clear" w:color="auto" w:fill="auto"/>
            <w:noWrap/>
            <w:vAlign w:val="bottom"/>
          </w:tcPr>
          <w:p w14:paraId="679277D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0.015025</w:t>
            </w:r>
          </w:p>
        </w:tc>
        <w:tc>
          <w:tcPr>
            <w:tcW w:w="872" w:type="pct"/>
            <w:shd w:val="clear" w:color="auto" w:fill="auto"/>
            <w:noWrap/>
            <w:vAlign w:val="bottom"/>
          </w:tcPr>
          <w:p w14:paraId="3719CE4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0.75</w:t>
            </w:r>
          </w:p>
        </w:tc>
      </w:tr>
      <w:tr w14:paraId="4159C57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49E9AD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2125</w:t>
            </w:r>
          </w:p>
        </w:tc>
        <w:tc>
          <w:tcPr>
            <w:tcW w:w="1331" w:type="pct"/>
            <w:shd w:val="clear" w:color="auto" w:fill="auto"/>
            <w:noWrap/>
            <w:vAlign w:val="bottom"/>
          </w:tcPr>
          <w:p w14:paraId="54F890E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0.002124</w:t>
            </w:r>
          </w:p>
        </w:tc>
        <w:tc>
          <w:tcPr>
            <w:tcW w:w="915" w:type="pct"/>
            <w:shd w:val="clear" w:color="auto" w:fill="auto"/>
            <w:noWrap/>
            <w:vAlign w:val="bottom"/>
          </w:tcPr>
          <w:p w14:paraId="4AAFECD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0.24</w:t>
            </w:r>
          </w:p>
        </w:tc>
        <w:tc>
          <w:tcPr>
            <w:tcW w:w="1071" w:type="pct"/>
            <w:shd w:val="clear" w:color="auto" w:fill="auto"/>
            <w:noWrap/>
            <w:vAlign w:val="bottom"/>
          </w:tcPr>
          <w:p w14:paraId="1C94845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0.014886</w:t>
            </w:r>
          </w:p>
        </w:tc>
        <w:tc>
          <w:tcPr>
            <w:tcW w:w="872" w:type="pct"/>
            <w:shd w:val="clear" w:color="auto" w:fill="auto"/>
            <w:noWrap/>
            <w:vAlign w:val="bottom"/>
          </w:tcPr>
          <w:p w14:paraId="735226C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0.74</w:t>
            </w:r>
          </w:p>
        </w:tc>
      </w:tr>
      <w:tr w14:paraId="52B239E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A75D6F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2150</w:t>
            </w:r>
          </w:p>
        </w:tc>
        <w:tc>
          <w:tcPr>
            <w:tcW w:w="1331" w:type="pct"/>
            <w:shd w:val="clear" w:color="auto" w:fill="auto"/>
            <w:noWrap/>
            <w:vAlign w:val="bottom"/>
          </w:tcPr>
          <w:p w14:paraId="7D2EC9E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0.002104</w:t>
            </w:r>
          </w:p>
        </w:tc>
        <w:tc>
          <w:tcPr>
            <w:tcW w:w="915" w:type="pct"/>
            <w:shd w:val="clear" w:color="auto" w:fill="auto"/>
            <w:noWrap/>
            <w:vAlign w:val="bottom"/>
          </w:tcPr>
          <w:p w14:paraId="39C5254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0.23</w:t>
            </w:r>
          </w:p>
        </w:tc>
        <w:tc>
          <w:tcPr>
            <w:tcW w:w="1071" w:type="pct"/>
            <w:shd w:val="clear" w:color="auto" w:fill="auto"/>
            <w:noWrap/>
            <w:vAlign w:val="bottom"/>
          </w:tcPr>
          <w:p w14:paraId="10B4277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0.01475</w:t>
            </w:r>
          </w:p>
        </w:tc>
        <w:tc>
          <w:tcPr>
            <w:tcW w:w="872" w:type="pct"/>
            <w:shd w:val="clear" w:color="auto" w:fill="auto"/>
            <w:noWrap/>
            <w:vAlign w:val="bottom"/>
          </w:tcPr>
          <w:p w14:paraId="378E40C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0.74</w:t>
            </w:r>
          </w:p>
        </w:tc>
      </w:tr>
      <w:tr w14:paraId="7B9087E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A12672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2175</w:t>
            </w:r>
          </w:p>
        </w:tc>
        <w:tc>
          <w:tcPr>
            <w:tcW w:w="1331" w:type="pct"/>
            <w:shd w:val="clear" w:color="auto" w:fill="auto"/>
            <w:noWrap/>
            <w:vAlign w:val="bottom"/>
          </w:tcPr>
          <w:p w14:paraId="6B6485C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0.002085</w:t>
            </w:r>
          </w:p>
        </w:tc>
        <w:tc>
          <w:tcPr>
            <w:tcW w:w="915" w:type="pct"/>
            <w:shd w:val="clear" w:color="auto" w:fill="auto"/>
            <w:noWrap/>
            <w:vAlign w:val="bottom"/>
          </w:tcPr>
          <w:p w14:paraId="7572553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0.23</w:t>
            </w:r>
          </w:p>
        </w:tc>
        <w:tc>
          <w:tcPr>
            <w:tcW w:w="1071" w:type="pct"/>
            <w:shd w:val="clear" w:color="auto" w:fill="auto"/>
            <w:noWrap/>
            <w:vAlign w:val="bottom"/>
          </w:tcPr>
          <w:p w14:paraId="14B5EC2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0.014614</w:t>
            </w:r>
          </w:p>
        </w:tc>
        <w:tc>
          <w:tcPr>
            <w:tcW w:w="872" w:type="pct"/>
            <w:shd w:val="clear" w:color="auto" w:fill="auto"/>
            <w:noWrap/>
            <w:vAlign w:val="bottom"/>
          </w:tcPr>
          <w:p w14:paraId="67D487E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0.73</w:t>
            </w:r>
          </w:p>
        </w:tc>
      </w:tr>
      <w:tr w14:paraId="33E0840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3F716CC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2200</w:t>
            </w:r>
          </w:p>
        </w:tc>
        <w:tc>
          <w:tcPr>
            <w:tcW w:w="1331" w:type="pct"/>
            <w:shd w:val="clear" w:color="auto" w:fill="auto"/>
            <w:noWrap/>
            <w:vAlign w:val="bottom"/>
          </w:tcPr>
          <w:p w14:paraId="22C3F1B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0.002066</w:t>
            </w:r>
          </w:p>
        </w:tc>
        <w:tc>
          <w:tcPr>
            <w:tcW w:w="915" w:type="pct"/>
            <w:shd w:val="clear" w:color="auto" w:fill="auto"/>
            <w:noWrap/>
            <w:vAlign w:val="bottom"/>
          </w:tcPr>
          <w:p w14:paraId="06756BB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0.23</w:t>
            </w:r>
          </w:p>
        </w:tc>
        <w:tc>
          <w:tcPr>
            <w:tcW w:w="1071" w:type="pct"/>
            <w:shd w:val="clear" w:color="auto" w:fill="auto"/>
            <w:noWrap/>
            <w:vAlign w:val="bottom"/>
          </w:tcPr>
          <w:p w14:paraId="3F8325C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0.014482</w:t>
            </w:r>
          </w:p>
        </w:tc>
        <w:tc>
          <w:tcPr>
            <w:tcW w:w="872" w:type="pct"/>
            <w:shd w:val="clear" w:color="auto" w:fill="auto"/>
            <w:noWrap/>
            <w:vAlign w:val="bottom"/>
          </w:tcPr>
          <w:p w14:paraId="6B0366A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0.72</w:t>
            </w:r>
          </w:p>
        </w:tc>
      </w:tr>
      <w:tr w14:paraId="2F110ED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2BBC06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2225</w:t>
            </w:r>
          </w:p>
        </w:tc>
        <w:tc>
          <w:tcPr>
            <w:tcW w:w="1331" w:type="pct"/>
            <w:shd w:val="clear" w:color="auto" w:fill="auto"/>
            <w:noWrap/>
            <w:vAlign w:val="bottom"/>
          </w:tcPr>
          <w:p w14:paraId="046A999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0.002047</w:t>
            </w:r>
          </w:p>
        </w:tc>
        <w:tc>
          <w:tcPr>
            <w:tcW w:w="915" w:type="pct"/>
            <w:shd w:val="clear" w:color="auto" w:fill="auto"/>
            <w:noWrap/>
            <w:vAlign w:val="bottom"/>
          </w:tcPr>
          <w:p w14:paraId="52C91571">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0.23</w:t>
            </w:r>
          </w:p>
        </w:tc>
        <w:tc>
          <w:tcPr>
            <w:tcW w:w="1071" w:type="pct"/>
            <w:shd w:val="clear" w:color="auto" w:fill="auto"/>
            <w:noWrap/>
            <w:vAlign w:val="bottom"/>
          </w:tcPr>
          <w:p w14:paraId="47D0138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0.014351</w:t>
            </w:r>
          </w:p>
        </w:tc>
        <w:tc>
          <w:tcPr>
            <w:tcW w:w="872" w:type="pct"/>
            <w:shd w:val="clear" w:color="auto" w:fill="auto"/>
            <w:noWrap/>
            <w:vAlign w:val="bottom"/>
          </w:tcPr>
          <w:p w14:paraId="39B80A1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0.72</w:t>
            </w:r>
          </w:p>
        </w:tc>
      </w:tr>
      <w:tr w14:paraId="3413197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6B9C25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2250</w:t>
            </w:r>
          </w:p>
        </w:tc>
        <w:tc>
          <w:tcPr>
            <w:tcW w:w="1331" w:type="pct"/>
            <w:shd w:val="clear" w:color="auto" w:fill="auto"/>
            <w:noWrap/>
            <w:vAlign w:val="bottom"/>
          </w:tcPr>
          <w:p w14:paraId="36E044C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0.002029</w:t>
            </w:r>
          </w:p>
        </w:tc>
        <w:tc>
          <w:tcPr>
            <w:tcW w:w="915" w:type="pct"/>
            <w:shd w:val="clear" w:color="auto" w:fill="auto"/>
            <w:noWrap/>
            <w:vAlign w:val="bottom"/>
          </w:tcPr>
          <w:p w14:paraId="0D55FF2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0.23</w:t>
            </w:r>
          </w:p>
        </w:tc>
        <w:tc>
          <w:tcPr>
            <w:tcW w:w="1071" w:type="pct"/>
            <w:shd w:val="clear" w:color="auto" w:fill="auto"/>
            <w:noWrap/>
            <w:vAlign w:val="bottom"/>
          </w:tcPr>
          <w:p w14:paraId="633C3F4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0.014223</w:t>
            </w:r>
          </w:p>
        </w:tc>
        <w:tc>
          <w:tcPr>
            <w:tcW w:w="872" w:type="pct"/>
            <w:shd w:val="clear" w:color="auto" w:fill="auto"/>
            <w:noWrap/>
            <w:vAlign w:val="bottom"/>
          </w:tcPr>
          <w:p w14:paraId="2E81759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0.71</w:t>
            </w:r>
          </w:p>
        </w:tc>
      </w:tr>
      <w:tr w14:paraId="3A4C75D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56E7D0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2275</w:t>
            </w:r>
          </w:p>
        </w:tc>
        <w:tc>
          <w:tcPr>
            <w:tcW w:w="1331" w:type="pct"/>
            <w:shd w:val="clear" w:color="auto" w:fill="auto"/>
            <w:noWrap/>
            <w:vAlign w:val="bottom"/>
          </w:tcPr>
          <w:p w14:paraId="185205C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0.002011</w:t>
            </w:r>
          </w:p>
        </w:tc>
        <w:tc>
          <w:tcPr>
            <w:tcW w:w="915" w:type="pct"/>
            <w:shd w:val="clear" w:color="auto" w:fill="auto"/>
            <w:noWrap/>
            <w:vAlign w:val="bottom"/>
          </w:tcPr>
          <w:p w14:paraId="1FE30ED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0.22</w:t>
            </w:r>
          </w:p>
        </w:tc>
        <w:tc>
          <w:tcPr>
            <w:tcW w:w="1071" w:type="pct"/>
            <w:shd w:val="clear" w:color="auto" w:fill="auto"/>
            <w:noWrap/>
            <w:vAlign w:val="bottom"/>
          </w:tcPr>
          <w:p w14:paraId="3149627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0.014096</w:t>
            </w:r>
          </w:p>
        </w:tc>
        <w:tc>
          <w:tcPr>
            <w:tcW w:w="872" w:type="pct"/>
            <w:shd w:val="clear" w:color="auto" w:fill="auto"/>
            <w:noWrap/>
            <w:vAlign w:val="bottom"/>
          </w:tcPr>
          <w:p w14:paraId="4B4D6F9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w:t>
            </w:r>
          </w:p>
        </w:tc>
      </w:tr>
      <w:tr w14:paraId="44A5D08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661427D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2300</w:t>
            </w:r>
          </w:p>
        </w:tc>
        <w:tc>
          <w:tcPr>
            <w:tcW w:w="1331" w:type="pct"/>
            <w:shd w:val="clear" w:color="auto" w:fill="auto"/>
            <w:noWrap/>
            <w:vAlign w:val="bottom"/>
          </w:tcPr>
          <w:p w14:paraId="7786AEB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0.001993</w:t>
            </w:r>
          </w:p>
        </w:tc>
        <w:tc>
          <w:tcPr>
            <w:tcW w:w="915" w:type="pct"/>
            <w:shd w:val="clear" w:color="auto" w:fill="auto"/>
            <w:noWrap/>
            <w:vAlign w:val="bottom"/>
          </w:tcPr>
          <w:p w14:paraId="6F24C85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0.22</w:t>
            </w:r>
          </w:p>
        </w:tc>
        <w:tc>
          <w:tcPr>
            <w:tcW w:w="1071" w:type="pct"/>
            <w:shd w:val="clear" w:color="auto" w:fill="auto"/>
            <w:noWrap/>
            <w:vAlign w:val="bottom"/>
          </w:tcPr>
          <w:p w14:paraId="744BDBE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0.013971</w:t>
            </w:r>
          </w:p>
        </w:tc>
        <w:tc>
          <w:tcPr>
            <w:tcW w:w="872" w:type="pct"/>
            <w:shd w:val="clear" w:color="auto" w:fill="auto"/>
            <w:noWrap/>
            <w:vAlign w:val="bottom"/>
          </w:tcPr>
          <w:p w14:paraId="757B205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w:t>
            </w:r>
          </w:p>
        </w:tc>
      </w:tr>
      <w:tr w14:paraId="7793B16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506B907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2325</w:t>
            </w:r>
          </w:p>
        </w:tc>
        <w:tc>
          <w:tcPr>
            <w:tcW w:w="1331" w:type="pct"/>
            <w:shd w:val="clear" w:color="auto" w:fill="auto"/>
            <w:noWrap/>
            <w:vAlign w:val="bottom"/>
          </w:tcPr>
          <w:p w14:paraId="70F6417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0.001976</w:t>
            </w:r>
          </w:p>
        </w:tc>
        <w:tc>
          <w:tcPr>
            <w:tcW w:w="915" w:type="pct"/>
            <w:shd w:val="clear" w:color="auto" w:fill="auto"/>
            <w:noWrap/>
            <w:vAlign w:val="bottom"/>
          </w:tcPr>
          <w:p w14:paraId="2BB2AE0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0.22</w:t>
            </w:r>
          </w:p>
        </w:tc>
        <w:tc>
          <w:tcPr>
            <w:tcW w:w="1071" w:type="pct"/>
            <w:shd w:val="clear" w:color="auto" w:fill="auto"/>
            <w:noWrap/>
            <w:vAlign w:val="bottom"/>
          </w:tcPr>
          <w:p w14:paraId="4407965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0.013847</w:t>
            </w:r>
          </w:p>
        </w:tc>
        <w:tc>
          <w:tcPr>
            <w:tcW w:w="872" w:type="pct"/>
            <w:shd w:val="clear" w:color="auto" w:fill="auto"/>
            <w:noWrap/>
            <w:vAlign w:val="bottom"/>
          </w:tcPr>
          <w:p w14:paraId="4FCB052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0.69</w:t>
            </w:r>
          </w:p>
        </w:tc>
      </w:tr>
      <w:tr w14:paraId="5A57D04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138666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2350</w:t>
            </w:r>
          </w:p>
        </w:tc>
        <w:tc>
          <w:tcPr>
            <w:tcW w:w="1331" w:type="pct"/>
            <w:shd w:val="clear" w:color="auto" w:fill="auto"/>
            <w:noWrap/>
            <w:vAlign w:val="bottom"/>
          </w:tcPr>
          <w:p w14:paraId="75293B9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0.001958</w:t>
            </w:r>
          </w:p>
        </w:tc>
        <w:tc>
          <w:tcPr>
            <w:tcW w:w="915" w:type="pct"/>
            <w:shd w:val="clear" w:color="auto" w:fill="auto"/>
            <w:noWrap/>
            <w:vAlign w:val="bottom"/>
          </w:tcPr>
          <w:p w14:paraId="36B5346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0.22</w:t>
            </w:r>
          </w:p>
        </w:tc>
        <w:tc>
          <w:tcPr>
            <w:tcW w:w="1071" w:type="pct"/>
            <w:shd w:val="clear" w:color="auto" w:fill="auto"/>
            <w:noWrap/>
            <w:vAlign w:val="bottom"/>
          </w:tcPr>
          <w:p w14:paraId="618B8EF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0.013726</w:t>
            </w:r>
          </w:p>
        </w:tc>
        <w:tc>
          <w:tcPr>
            <w:tcW w:w="872" w:type="pct"/>
            <w:shd w:val="clear" w:color="auto" w:fill="auto"/>
            <w:noWrap/>
            <w:vAlign w:val="bottom"/>
          </w:tcPr>
          <w:p w14:paraId="4972FA7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0.69</w:t>
            </w:r>
          </w:p>
        </w:tc>
      </w:tr>
      <w:tr w14:paraId="17372E2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DC3116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2375</w:t>
            </w:r>
          </w:p>
        </w:tc>
        <w:tc>
          <w:tcPr>
            <w:tcW w:w="1331" w:type="pct"/>
            <w:shd w:val="clear" w:color="auto" w:fill="auto"/>
            <w:noWrap/>
            <w:vAlign w:val="bottom"/>
          </w:tcPr>
          <w:p w14:paraId="4380DDEC">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0.001941</w:t>
            </w:r>
          </w:p>
        </w:tc>
        <w:tc>
          <w:tcPr>
            <w:tcW w:w="915" w:type="pct"/>
            <w:shd w:val="clear" w:color="auto" w:fill="auto"/>
            <w:noWrap/>
            <w:vAlign w:val="bottom"/>
          </w:tcPr>
          <w:p w14:paraId="76C3A28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0.22</w:t>
            </w:r>
          </w:p>
        </w:tc>
        <w:tc>
          <w:tcPr>
            <w:tcW w:w="1071" w:type="pct"/>
            <w:shd w:val="clear" w:color="auto" w:fill="auto"/>
            <w:noWrap/>
            <w:vAlign w:val="bottom"/>
          </w:tcPr>
          <w:p w14:paraId="6E6CDA4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0.013606</w:t>
            </w:r>
          </w:p>
        </w:tc>
        <w:tc>
          <w:tcPr>
            <w:tcW w:w="872" w:type="pct"/>
            <w:shd w:val="clear" w:color="auto" w:fill="auto"/>
            <w:noWrap/>
            <w:vAlign w:val="bottom"/>
          </w:tcPr>
          <w:p w14:paraId="04CEB96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0.68</w:t>
            </w:r>
          </w:p>
        </w:tc>
      </w:tr>
      <w:tr w14:paraId="263BA85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181855B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2400</w:t>
            </w:r>
          </w:p>
        </w:tc>
        <w:tc>
          <w:tcPr>
            <w:tcW w:w="1331" w:type="pct"/>
            <w:shd w:val="clear" w:color="auto" w:fill="auto"/>
            <w:noWrap/>
            <w:vAlign w:val="bottom"/>
          </w:tcPr>
          <w:p w14:paraId="276E19F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0.001924</w:t>
            </w:r>
          </w:p>
        </w:tc>
        <w:tc>
          <w:tcPr>
            <w:tcW w:w="915" w:type="pct"/>
            <w:shd w:val="clear" w:color="auto" w:fill="auto"/>
            <w:noWrap/>
            <w:vAlign w:val="bottom"/>
          </w:tcPr>
          <w:p w14:paraId="25B50C6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0.21</w:t>
            </w:r>
          </w:p>
        </w:tc>
        <w:tc>
          <w:tcPr>
            <w:tcW w:w="1071" w:type="pct"/>
            <w:shd w:val="clear" w:color="auto" w:fill="auto"/>
            <w:noWrap/>
            <w:vAlign w:val="bottom"/>
          </w:tcPr>
          <w:p w14:paraId="6D8AAD9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0.013489</w:t>
            </w:r>
          </w:p>
        </w:tc>
        <w:tc>
          <w:tcPr>
            <w:tcW w:w="872" w:type="pct"/>
            <w:shd w:val="clear" w:color="auto" w:fill="auto"/>
            <w:noWrap/>
            <w:vAlign w:val="bottom"/>
          </w:tcPr>
          <w:p w14:paraId="1C591AD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0.67</w:t>
            </w:r>
          </w:p>
        </w:tc>
      </w:tr>
      <w:tr w14:paraId="0E39683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4E02060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2425</w:t>
            </w:r>
          </w:p>
        </w:tc>
        <w:tc>
          <w:tcPr>
            <w:tcW w:w="1331" w:type="pct"/>
            <w:shd w:val="clear" w:color="auto" w:fill="auto"/>
            <w:noWrap/>
            <w:vAlign w:val="bottom"/>
          </w:tcPr>
          <w:p w14:paraId="2192FC8D">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0.001908</w:t>
            </w:r>
          </w:p>
        </w:tc>
        <w:tc>
          <w:tcPr>
            <w:tcW w:w="915" w:type="pct"/>
            <w:shd w:val="clear" w:color="auto" w:fill="auto"/>
            <w:noWrap/>
            <w:vAlign w:val="bottom"/>
          </w:tcPr>
          <w:p w14:paraId="30F835D2">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0.21</w:t>
            </w:r>
          </w:p>
        </w:tc>
        <w:tc>
          <w:tcPr>
            <w:tcW w:w="1071" w:type="pct"/>
            <w:shd w:val="clear" w:color="auto" w:fill="auto"/>
            <w:noWrap/>
            <w:vAlign w:val="bottom"/>
          </w:tcPr>
          <w:p w14:paraId="45AF268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0.013373</w:t>
            </w:r>
          </w:p>
        </w:tc>
        <w:tc>
          <w:tcPr>
            <w:tcW w:w="872" w:type="pct"/>
            <w:shd w:val="clear" w:color="auto" w:fill="auto"/>
            <w:noWrap/>
            <w:vAlign w:val="bottom"/>
          </w:tcPr>
          <w:p w14:paraId="565D377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0.67</w:t>
            </w:r>
          </w:p>
        </w:tc>
      </w:tr>
      <w:tr w14:paraId="5C8E269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037666C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2450</w:t>
            </w:r>
          </w:p>
        </w:tc>
        <w:tc>
          <w:tcPr>
            <w:tcW w:w="1331" w:type="pct"/>
            <w:shd w:val="clear" w:color="auto" w:fill="auto"/>
            <w:noWrap/>
            <w:vAlign w:val="bottom"/>
          </w:tcPr>
          <w:p w14:paraId="0A7BC21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0.001891</w:t>
            </w:r>
          </w:p>
        </w:tc>
        <w:tc>
          <w:tcPr>
            <w:tcW w:w="915" w:type="pct"/>
            <w:shd w:val="clear" w:color="auto" w:fill="auto"/>
            <w:noWrap/>
            <w:vAlign w:val="bottom"/>
          </w:tcPr>
          <w:p w14:paraId="4374386A">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0.21</w:t>
            </w:r>
          </w:p>
        </w:tc>
        <w:tc>
          <w:tcPr>
            <w:tcW w:w="1071" w:type="pct"/>
            <w:shd w:val="clear" w:color="auto" w:fill="auto"/>
            <w:noWrap/>
            <w:vAlign w:val="bottom"/>
          </w:tcPr>
          <w:p w14:paraId="056E37A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0.013258</w:t>
            </w:r>
          </w:p>
        </w:tc>
        <w:tc>
          <w:tcPr>
            <w:tcW w:w="872" w:type="pct"/>
            <w:shd w:val="clear" w:color="auto" w:fill="auto"/>
            <w:noWrap/>
            <w:vAlign w:val="bottom"/>
          </w:tcPr>
          <w:p w14:paraId="207BCCF6">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0.66</w:t>
            </w:r>
          </w:p>
        </w:tc>
      </w:tr>
      <w:tr w14:paraId="2BA6D3E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7FEEAB1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2475</w:t>
            </w:r>
          </w:p>
        </w:tc>
        <w:tc>
          <w:tcPr>
            <w:tcW w:w="1331" w:type="pct"/>
            <w:shd w:val="clear" w:color="auto" w:fill="auto"/>
            <w:noWrap/>
            <w:vAlign w:val="bottom"/>
          </w:tcPr>
          <w:p w14:paraId="4AE89A7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0.001875</w:t>
            </w:r>
          </w:p>
        </w:tc>
        <w:tc>
          <w:tcPr>
            <w:tcW w:w="915" w:type="pct"/>
            <w:shd w:val="clear" w:color="auto" w:fill="auto"/>
            <w:noWrap/>
            <w:vAlign w:val="bottom"/>
          </w:tcPr>
          <w:p w14:paraId="3C43FCB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0.21</w:t>
            </w:r>
          </w:p>
        </w:tc>
        <w:tc>
          <w:tcPr>
            <w:tcW w:w="1071" w:type="pct"/>
            <w:shd w:val="clear" w:color="auto" w:fill="auto"/>
            <w:noWrap/>
            <w:vAlign w:val="bottom"/>
          </w:tcPr>
          <w:p w14:paraId="6F19F4D3">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0.013145</w:t>
            </w:r>
          </w:p>
        </w:tc>
        <w:tc>
          <w:tcPr>
            <w:tcW w:w="872" w:type="pct"/>
            <w:shd w:val="clear" w:color="auto" w:fill="auto"/>
            <w:noWrap/>
            <w:vAlign w:val="bottom"/>
          </w:tcPr>
          <w:p w14:paraId="2233661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0.66</w:t>
            </w:r>
          </w:p>
        </w:tc>
      </w:tr>
      <w:tr w14:paraId="434F613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bottom"/>
          </w:tcPr>
          <w:p w14:paraId="613A58E5">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2500</w:t>
            </w:r>
          </w:p>
        </w:tc>
        <w:tc>
          <w:tcPr>
            <w:tcW w:w="1331" w:type="pct"/>
            <w:shd w:val="clear" w:color="auto" w:fill="auto"/>
            <w:noWrap/>
            <w:vAlign w:val="bottom"/>
          </w:tcPr>
          <w:p w14:paraId="447C403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0.00186</w:t>
            </w:r>
          </w:p>
        </w:tc>
        <w:tc>
          <w:tcPr>
            <w:tcW w:w="915" w:type="pct"/>
            <w:shd w:val="clear" w:color="auto" w:fill="auto"/>
            <w:noWrap/>
            <w:vAlign w:val="bottom"/>
          </w:tcPr>
          <w:p w14:paraId="37D3F41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0.21</w:t>
            </w:r>
          </w:p>
        </w:tc>
        <w:tc>
          <w:tcPr>
            <w:tcW w:w="1071" w:type="pct"/>
            <w:shd w:val="clear" w:color="auto" w:fill="auto"/>
            <w:noWrap/>
            <w:vAlign w:val="bottom"/>
          </w:tcPr>
          <w:p w14:paraId="64448639">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0.013034</w:t>
            </w:r>
          </w:p>
        </w:tc>
        <w:tc>
          <w:tcPr>
            <w:tcW w:w="872" w:type="pct"/>
            <w:shd w:val="clear" w:color="auto" w:fill="auto"/>
            <w:noWrap/>
            <w:vAlign w:val="bottom"/>
          </w:tcPr>
          <w:p w14:paraId="1EF7BF8F">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0.65</w:t>
            </w:r>
          </w:p>
        </w:tc>
      </w:tr>
    </w:tbl>
    <w:p w14:paraId="7CB84B04">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根据表6.1-5预测结果，颗粒物、非甲烷总烃的最大地面浓度占标率</w:t>
      </w:r>
      <w:r>
        <w:rPr>
          <w:rFonts w:eastAsia="Times New Roman"/>
          <w:color w:val="000000" w:themeColor="text1"/>
          <w:position w:val="2"/>
          <w14:textFill>
            <w14:solidFill>
              <w14:schemeClr w14:val="tx1"/>
            </w14:solidFill>
          </w14:textFill>
        </w:rPr>
        <w:t xml:space="preserve">1%  </w:t>
      </w:r>
      <w:r>
        <w:rPr>
          <w:color w:val="000000" w:themeColor="text1"/>
          <w:position w:val="2"/>
          <w14:textFill>
            <w14:solidFill>
              <w14:schemeClr w14:val="tx1"/>
            </w14:solidFill>
          </w14:textFill>
        </w:rPr>
        <w:t xml:space="preserve">≤ </w:t>
      </w:r>
      <w:r>
        <w:rPr>
          <w:color w:val="000000" w:themeColor="text1"/>
          <w:sz w:val="24"/>
          <w14:textFill>
            <w14:solidFill>
              <w14:schemeClr w14:val="tx1"/>
            </w14:solidFill>
          </w14:textFill>
        </w:rPr>
        <w:t>P</w:t>
      </w:r>
      <w:r>
        <w:rPr>
          <w:color w:val="000000" w:themeColor="text1"/>
          <w:sz w:val="24"/>
          <w:vertAlign w:val="subscript"/>
          <w14:textFill>
            <w14:solidFill>
              <w14:schemeClr w14:val="tx1"/>
            </w14:solidFill>
          </w14:textFill>
        </w:rPr>
        <w:t>max</w:t>
      </w:r>
      <w:r>
        <w:rPr>
          <w:color w:val="000000" w:themeColor="text1"/>
          <w:sz w:val="24"/>
          <w14:textFill>
            <w14:solidFill>
              <w14:schemeClr w14:val="tx1"/>
            </w14:solidFill>
          </w14:textFill>
        </w:rPr>
        <w:t>=6.41&lt;10%。根据HJ/T2.2-2018的要求，本项目环境空气评价工作等级划分为二级。</w:t>
      </w:r>
    </w:p>
    <w:p w14:paraId="010A6A7C">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颗粒物、非甲烷总烃的最大落地浓度位于污染源下风向196m处，最大落地浓度分别为</w:t>
      </w:r>
      <w:r>
        <w:rPr>
          <w:b/>
          <w:color w:val="000000" w:themeColor="text1"/>
          <w:sz w:val="24"/>
          <w14:textFill>
            <w14:solidFill>
              <w14:schemeClr w14:val="tx1"/>
            </w14:solidFill>
          </w14:textFill>
        </w:rPr>
        <w:t>0.018286</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b/>
          <w:color w:val="000000" w:themeColor="text1"/>
          <w:sz w:val="24"/>
          <w14:textFill>
            <w14:solidFill>
              <w14:schemeClr w14:val="tx1"/>
            </w14:solidFill>
          </w14:textFill>
        </w:rPr>
        <w:t>0.128178</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w:t>
      </w:r>
    </w:p>
    <w:p w14:paraId="22769E8B">
      <w:pPr>
        <w:jc w:val="center"/>
        <w:rPr>
          <w:b/>
          <w:color w:val="000000" w:themeColor="text1"/>
          <w:sz w:val="24"/>
          <w14:textFill>
            <w14:solidFill>
              <w14:schemeClr w14:val="tx1"/>
            </w14:solidFill>
          </w14:textFill>
        </w:rPr>
      </w:pPr>
    </w:p>
    <w:p w14:paraId="2AD50788">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（2）异味</w:t>
      </w:r>
    </w:p>
    <w:p w14:paraId="7C5DC2A9">
      <w:pPr>
        <w:spacing w:line="360" w:lineRule="auto"/>
        <w:ind w:firstLine="480"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①</w:t>
      </w:r>
      <w:r>
        <w:rPr>
          <w:b/>
          <w:color w:val="000000" w:themeColor="text1"/>
          <w:sz w:val="24"/>
          <w14:textFill>
            <w14:solidFill>
              <w14:schemeClr w14:val="tx1"/>
            </w14:solidFill>
          </w14:textFill>
        </w:rPr>
        <w:t>生产异味</w:t>
      </w:r>
    </w:p>
    <w:p w14:paraId="3773874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本项目造粒挤出过程中，会产生一定量的异味（主要为乙烯、丙烯单体等），</w:t>
      </w:r>
    </w:p>
    <w:p w14:paraId="15912A43">
      <w:pPr>
        <w:autoSpaceDE w:val="0"/>
        <w:autoSpaceDN w:val="0"/>
        <w:adjustRightInd w:val="0"/>
        <w:spacing w:line="360" w:lineRule="auto"/>
        <w:ind w:firstLine="480" w:firstLineChars="200"/>
        <w:jc w:val="left"/>
        <w:rPr>
          <w:rFonts w:eastAsia="新宋体"/>
          <w:color w:val="000000" w:themeColor="text1"/>
          <w:kern w:val="0"/>
          <w:sz w:val="24"/>
          <w:szCs w:val="20"/>
          <w14:textFill>
            <w14:solidFill>
              <w14:schemeClr w14:val="tx1"/>
            </w14:solidFill>
          </w14:textFill>
        </w:rPr>
      </w:pPr>
      <w:r>
        <w:rPr>
          <w:rFonts w:eastAsia="新宋体"/>
          <w:color w:val="000000" w:themeColor="text1"/>
          <w:sz w:val="24"/>
          <w:szCs w:val="21"/>
          <w14:textFill>
            <w14:solidFill>
              <w14:schemeClr w14:val="tx1"/>
            </w14:solidFill>
          </w14:textFill>
        </w:rPr>
        <w:t>臭气浓度类比已公示的《滁州庆伟再生塑业有限公司年产3000吨废塑料回收再生颗粒工程项目环境影响报告书》中“《上海舒氏塑业有限公司建设项目竣工验收监测报告》，根据监测报告，监测期间造粒废气排气筒监测臭气产生浓度最大值为1170（无量纲），排放浓度最大值为234（无量纲），厂界处监测臭气浓度小于10（无量纲）”。</w:t>
      </w:r>
      <w:r>
        <w:rPr>
          <w:rFonts w:eastAsia="新宋体"/>
          <w:color w:val="000000" w:themeColor="text1"/>
          <w:kern w:val="0"/>
          <w:sz w:val="24"/>
          <w:szCs w:val="20"/>
          <w14:textFill>
            <w14:solidFill>
              <w14:schemeClr w14:val="tx1"/>
            </w14:solidFill>
          </w14:textFill>
        </w:rPr>
        <w:t>本项目与上海舒氏公司生产运行情况对比见下表。</w:t>
      </w:r>
    </w:p>
    <w:p w14:paraId="4268EF58">
      <w:pPr>
        <w:jc w:val="center"/>
        <w:rPr>
          <w:rFonts w:eastAsia="新宋体"/>
          <w:b/>
          <w:color w:val="000000" w:themeColor="text1"/>
          <w:sz w:val="24"/>
          <w14:textFill>
            <w14:solidFill>
              <w14:schemeClr w14:val="tx1"/>
            </w14:solidFill>
          </w14:textFill>
        </w:rPr>
      </w:pPr>
      <w:r>
        <w:rPr>
          <w:rFonts w:eastAsia="新宋体"/>
          <w:b/>
          <w:color w:val="000000" w:themeColor="text1"/>
          <w:sz w:val="24"/>
          <w14:textFill>
            <w14:solidFill>
              <w14:schemeClr w14:val="tx1"/>
            </w14:solidFill>
          </w14:textFill>
        </w:rPr>
        <w:t>表6.1-6  本项目与上海舒氏公司生产运行情况对比一览表</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785"/>
        <w:gridCol w:w="1192"/>
        <w:gridCol w:w="1057"/>
        <w:gridCol w:w="2521"/>
      </w:tblGrid>
      <w:tr w14:paraId="14E26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4" w:type="dxa"/>
            <w:vAlign w:val="center"/>
          </w:tcPr>
          <w:p w14:paraId="02B491C2">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项目</w:t>
            </w:r>
          </w:p>
        </w:tc>
        <w:tc>
          <w:tcPr>
            <w:tcW w:w="1785" w:type="dxa"/>
            <w:vAlign w:val="center"/>
          </w:tcPr>
          <w:p w14:paraId="54598803">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原料</w:t>
            </w:r>
          </w:p>
        </w:tc>
        <w:tc>
          <w:tcPr>
            <w:tcW w:w="1192" w:type="dxa"/>
            <w:vAlign w:val="center"/>
          </w:tcPr>
          <w:p w14:paraId="57879255">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规模</w:t>
            </w:r>
          </w:p>
        </w:tc>
        <w:tc>
          <w:tcPr>
            <w:tcW w:w="1057" w:type="dxa"/>
            <w:vAlign w:val="center"/>
          </w:tcPr>
          <w:p w14:paraId="672F2114">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生产工艺</w:t>
            </w:r>
          </w:p>
        </w:tc>
        <w:tc>
          <w:tcPr>
            <w:tcW w:w="2521" w:type="dxa"/>
            <w:vAlign w:val="center"/>
          </w:tcPr>
          <w:p w14:paraId="4867C953">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污染防治措施</w:t>
            </w:r>
          </w:p>
        </w:tc>
      </w:tr>
      <w:tr w14:paraId="7AEED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4" w:type="dxa"/>
            <w:vAlign w:val="center"/>
          </w:tcPr>
          <w:p w14:paraId="0F98DF2B">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上海舒氏塑业有限公司建设项目</w:t>
            </w:r>
          </w:p>
        </w:tc>
        <w:tc>
          <w:tcPr>
            <w:tcW w:w="1785" w:type="dxa"/>
            <w:vAlign w:val="center"/>
          </w:tcPr>
          <w:p w14:paraId="30ACB5E9">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废塑料（主要为PE、PP、PET）</w:t>
            </w:r>
          </w:p>
        </w:tc>
        <w:tc>
          <w:tcPr>
            <w:tcW w:w="1192" w:type="dxa"/>
            <w:vAlign w:val="center"/>
          </w:tcPr>
          <w:p w14:paraId="027569DD">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40000t/a</w:t>
            </w:r>
          </w:p>
        </w:tc>
        <w:tc>
          <w:tcPr>
            <w:tcW w:w="1057" w:type="dxa"/>
            <w:vAlign w:val="center"/>
          </w:tcPr>
          <w:p w14:paraId="230800B2">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挤出造粒</w:t>
            </w:r>
          </w:p>
        </w:tc>
        <w:tc>
          <w:tcPr>
            <w:tcW w:w="2521" w:type="dxa"/>
            <w:vAlign w:val="center"/>
          </w:tcPr>
          <w:p w14:paraId="4257B8B0">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废气收集后经“过滤棉+活性炭装置”处理后排放</w:t>
            </w:r>
          </w:p>
        </w:tc>
      </w:tr>
      <w:tr w14:paraId="7C113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4" w:type="dxa"/>
            <w:vAlign w:val="center"/>
          </w:tcPr>
          <w:p w14:paraId="5E66EDB6">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本项目</w:t>
            </w:r>
          </w:p>
        </w:tc>
        <w:tc>
          <w:tcPr>
            <w:tcW w:w="1785" w:type="dxa"/>
            <w:vAlign w:val="center"/>
          </w:tcPr>
          <w:p w14:paraId="11D62FB0">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废塑料（PE、PP）</w:t>
            </w:r>
          </w:p>
        </w:tc>
        <w:tc>
          <w:tcPr>
            <w:tcW w:w="1192" w:type="dxa"/>
            <w:vAlign w:val="center"/>
          </w:tcPr>
          <w:p w14:paraId="137A706D">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5000t/a</w:t>
            </w:r>
          </w:p>
        </w:tc>
        <w:tc>
          <w:tcPr>
            <w:tcW w:w="1057" w:type="dxa"/>
            <w:vAlign w:val="center"/>
          </w:tcPr>
          <w:p w14:paraId="256057EF">
            <w:pPr>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挤出造粒</w:t>
            </w:r>
          </w:p>
        </w:tc>
        <w:tc>
          <w:tcPr>
            <w:tcW w:w="2521" w:type="dxa"/>
            <w:vAlign w:val="center"/>
          </w:tcPr>
          <w:p w14:paraId="10D73900">
            <w:pP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废气收集后经“过滤棉+活性炭”装置处理后排放</w:t>
            </w:r>
          </w:p>
        </w:tc>
      </w:tr>
    </w:tbl>
    <w:p w14:paraId="52F57E2C">
      <w:pPr>
        <w:adjustRightInd w:val="0"/>
        <w:snapToGrid w:val="0"/>
        <w:spacing w:line="360" w:lineRule="auto"/>
        <w:ind w:firstLine="480" w:firstLineChars="200"/>
        <w:jc w:val="left"/>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由上表可见，本项目与上海舒氏塑业有限公司相比原料更简单，工艺及污染防治措施相似，监测时舒氏塑业设备产能为6.05t/h，本项目生产线最大产能2.08t/h，产能比其小；</w:t>
      </w:r>
    </w:p>
    <w:p w14:paraId="70C8F7C8">
      <w:pPr>
        <w:adjustRightInd w:val="0"/>
        <w:snapToGrid w:val="0"/>
        <w:spacing w:line="360" w:lineRule="auto"/>
        <w:ind w:firstLine="480" w:firstLineChars="200"/>
        <w:jc w:val="left"/>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该项目监测报告显示厂界处臭气浓度10（无量纲），因此，本项目运营过程中，厂界臭气浓度可以满足《恶臭污染物排放标准》（GB14554-1993）中表1恶臭污染物厂界标准中二级标准。</w:t>
      </w:r>
    </w:p>
    <w:p w14:paraId="4FA28033">
      <w:pPr>
        <w:spacing w:line="360" w:lineRule="auto"/>
        <w:ind w:firstLine="480"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②</w:t>
      </w:r>
      <w:r>
        <w:rPr>
          <w:b/>
          <w:color w:val="000000" w:themeColor="text1"/>
          <w:sz w:val="24"/>
          <w14:textFill>
            <w14:solidFill>
              <w14:schemeClr w14:val="tx1"/>
            </w14:solidFill>
          </w14:textFill>
        </w:rPr>
        <w:t>化粪池和生活垃圾收集异味</w:t>
      </w:r>
    </w:p>
    <w:p w14:paraId="2CB8358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项目建设有化粪池，采用地埋式，生活垃圾采用垃圾桶，垃圾及时清运，化粪池及时清掏，并且厂区有大量绿化，150m范围内无居民区，其异味对环境影响较小。</w:t>
      </w:r>
    </w:p>
    <w:p w14:paraId="3BD39782">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3、厂界达标及保护目标环境影响分析</w:t>
      </w:r>
    </w:p>
    <w:p w14:paraId="442A61E1">
      <w:pPr>
        <w:spacing w:line="360" w:lineRule="auto"/>
        <w:ind w:firstLine="600" w:firstLineChars="250"/>
        <w:jc w:val="left"/>
        <w:rPr>
          <w:b/>
          <w:color w:val="000000" w:themeColor="text1"/>
          <w:sz w:val="24"/>
          <w14:textFill>
            <w14:solidFill>
              <w14:schemeClr w14:val="tx1"/>
            </w14:solidFill>
          </w14:textFill>
        </w:rPr>
      </w:pPr>
      <w:r>
        <w:rPr>
          <w:color w:val="000000" w:themeColor="text1"/>
          <w:sz w:val="24"/>
          <w14:textFill>
            <w14:solidFill>
              <w14:schemeClr w14:val="tx1"/>
            </w14:solidFill>
          </w14:textFill>
        </w:rPr>
        <w:t>综上，根据HJ2.2-2018《环境影响评价技术导则-大气环境》推荐的估算模式（AERSCREEN），见表6.1-7。</w:t>
      </w:r>
    </w:p>
    <w:p w14:paraId="107196F8">
      <w:pPr>
        <w:ind w:firstLine="42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表6.1-7  污染源下风向最大落地浓度及占标率一览表</w:t>
      </w:r>
    </w:p>
    <w:tbl>
      <w:tblPr>
        <w:tblStyle w:val="42"/>
        <w:tblW w:w="5000"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3121"/>
        <w:gridCol w:w="2127"/>
        <w:gridCol w:w="1133"/>
        <w:gridCol w:w="1466"/>
      </w:tblGrid>
      <w:tr w14:paraId="5A74466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96" w:type="pct"/>
            <w:vAlign w:val="center"/>
          </w:tcPr>
          <w:p w14:paraId="7AC8CAB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831" w:type="pct"/>
            <w:vAlign w:val="center"/>
          </w:tcPr>
          <w:p w14:paraId="3F6A75F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污染源</w:t>
            </w:r>
          </w:p>
        </w:tc>
        <w:tc>
          <w:tcPr>
            <w:tcW w:w="1248" w:type="pct"/>
            <w:vAlign w:val="center"/>
          </w:tcPr>
          <w:p w14:paraId="591C681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最大贡献浓度（mg/m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665" w:type="pct"/>
            <w:vAlign w:val="center"/>
          </w:tcPr>
          <w:p w14:paraId="7DA3C99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P</w:t>
            </w:r>
            <w:r>
              <w:rPr>
                <w:b/>
                <w:color w:val="000000" w:themeColor="text1"/>
                <w:szCs w:val="21"/>
                <w:vertAlign w:val="subscript"/>
                <w14:textFill>
                  <w14:solidFill>
                    <w14:schemeClr w14:val="tx1"/>
                  </w14:solidFill>
                </w14:textFill>
              </w:rPr>
              <w:t>max</w:t>
            </w:r>
            <w:r>
              <w:rPr>
                <w:b/>
                <w:color w:val="000000" w:themeColor="text1"/>
                <w:szCs w:val="21"/>
                <w14:textFill>
                  <w14:solidFill>
                    <w14:schemeClr w14:val="tx1"/>
                  </w14:solidFill>
                </w14:textFill>
              </w:rPr>
              <w:t>（%）</w:t>
            </w:r>
          </w:p>
        </w:tc>
        <w:tc>
          <w:tcPr>
            <w:tcW w:w="860" w:type="pct"/>
            <w:vAlign w:val="center"/>
          </w:tcPr>
          <w:p w14:paraId="45B7F6F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距污染源中心距离(m)</w:t>
            </w:r>
          </w:p>
        </w:tc>
      </w:tr>
      <w:tr w14:paraId="3089927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restart"/>
            <w:vAlign w:val="center"/>
          </w:tcPr>
          <w:p w14:paraId="23EB75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1831" w:type="pct"/>
            <w:vAlign w:val="center"/>
          </w:tcPr>
          <w:p w14:paraId="25169A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颗粒物（TSP）</w:t>
            </w:r>
          </w:p>
        </w:tc>
        <w:tc>
          <w:tcPr>
            <w:tcW w:w="1248" w:type="pct"/>
            <w:vAlign w:val="bottom"/>
          </w:tcPr>
          <w:p w14:paraId="3267FD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0.000108</w:t>
            </w:r>
          </w:p>
        </w:tc>
        <w:tc>
          <w:tcPr>
            <w:tcW w:w="665" w:type="pct"/>
            <w:vAlign w:val="bottom"/>
          </w:tcPr>
          <w:p w14:paraId="0000BE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860" w:type="pct"/>
            <w:vMerge w:val="restart"/>
            <w:vAlign w:val="center"/>
          </w:tcPr>
          <w:p w14:paraId="1CCCE2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196</w:t>
            </w:r>
          </w:p>
        </w:tc>
      </w:tr>
      <w:tr w14:paraId="2C75F57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4DC24500">
            <w:pPr>
              <w:jc w:val="center"/>
              <w:rPr>
                <w:color w:val="000000" w:themeColor="text1"/>
                <w:szCs w:val="21"/>
                <w14:textFill>
                  <w14:solidFill>
                    <w14:schemeClr w14:val="tx1"/>
                  </w14:solidFill>
                </w14:textFill>
              </w:rPr>
            </w:pPr>
          </w:p>
        </w:tc>
        <w:tc>
          <w:tcPr>
            <w:tcW w:w="1831" w:type="pct"/>
            <w:vAlign w:val="center"/>
          </w:tcPr>
          <w:p w14:paraId="7A4D32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248" w:type="pct"/>
            <w:vAlign w:val="bottom"/>
          </w:tcPr>
          <w:p w14:paraId="3B7CD9F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0.002261</w:t>
            </w:r>
          </w:p>
        </w:tc>
        <w:tc>
          <w:tcPr>
            <w:tcW w:w="665" w:type="pct"/>
            <w:vAlign w:val="bottom"/>
          </w:tcPr>
          <w:p w14:paraId="66E83E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w:t>
            </w:r>
          </w:p>
        </w:tc>
        <w:tc>
          <w:tcPr>
            <w:tcW w:w="860" w:type="pct"/>
            <w:vMerge w:val="continue"/>
            <w:vAlign w:val="center"/>
          </w:tcPr>
          <w:p w14:paraId="67212D46">
            <w:pPr>
              <w:jc w:val="center"/>
              <w:rPr>
                <w:color w:val="000000" w:themeColor="text1"/>
                <w:szCs w:val="21"/>
                <w14:textFill>
                  <w14:solidFill>
                    <w14:schemeClr w14:val="tx1"/>
                  </w14:solidFill>
                </w14:textFill>
              </w:rPr>
            </w:pPr>
          </w:p>
        </w:tc>
      </w:tr>
      <w:tr w14:paraId="2BB0D51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restart"/>
            <w:vAlign w:val="center"/>
          </w:tcPr>
          <w:p w14:paraId="26382BD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1831" w:type="pct"/>
            <w:vAlign w:val="center"/>
          </w:tcPr>
          <w:p w14:paraId="2C682B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颗粒物（TSP）</w:t>
            </w:r>
          </w:p>
        </w:tc>
        <w:tc>
          <w:tcPr>
            <w:tcW w:w="1248" w:type="pct"/>
            <w:vAlign w:val="bottom"/>
          </w:tcPr>
          <w:p w14:paraId="7947B0B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0.018286</w:t>
            </w:r>
          </w:p>
        </w:tc>
        <w:tc>
          <w:tcPr>
            <w:tcW w:w="665" w:type="pct"/>
            <w:vAlign w:val="bottom"/>
          </w:tcPr>
          <w:p w14:paraId="727AB3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2.03</w:t>
            </w:r>
          </w:p>
        </w:tc>
        <w:tc>
          <w:tcPr>
            <w:tcW w:w="860" w:type="pct"/>
            <w:vMerge w:val="restart"/>
            <w:vAlign w:val="center"/>
          </w:tcPr>
          <w:p w14:paraId="5AFD99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w:t>
            </w:r>
          </w:p>
        </w:tc>
      </w:tr>
      <w:tr w14:paraId="02078FB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3F1E62D3">
            <w:pPr>
              <w:jc w:val="center"/>
              <w:rPr>
                <w:color w:val="000000" w:themeColor="text1"/>
                <w:szCs w:val="21"/>
                <w14:textFill>
                  <w14:solidFill>
                    <w14:schemeClr w14:val="tx1"/>
                  </w14:solidFill>
                </w14:textFill>
              </w:rPr>
            </w:pPr>
          </w:p>
        </w:tc>
        <w:tc>
          <w:tcPr>
            <w:tcW w:w="1831" w:type="pct"/>
            <w:vAlign w:val="center"/>
          </w:tcPr>
          <w:p w14:paraId="37E767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248" w:type="pct"/>
            <w:vAlign w:val="bottom"/>
          </w:tcPr>
          <w:p w14:paraId="5C6D2A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0.128178</w:t>
            </w:r>
          </w:p>
        </w:tc>
        <w:tc>
          <w:tcPr>
            <w:tcW w:w="665" w:type="pct"/>
            <w:vAlign w:val="bottom"/>
          </w:tcPr>
          <w:p w14:paraId="06F1A9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6.41</w:t>
            </w:r>
          </w:p>
        </w:tc>
        <w:tc>
          <w:tcPr>
            <w:tcW w:w="860" w:type="pct"/>
            <w:vMerge w:val="continue"/>
            <w:vAlign w:val="center"/>
          </w:tcPr>
          <w:p w14:paraId="2A8764C6">
            <w:pPr>
              <w:jc w:val="center"/>
              <w:rPr>
                <w:color w:val="000000" w:themeColor="text1"/>
                <w:szCs w:val="21"/>
                <w14:textFill>
                  <w14:solidFill>
                    <w14:schemeClr w14:val="tx1"/>
                  </w14:solidFill>
                </w14:textFill>
              </w:rPr>
            </w:pPr>
          </w:p>
        </w:tc>
      </w:tr>
    </w:tbl>
    <w:p w14:paraId="6DB367B0">
      <w:pPr>
        <w:ind w:firstLine="422"/>
        <w:jc w:val="center"/>
        <w:rPr>
          <w:b/>
          <w:color w:val="000000" w:themeColor="text1"/>
          <w:sz w:val="24"/>
          <w14:textFill>
            <w14:solidFill>
              <w14:schemeClr w14:val="tx1"/>
            </w14:solidFill>
          </w14:textFill>
        </w:rPr>
      </w:pPr>
    </w:p>
    <w:p w14:paraId="54EEC4E7">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（1）厂界达标分析</w:t>
      </w:r>
    </w:p>
    <w:p w14:paraId="2366DA17">
      <w:pPr>
        <w:autoSpaceDE w:val="0"/>
        <w:autoSpaceDN w:val="0"/>
        <w:adjustRightInd w:val="0"/>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颗粒物厂界达标可行性分析：</w:t>
      </w:r>
      <w:r>
        <w:rPr>
          <w:color w:val="000000" w:themeColor="text1"/>
          <w:sz w:val="24"/>
          <w14:textFill>
            <w14:solidFill>
              <w14:schemeClr w14:val="tx1"/>
            </w14:solidFill>
          </w14:textFill>
        </w:rPr>
        <w:t>根据上述预测，颗粒物最大小时预测落地浓度为0.158454mg/m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（贡献值叠加背景值，贡献值选取落地浓度最大值叠加，背景值选取监测四分场四队TSP最大值0.138 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），因此厂界能满足</w:t>
      </w:r>
      <w:r>
        <w:rPr>
          <w:rFonts w:hint="eastAsia"/>
          <w:color w:val="FF0000"/>
          <w:sz w:val="24"/>
        </w:rPr>
        <w:t>《合成树脂工业污染物排放标准》（</w:t>
      </w:r>
      <w:r>
        <w:rPr>
          <w:color w:val="FF0000"/>
          <w:sz w:val="24"/>
        </w:rPr>
        <w:t>GB31572-2015</w:t>
      </w:r>
      <w:r>
        <w:rPr>
          <w:rFonts w:hint="eastAsia"/>
          <w:color w:val="FF0000"/>
          <w:sz w:val="24"/>
        </w:rPr>
        <w:t>）</w:t>
      </w:r>
      <w:r>
        <w:rPr>
          <w:color w:val="FF0000"/>
          <w:sz w:val="24"/>
        </w:rPr>
        <w:t>颗粒物1.0 mg/m</w:t>
      </w:r>
      <w:r>
        <w:rPr>
          <w:color w:val="FF0000"/>
          <w:sz w:val="24"/>
          <w:vertAlign w:val="superscript"/>
        </w:rPr>
        <w:t>3</w:t>
      </w:r>
      <w:r>
        <w:rPr>
          <w:color w:val="FF0000"/>
          <w:sz w:val="24"/>
        </w:rPr>
        <w:t>要求。</w:t>
      </w:r>
    </w:p>
    <w:p w14:paraId="6ADF560A">
      <w:pPr>
        <w:autoSpaceDE w:val="0"/>
        <w:autoSpaceDN w:val="0"/>
        <w:adjustRightInd w:val="0"/>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非甲烷总烃厂界达标可行性分析：</w:t>
      </w:r>
      <w:r>
        <w:rPr>
          <w:color w:val="000000" w:themeColor="text1"/>
          <w:sz w:val="24"/>
          <w14:textFill>
            <w14:solidFill>
              <w14:schemeClr w14:val="tx1"/>
            </w14:solidFill>
          </w14:textFill>
        </w:rPr>
        <w:t>根据上述预测，非甲烷总烃最大小时预测落地浓度为0.158454mg/m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（贡献值叠加背景值，贡献值选取落地浓度最大值叠加，背景值选取监测四分场四队非甲烷总烃最大值0.138 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），因此厂界能满足</w:t>
      </w:r>
      <w:r>
        <w:rPr>
          <w:rFonts w:hint="eastAsia"/>
          <w:color w:val="FF0000"/>
          <w:sz w:val="24"/>
        </w:rPr>
        <w:t>《合成树脂工业污染物排放标准》（</w:t>
      </w:r>
      <w:r>
        <w:rPr>
          <w:color w:val="FF0000"/>
          <w:sz w:val="24"/>
        </w:rPr>
        <w:t>GB31572-2015</w:t>
      </w:r>
      <w:r>
        <w:rPr>
          <w:rFonts w:hint="eastAsia"/>
          <w:color w:val="FF0000"/>
          <w:sz w:val="24"/>
        </w:rPr>
        <w:t>）</w:t>
      </w:r>
      <w:r>
        <w:rPr>
          <w:color w:val="FF0000"/>
          <w:sz w:val="24"/>
        </w:rPr>
        <w:t>非甲烷总烃4.0mg/m</w:t>
      </w:r>
      <w:r>
        <w:rPr>
          <w:color w:val="FF0000"/>
          <w:sz w:val="24"/>
          <w:vertAlign w:val="superscript"/>
        </w:rPr>
        <w:t>3</w:t>
      </w:r>
      <w:r>
        <w:rPr>
          <w:color w:val="FF0000"/>
          <w:sz w:val="24"/>
        </w:rPr>
        <w:t>要求。</w:t>
      </w:r>
    </w:p>
    <w:p w14:paraId="6A255A17">
      <w:pPr>
        <w:autoSpaceDE w:val="0"/>
        <w:autoSpaceDN w:val="0"/>
        <w:adjustRightInd w:val="0"/>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（2）保护目标</w:t>
      </w:r>
    </w:p>
    <w:p w14:paraId="5866495A">
      <w:pPr>
        <w:snapToGrid w:val="0"/>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云南环绿环境检测技术有限公司于</w:t>
      </w:r>
      <w:r>
        <w:rPr>
          <w:color w:val="000000" w:themeColor="text1"/>
          <w:sz w:val="24"/>
          <w14:textFill>
            <w14:solidFill>
              <w14:schemeClr w14:val="tx1"/>
            </w14:solidFill>
          </w14:textFill>
        </w:rPr>
        <w:t>2018年12月11日~17日</w:t>
      </w:r>
      <w:r>
        <w:rPr>
          <w:bCs/>
          <w:color w:val="000000" w:themeColor="text1"/>
          <w:sz w:val="24"/>
          <w14:textFill>
            <w14:solidFill>
              <w14:schemeClr w14:val="tx1"/>
            </w14:solidFill>
          </w14:textFill>
        </w:rPr>
        <w:t>对户焕</w:t>
      </w:r>
      <w:r>
        <w:rPr>
          <w:color w:val="000000" w:themeColor="text1"/>
          <w:sz w:val="24"/>
          <w:szCs w:val="20"/>
          <w14:textFill>
            <w14:solidFill>
              <w14:schemeClr w14:val="tx1"/>
            </w14:solidFill>
          </w14:textFill>
        </w:rPr>
        <w:t>（上风向）、</w:t>
      </w:r>
      <w:r>
        <w:rPr>
          <w:color w:val="000000" w:themeColor="text1"/>
          <w:sz w:val="24"/>
          <w14:textFill>
            <w14:solidFill>
              <w14:schemeClr w14:val="tx1"/>
            </w14:solidFill>
          </w14:textFill>
        </w:rPr>
        <w:t>四分场四队</w:t>
      </w:r>
      <w:r>
        <w:rPr>
          <w:color w:val="000000" w:themeColor="text1"/>
          <w:sz w:val="24"/>
          <w:szCs w:val="20"/>
          <w14:textFill>
            <w14:solidFill>
              <w14:schemeClr w14:val="tx1"/>
            </w14:solidFill>
          </w14:textFill>
        </w:rPr>
        <w:t>（下风向）</w:t>
      </w:r>
      <w:r>
        <w:rPr>
          <w:bCs/>
          <w:color w:val="000000" w:themeColor="text1"/>
          <w:sz w:val="24"/>
          <w14:textFill>
            <w14:solidFill>
              <w14:schemeClr w14:val="tx1"/>
            </w14:solidFill>
          </w14:textFill>
        </w:rPr>
        <w:t>环境空气质量现状进行了监测，其中芒捧村、回环傣寨距户焕</w:t>
      </w:r>
      <w:r>
        <w:rPr>
          <w:color w:val="000000" w:themeColor="text1"/>
          <w:sz w:val="24"/>
          <w14:textFill>
            <w14:solidFill>
              <w14:schemeClr w14:val="tx1"/>
            </w14:solidFill>
          </w14:textFill>
        </w:rPr>
        <w:t>较近，引用</w:t>
      </w:r>
      <w:r>
        <w:rPr>
          <w:bCs/>
          <w:color w:val="000000" w:themeColor="text1"/>
          <w:sz w:val="24"/>
          <w14:textFill>
            <w14:solidFill>
              <w14:schemeClr w14:val="tx1"/>
            </w14:solidFill>
          </w14:textFill>
        </w:rPr>
        <w:t>户焕</w:t>
      </w:r>
      <w:r>
        <w:rPr>
          <w:color w:val="000000" w:themeColor="text1"/>
          <w:sz w:val="24"/>
          <w14:textFill>
            <w14:solidFill>
              <w14:schemeClr w14:val="tx1"/>
            </w14:solidFill>
          </w14:textFill>
        </w:rPr>
        <w:t>的大气现状监测数据作为上述关心点的大气背景值；四分场五队</w:t>
      </w:r>
      <w:r>
        <w:rPr>
          <w:bCs/>
          <w:color w:val="000000" w:themeColor="text1"/>
          <w:sz w:val="24"/>
          <w14:textFill>
            <w14:solidFill>
              <w14:schemeClr w14:val="tx1"/>
            </w14:solidFill>
          </w14:textFill>
        </w:rPr>
        <w:t>距四分场四队</w:t>
      </w:r>
      <w:r>
        <w:rPr>
          <w:color w:val="000000" w:themeColor="text1"/>
          <w:sz w:val="24"/>
          <w14:textFill>
            <w14:solidFill>
              <w14:schemeClr w14:val="tx1"/>
            </w14:solidFill>
          </w14:textFill>
        </w:rPr>
        <w:t>较近，引用</w:t>
      </w:r>
      <w:r>
        <w:rPr>
          <w:bCs/>
          <w:color w:val="000000" w:themeColor="text1"/>
          <w:sz w:val="24"/>
          <w14:textFill>
            <w14:solidFill>
              <w14:schemeClr w14:val="tx1"/>
            </w14:solidFill>
          </w14:textFill>
        </w:rPr>
        <w:t>四分场四队</w:t>
      </w:r>
      <w:r>
        <w:rPr>
          <w:color w:val="000000" w:themeColor="text1"/>
          <w:sz w:val="24"/>
          <w14:textFill>
            <w14:solidFill>
              <w14:schemeClr w14:val="tx1"/>
            </w14:solidFill>
          </w14:textFill>
        </w:rPr>
        <w:t>的大气现状监测数据作为上述关心点的大气背景值；</w:t>
      </w:r>
    </w:p>
    <w:p w14:paraId="069465B9">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在叠加现状监测值后，各敏感点的各项污染物叠加值见下表：</w:t>
      </w:r>
    </w:p>
    <w:p w14:paraId="5C6F4BBE">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表6.1-8  关心点浓度最大预测值</w:t>
      </w:r>
    </w:p>
    <w:tbl>
      <w:tblPr>
        <w:tblStyle w:val="42"/>
        <w:tblW w:w="8698" w:type="dxa"/>
        <w:tblInd w:w="-176"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3"/>
        <w:gridCol w:w="1559"/>
        <w:gridCol w:w="992"/>
        <w:gridCol w:w="1418"/>
        <w:gridCol w:w="1134"/>
        <w:gridCol w:w="850"/>
        <w:gridCol w:w="901"/>
      </w:tblGrid>
      <w:tr w14:paraId="78644BC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51" w:type="dxa"/>
            <w:vAlign w:val="center"/>
          </w:tcPr>
          <w:p w14:paraId="4A20A6A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关心点</w:t>
            </w:r>
          </w:p>
        </w:tc>
        <w:tc>
          <w:tcPr>
            <w:tcW w:w="993" w:type="dxa"/>
            <w:vAlign w:val="center"/>
          </w:tcPr>
          <w:p w14:paraId="0C4DC46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与项目区距离（m）</w:t>
            </w:r>
          </w:p>
        </w:tc>
        <w:tc>
          <w:tcPr>
            <w:tcW w:w="1559" w:type="dxa"/>
            <w:vAlign w:val="center"/>
          </w:tcPr>
          <w:p w14:paraId="34D804B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992" w:type="dxa"/>
            <w:vAlign w:val="center"/>
          </w:tcPr>
          <w:p w14:paraId="496D997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背景值</w:t>
            </w:r>
          </w:p>
          <w:p w14:paraId="681DBF1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p>
        </w:tc>
        <w:tc>
          <w:tcPr>
            <w:tcW w:w="1418" w:type="dxa"/>
            <w:vAlign w:val="center"/>
          </w:tcPr>
          <w:p w14:paraId="566FCEE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预测贡献值（有组织+无组织）</w:t>
            </w:r>
          </w:p>
          <w:p w14:paraId="2FA87A4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p>
        </w:tc>
        <w:tc>
          <w:tcPr>
            <w:tcW w:w="1134" w:type="dxa"/>
            <w:vAlign w:val="center"/>
          </w:tcPr>
          <w:p w14:paraId="7B3B4E2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预测值</w:t>
            </w:r>
          </w:p>
          <w:p w14:paraId="35ADA39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p>
        </w:tc>
        <w:tc>
          <w:tcPr>
            <w:tcW w:w="850" w:type="dxa"/>
            <w:vAlign w:val="center"/>
          </w:tcPr>
          <w:p w14:paraId="4EA1C26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w:t>
            </w:r>
          </w:p>
        </w:tc>
        <w:tc>
          <w:tcPr>
            <w:tcW w:w="901" w:type="dxa"/>
            <w:vAlign w:val="center"/>
          </w:tcPr>
          <w:p w14:paraId="5DA2D80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评价</w:t>
            </w:r>
          </w:p>
        </w:tc>
      </w:tr>
      <w:tr w14:paraId="52EF303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599775D9">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四分场四队</w:t>
            </w:r>
          </w:p>
        </w:tc>
        <w:tc>
          <w:tcPr>
            <w:tcW w:w="993" w:type="dxa"/>
            <w:vMerge w:val="restart"/>
            <w:vAlign w:val="center"/>
          </w:tcPr>
          <w:p w14:paraId="7B977464">
            <w:pPr>
              <w:jc w:val="center"/>
              <w:rPr>
                <w:b/>
                <w:color w:val="000000" w:themeColor="text1"/>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北侧</w:t>
            </w:r>
            <w:r>
              <w:rPr>
                <w:color w:val="000000" w:themeColor="text1"/>
                <w:kern w:val="0"/>
                <w:szCs w:val="21"/>
                <w14:textFill>
                  <w14:solidFill>
                    <w14:schemeClr w14:val="tx1"/>
                  </w14:solidFill>
                </w14:textFill>
              </w:rPr>
              <w:t>130</w:t>
            </w:r>
          </w:p>
        </w:tc>
        <w:tc>
          <w:tcPr>
            <w:tcW w:w="1559" w:type="dxa"/>
            <w:vAlign w:val="center"/>
          </w:tcPr>
          <w:p w14:paraId="477E1B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颗粒物（TSP）</w:t>
            </w:r>
          </w:p>
        </w:tc>
        <w:tc>
          <w:tcPr>
            <w:tcW w:w="992" w:type="dxa"/>
            <w:vAlign w:val="center"/>
          </w:tcPr>
          <w:p w14:paraId="33E90B8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0.15</w:t>
            </w:r>
          </w:p>
        </w:tc>
        <w:tc>
          <w:tcPr>
            <w:tcW w:w="1418" w:type="dxa"/>
            <w:vAlign w:val="center"/>
          </w:tcPr>
          <w:p w14:paraId="65D718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0.018394</w:t>
            </w:r>
          </w:p>
        </w:tc>
        <w:tc>
          <w:tcPr>
            <w:tcW w:w="1134" w:type="dxa"/>
            <w:vAlign w:val="center"/>
          </w:tcPr>
          <w:p w14:paraId="21E81698">
            <w:pPr>
              <w:widowControl/>
              <w:jc w:val="center"/>
              <w:rPr>
                <w:rFonts w:eastAsia="等线"/>
                <w:bCs/>
                <w:color w:val="000000" w:themeColor="text1"/>
                <w:kern w:val="0"/>
                <w:szCs w:val="21"/>
                <w14:textFill>
                  <w14:solidFill>
                    <w14:schemeClr w14:val="tx1"/>
                  </w14:solidFill>
                </w14:textFill>
              </w:rPr>
            </w:pPr>
            <w:r>
              <w:rPr>
                <w:rFonts w:eastAsia="等线"/>
                <w:bCs/>
                <w:color w:val="000000" w:themeColor="text1"/>
                <w:szCs w:val="21"/>
                <w14:textFill>
                  <w14:solidFill>
                    <w14:schemeClr w14:val="tx1"/>
                  </w14:solidFill>
                </w14:textFill>
              </w:rPr>
              <w:t>0.168394</w:t>
            </w:r>
          </w:p>
        </w:tc>
        <w:tc>
          <w:tcPr>
            <w:tcW w:w="850" w:type="dxa"/>
            <w:vAlign w:val="center"/>
          </w:tcPr>
          <w:p w14:paraId="202A75F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0.9</w:t>
            </w:r>
          </w:p>
        </w:tc>
        <w:tc>
          <w:tcPr>
            <w:tcW w:w="901" w:type="dxa"/>
            <w:vAlign w:val="center"/>
          </w:tcPr>
          <w:p w14:paraId="48A0E5A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r w14:paraId="044D270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21AFFB17">
            <w:pPr>
              <w:jc w:val="center"/>
              <w:rPr>
                <w:b/>
                <w:color w:val="000000" w:themeColor="text1"/>
                <w:szCs w:val="21"/>
                <w14:textFill>
                  <w14:solidFill>
                    <w14:schemeClr w14:val="tx1"/>
                  </w14:solidFill>
                </w14:textFill>
              </w:rPr>
            </w:pPr>
          </w:p>
        </w:tc>
        <w:tc>
          <w:tcPr>
            <w:tcW w:w="993" w:type="dxa"/>
            <w:vMerge w:val="continue"/>
            <w:vAlign w:val="center"/>
          </w:tcPr>
          <w:p w14:paraId="19208CAB">
            <w:pPr>
              <w:jc w:val="center"/>
              <w:rPr>
                <w:b/>
                <w:color w:val="000000" w:themeColor="text1"/>
                <w:szCs w:val="21"/>
                <w14:textFill>
                  <w14:solidFill>
                    <w14:schemeClr w14:val="tx1"/>
                  </w14:solidFill>
                </w14:textFill>
              </w:rPr>
            </w:pPr>
          </w:p>
        </w:tc>
        <w:tc>
          <w:tcPr>
            <w:tcW w:w="1559" w:type="dxa"/>
            <w:vAlign w:val="center"/>
          </w:tcPr>
          <w:p w14:paraId="5D2C6C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992" w:type="dxa"/>
            <w:vAlign w:val="center"/>
          </w:tcPr>
          <w:p w14:paraId="1778B3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0.00168</w:t>
            </w:r>
          </w:p>
        </w:tc>
        <w:tc>
          <w:tcPr>
            <w:tcW w:w="1418" w:type="dxa"/>
            <w:vAlign w:val="center"/>
          </w:tcPr>
          <w:p w14:paraId="21C58E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0.130439</w:t>
            </w:r>
          </w:p>
        </w:tc>
        <w:tc>
          <w:tcPr>
            <w:tcW w:w="1134" w:type="dxa"/>
            <w:vAlign w:val="center"/>
          </w:tcPr>
          <w:p w14:paraId="043F0E81">
            <w:pPr>
              <w:jc w:val="center"/>
              <w:rPr>
                <w:rFonts w:eastAsia="等线"/>
                <w:bCs/>
                <w:color w:val="000000" w:themeColor="text1"/>
                <w:szCs w:val="21"/>
                <w14:textFill>
                  <w14:solidFill>
                    <w14:schemeClr w14:val="tx1"/>
                  </w14:solidFill>
                </w14:textFill>
              </w:rPr>
            </w:pPr>
            <w:r>
              <w:rPr>
                <w:rFonts w:eastAsia="等线"/>
                <w:bCs/>
                <w:color w:val="000000" w:themeColor="text1"/>
                <w:szCs w:val="21"/>
                <w14:textFill>
                  <w14:solidFill>
                    <w14:schemeClr w14:val="tx1"/>
                  </w14:solidFill>
                </w14:textFill>
              </w:rPr>
              <w:t>0.132119</w:t>
            </w:r>
          </w:p>
        </w:tc>
        <w:tc>
          <w:tcPr>
            <w:tcW w:w="850" w:type="dxa"/>
            <w:vAlign w:val="center"/>
          </w:tcPr>
          <w:p w14:paraId="7FB4B2D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p>
        </w:tc>
        <w:tc>
          <w:tcPr>
            <w:tcW w:w="901" w:type="dxa"/>
            <w:vAlign w:val="center"/>
          </w:tcPr>
          <w:p w14:paraId="702345E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r w14:paraId="66E57EF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695F86C4">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四分场五队</w:t>
            </w:r>
          </w:p>
        </w:tc>
        <w:tc>
          <w:tcPr>
            <w:tcW w:w="993" w:type="dxa"/>
            <w:vMerge w:val="restart"/>
            <w:vAlign w:val="center"/>
          </w:tcPr>
          <w:p w14:paraId="3E91A20A">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东北侧1460</w:t>
            </w:r>
          </w:p>
        </w:tc>
        <w:tc>
          <w:tcPr>
            <w:tcW w:w="1559" w:type="dxa"/>
            <w:vAlign w:val="center"/>
          </w:tcPr>
          <w:p w14:paraId="6E15DE6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颗粒物（TSP）</w:t>
            </w:r>
          </w:p>
        </w:tc>
        <w:tc>
          <w:tcPr>
            <w:tcW w:w="992" w:type="dxa"/>
            <w:vAlign w:val="center"/>
          </w:tcPr>
          <w:p w14:paraId="2CF90B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0.15</w:t>
            </w:r>
          </w:p>
        </w:tc>
        <w:tc>
          <w:tcPr>
            <w:tcW w:w="1418" w:type="dxa"/>
            <w:vAlign w:val="center"/>
          </w:tcPr>
          <w:p w14:paraId="303DCF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0.018394</w:t>
            </w:r>
          </w:p>
        </w:tc>
        <w:tc>
          <w:tcPr>
            <w:tcW w:w="1134" w:type="dxa"/>
            <w:vAlign w:val="center"/>
          </w:tcPr>
          <w:p w14:paraId="56A1B503">
            <w:pPr>
              <w:jc w:val="center"/>
              <w:rPr>
                <w:rFonts w:eastAsia="等线"/>
                <w:bCs/>
                <w:color w:val="000000" w:themeColor="text1"/>
                <w:szCs w:val="21"/>
                <w14:textFill>
                  <w14:solidFill>
                    <w14:schemeClr w14:val="tx1"/>
                  </w14:solidFill>
                </w14:textFill>
              </w:rPr>
            </w:pPr>
            <w:r>
              <w:rPr>
                <w:rFonts w:eastAsia="等线"/>
                <w:bCs/>
                <w:color w:val="000000" w:themeColor="text1"/>
                <w:szCs w:val="21"/>
                <w14:textFill>
                  <w14:solidFill>
                    <w14:schemeClr w14:val="tx1"/>
                  </w14:solidFill>
                </w14:textFill>
              </w:rPr>
              <w:t>0.168394</w:t>
            </w:r>
          </w:p>
        </w:tc>
        <w:tc>
          <w:tcPr>
            <w:tcW w:w="850" w:type="dxa"/>
            <w:vAlign w:val="center"/>
          </w:tcPr>
          <w:p w14:paraId="583C75F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0.9</w:t>
            </w:r>
          </w:p>
        </w:tc>
        <w:tc>
          <w:tcPr>
            <w:tcW w:w="901" w:type="dxa"/>
            <w:vAlign w:val="center"/>
          </w:tcPr>
          <w:p w14:paraId="7017EED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r w14:paraId="0F49474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2CBF873C">
            <w:pPr>
              <w:jc w:val="center"/>
              <w:rPr>
                <w:color w:val="000000" w:themeColor="text1"/>
                <w:szCs w:val="21"/>
                <w14:textFill>
                  <w14:solidFill>
                    <w14:schemeClr w14:val="tx1"/>
                  </w14:solidFill>
                </w14:textFill>
              </w:rPr>
            </w:pPr>
          </w:p>
        </w:tc>
        <w:tc>
          <w:tcPr>
            <w:tcW w:w="993" w:type="dxa"/>
            <w:vMerge w:val="continue"/>
            <w:vAlign w:val="center"/>
          </w:tcPr>
          <w:p w14:paraId="2D44B852">
            <w:pPr>
              <w:jc w:val="center"/>
              <w:rPr>
                <w:color w:val="000000" w:themeColor="text1"/>
                <w:szCs w:val="21"/>
                <w14:textFill>
                  <w14:solidFill>
                    <w14:schemeClr w14:val="tx1"/>
                  </w14:solidFill>
                </w14:textFill>
              </w:rPr>
            </w:pPr>
          </w:p>
        </w:tc>
        <w:tc>
          <w:tcPr>
            <w:tcW w:w="1559" w:type="dxa"/>
            <w:vAlign w:val="center"/>
          </w:tcPr>
          <w:p w14:paraId="27865A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992" w:type="dxa"/>
            <w:vAlign w:val="center"/>
          </w:tcPr>
          <w:p w14:paraId="17D0EA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0.00168</w:t>
            </w:r>
          </w:p>
        </w:tc>
        <w:tc>
          <w:tcPr>
            <w:tcW w:w="1418" w:type="dxa"/>
            <w:vAlign w:val="center"/>
          </w:tcPr>
          <w:p w14:paraId="59FCDDA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0.130439</w:t>
            </w:r>
          </w:p>
        </w:tc>
        <w:tc>
          <w:tcPr>
            <w:tcW w:w="1134" w:type="dxa"/>
            <w:vAlign w:val="center"/>
          </w:tcPr>
          <w:p w14:paraId="169F354F">
            <w:pPr>
              <w:jc w:val="center"/>
              <w:rPr>
                <w:rFonts w:eastAsia="等线"/>
                <w:bCs/>
                <w:color w:val="000000" w:themeColor="text1"/>
                <w:szCs w:val="21"/>
                <w14:textFill>
                  <w14:solidFill>
                    <w14:schemeClr w14:val="tx1"/>
                  </w14:solidFill>
                </w14:textFill>
              </w:rPr>
            </w:pPr>
            <w:r>
              <w:rPr>
                <w:rFonts w:eastAsia="等线"/>
                <w:bCs/>
                <w:color w:val="000000" w:themeColor="text1"/>
                <w:szCs w:val="21"/>
                <w14:textFill>
                  <w14:solidFill>
                    <w14:schemeClr w14:val="tx1"/>
                  </w14:solidFill>
                </w14:textFill>
              </w:rPr>
              <w:t>0.132119</w:t>
            </w:r>
          </w:p>
        </w:tc>
        <w:tc>
          <w:tcPr>
            <w:tcW w:w="850" w:type="dxa"/>
            <w:vAlign w:val="center"/>
          </w:tcPr>
          <w:p w14:paraId="72B607F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p>
        </w:tc>
        <w:tc>
          <w:tcPr>
            <w:tcW w:w="901" w:type="dxa"/>
            <w:vAlign w:val="center"/>
          </w:tcPr>
          <w:p w14:paraId="6F1D030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r w14:paraId="0C68A85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26779955">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芒捧</w:t>
            </w:r>
          </w:p>
        </w:tc>
        <w:tc>
          <w:tcPr>
            <w:tcW w:w="993" w:type="dxa"/>
            <w:vMerge w:val="restart"/>
            <w:vAlign w:val="center"/>
          </w:tcPr>
          <w:p w14:paraId="03B31327">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西北侧880</w:t>
            </w:r>
          </w:p>
        </w:tc>
        <w:tc>
          <w:tcPr>
            <w:tcW w:w="1559" w:type="dxa"/>
            <w:vAlign w:val="center"/>
          </w:tcPr>
          <w:p w14:paraId="32211D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颗粒物（TSP）</w:t>
            </w:r>
          </w:p>
        </w:tc>
        <w:tc>
          <w:tcPr>
            <w:tcW w:w="992" w:type="dxa"/>
            <w:vAlign w:val="center"/>
          </w:tcPr>
          <w:p w14:paraId="59E9C2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0.105</w:t>
            </w:r>
          </w:p>
        </w:tc>
        <w:tc>
          <w:tcPr>
            <w:tcW w:w="1418" w:type="dxa"/>
            <w:vAlign w:val="center"/>
          </w:tcPr>
          <w:p w14:paraId="19C86B0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0.018394</w:t>
            </w:r>
          </w:p>
        </w:tc>
        <w:tc>
          <w:tcPr>
            <w:tcW w:w="1134" w:type="dxa"/>
            <w:vAlign w:val="center"/>
          </w:tcPr>
          <w:p w14:paraId="7916099C">
            <w:pPr>
              <w:jc w:val="center"/>
              <w:rPr>
                <w:rFonts w:eastAsia="等线"/>
                <w:bCs/>
                <w:color w:val="000000" w:themeColor="text1"/>
                <w:szCs w:val="21"/>
                <w14:textFill>
                  <w14:solidFill>
                    <w14:schemeClr w14:val="tx1"/>
                  </w14:solidFill>
                </w14:textFill>
              </w:rPr>
            </w:pPr>
            <w:r>
              <w:rPr>
                <w:rFonts w:eastAsia="等线"/>
                <w:bCs/>
                <w:color w:val="000000" w:themeColor="text1"/>
                <w:szCs w:val="21"/>
                <w14:textFill>
                  <w14:solidFill>
                    <w14:schemeClr w14:val="tx1"/>
                  </w14:solidFill>
                </w14:textFill>
              </w:rPr>
              <w:t>0.123394</w:t>
            </w:r>
          </w:p>
        </w:tc>
        <w:tc>
          <w:tcPr>
            <w:tcW w:w="850" w:type="dxa"/>
            <w:vAlign w:val="center"/>
          </w:tcPr>
          <w:p w14:paraId="7E63A9E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0.9</w:t>
            </w:r>
          </w:p>
        </w:tc>
        <w:tc>
          <w:tcPr>
            <w:tcW w:w="901" w:type="dxa"/>
            <w:vAlign w:val="center"/>
          </w:tcPr>
          <w:p w14:paraId="0C8E283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r w14:paraId="1089E72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38197C01">
            <w:pPr>
              <w:jc w:val="center"/>
              <w:rPr>
                <w:color w:val="000000" w:themeColor="text1"/>
                <w:szCs w:val="21"/>
                <w14:textFill>
                  <w14:solidFill>
                    <w14:schemeClr w14:val="tx1"/>
                  </w14:solidFill>
                </w14:textFill>
              </w:rPr>
            </w:pPr>
          </w:p>
        </w:tc>
        <w:tc>
          <w:tcPr>
            <w:tcW w:w="993" w:type="dxa"/>
            <w:vMerge w:val="continue"/>
            <w:vAlign w:val="center"/>
          </w:tcPr>
          <w:p w14:paraId="5E50FCCE">
            <w:pPr>
              <w:jc w:val="center"/>
              <w:rPr>
                <w:color w:val="000000" w:themeColor="text1"/>
                <w:szCs w:val="21"/>
                <w14:textFill>
                  <w14:solidFill>
                    <w14:schemeClr w14:val="tx1"/>
                  </w14:solidFill>
                </w14:textFill>
              </w:rPr>
            </w:pPr>
          </w:p>
        </w:tc>
        <w:tc>
          <w:tcPr>
            <w:tcW w:w="1559" w:type="dxa"/>
            <w:vAlign w:val="center"/>
          </w:tcPr>
          <w:p w14:paraId="4A36036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992" w:type="dxa"/>
            <w:vAlign w:val="center"/>
          </w:tcPr>
          <w:p w14:paraId="24438A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0.00141</w:t>
            </w:r>
          </w:p>
        </w:tc>
        <w:tc>
          <w:tcPr>
            <w:tcW w:w="1418" w:type="dxa"/>
            <w:vAlign w:val="center"/>
          </w:tcPr>
          <w:p w14:paraId="144A19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0.130439</w:t>
            </w:r>
          </w:p>
        </w:tc>
        <w:tc>
          <w:tcPr>
            <w:tcW w:w="1134" w:type="dxa"/>
            <w:vAlign w:val="center"/>
          </w:tcPr>
          <w:p w14:paraId="4DA0D0ED">
            <w:pPr>
              <w:jc w:val="center"/>
              <w:rPr>
                <w:rFonts w:eastAsia="等线"/>
                <w:bCs/>
                <w:color w:val="000000" w:themeColor="text1"/>
                <w:szCs w:val="21"/>
                <w14:textFill>
                  <w14:solidFill>
                    <w14:schemeClr w14:val="tx1"/>
                  </w14:solidFill>
                </w14:textFill>
              </w:rPr>
            </w:pPr>
            <w:r>
              <w:rPr>
                <w:rFonts w:eastAsia="等线"/>
                <w:bCs/>
                <w:color w:val="000000" w:themeColor="text1"/>
                <w:szCs w:val="21"/>
                <w14:textFill>
                  <w14:solidFill>
                    <w14:schemeClr w14:val="tx1"/>
                  </w14:solidFill>
                </w14:textFill>
              </w:rPr>
              <w:t>0.131849</w:t>
            </w:r>
          </w:p>
        </w:tc>
        <w:tc>
          <w:tcPr>
            <w:tcW w:w="850" w:type="dxa"/>
            <w:vAlign w:val="center"/>
          </w:tcPr>
          <w:p w14:paraId="526A3A9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p>
        </w:tc>
        <w:tc>
          <w:tcPr>
            <w:tcW w:w="901" w:type="dxa"/>
            <w:vAlign w:val="center"/>
          </w:tcPr>
          <w:p w14:paraId="1E58D87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r w14:paraId="7C5CD0F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0CC8DE80">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户焕</w:t>
            </w:r>
          </w:p>
        </w:tc>
        <w:tc>
          <w:tcPr>
            <w:tcW w:w="993" w:type="dxa"/>
            <w:vMerge w:val="restart"/>
            <w:vAlign w:val="center"/>
          </w:tcPr>
          <w:p w14:paraId="7E03FB9E">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西侧480</w:t>
            </w:r>
          </w:p>
        </w:tc>
        <w:tc>
          <w:tcPr>
            <w:tcW w:w="1559" w:type="dxa"/>
            <w:vAlign w:val="center"/>
          </w:tcPr>
          <w:p w14:paraId="1FD3079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颗粒物（TSP）</w:t>
            </w:r>
          </w:p>
        </w:tc>
        <w:tc>
          <w:tcPr>
            <w:tcW w:w="992" w:type="dxa"/>
            <w:vAlign w:val="center"/>
          </w:tcPr>
          <w:p w14:paraId="4259E5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0.105</w:t>
            </w:r>
          </w:p>
        </w:tc>
        <w:tc>
          <w:tcPr>
            <w:tcW w:w="1418" w:type="dxa"/>
            <w:vAlign w:val="center"/>
          </w:tcPr>
          <w:p w14:paraId="796750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0.018394</w:t>
            </w:r>
          </w:p>
        </w:tc>
        <w:tc>
          <w:tcPr>
            <w:tcW w:w="1134" w:type="dxa"/>
            <w:vAlign w:val="center"/>
          </w:tcPr>
          <w:p w14:paraId="1F6E5EBF">
            <w:pPr>
              <w:jc w:val="center"/>
              <w:rPr>
                <w:rFonts w:eastAsia="等线"/>
                <w:bCs/>
                <w:color w:val="000000" w:themeColor="text1"/>
                <w:szCs w:val="21"/>
                <w14:textFill>
                  <w14:solidFill>
                    <w14:schemeClr w14:val="tx1"/>
                  </w14:solidFill>
                </w14:textFill>
              </w:rPr>
            </w:pPr>
            <w:r>
              <w:rPr>
                <w:rFonts w:eastAsia="等线"/>
                <w:bCs/>
                <w:color w:val="000000" w:themeColor="text1"/>
                <w:szCs w:val="21"/>
                <w14:textFill>
                  <w14:solidFill>
                    <w14:schemeClr w14:val="tx1"/>
                  </w14:solidFill>
                </w14:textFill>
              </w:rPr>
              <w:t>0.123394</w:t>
            </w:r>
          </w:p>
        </w:tc>
        <w:tc>
          <w:tcPr>
            <w:tcW w:w="850" w:type="dxa"/>
            <w:vAlign w:val="center"/>
          </w:tcPr>
          <w:p w14:paraId="1E2C826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0.9</w:t>
            </w:r>
          </w:p>
        </w:tc>
        <w:tc>
          <w:tcPr>
            <w:tcW w:w="901" w:type="dxa"/>
            <w:vAlign w:val="center"/>
          </w:tcPr>
          <w:p w14:paraId="2931DB9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r w14:paraId="5C12F13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75323395">
            <w:pPr>
              <w:jc w:val="center"/>
              <w:rPr>
                <w:color w:val="000000" w:themeColor="text1"/>
                <w:szCs w:val="21"/>
                <w14:textFill>
                  <w14:solidFill>
                    <w14:schemeClr w14:val="tx1"/>
                  </w14:solidFill>
                </w14:textFill>
              </w:rPr>
            </w:pPr>
          </w:p>
        </w:tc>
        <w:tc>
          <w:tcPr>
            <w:tcW w:w="993" w:type="dxa"/>
            <w:vMerge w:val="continue"/>
            <w:vAlign w:val="center"/>
          </w:tcPr>
          <w:p w14:paraId="5A4ED702">
            <w:pPr>
              <w:jc w:val="center"/>
              <w:rPr>
                <w:color w:val="000000" w:themeColor="text1"/>
                <w:szCs w:val="21"/>
                <w14:textFill>
                  <w14:solidFill>
                    <w14:schemeClr w14:val="tx1"/>
                  </w14:solidFill>
                </w14:textFill>
              </w:rPr>
            </w:pPr>
          </w:p>
        </w:tc>
        <w:tc>
          <w:tcPr>
            <w:tcW w:w="1559" w:type="dxa"/>
            <w:vAlign w:val="center"/>
          </w:tcPr>
          <w:p w14:paraId="08C35F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992" w:type="dxa"/>
            <w:vAlign w:val="center"/>
          </w:tcPr>
          <w:p w14:paraId="02BA16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0.00141</w:t>
            </w:r>
          </w:p>
        </w:tc>
        <w:tc>
          <w:tcPr>
            <w:tcW w:w="1418" w:type="dxa"/>
            <w:vAlign w:val="center"/>
          </w:tcPr>
          <w:p w14:paraId="037866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0.130439</w:t>
            </w:r>
          </w:p>
        </w:tc>
        <w:tc>
          <w:tcPr>
            <w:tcW w:w="1134" w:type="dxa"/>
            <w:vAlign w:val="center"/>
          </w:tcPr>
          <w:p w14:paraId="7ED5518A">
            <w:pPr>
              <w:jc w:val="center"/>
              <w:rPr>
                <w:rFonts w:eastAsia="等线"/>
                <w:bCs/>
                <w:color w:val="000000" w:themeColor="text1"/>
                <w:szCs w:val="21"/>
                <w14:textFill>
                  <w14:solidFill>
                    <w14:schemeClr w14:val="tx1"/>
                  </w14:solidFill>
                </w14:textFill>
              </w:rPr>
            </w:pPr>
            <w:r>
              <w:rPr>
                <w:rFonts w:eastAsia="等线"/>
                <w:bCs/>
                <w:color w:val="000000" w:themeColor="text1"/>
                <w:szCs w:val="21"/>
                <w14:textFill>
                  <w14:solidFill>
                    <w14:schemeClr w14:val="tx1"/>
                  </w14:solidFill>
                </w14:textFill>
              </w:rPr>
              <w:t>0.131849</w:t>
            </w:r>
          </w:p>
        </w:tc>
        <w:tc>
          <w:tcPr>
            <w:tcW w:w="850" w:type="dxa"/>
            <w:vAlign w:val="center"/>
          </w:tcPr>
          <w:p w14:paraId="3E76C24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p>
        </w:tc>
        <w:tc>
          <w:tcPr>
            <w:tcW w:w="901" w:type="dxa"/>
            <w:vAlign w:val="center"/>
          </w:tcPr>
          <w:p w14:paraId="55972FD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r w14:paraId="14CE1A2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6A642455">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回环傣寨</w:t>
            </w:r>
          </w:p>
        </w:tc>
        <w:tc>
          <w:tcPr>
            <w:tcW w:w="993" w:type="dxa"/>
            <w:vMerge w:val="restart"/>
            <w:vAlign w:val="center"/>
          </w:tcPr>
          <w:p w14:paraId="5D03E633">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西南侧2410</w:t>
            </w:r>
          </w:p>
        </w:tc>
        <w:tc>
          <w:tcPr>
            <w:tcW w:w="1559" w:type="dxa"/>
            <w:vAlign w:val="center"/>
          </w:tcPr>
          <w:p w14:paraId="2061FE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颗粒物（TSP）</w:t>
            </w:r>
          </w:p>
        </w:tc>
        <w:tc>
          <w:tcPr>
            <w:tcW w:w="992" w:type="dxa"/>
            <w:vAlign w:val="center"/>
          </w:tcPr>
          <w:p w14:paraId="624B02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0.105</w:t>
            </w:r>
          </w:p>
        </w:tc>
        <w:tc>
          <w:tcPr>
            <w:tcW w:w="1418" w:type="dxa"/>
            <w:vAlign w:val="center"/>
          </w:tcPr>
          <w:p w14:paraId="425ED8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0.018394</w:t>
            </w:r>
          </w:p>
        </w:tc>
        <w:tc>
          <w:tcPr>
            <w:tcW w:w="1134" w:type="dxa"/>
            <w:vAlign w:val="center"/>
          </w:tcPr>
          <w:p w14:paraId="4C752734">
            <w:pPr>
              <w:jc w:val="center"/>
              <w:rPr>
                <w:rFonts w:eastAsia="等线"/>
                <w:bCs/>
                <w:color w:val="000000" w:themeColor="text1"/>
                <w:szCs w:val="21"/>
                <w14:textFill>
                  <w14:solidFill>
                    <w14:schemeClr w14:val="tx1"/>
                  </w14:solidFill>
                </w14:textFill>
              </w:rPr>
            </w:pPr>
            <w:r>
              <w:rPr>
                <w:rFonts w:eastAsia="等线"/>
                <w:bCs/>
                <w:color w:val="000000" w:themeColor="text1"/>
                <w:szCs w:val="21"/>
                <w14:textFill>
                  <w14:solidFill>
                    <w14:schemeClr w14:val="tx1"/>
                  </w14:solidFill>
                </w14:textFill>
              </w:rPr>
              <w:t>0.123394</w:t>
            </w:r>
          </w:p>
        </w:tc>
        <w:tc>
          <w:tcPr>
            <w:tcW w:w="850" w:type="dxa"/>
            <w:vAlign w:val="center"/>
          </w:tcPr>
          <w:p w14:paraId="5B59279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0.9</w:t>
            </w:r>
          </w:p>
        </w:tc>
        <w:tc>
          <w:tcPr>
            <w:tcW w:w="901" w:type="dxa"/>
            <w:vAlign w:val="center"/>
          </w:tcPr>
          <w:p w14:paraId="5638319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r w14:paraId="4C210FB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3EF00A16">
            <w:pPr>
              <w:jc w:val="center"/>
              <w:rPr>
                <w:color w:val="000000" w:themeColor="text1"/>
                <w:szCs w:val="21"/>
                <w14:textFill>
                  <w14:solidFill>
                    <w14:schemeClr w14:val="tx1"/>
                  </w14:solidFill>
                </w14:textFill>
              </w:rPr>
            </w:pPr>
          </w:p>
        </w:tc>
        <w:tc>
          <w:tcPr>
            <w:tcW w:w="993" w:type="dxa"/>
            <w:vMerge w:val="continue"/>
            <w:vAlign w:val="center"/>
          </w:tcPr>
          <w:p w14:paraId="33F637D7">
            <w:pPr>
              <w:jc w:val="center"/>
              <w:rPr>
                <w:color w:val="000000" w:themeColor="text1"/>
                <w:szCs w:val="21"/>
                <w14:textFill>
                  <w14:solidFill>
                    <w14:schemeClr w14:val="tx1"/>
                  </w14:solidFill>
                </w14:textFill>
              </w:rPr>
            </w:pPr>
          </w:p>
        </w:tc>
        <w:tc>
          <w:tcPr>
            <w:tcW w:w="1559" w:type="dxa"/>
            <w:vAlign w:val="center"/>
          </w:tcPr>
          <w:p w14:paraId="2BD8AC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992" w:type="dxa"/>
            <w:vAlign w:val="center"/>
          </w:tcPr>
          <w:p w14:paraId="69E5F2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0.00141</w:t>
            </w:r>
          </w:p>
        </w:tc>
        <w:tc>
          <w:tcPr>
            <w:tcW w:w="1418" w:type="dxa"/>
            <w:vAlign w:val="center"/>
          </w:tcPr>
          <w:p w14:paraId="2B4BC49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0.130439</w:t>
            </w:r>
          </w:p>
        </w:tc>
        <w:tc>
          <w:tcPr>
            <w:tcW w:w="1134" w:type="dxa"/>
            <w:vAlign w:val="center"/>
          </w:tcPr>
          <w:p w14:paraId="1D360ED3">
            <w:pPr>
              <w:jc w:val="center"/>
              <w:rPr>
                <w:rFonts w:eastAsia="等线"/>
                <w:bCs/>
                <w:color w:val="000000" w:themeColor="text1"/>
                <w:szCs w:val="21"/>
                <w14:textFill>
                  <w14:solidFill>
                    <w14:schemeClr w14:val="tx1"/>
                  </w14:solidFill>
                </w14:textFill>
              </w:rPr>
            </w:pPr>
            <w:r>
              <w:rPr>
                <w:rFonts w:eastAsia="等线"/>
                <w:bCs/>
                <w:color w:val="000000" w:themeColor="text1"/>
                <w:szCs w:val="21"/>
                <w14:textFill>
                  <w14:solidFill>
                    <w14:schemeClr w14:val="tx1"/>
                  </w14:solidFill>
                </w14:textFill>
              </w:rPr>
              <w:t>0.131849</w:t>
            </w:r>
          </w:p>
        </w:tc>
        <w:tc>
          <w:tcPr>
            <w:tcW w:w="850" w:type="dxa"/>
            <w:vAlign w:val="center"/>
          </w:tcPr>
          <w:p w14:paraId="69A09CB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p>
        </w:tc>
        <w:tc>
          <w:tcPr>
            <w:tcW w:w="901" w:type="dxa"/>
            <w:vAlign w:val="center"/>
          </w:tcPr>
          <w:p w14:paraId="29B9228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tc>
      </w:tr>
    </w:tbl>
    <w:p w14:paraId="0617B848">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根据上表，叠加现状背景值后，关心点预测颗粒物（TSP）、非甲烷总烃污染物预测值能达GB3095－2012《环境空气质量标准》二级标准，从估算结果可以看出废气对保护目标的影响可接受。</w:t>
      </w:r>
    </w:p>
    <w:p w14:paraId="544C56BF">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6.1.4非正常工况环境影响分析</w:t>
      </w:r>
    </w:p>
    <w:p w14:paraId="5FC06822">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根据3.7章节，本项目建设运营过程中，废气非正常排放主要是造粒废气污染物处置措施（</w:t>
      </w:r>
      <w:r>
        <w:rPr>
          <w:bCs/>
          <w:color w:val="000000" w:themeColor="text1"/>
          <w:sz w:val="24"/>
          <w14:textFill>
            <w14:solidFill>
              <w14:schemeClr w14:val="tx1"/>
            </w14:solidFill>
          </w14:textFill>
        </w:rPr>
        <w:t>过滤棉+活性炭吸附装置</w:t>
      </w:r>
      <w:r>
        <w:rPr>
          <w:color w:val="000000" w:themeColor="text1"/>
          <w:sz w:val="24"/>
          <w14:textFill>
            <w14:solidFill>
              <w14:schemeClr w14:val="tx1"/>
            </w14:solidFill>
          </w14:textFill>
        </w:rPr>
        <w:t>）出现故障，导致颗粒物及非甲烷总烃去除效率降低至50%。</w:t>
      </w:r>
    </w:p>
    <w:p w14:paraId="38F79599">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本项目选取造粒废气污染物处置措施发生故障，项目运营过程中非正常排放源强见表3.7-1。</w:t>
      </w:r>
    </w:p>
    <w:p w14:paraId="06015088">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本次评价采用HJ/T2.2-2018推介的AERSCREEN模式分别对颗粒物、非甲烷总烃下风向的轴线浓度进行计算，并计算相应浓度</w:t>
      </w:r>
      <w:r>
        <w:rPr>
          <w:rFonts w:hint="eastAsia"/>
          <w:color w:val="000000" w:themeColor="text1"/>
          <w:sz w:val="24"/>
          <w:lang w:eastAsia="zh-CN"/>
          <w14:textFill>
            <w14:solidFill>
              <w14:schemeClr w14:val="tx1"/>
            </w14:solidFill>
          </w14:textFill>
        </w:rPr>
        <w:t>的</w:t>
      </w:r>
      <w:r>
        <w:rPr>
          <w:color w:val="000000" w:themeColor="text1"/>
          <w:sz w:val="24"/>
          <w14:textFill>
            <w14:solidFill>
              <w14:schemeClr w14:val="tx1"/>
            </w14:solidFill>
          </w14:textFill>
        </w:rPr>
        <w:t>占标率，结果见表6.1-9。</w:t>
      </w:r>
    </w:p>
    <w:p w14:paraId="416E6C24">
      <w:pPr>
        <w:autoSpaceDE w:val="0"/>
        <w:autoSpaceDN w:val="0"/>
        <w:adjustRightIn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表6.1-9  废气采用估算模式计算结果表</w:t>
      </w:r>
    </w:p>
    <w:tbl>
      <w:tblPr>
        <w:tblStyle w:val="42"/>
        <w:tblW w:w="5000" w:type="pct"/>
        <w:tblInd w:w="0" w:type="dxa"/>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Layout w:type="fixed"/>
        <w:tblCellMar>
          <w:top w:w="0" w:type="dxa"/>
          <w:left w:w="108" w:type="dxa"/>
          <w:bottom w:w="0" w:type="dxa"/>
          <w:right w:w="108" w:type="dxa"/>
        </w:tblCellMar>
      </w:tblPr>
      <w:tblGrid>
        <w:gridCol w:w="1382"/>
        <w:gridCol w:w="2269"/>
        <w:gridCol w:w="1560"/>
        <w:gridCol w:w="1825"/>
        <w:gridCol w:w="1486"/>
      </w:tblGrid>
      <w:tr w14:paraId="1BD3BC1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vMerge w:val="restart"/>
            <w:shd w:val="clear" w:color="auto" w:fill="auto"/>
            <w:noWrap/>
            <w:vAlign w:val="center"/>
          </w:tcPr>
          <w:p w14:paraId="6C271242">
            <w:pPr>
              <w:widowControl/>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距源中心下风向距离D/m</w:t>
            </w:r>
          </w:p>
        </w:tc>
        <w:tc>
          <w:tcPr>
            <w:tcW w:w="1331" w:type="pct"/>
            <w:shd w:val="clear" w:color="auto" w:fill="auto"/>
            <w:noWrap/>
            <w:vAlign w:val="center"/>
          </w:tcPr>
          <w:p w14:paraId="42BF361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915" w:type="pct"/>
            <w:shd w:val="clear" w:color="auto" w:fill="auto"/>
            <w:noWrap/>
            <w:vAlign w:val="center"/>
          </w:tcPr>
          <w:p w14:paraId="7C0A5F99">
            <w:pPr>
              <w:widowControl/>
              <w:jc w:val="center"/>
              <w:rPr>
                <w:color w:val="000000" w:themeColor="text1"/>
                <w:kern w:val="0"/>
                <w:szCs w:val="21"/>
                <w14:textFill>
                  <w14:solidFill>
                    <w14:schemeClr w14:val="tx1"/>
                  </w14:solidFill>
                </w14:textFill>
              </w:rPr>
            </w:pPr>
          </w:p>
        </w:tc>
        <w:tc>
          <w:tcPr>
            <w:tcW w:w="1943" w:type="pct"/>
            <w:gridSpan w:val="2"/>
            <w:shd w:val="clear" w:color="auto" w:fill="auto"/>
            <w:noWrap/>
            <w:vAlign w:val="center"/>
          </w:tcPr>
          <w:p w14:paraId="5711D74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r>
      <w:tr w14:paraId="6AAD90F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vMerge w:val="continue"/>
            <w:shd w:val="clear" w:color="auto" w:fill="auto"/>
            <w:noWrap/>
            <w:vAlign w:val="center"/>
          </w:tcPr>
          <w:p w14:paraId="58B0F1FF">
            <w:pPr>
              <w:widowControl/>
              <w:jc w:val="center"/>
              <w:rPr>
                <w:color w:val="000000" w:themeColor="text1"/>
                <w:kern w:val="0"/>
                <w:szCs w:val="21"/>
                <w14:textFill>
                  <w14:solidFill>
                    <w14:schemeClr w14:val="tx1"/>
                  </w14:solidFill>
                </w14:textFill>
              </w:rPr>
            </w:pPr>
          </w:p>
        </w:tc>
        <w:tc>
          <w:tcPr>
            <w:tcW w:w="1331" w:type="pct"/>
            <w:shd w:val="clear" w:color="auto" w:fill="auto"/>
            <w:noWrap/>
            <w:vAlign w:val="center"/>
          </w:tcPr>
          <w:p w14:paraId="6145FBB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下风向预测浓度C</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915" w:type="pct"/>
            <w:shd w:val="clear" w:color="auto" w:fill="auto"/>
            <w:noWrap/>
            <w:vAlign w:val="center"/>
          </w:tcPr>
          <w:p w14:paraId="163A5F8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浓度占标率P</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w:t>
            </w:r>
          </w:p>
        </w:tc>
        <w:tc>
          <w:tcPr>
            <w:tcW w:w="1071" w:type="pct"/>
            <w:shd w:val="clear" w:color="auto" w:fill="auto"/>
            <w:noWrap/>
            <w:vAlign w:val="center"/>
          </w:tcPr>
          <w:p w14:paraId="6CB2A7F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下风向预测浓度C</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872" w:type="pct"/>
            <w:shd w:val="clear" w:color="auto" w:fill="auto"/>
            <w:noWrap/>
            <w:vAlign w:val="center"/>
          </w:tcPr>
          <w:p w14:paraId="53A6206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浓度占标率P</w:t>
            </w:r>
            <w:r>
              <w:rPr>
                <w:b/>
                <w:color w:val="000000" w:themeColor="text1"/>
                <w:szCs w:val="21"/>
                <w:vertAlign w:val="subscript"/>
                <w14:textFill>
                  <w14:solidFill>
                    <w14:schemeClr w14:val="tx1"/>
                  </w14:solidFill>
                </w14:textFill>
              </w:rPr>
              <w:t>il</w:t>
            </w:r>
            <w:r>
              <w:rPr>
                <w:b/>
                <w:color w:val="000000" w:themeColor="text1"/>
                <w:szCs w:val="21"/>
                <w14:textFill>
                  <w14:solidFill>
                    <w14:schemeClr w14:val="tx1"/>
                  </w14:solidFill>
                </w14:textFill>
              </w:rPr>
              <w:t>/%</w:t>
            </w:r>
          </w:p>
        </w:tc>
      </w:tr>
      <w:tr w14:paraId="5CB74BD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F6460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331" w:type="pct"/>
            <w:shd w:val="clear" w:color="auto" w:fill="auto"/>
            <w:noWrap/>
            <w:vAlign w:val="center"/>
          </w:tcPr>
          <w:p w14:paraId="681DCD51">
            <w:pPr>
              <w:jc w:val="center"/>
              <w:rPr>
                <w:color w:val="000000" w:themeColor="text1"/>
                <w14:textFill>
                  <w14:solidFill>
                    <w14:schemeClr w14:val="tx1"/>
                  </w14:solidFill>
                </w14:textFill>
              </w:rPr>
            </w:pPr>
            <w:r>
              <w:rPr>
                <w:color w:val="000000" w:themeColor="text1"/>
                <w14:textFill>
                  <w14:solidFill>
                    <w14:schemeClr w14:val="tx1"/>
                  </w14:solidFill>
                </w14:textFill>
              </w:rPr>
              <w:t>0.000018</w:t>
            </w:r>
          </w:p>
        </w:tc>
        <w:tc>
          <w:tcPr>
            <w:tcW w:w="915" w:type="pct"/>
            <w:shd w:val="clear" w:color="auto" w:fill="auto"/>
            <w:noWrap/>
            <w:vAlign w:val="center"/>
          </w:tcPr>
          <w:p w14:paraId="094BC53B">
            <w:pPr>
              <w:jc w:val="center"/>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1071" w:type="pct"/>
            <w:shd w:val="clear" w:color="auto" w:fill="auto"/>
            <w:noWrap/>
            <w:vAlign w:val="center"/>
          </w:tcPr>
          <w:p w14:paraId="02B5D079">
            <w:pPr>
              <w:jc w:val="center"/>
              <w:rPr>
                <w:color w:val="000000" w:themeColor="text1"/>
                <w14:textFill>
                  <w14:solidFill>
                    <w14:schemeClr w14:val="tx1"/>
                  </w14:solidFill>
                </w14:textFill>
              </w:rPr>
            </w:pPr>
            <w:r>
              <w:rPr>
                <w:color w:val="000000" w:themeColor="text1"/>
                <w14:textFill>
                  <w14:solidFill>
                    <w14:schemeClr w14:val="tx1"/>
                  </w14:solidFill>
                </w14:textFill>
              </w:rPr>
              <w:t>0.000128</w:t>
            </w:r>
          </w:p>
        </w:tc>
        <w:tc>
          <w:tcPr>
            <w:tcW w:w="872" w:type="pct"/>
            <w:shd w:val="clear" w:color="auto" w:fill="auto"/>
            <w:noWrap/>
            <w:vAlign w:val="center"/>
          </w:tcPr>
          <w:p w14:paraId="16B21E91">
            <w:pPr>
              <w:jc w:val="center"/>
              <w:rPr>
                <w:color w:val="000000" w:themeColor="text1"/>
                <w14:textFill>
                  <w14:solidFill>
                    <w14:schemeClr w14:val="tx1"/>
                  </w14:solidFill>
                </w14:textFill>
              </w:rPr>
            </w:pPr>
            <w:r>
              <w:rPr>
                <w:color w:val="000000" w:themeColor="text1"/>
                <w14:textFill>
                  <w14:solidFill>
                    <w14:schemeClr w14:val="tx1"/>
                  </w14:solidFill>
                </w14:textFill>
              </w:rPr>
              <w:t>0.01</w:t>
            </w:r>
          </w:p>
        </w:tc>
      </w:tr>
      <w:tr w14:paraId="3AD7121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81507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331" w:type="pct"/>
            <w:shd w:val="clear" w:color="auto" w:fill="auto"/>
            <w:noWrap/>
            <w:vAlign w:val="center"/>
          </w:tcPr>
          <w:p w14:paraId="363B9CBC">
            <w:pPr>
              <w:jc w:val="center"/>
              <w:rPr>
                <w:color w:val="000000" w:themeColor="text1"/>
                <w14:textFill>
                  <w14:solidFill>
                    <w14:schemeClr w14:val="tx1"/>
                  </w14:solidFill>
                </w14:textFill>
              </w:rPr>
            </w:pPr>
            <w:r>
              <w:rPr>
                <w:color w:val="000000" w:themeColor="text1"/>
                <w14:textFill>
                  <w14:solidFill>
                    <w14:schemeClr w14:val="tx1"/>
                  </w14:solidFill>
                </w14:textFill>
              </w:rPr>
              <w:t>0.000169</w:t>
            </w:r>
          </w:p>
        </w:tc>
        <w:tc>
          <w:tcPr>
            <w:tcW w:w="915" w:type="pct"/>
            <w:shd w:val="clear" w:color="auto" w:fill="auto"/>
            <w:noWrap/>
            <w:vAlign w:val="center"/>
          </w:tcPr>
          <w:p w14:paraId="183B88A9">
            <w:pPr>
              <w:jc w:val="center"/>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071" w:type="pct"/>
            <w:shd w:val="clear" w:color="auto" w:fill="auto"/>
            <w:noWrap/>
            <w:vAlign w:val="center"/>
          </w:tcPr>
          <w:p w14:paraId="0A2AF8A9">
            <w:pPr>
              <w:jc w:val="center"/>
              <w:rPr>
                <w:color w:val="000000" w:themeColor="text1"/>
                <w14:textFill>
                  <w14:solidFill>
                    <w14:schemeClr w14:val="tx1"/>
                  </w14:solidFill>
                </w14:textFill>
              </w:rPr>
            </w:pPr>
            <w:r>
              <w:rPr>
                <w:color w:val="000000" w:themeColor="text1"/>
                <w14:textFill>
                  <w14:solidFill>
                    <w14:schemeClr w14:val="tx1"/>
                  </w14:solidFill>
                </w14:textFill>
              </w:rPr>
              <w:t>0.001185</w:t>
            </w:r>
          </w:p>
        </w:tc>
        <w:tc>
          <w:tcPr>
            <w:tcW w:w="872" w:type="pct"/>
            <w:shd w:val="clear" w:color="auto" w:fill="auto"/>
            <w:noWrap/>
            <w:vAlign w:val="center"/>
          </w:tcPr>
          <w:p w14:paraId="5A2429E8">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r>
      <w:tr w14:paraId="753B976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9C45E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331" w:type="pct"/>
            <w:shd w:val="clear" w:color="auto" w:fill="auto"/>
            <w:noWrap/>
            <w:vAlign w:val="center"/>
          </w:tcPr>
          <w:p w14:paraId="6FA2934B">
            <w:pPr>
              <w:jc w:val="center"/>
              <w:rPr>
                <w:color w:val="000000" w:themeColor="text1"/>
                <w14:textFill>
                  <w14:solidFill>
                    <w14:schemeClr w14:val="tx1"/>
                  </w14:solidFill>
                </w14:textFill>
              </w:rPr>
            </w:pPr>
            <w:r>
              <w:rPr>
                <w:color w:val="000000" w:themeColor="text1"/>
                <w14:textFill>
                  <w14:solidFill>
                    <w14:schemeClr w14:val="tx1"/>
                  </w14:solidFill>
                </w14:textFill>
              </w:rPr>
              <w:t>0.000341</w:t>
            </w:r>
          </w:p>
        </w:tc>
        <w:tc>
          <w:tcPr>
            <w:tcW w:w="915" w:type="pct"/>
            <w:shd w:val="clear" w:color="auto" w:fill="auto"/>
            <w:noWrap/>
            <w:vAlign w:val="center"/>
          </w:tcPr>
          <w:p w14:paraId="75A047C2">
            <w:pPr>
              <w:jc w:val="center"/>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071" w:type="pct"/>
            <w:shd w:val="clear" w:color="auto" w:fill="auto"/>
            <w:noWrap/>
            <w:vAlign w:val="center"/>
          </w:tcPr>
          <w:p w14:paraId="1EE0A993">
            <w:pPr>
              <w:jc w:val="center"/>
              <w:rPr>
                <w:color w:val="000000" w:themeColor="text1"/>
                <w14:textFill>
                  <w14:solidFill>
                    <w14:schemeClr w14:val="tx1"/>
                  </w14:solidFill>
                </w14:textFill>
              </w:rPr>
            </w:pPr>
            <w:r>
              <w:rPr>
                <w:color w:val="000000" w:themeColor="text1"/>
                <w14:textFill>
                  <w14:solidFill>
                    <w14:schemeClr w14:val="tx1"/>
                  </w14:solidFill>
                </w14:textFill>
              </w:rPr>
              <w:t>0.002389</w:t>
            </w:r>
          </w:p>
        </w:tc>
        <w:tc>
          <w:tcPr>
            <w:tcW w:w="872" w:type="pct"/>
            <w:shd w:val="clear" w:color="auto" w:fill="auto"/>
            <w:noWrap/>
            <w:vAlign w:val="center"/>
          </w:tcPr>
          <w:p w14:paraId="0F3E9234">
            <w:pPr>
              <w:jc w:val="center"/>
              <w:rPr>
                <w:color w:val="000000" w:themeColor="text1"/>
                <w14:textFill>
                  <w14:solidFill>
                    <w14:schemeClr w14:val="tx1"/>
                  </w14:solidFill>
                </w14:textFill>
              </w:rPr>
            </w:pPr>
            <w:r>
              <w:rPr>
                <w:color w:val="000000" w:themeColor="text1"/>
                <w14:textFill>
                  <w14:solidFill>
                    <w14:schemeClr w14:val="tx1"/>
                  </w14:solidFill>
                </w14:textFill>
              </w:rPr>
              <w:t>0.12</w:t>
            </w:r>
          </w:p>
        </w:tc>
      </w:tr>
      <w:tr w14:paraId="131BB5E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6C161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331" w:type="pct"/>
            <w:shd w:val="clear" w:color="auto" w:fill="auto"/>
            <w:noWrap/>
            <w:vAlign w:val="center"/>
          </w:tcPr>
          <w:p w14:paraId="318EDD5C">
            <w:pPr>
              <w:jc w:val="center"/>
              <w:rPr>
                <w:color w:val="000000" w:themeColor="text1"/>
                <w14:textFill>
                  <w14:solidFill>
                    <w14:schemeClr w14:val="tx1"/>
                  </w14:solidFill>
                </w14:textFill>
              </w:rPr>
            </w:pPr>
            <w:r>
              <w:rPr>
                <w:color w:val="000000" w:themeColor="text1"/>
                <w14:textFill>
                  <w14:solidFill>
                    <w14:schemeClr w14:val="tx1"/>
                  </w14:solidFill>
                </w14:textFill>
              </w:rPr>
              <w:t>0.000444</w:t>
            </w:r>
          </w:p>
        </w:tc>
        <w:tc>
          <w:tcPr>
            <w:tcW w:w="915" w:type="pct"/>
            <w:shd w:val="clear" w:color="auto" w:fill="auto"/>
            <w:noWrap/>
            <w:vAlign w:val="center"/>
          </w:tcPr>
          <w:p w14:paraId="4955311B">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7FF5042C">
            <w:pPr>
              <w:jc w:val="center"/>
              <w:rPr>
                <w:color w:val="000000" w:themeColor="text1"/>
                <w14:textFill>
                  <w14:solidFill>
                    <w14:schemeClr w14:val="tx1"/>
                  </w14:solidFill>
                </w14:textFill>
              </w:rPr>
            </w:pPr>
            <w:r>
              <w:rPr>
                <w:color w:val="000000" w:themeColor="text1"/>
                <w14:textFill>
                  <w14:solidFill>
                    <w14:schemeClr w14:val="tx1"/>
                  </w14:solidFill>
                </w14:textFill>
              </w:rPr>
              <w:t>0.003106</w:t>
            </w:r>
          </w:p>
        </w:tc>
        <w:tc>
          <w:tcPr>
            <w:tcW w:w="872" w:type="pct"/>
            <w:shd w:val="clear" w:color="auto" w:fill="auto"/>
            <w:noWrap/>
            <w:vAlign w:val="center"/>
          </w:tcPr>
          <w:p w14:paraId="655B01AE">
            <w:pPr>
              <w:jc w:val="center"/>
              <w:rPr>
                <w:color w:val="000000" w:themeColor="text1"/>
                <w14:textFill>
                  <w14:solidFill>
                    <w14:schemeClr w14:val="tx1"/>
                  </w14:solidFill>
                </w14:textFill>
              </w:rPr>
            </w:pPr>
            <w:r>
              <w:rPr>
                <w:color w:val="000000" w:themeColor="text1"/>
                <w14:textFill>
                  <w14:solidFill>
                    <w14:schemeClr w14:val="tx1"/>
                  </w14:solidFill>
                </w14:textFill>
              </w:rPr>
              <w:t>0.16</w:t>
            </w:r>
          </w:p>
        </w:tc>
      </w:tr>
      <w:tr w14:paraId="7A696E7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E7EE9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331" w:type="pct"/>
            <w:shd w:val="clear" w:color="auto" w:fill="auto"/>
            <w:noWrap/>
            <w:vAlign w:val="center"/>
          </w:tcPr>
          <w:p w14:paraId="64405257">
            <w:pPr>
              <w:jc w:val="center"/>
              <w:rPr>
                <w:color w:val="000000" w:themeColor="text1"/>
                <w14:textFill>
                  <w14:solidFill>
                    <w14:schemeClr w14:val="tx1"/>
                  </w14:solidFill>
                </w14:textFill>
              </w:rPr>
            </w:pPr>
            <w:r>
              <w:rPr>
                <w:color w:val="000000" w:themeColor="text1"/>
                <w14:textFill>
                  <w14:solidFill>
                    <w14:schemeClr w14:val="tx1"/>
                  </w14:solidFill>
                </w14:textFill>
              </w:rPr>
              <w:t>0.000712</w:t>
            </w:r>
          </w:p>
        </w:tc>
        <w:tc>
          <w:tcPr>
            <w:tcW w:w="915" w:type="pct"/>
            <w:shd w:val="clear" w:color="auto" w:fill="auto"/>
            <w:noWrap/>
            <w:vAlign w:val="center"/>
          </w:tcPr>
          <w:p w14:paraId="215E67B3">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72194522">
            <w:pPr>
              <w:jc w:val="center"/>
              <w:rPr>
                <w:color w:val="000000" w:themeColor="text1"/>
                <w14:textFill>
                  <w14:solidFill>
                    <w14:schemeClr w14:val="tx1"/>
                  </w14:solidFill>
                </w14:textFill>
              </w:rPr>
            </w:pPr>
            <w:r>
              <w:rPr>
                <w:color w:val="000000" w:themeColor="text1"/>
                <w14:textFill>
                  <w14:solidFill>
                    <w14:schemeClr w14:val="tx1"/>
                  </w14:solidFill>
                </w14:textFill>
              </w:rPr>
              <w:t>0.004982</w:t>
            </w:r>
          </w:p>
        </w:tc>
        <w:tc>
          <w:tcPr>
            <w:tcW w:w="872" w:type="pct"/>
            <w:shd w:val="clear" w:color="auto" w:fill="auto"/>
            <w:noWrap/>
            <w:vAlign w:val="center"/>
          </w:tcPr>
          <w:p w14:paraId="42AB5016">
            <w:pPr>
              <w:jc w:val="center"/>
              <w:rPr>
                <w:color w:val="000000" w:themeColor="text1"/>
                <w14:textFill>
                  <w14:solidFill>
                    <w14:schemeClr w14:val="tx1"/>
                  </w14:solidFill>
                </w14:textFill>
              </w:rPr>
            </w:pPr>
            <w:r>
              <w:rPr>
                <w:color w:val="000000" w:themeColor="text1"/>
                <w14:textFill>
                  <w14:solidFill>
                    <w14:schemeClr w14:val="tx1"/>
                  </w14:solidFill>
                </w14:textFill>
              </w:rPr>
              <w:t>0.25</w:t>
            </w:r>
          </w:p>
        </w:tc>
      </w:tr>
      <w:tr w14:paraId="3D06F2C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0E429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1331" w:type="pct"/>
            <w:shd w:val="clear" w:color="auto" w:fill="auto"/>
            <w:noWrap/>
            <w:vAlign w:val="center"/>
          </w:tcPr>
          <w:p w14:paraId="7D5EC697">
            <w:pPr>
              <w:jc w:val="center"/>
              <w:rPr>
                <w:color w:val="000000" w:themeColor="text1"/>
                <w14:textFill>
                  <w14:solidFill>
                    <w14:schemeClr w14:val="tx1"/>
                  </w14:solidFill>
                </w14:textFill>
              </w:rPr>
            </w:pPr>
            <w:r>
              <w:rPr>
                <w:color w:val="000000" w:themeColor="text1"/>
                <w14:textFill>
                  <w14:solidFill>
                    <w14:schemeClr w14:val="tx1"/>
                  </w14:solidFill>
                </w14:textFill>
              </w:rPr>
              <w:t>0.000908</w:t>
            </w:r>
          </w:p>
        </w:tc>
        <w:tc>
          <w:tcPr>
            <w:tcW w:w="915" w:type="pct"/>
            <w:shd w:val="clear" w:color="auto" w:fill="auto"/>
            <w:noWrap/>
            <w:vAlign w:val="center"/>
          </w:tcPr>
          <w:p w14:paraId="1F322A0E">
            <w:pPr>
              <w:jc w:val="center"/>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071" w:type="pct"/>
            <w:shd w:val="clear" w:color="auto" w:fill="auto"/>
            <w:noWrap/>
            <w:vAlign w:val="center"/>
          </w:tcPr>
          <w:p w14:paraId="32F36C87">
            <w:pPr>
              <w:jc w:val="center"/>
              <w:rPr>
                <w:color w:val="000000" w:themeColor="text1"/>
                <w14:textFill>
                  <w14:solidFill>
                    <w14:schemeClr w14:val="tx1"/>
                  </w14:solidFill>
                </w14:textFill>
              </w:rPr>
            </w:pPr>
            <w:r>
              <w:rPr>
                <w:color w:val="000000" w:themeColor="text1"/>
                <w14:textFill>
                  <w14:solidFill>
                    <w14:schemeClr w14:val="tx1"/>
                  </w14:solidFill>
                </w14:textFill>
              </w:rPr>
              <w:t>0.006359</w:t>
            </w:r>
          </w:p>
        </w:tc>
        <w:tc>
          <w:tcPr>
            <w:tcW w:w="872" w:type="pct"/>
            <w:shd w:val="clear" w:color="auto" w:fill="auto"/>
            <w:noWrap/>
            <w:vAlign w:val="center"/>
          </w:tcPr>
          <w:p w14:paraId="49BDAF53">
            <w:pPr>
              <w:jc w:val="center"/>
              <w:rPr>
                <w:color w:val="000000" w:themeColor="text1"/>
                <w14:textFill>
                  <w14:solidFill>
                    <w14:schemeClr w14:val="tx1"/>
                  </w14:solidFill>
                </w14:textFill>
              </w:rPr>
            </w:pPr>
            <w:r>
              <w:rPr>
                <w:color w:val="000000" w:themeColor="text1"/>
                <w14:textFill>
                  <w14:solidFill>
                    <w14:schemeClr w14:val="tx1"/>
                  </w14:solidFill>
                </w14:textFill>
              </w:rPr>
              <w:t>0.32</w:t>
            </w:r>
          </w:p>
        </w:tc>
      </w:tr>
      <w:tr w14:paraId="1CE5B91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955F00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331" w:type="pct"/>
            <w:shd w:val="clear" w:color="auto" w:fill="auto"/>
            <w:noWrap/>
            <w:vAlign w:val="center"/>
          </w:tcPr>
          <w:p w14:paraId="559872B8">
            <w:pPr>
              <w:jc w:val="center"/>
              <w:rPr>
                <w:color w:val="000000" w:themeColor="text1"/>
                <w14:textFill>
                  <w14:solidFill>
                    <w14:schemeClr w14:val="tx1"/>
                  </w14:solidFill>
                </w14:textFill>
              </w:rPr>
            </w:pPr>
            <w:r>
              <w:rPr>
                <w:color w:val="000000" w:themeColor="text1"/>
                <w14:textFill>
                  <w14:solidFill>
                    <w14:schemeClr w14:val="tx1"/>
                  </w14:solidFill>
                </w14:textFill>
              </w:rPr>
              <w:t>0.001023</w:t>
            </w:r>
          </w:p>
        </w:tc>
        <w:tc>
          <w:tcPr>
            <w:tcW w:w="915" w:type="pct"/>
            <w:shd w:val="clear" w:color="auto" w:fill="auto"/>
            <w:noWrap/>
            <w:vAlign w:val="center"/>
          </w:tcPr>
          <w:p w14:paraId="5F258A33">
            <w:pPr>
              <w:jc w:val="center"/>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071" w:type="pct"/>
            <w:shd w:val="clear" w:color="auto" w:fill="auto"/>
            <w:noWrap/>
            <w:vAlign w:val="center"/>
          </w:tcPr>
          <w:p w14:paraId="35073BF6">
            <w:pPr>
              <w:jc w:val="center"/>
              <w:rPr>
                <w:color w:val="000000" w:themeColor="text1"/>
                <w14:textFill>
                  <w14:solidFill>
                    <w14:schemeClr w14:val="tx1"/>
                  </w14:solidFill>
                </w14:textFill>
              </w:rPr>
            </w:pPr>
            <w:r>
              <w:rPr>
                <w:color w:val="000000" w:themeColor="text1"/>
                <w14:textFill>
                  <w14:solidFill>
                    <w14:schemeClr w14:val="tx1"/>
                  </w14:solidFill>
                </w14:textFill>
              </w:rPr>
              <w:t>0.007162</w:t>
            </w:r>
          </w:p>
        </w:tc>
        <w:tc>
          <w:tcPr>
            <w:tcW w:w="872" w:type="pct"/>
            <w:shd w:val="clear" w:color="auto" w:fill="auto"/>
            <w:noWrap/>
            <w:vAlign w:val="center"/>
          </w:tcPr>
          <w:p w14:paraId="6773F4DE">
            <w:pPr>
              <w:jc w:val="center"/>
              <w:rPr>
                <w:color w:val="000000" w:themeColor="text1"/>
                <w14:textFill>
                  <w14:solidFill>
                    <w14:schemeClr w14:val="tx1"/>
                  </w14:solidFill>
                </w14:textFill>
              </w:rPr>
            </w:pPr>
            <w:r>
              <w:rPr>
                <w:color w:val="000000" w:themeColor="text1"/>
                <w14:textFill>
                  <w14:solidFill>
                    <w14:schemeClr w14:val="tx1"/>
                  </w14:solidFill>
                </w14:textFill>
              </w:rPr>
              <w:t>0.36</w:t>
            </w:r>
          </w:p>
        </w:tc>
      </w:tr>
      <w:tr w14:paraId="095D7B4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76E24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175</w:t>
            </w:r>
          </w:p>
        </w:tc>
        <w:tc>
          <w:tcPr>
            <w:tcW w:w="1331" w:type="pct"/>
            <w:shd w:val="clear" w:color="auto" w:fill="auto"/>
            <w:noWrap/>
            <w:vAlign w:val="center"/>
          </w:tcPr>
          <w:p w14:paraId="71E2C103">
            <w:pPr>
              <w:jc w:val="center"/>
              <w:rPr>
                <w:color w:val="000000" w:themeColor="text1"/>
                <w14:textFill>
                  <w14:solidFill>
                    <w14:schemeClr w14:val="tx1"/>
                  </w14:solidFill>
                </w14:textFill>
              </w:rPr>
            </w:pPr>
            <w:r>
              <w:rPr>
                <w:color w:val="000000" w:themeColor="text1"/>
                <w14:textFill>
                  <w14:solidFill>
                    <w14:schemeClr w14:val="tx1"/>
                  </w14:solidFill>
                </w14:textFill>
              </w:rPr>
              <w:t>0.001068</w:t>
            </w:r>
          </w:p>
        </w:tc>
        <w:tc>
          <w:tcPr>
            <w:tcW w:w="915" w:type="pct"/>
            <w:shd w:val="clear" w:color="auto" w:fill="auto"/>
            <w:noWrap/>
            <w:vAlign w:val="center"/>
          </w:tcPr>
          <w:p w14:paraId="56B33FD5">
            <w:pPr>
              <w:jc w:val="center"/>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1071" w:type="pct"/>
            <w:shd w:val="clear" w:color="auto" w:fill="auto"/>
            <w:noWrap/>
            <w:vAlign w:val="center"/>
          </w:tcPr>
          <w:p w14:paraId="6AB6CE1A">
            <w:pPr>
              <w:jc w:val="center"/>
              <w:rPr>
                <w:color w:val="000000" w:themeColor="text1"/>
                <w14:textFill>
                  <w14:solidFill>
                    <w14:schemeClr w14:val="tx1"/>
                  </w14:solidFill>
                </w14:textFill>
              </w:rPr>
            </w:pPr>
            <w:r>
              <w:rPr>
                <w:color w:val="000000" w:themeColor="text1"/>
                <w14:textFill>
                  <w14:solidFill>
                    <w14:schemeClr w14:val="tx1"/>
                  </w14:solidFill>
                </w14:textFill>
              </w:rPr>
              <w:t>0.007474</w:t>
            </w:r>
          </w:p>
        </w:tc>
        <w:tc>
          <w:tcPr>
            <w:tcW w:w="872" w:type="pct"/>
            <w:shd w:val="clear" w:color="auto" w:fill="auto"/>
            <w:noWrap/>
            <w:vAlign w:val="center"/>
          </w:tcPr>
          <w:p w14:paraId="7E1D61B0">
            <w:pPr>
              <w:jc w:val="center"/>
              <w:rPr>
                <w:color w:val="000000" w:themeColor="text1"/>
                <w14:textFill>
                  <w14:solidFill>
                    <w14:schemeClr w14:val="tx1"/>
                  </w14:solidFill>
                </w14:textFill>
              </w:rPr>
            </w:pPr>
            <w:r>
              <w:rPr>
                <w:color w:val="000000" w:themeColor="text1"/>
                <w14:textFill>
                  <w14:solidFill>
                    <w14:schemeClr w14:val="tx1"/>
                  </w14:solidFill>
                </w14:textFill>
              </w:rPr>
              <w:t>0.37</w:t>
            </w:r>
          </w:p>
        </w:tc>
      </w:tr>
      <w:tr w14:paraId="41CB9E8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6A90216">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196</w:t>
            </w:r>
          </w:p>
        </w:tc>
        <w:tc>
          <w:tcPr>
            <w:tcW w:w="1331" w:type="pct"/>
            <w:shd w:val="clear" w:color="auto" w:fill="auto"/>
            <w:noWrap/>
            <w:vAlign w:val="center"/>
          </w:tcPr>
          <w:p w14:paraId="13CC8233">
            <w:pPr>
              <w:jc w:val="center"/>
              <w:rPr>
                <w:b/>
                <w:color w:val="000000" w:themeColor="text1"/>
                <w14:textFill>
                  <w14:solidFill>
                    <w14:schemeClr w14:val="tx1"/>
                  </w14:solidFill>
                </w14:textFill>
              </w:rPr>
            </w:pPr>
            <w:r>
              <w:rPr>
                <w:b/>
                <w:color w:val="000000" w:themeColor="text1"/>
                <w14:textFill>
                  <w14:solidFill>
                    <w14:schemeClr w14:val="tx1"/>
                  </w14:solidFill>
                </w14:textFill>
              </w:rPr>
              <w:t>0.001077</w:t>
            </w:r>
          </w:p>
        </w:tc>
        <w:tc>
          <w:tcPr>
            <w:tcW w:w="915" w:type="pct"/>
            <w:shd w:val="clear" w:color="auto" w:fill="auto"/>
            <w:noWrap/>
            <w:vAlign w:val="center"/>
          </w:tcPr>
          <w:p w14:paraId="25A647FF">
            <w:pPr>
              <w:jc w:val="center"/>
              <w:rPr>
                <w:b/>
                <w:color w:val="000000" w:themeColor="text1"/>
                <w14:textFill>
                  <w14:solidFill>
                    <w14:schemeClr w14:val="tx1"/>
                  </w14:solidFill>
                </w14:textFill>
              </w:rPr>
            </w:pPr>
            <w:r>
              <w:rPr>
                <w:b/>
                <w:color w:val="000000" w:themeColor="text1"/>
                <w14:textFill>
                  <w14:solidFill>
                    <w14:schemeClr w14:val="tx1"/>
                  </w14:solidFill>
                </w14:textFill>
              </w:rPr>
              <w:t>0.12</w:t>
            </w:r>
          </w:p>
        </w:tc>
        <w:tc>
          <w:tcPr>
            <w:tcW w:w="1071" w:type="pct"/>
            <w:shd w:val="clear" w:color="auto" w:fill="auto"/>
            <w:noWrap/>
            <w:vAlign w:val="center"/>
          </w:tcPr>
          <w:p w14:paraId="57D53CF5">
            <w:pPr>
              <w:jc w:val="center"/>
              <w:rPr>
                <w:b/>
                <w:color w:val="000000" w:themeColor="text1"/>
                <w14:textFill>
                  <w14:solidFill>
                    <w14:schemeClr w14:val="tx1"/>
                  </w14:solidFill>
                </w14:textFill>
              </w:rPr>
            </w:pPr>
            <w:r>
              <w:rPr>
                <w:b/>
                <w:color w:val="000000" w:themeColor="text1"/>
                <w14:textFill>
                  <w14:solidFill>
                    <w14:schemeClr w14:val="tx1"/>
                  </w14:solidFill>
                </w14:textFill>
              </w:rPr>
              <w:t>0.007536</w:t>
            </w:r>
          </w:p>
        </w:tc>
        <w:tc>
          <w:tcPr>
            <w:tcW w:w="872" w:type="pct"/>
            <w:shd w:val="clear" w:color="auto" w:fill="auto"/>
            <w:noWrap/>
            <w:vAlign w:val="center"/>
          </w:tcPr>
          <w:p w14:paraId="708D2545">
            <w:pPr>
              <w:jc w:val="center"/>
              <w:rPr>
                <w:b/>
                <w:color w:val="000000" w:themeColor="text1"/>
                <w14:textFill>
                  <w14:solidFill>
                    <w14:schemeClr w14:val="tx1"/>
                  </w14:solidFill>
                </w14:textFill>
              </w:rPr>
            </w:pPr>
            <w:r>
              <w:rPr>
                <w:b/>
                <w:color w:val="000000" w:themeColor="text1"/>
                <w14:textFill>
                  <w14:solidFill>
                    <w14:schemeClr w14:val="tx1"/>
                  </w14:solidFill>
                </w14:textFill>
              </w:rPr>
              <w:t>0.38</w:t>
            </w:r>
          </w:p>
        </w:tc>
      </w:tr>
      <w:tr w14:paraId="6B00930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85F13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331" w:type="pct"/>
            <w:shd w:val="clear" w:color="auto" w:fill="auto"/>
            <w:noWrap/>
            <w:vAlign w:val="center"/>
          </w:tcPr>
          <w:p w14:paraId="3F02AFCE">
            <w:pPr>
              <w:jc w:val="center"/>
              <w:rPr>
                <w:color w:val="000000" w:themeColor="text1"/>
                <w14:textFill>
                  <w14:solidFill>
                    <w14:schemeClr w14:val="tx1"/>
                  </w14:solidFill>
                </w14:textFill>
              </w:rPr>
            </w:pPr>
            <w:r>
              <w:rPr>
                <w:color w:val="000000" w:themeColor="text1"/>
                <w14:textFill>
                  <w14:solidFill>
                    <w14:schemeClr w14:val="tx1"/>
                  </w14:solidFill>
                </w14:textFill>
              </w:rPr>
              <w:t>0.001076</w:t>
            </w:r>
          </w:p>
        </w:tc>
        <w:tc>
          <w:tcPr>
            <w:tcW w:w="915" w:type="pct"/>
            <w:shd w:val="clear" w:color="auto" w:fill="auto"/>
            <w:noWrap/>
            <w:vAlign w:val="center"/>
          </w:tcPr>
          <w:p w14:paraId="4C83754E">
            <w:pPr>
              <w:jc w:val="center"/>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1071" w:type="pct"/>
            <w:shd w:val="clear" w:color="auto" w:fill="auto"/>
            <w:noWrap/>
            <w:vAlign w:val="center"/>
          </w:tcPr>
          <w:p w14:paraId="5647CCAE">
            <w:pPr>
              <w:jc w:val="center"/>
              <w:rPr>
                <w:color w:val="000000" w:themeColor="text1"/>
                <w14:textFill>
                  <w14:solidFill>
                    <w14:schemeClr w14:val="tx1"/>
                  </w14:solidFill>
                </w14:textFill>
              </w:rPr>
            </w:pPr>
            <w:r>
              <w:rPr>
                <w:color w:val="000000" w:themeColor="text1"/>
                <w14:textFill>
                  <w14:solidFill>
                    <w14:schemeClr w14:val="tx1"/>
                  </w14:solidFill>
                </w14:textFill>
              </w:rPr>
              <w:t>0.007534</w:t>
            </w:r>
          </w:p>
        </w:tc>
        <w:tc>
          <w:tcPr>
            <w:tcW w:w="872" w:type="pct"/>
            <w:shd w:val="clear" w:color="auto" w:fill="auto"/>
            <w:noWrap/>
            <w:vAlign w:val="center"/>
          </w:tcPr>
          <w:p w14:paraId="1093811E">
            <w:pPr>
              <w:jc w:val="center"/>
              <w:rPr>
                <w:color w:val="000000" w:themeColor="text1"/>
                <w14:textFill>
                  <w14:solidFill>
                    <w14:schemeClr w14:val="tx1"/>
                  </w14:solidFill>
                </w14:textFill>
              </w:rPr>
            </w:pPr>
            <w:r>
              <w:rPr>
                <w:color w:val="000000" w:themeColor="text1"/>
                <w14:textFill>
                  <w14:solidFill>
                    <w14:schemeClr w14:val="tx1"/>
                  </w14:solidFill>
                </w14:textFill>
              </w:rPr>
              <w:t>0.38</w:t>
            </w:r>
          </w:p>
        </w:tc>
      </w:tr>
      <w:tr w14:paraId="105FFD9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A5BC1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w:t>
            </w:r>
          </w:p>
        </w:tc>
        <w:tc>
          <w:tcPr>
            <w:tcW w:w="1331" w:type="pct"/>
            <w:shd w:val="clear" w:color="auto" w:fill="auto"/>
            <w:noWrap/>
            <w:vAlign w:val="center"/>
          </w:tcPr>
          <w:p w14:paraId="2C6726D7">
            <w:pPr>
              <w:jc w:val="center"/>
              <w:rPr>
                <w:color w:val="000000" w:themeColor="text1"/>
                <w14:textFill>
                  <w14:solidFill>
                    <w14:schemeClr w14:val="tx1"/>
                  </w14:solidFill>
                </w14:textFill>
              </w:rPr>
            </w:pPr>
            <w:r>
              <w:rPr>
                <w:color w:val="000000" w:themeColor="text1"/>
                <w14:textFill>
                  <w14:solidFill>
                    <w14:schemeClr w14:val="tx1"/>
                  </w14:solidFill>
                </w14:textFill>
              </w:rPr>
              <w:t>0.001065</w:t>
            </w:r>
          </w:p>
        </w:tc>
        <w:tc>
          <w:tcPr>
            <w:tcW w:w="915" w:type="pct"/>
            <w:shd w:val="clear" w:color="auto" w:fill="auto"/>
            <w:noWrap/>
            <w:vAlign w:val="center"/>
          </w:tcPr>
          <w:p w14:paraId="3427E0C2">
            <w:pPr>
              <w:jc w:val="center"/>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1071" w:type="pct"/>
            <w:shd w:val="clear" w:color="auto" w:fill="auto"/>
            <w:noWrap/>
            <w:vAlign w:val="center"/>
          </w:tcPr>
          <w:p w14:paraId="6950F258">
            <w:pPr>
              <w:jc w:val="center"/>
              <w:rPr>
                <w:color w:val="000000" w:themeColor="text1"/>
                <w14:textFill>
                  <w14:solidFill>
                    <w14:schemeClr w14:val="tx1"/>
                  </w14:solidFill>
                </w14:textFill>
              </w:rPr>
            </w:pPr>
            <w:r>
              <w:rPr>
                <w:color w:val="000000" w:themeColor="text1"/>
                <w14:textFill>
                  <w14:solidFill>
                    <w14:schemeClr w14:val="tx1"/>
                  </w14:solidFill>
                </w14:textFill>
              </w:rPr>
              <w:t>0.007452</w:t>
            </w:r>
          </w:p>
        </w:tc>
        <w:tc>
          <w:tcPr>
            <w:tcW w:w="872" w:type="pct"/>
            <w:shd w:val="clear" w:color="auto" w:fill="auto"/>
            <w:noWrap/>
            <w:vAlign w:val="center"/>
          </w:tcPr>
          <w:p w14:paraId="2B03D0B6">
            <w:pPr>
              <w:jc w:val="center"/>
              <w:rPr>
                <w:color w:val="000000" w:themeColor="text1"/>
                <w14:textFill>
                  <w14:solidFill>
                    <w14:schemeClr w14:val="tx1"/>
                  </w14:solidFill>
                </w14:textFill>
              </w:rPr>
            </w:pPr>
            <w:r>
              <w:rPr>
                <w:color w:val="000000" w:themeColor="text1"/>
                <w14:textFill>
                  <w14:solidFill>
                    <w14:schemeClr w14:val="tx1"/>
                  </w14:solidFill>
                </w14:textFill>
              </w:rPr>
              <w:t>0.37</w:t>
            </w:r>
          </w:p>
        </w:tc>
      </w:tr>
      <w:tr w14:paraId="05D8980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836D17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1331" w:type="pct"/>
            <w:shd w:val="clear" w:color="auto" w:fill="auto"/>
            <w:noWrap/>
            <w:vAlign w:val="center"/>
          </w:tcPr>
          <w:p w14:paraId="1FEB1610">
            <w:pPr>
              <w:jc w:val="center"/>
              <w:rPr>
                <w:color w:val="000000" w:themeColor="text1"/>
                <w14:textFill>
                  <w14:solidFill>
                    <w14:schemeClr w14:val="tx1"/>
                  </w14:solidFill>
                </w14:textFill>
              </w:rPr>
            </w:pPr>
            <w:r>
              <w:rPr>
                <w:color w:val="000000" w:themeColor="text1"/>
                <w14:textFill>
                  <w14:solidFill>
                    <w14:schemeClr w14:val="tx1"/>
                  </w14:solidFill>
                </w14:textFill>
              </w:rPr>
              <w:t>0.001042</w:t>
            </w:r>
          </w:p>
        </w:tc>
        <w:tc>
          <w:tcPr>
            <w:tcW w:w="915" w:type="pct"/>
            <w:shd w:val="clear" w:color="auto" w:fill="auto"/>
            <w:noWrap/>
            <w:vAlign w:val="center"/>
          </w:tcPr>
          <w:p w14:paraId="64FC4BC0">
            <w:pPr>
              <w:jc w:val="center"/>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1071" w:type="pct"/>
            <w:shd w:val="clear" w:color="auto" w:fill="auto"/>
            <w:noWrap/>
            <w:vAlign w:val="center"/>
          </w:tcPr>
          <w:p w14:paraId="74966412">
            <w:pPr>
              <w:jc w:val="center"/>
              <w:rPr>
                <w:color w:val="000000" w:themeColor="text1"/>
                <w14:textFill>
                  <w14:solidFill>
                    <w14:schemeClr w14:val="tx1"/>
                  </w14:solidFill>
                </w14:textFill>
              </w:rPr>
            </w:pPr>
            <w:r>
              <w:rPr>
                <w:color w:val="000000" w:themeColor="text1"/>
                <w14:textFill>
                  <w14:solidFill>
                    <w14:schemeClr w14:val="tx1"/>
                  </w14:solidFill>
                </w14:textFill>
              </w:rPr>
              <w:t>0.007291</w:t>
            </w:r>
          </w:p>
        </w:tc>
        <w:tc>
          <w:tcPr>
            <w:tcW w:w="872" w:type="pct"/>
            <w:shd w:val="clear" w:color="auto" w:fill="auto"/>
            <w:noWrap/>
            <w:vAlign w:val="center"/>
          </w:tcPr>
          <w:p w14:paraId="53A0AB80">
            <w:pPr>
              <w:jc w:val="center"/>
              <w:rPr>
                <w:color w:val="000000" w:themeColor="text1"/>
                <w14:textFill>
                  <w14:solidFill>
                    <w14:schemeClr w14:val="tx1"/>
                  </w14:solidFill>
                </w14:textFill>
              </w:rPr>
            </w:pPr>
            <w:r>
              <w:rPr>
                <w:color w:val="000000" w:themeColor="text1"/>
                <w14:textFill>
                  <w14:solidFill>
                    <w14:schemeClr w14:val="tx1"/>
                  </w14:solidFill>
                </w14:textFill>
              </w:rPr>
              <w:t>0.36</w:t>
            </w:r>
          </w:p>
        </w:tc>
      </w:tr>
      <w:tr w14:paraId="00B8637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C6669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265</w:t>
            </w:r>
          </w:p>
        </w:tc>
        <w:tc>
          <w:tcPr>
            <w:tcW w:w="1331" w:type="pct"/>
            <w:shd w:val="clear" w:color="auto" w:fill="auto"/>
            <w:noWrap/>
            <w:vAlign w:val="center"/>
          </w:tcPr>
          <w:p w14:paraId="6849D2C9">
            <w:pPr>
              <w:jc w:val="center"/>
              <w:rPr>
                <w:color w:val="000000" w:themeColor="text1"/>
                <w14:textFill>
                  <w14:solidFill>
                    <w14:schemeClr w14:val="tx1"/>
                  </w14:solidFill>
                </w14:textFill>
              </w:rPr>
            </w:pPr>
            <w:r>
              <w:rPr>
                <w:color w:val="000000" w:themeColor="text1"/>
                <w14:textFill>
                  <w14:solidFill>
                    <w14:schemeClr w14:val="tx1"/>
                  </w14:solidFill>
                </w14:textFill>
              </w:rPr>
              <w:t>0.001013</w:t>
            </w:r>
          </w:p>
        </w:tc>
        <w:tc>
          <w:tcPr>
            <w:tcW w:w="915" w:type="pct"/>
            <w:shd w:val="clear" w:color="auto" w:fill="auto"/>
            <w:noWrap/>
            <w:vAlign w:val="center"/>
          </w:tcPr>
          <w:p w14:paraId="06C970FB">
            <w:pPr>
              <w:jc w:val="center"/>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071" w:type="pct"/>
            <w:shd w:val="clear" w:color="auto" w:fill="auto"/>
            <w:noWrap/>
            <w:vAlign w:val="center"/>
          </w:tcPr>
          <w:p w14:paraId="2A9E407B">
            <w:pPr>
              <w:jc w:val="center"/>
              <w:rPr>
                <w:color w:val="000000" w:themeColor="text1"/>
                <w14:textFill>
                  <w14:solidFill>
                    <w14:schemeClr w14:val="tx1"/>
                  </w14:solidFill>
                </w14:textFill>
              </w:rPr>
            </w:pPr>
            <w:r>
              <w:rPr>
                <w:color w:val="000000" w:themeColor="text1"/>
                <w14:textFill>
                  <w14:solidFill>
                    <w14:schemeClr w14:val="tx1"/>
                  </w14:solidFill>
                </w14:textFill>
              </w:rPr>
              <w:t>0.007089</w:t>
            </w:r>
          </w:p>
        </w:tc>
        <w:tc>
          <w:tcPr>
            <w:tcW w:w="872" w:type="pct"/>
            <w:shd w:val="clear" w:color="auto" w:fill="auto"/>
            <w:noWrap/>
            <w:vAlign w:val="center"/>
          </w:tcPr>
          <w:p w14:paraId="349E5748">
            <w:pPr>
              <w:jc w:val="center"/>
              <w:rPr>
                <w:color w:val="000000" w:themeColor="text1"/>
                <w14:textFill>
                  <w14:solidFill>
                    <w14:schemeClr w14:val="tx1"/>
                  </w14:solidFill>
                </w14:textFill>
              </w:rPr>
            </w:pPr>
            <w:r>
              <w:rPr>
                <w:color w:val="000000" w:themeColor="text1"/>
                <w14:textFill>
                  <w14:solidFill>
                    <w14:schemeClr w14:val="tx1"/>
                  </w14:solidFill>
                </w14:textFill>
              </w:rPr>
              <w:t>0.35</w:t>
            </w:r>
          </w:p>
        </w:tc>
      </w:tr>
      <w:tr w14:paraId="144337F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E5A68E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275</w:t>
            </w:r>
          </w:p>
        </w:tc>
        <w:tc>
          <w:tcPr>
            <w:tcW w:w="1331" w:type="pct"/>
            <w:shd w:val="clear" w:color="auto" w:fill="auto"/>
            <w:noWrap/>
            <w:vAlign w:val="center"/>
          </w:tcPr>
          <w:p w14:paraId="1CC031AD">
            <w:pPr>
              <w:jc w:val="center"/>
              <w:rPr>
                <w:color w:val="000000" w:themeColor="text1"/>
                <w14:textFill>
                  <w14:solidFill>
                    <w14:schemeClr w14:val="tx1"/>
                  </w14:solidFill>
                </w14:textFill>
              </w:rPr>
            </w:pPr>
            <w:r>
              <w:rPr>
                <w:color w:val="000000" w:themeColor="text1"/>
                <w14:textFill>
                  <w14:solidFill>
                    <w14:schemeClr w14:val="tx1"/>
                  </w14:solidFill>
                </w14:textFill>
              </w:rPr>
              <w:t>0.001004</w:t>
            </w:r>
          </w:p>
        </w:tc>
        <w:tc>
          <w:tcPr>
            <w:tcW w:w="915" w:type="pct"/>
            <w:shd w:val="clear" w:color="auto" w:fill="auto"/>
            <w:noWrap/>
            <w:vAlign w:val="center"/>
          </w:tcPr>
          <w:p w14:paraId="1E27A91F">
            <w:pPr>
              <w:jc w:val="center"/>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071" w:type="pct"/>
            <w:shd w:val="clear" w:color="auto" w:fill="auto"/>
            <w:noWrap/>
            <w:vAlign w:val="center"/>
          </w:tcPr>
          <w:p w14:paraId="1E5FBEC6">
            <w:pPr>
              <w:jc w:val="center"/>
              <w:rPr>
                <w:color w:val="000000" w:themeColor="text1"/>
                <w14:textFill>
                  <w14:solidFill>
                    <w14:schemeClr w14:val="tx1"/>
                  </w14:solidFill>
                </w14:textFill>
              </w:rPr>
            </w:pPr>
            <w:r>
              <w:rPr>
                <w:color w:val="000000" w:themeColor="text1"/>
                <w14:textFill>
                  <w14:solidFill>
                    <w14:schemeClr w14:val="tx1"/>
                  </w14:solidFill>
                </w14:textFill>
              </w:rPr>
              <w:t>0.007029</w:t>
            </w:r>
          </w:p>
        </w:tc>
        <w:tc>
          <w:tcPr>
            <w:tcW w:w="872" w:type="pct"/>
            <w:shd w:val="clear" w:color="auto" w:fill="auto"/>
            <w:noWrap/>
            <w:vAlign w:val="center"/>
          </w:tcPr>
          <w:p w14:paraId="488B22A6">
            <w:pPr>
              <w:jc w:val="center"/>
              <w:rPr>
                <w:color w:val="000000" w:themeColor="text1"/>
                <w14:textFill>
                  <w14:solidFill>
                    <w14:schemeClr w14:val="tx1"/>
                  </w14:solidFill>
                </w14:textFill>
              </w:rPr>
            </w:pPr>
            <w:r>
              <w:rPr>
                <w:color w:val="000000" w:themeColor="text1"/>
                <w14:textFill>
                  <w14:solidFill>
                    <w14:schemeClr w14:val="tx1"/>
                  </w14:solidFill>
                </w14:textFill>
              </w:rPr>
              <w:t>0.35</w:t>
            </w:r>
          </w:p>
        </w:tc>
      </w:tr>
      <w:tr w14:paraId="6809DE8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1788C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331" w:type="pct"/>
            <w:shd w:val="clear" w:color="auto" w:fill="auto"/>
            <w:noWrap/>
            <w:vAlign w:val="center"/>
          </w:tcPr>
          <w:p w14:paraId="37DE0666">
            <w:pPr>
              <w:jc w:val="center"/>
              <w:rPr>
                <w:color w:val="000000" w:themeColor="text1"/>
                <w14:textFill>
                  <w14:solidFill>
                    <w14:schemeClr w14:val="tx1"/>
                  </w14:solidFill>
                </w14:textFill>
              </w:rPr>
            </w:pPr>
            <w:r>
              <w:rPr>
                <w:color w:val="000000" w:themeColor="text1"/>
                <w14:textFill>
                  <w14:solidFill>
                    <w14:schemeClr w14:val="tx1"/>
                  </w14:solidFill>
                </w14:textFill>
              </w:rPr>
              <w:t>0.000981</w:t>
            </w:r>
          </w:p>
        </w:tc>
        <w:tc>
          <w:tcPr>
            <w:tcW w:w="915" w:type="pct"/>
            <w:shd w:val="clear" w:color="auto" w:fill="auto"/>
            <w:noWrap/>
            <w:vAlign w:val="center"/>
          </w:tcPr>
          <w:p w14:paraId="7C77246C">
            <w:pPr>
              <w:jc w:val="center"/>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071" w:type="pct"/>
            <w:shd w:val="clear" w:color="auto" w:fill="auto"/>
            <w:noWrap/>
            <w:vAlign w:val="center"/>
          </w:tcPr>
          <w:p w14:paraId="4009455C">
            <w:pPr>
              <w:jc w:val="center"/>
              <w:rPr>
                <w:color w:val="000000" w:themeColor="text1"/>
                <w14:textFill>
                  <w14:solidFill>
                    <w14:schemeClr w14:val="tx1"/>
                  </w14:solidFill>
                </w14:textFill>
              </w:rPr>
            </w:pPr>
            <w:r>
              <w:rPr>
                <w:color w:val="000000" w:themeColor="text1"/>
                <w14:textFill>
                  <w14:solidFill>
                    <w14:schemeClr w14:val="tx1"/>
                  </w14:solidFill>
                </w14:textFill>
              </w:rPr>
              <w:t>0.00687</w:t>
            </w:r>
          </w:p>
        </w:tc>
        <w:tc>
          <w:tcPr>
            <w:tcW w:w="872" w:type="pct"/>
            <w:shd w:val="clear" w:color="auto" w:fill="auto"/>
            <w:noWrap/>
            <w:vAlign w:val="center"/>
          </w:tcPr>
          <w:p w14:paraId="25CC6543">
            <w:pPr>
              <w:jc w:val="center"/>
              <w:rPr>
                <w:color w:val="000000" w:themeColor="text1"/>
                <w14:textFill>
                  <w14:solidFill>
                    <w14:schemeClr w14:val="tx1"/>
                  </w14:solidFill>
                </w14:textFill>
              </w:rPr>
            </w:pPr>
            <w:r>
              <w:rPr>
                <w:color w:val="000000" w:themeColor="text1"/>
                <w14:textFill>
                  <w14:solidFill>
                    <w14:schemeClr w14:val="tx1"/>
                  </w14:solidFill>
                </w14:textFill>
              </w:rPr>
              <w:t>0.34</w:t>
            </w:r>
          </w:p>
        </w:tc>
      </w:tr>
      <w:tr w14:paraId="39A56F7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9CFF7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325</w:t>
            </w:r>
          </w:p>
        </w:tc>
        <w:tc>
          <w:tcPr>
            <w:tcW w:w="1331" w:type="pct"/>
            <w:shd w:val="clear" w:color="auto" w:fill="auto"/>
            <w:noWrap/>
            <w:vAlign w:val="center"/>
          </w:tcPr>
          <w:p w14:paraId="520C92C9">
            <w:pPr>
              <w:jc w:val="center"/>
              <w:rPr>
                <w:color w:val="000000" w:themeColor="text1"/>
                <w14:textFill>
                  <w14:solidFill>
                    <w14:schemeClr w14:val="tx1"/>
                  </w14:solidFill>
                </w14:textFill>
              </w:rPr>
            </w:pPr>
            <w:r>
              <w:rPr>
                <w:color w:val="000000" w:themeColor="text1"/>
                <w14:textFill>
                  <w14:solidFill>
                    <w14:schemeClr w14:val="tx1"/>
                  </w14:solidFill>
                </w14:textFill>
              </w:rPr>
              <w:t>0.000969</w:t>
            </w:r>
          </w:p>
        </w:tc>
        <w:tc>
          <w:tcPr>
            <w:tcW w:w="915" w:type="pct"/>
            <w:shd w:val="clear" w:color="auto" w:fill="auto"/>
            <w:noWrap/>
            <w:vAlign w:val="center"/>
          </w:tcPr>
          <w:p w14:paraId="1F07D550">
            <w:pPr>
              <w:jc w:val="center"/>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071" w:type="pct"/>
            <w:shd w:val="clear" w:color="auto" w:fill="auto"/>
            <w:noWrap/>
            <w:vAlign w:val="center"/>
          </w:tcPr>
          <w:p w14:paraId="06FC47C2">
            <w:pPr>
              <w:jc w:val="center"/>
              <w:rPr>
                <w:color w:val="000000" w:themeColor="text1"/>
                <w14:textFill>
                  <w14:solidFill>
                    <w14:schemeClr w14:val="tx1"/>
                  </w14:solidFill>
                </w14:textFill>
              </w:rPr>
            </w:pPr>
            <w:r>
              <w:rPr>
                <w:color w:val="000000" w:themeColor="text1"/>
                <w14:textFill>
                  <w14:solidFill>
                    <w14:schemeClr w14:val="tx1"/>
                  </w14:solidFill>
                </w14:textFill>
              </w:rPr>
              <w:t>0.006782</w:t>
            </w:r>
          </w:p>
        </w:tc>
        <w:tc>
          <w:tcPr>
            <w:tcW w:w="872" w:type="pct"/>
            <w:shd w:val="clear" w:color="auto" w:fill="auto"/>
            <w:noWrap/>
            <w:vAlign w:val="center"/>
          </w:tcPr>
          <w:p w14:paraId="462BDD5C">
            <w:pPr>
              <w:jc w:val="center"/>
              <w:rPr>
                <w:color w:val="000000" w:themeColor="text1"/>
                <w14:textFill>
                  <w14:solidFill>
                    <w14:schemeClr w14:val="tx1"/>
                  </w14:solidFill>
                </w14:textFill>
              </w:rPr>
            </w:pPr>
            <w:r>
              <w:rPr>
                <w:color w:val="000000" w:themeColor="text1"/>
                <w14:textFill>
                  <w14:solidFill>
                    <w14:schemeClr w14:val="tx1"/>
                  </w14:solidFill>
                </w14:textFill>
              </w:rPr>
              <w:t>0.34</w:t>
            </w:r>
          </w:p>
        </w:tc>
      </w:tr>
      <w:tr w14:paraId="26F8D52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8F60C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1331" w:type="pct"/>
            <w:shd w:val="clear" w:color="auto" w:fill="auto"/>
            <w:noWrap/>
            <w:vAlign w:val="center"/>
          </w:tcPr>
          <w:p w14:paraId="3C978DFE">
            <w:pPr>
              <w:jc w:val="center"/>
              <w:rPr>
                <w:color w:val="000000" w:themeColor="text1"/>
                <w14:textFill>
                  <w14:solidFill>
                    <w14:schemeClr w14:val="tx1"/>
                  </w14:solidFill>
                </w14:textFill>
              </w:rPr>
            </w:pPr>
            <w:r>
              <w:rPr>
                <w:color w:val="000000" w:themeColor="text1"/>
                <w14:textFill>
                  <w14:solidFill>
                    <w14:schemeClr w14:val="tx1"/>
                  </w14:solidFill>
                </w14:textFill>
              </w:rPr>
              <w:t>0.00097</w:t>
            </w:r>
          </w:p>
        </w:tc>
        <w:tc>
          <w:tcPr>
            <w:tcW w:w="915" w:type="pct"/>
            <w:shd w:val="clear" w:color="auto" w:fill="auto"/>
            <w:noWrap/>
            <w:vAlign w:val="center"/>
          </w:tcPr>
          <w:p w14:paraId="2931429A">
            <w:pPr>
              <w:jc w:val="center"/>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071" w:type="pct"/>
            <w:shd w:val="clear" w:color="auto" w:fill="auto"/>
            <w:noWrap/>
            <w:vAlign w:val="center"/>
          </w:tcPr>
          <w:p w14:paraId="75788906">
            <w:pPr>
              <w:jc w:val="center"/>
              <w:rPr>
                <w:color w:val="000000" w:themeColor="text1"/>
                <w14:textFill>
                  <w14:solidFill>
                    <w14:schemeClr w14:val="tx1"/>
                  </w14:solidFill>
                </w14:textFill>
              </w:rPr>
            </w:pPr>
            <w:r>
              <w:rPr>
                <w:color w:val="000000" w:themeColor="text1"/>
                <w14:textFill>
                  <w14:solidFill>
                    <w14:schemeClr w14:val="tx1"/>
                  </w14:solidFill>
                </w14:textFill>
              </w:rPr>
              <w:t>0.006791</w:t>
            </w:r>
          </w:p>
        </w:tc>
        <w:tc>
          <w:tcPr>
            <w:tcW w:w="872" w:type="pct"/>
            <w:shd w:val="clear" w:color="auto" w:fill="auto"/>
            <w:noWrap/>
            <w:vAlign w:val="center"/>
          </w:tcPr>
          <w:p w14:paraId="2459799C">
            <w:pPr>
              <w:jc w:val="center"/>
              <w:rPr>
                <w:color w:val="000000" w:themeColor="text1"/>
                <w14:textFill>
                  <w14:solidFill>
                    <w14:schemeClr w14:val="tx1"/>
                  </w14:solidFill>
                </w14:textFill>
              </w:rPr>
            </w:pPr>
            <w:r>
              <w:rPr>
                <w:color w:val="000000" w:themeColor="text1"/>
                <w14:textFill>
                  <w14:solidFill>
                    <w14:schemeClr w14:val="tx1"/>
                  </w14:solidFill>
                </w14:textFill>
              </w:rPr>
              <w:t>0.34</w:t>
            </w:r>
          </w:p>
        </w:tc>
      </w:tr>
      <w:tr w14:paraId="1F75998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B0C10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375</w:t>
            </w:r>
          </w:p>
        </w:tc>
        <w:tc>
          <w:tcPr>
            <w:tcW w:w="1331" w:type="pct"/>
            <w:shd w:val="clear" w:color="auto" w:fill="auto"/>
            <w:noWrap/>
            <w:vAlign w:val="center"/>
          </w:tcPr>
          <w:p w14:paraId="7E74D229">
            <w:pPr>
              <w:jc w:val="center"/>
              <w:rPr>
                <w:color w:val="000000" w:themeColor="text1"/>
                <w14:textFill>
                  <w14:solidFill>
                    <w14:schemeClr w14:val="tx1"/>
                  </w14:solidFill>
                </w14:textFill>
              </w:rPr>
            </w:pPr>
            <w:r>
              <w:rPr>
                <w:color w:val="000000" w:themeColor="text1"/>
                <w14:textFill>
                  <w14:solidFill>
                    <w14:schemeClr w14:val="tx1"/>
                  </w14:solidFill>
                </w14:textFill>
              </w:rPr>
              <w:t>0.000965</w:t>
            </w:r>
          </w:p>
        </w:tc>
        <w:tc>
          <w:tcPr>
            <w:tcW w:w="915" w:type="pct"/>
            <w:shd w:val="clear" w:color="auto" w:fill="auto"/>
            <w:noWrap/>
            <w:vAlign w:val="center"/>
          </w:tcPr>
          <w:p w14:paraId="1172CC7E">
            <w:pPr>
              <w:jc w:val="center"/>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071" w:type="pct"/>
            <w:shd w:val="clear" w:color="auto" w:fill="auto"/>
            <w:noWrap/>
            <w:vAlign w:val="center"/>
          </w:tcPr>
          <w:p w14:paraId="2EE0437F">
            <w:pPr>
              <w:jc w:val="center"/>
              <w:rPr>
                <w:color w:val="000000" w:themeColor="text1"/>
                <w14:textFill>
                  <w14:solidFill>
                    <w14:schemeClr w14:val="tx1"/>
                  </w14:solidFill>
                </w14:textFill>
              </w:rPr>
            </w:pPr>
            <w:r>
              <w:rPr>
                <w:color w:val="000000" w:themeColor="text1"/>
                <w14:textFill>
                  <w14:solidFill>
                    <w14:schemeClr w14:val="tx1"/>
                  </w14:solidFill>
                </w14:textFill>
              </w:rPr>
              <w:t>0.006758</w:t>
            </w:r>
          </w:p>
        </w:tc>
        <w:tc>
          <w:tcPr>
            <w:tcW w:w="872" w:type="pct"/>
            <w:shd w:val="clear" w:color="auto" w:fill="auto"/>
            <w:noWrap/>
            <w:vAlign w:val="center"/>
          </w:tcPr>
          <w:p w14:paraId="0C618C03">
            <w:pPr>
              <w:jc w:val="center"/>
              <w:rPr>
                <w:color w:val="000000" w:themeColor="text1"/>
                <w14:textFill>
                  <w14:solidFill>
                    <w14:schemeClr w14:val="tx1"/>
                  </w14:solidFill>
                </w14:textFill>
              </w:rPr>
            </w:pPr>
            <w:r>
              <w:rPr>
                <w:color w:val="000000" w:themeColor="text1"/>
                <w14:textFill>
                  <w14:solidFill>
                    <w14:schemeClr w14:val="tx1"/>
                  </w14:solidFill>
                </w14:textFill>
              </w:rPr>
              <w:t>0.34</w:t>
            </w:r>
          </w:p>
        </w:tc>
      </w:tr>
      <w:tr w14:paraId="3B94EEC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AF543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1331" w:type="pct"/>
            <w:shd w:val="clear" w:color="auto" w:fill="auto"/>
            <w:noWrap/>
            <w:vAlign w:val="center"/>
          </w:tcPr>
          <w:p w14:paraId="5EF0743E">
            <w:pPr>
              <w:jc w:val="center"/>
              <w:rPr>
                <w:color w:val="000000" w:themeColor="text1"/>
                <w14:textFill>
                  <w14:solidFill>
                    <w14:schemeClr w14:val="tx1"/>
                  </w14:solidFill>
                </w14:textFill>
              </w:rPr>
            </w:pPr>
            <w:r>
              <w:rPr>
                <w:color w:val="000000" w:themeColor="text1"/>
                <w14:textFill>
                  <w14:solidFill>
                    <w14:schemeClr w14:val="tx1"/>
                  </w14:solidFill>
                </w14:textFill>
              </w:rPr>
              <w:t>0.000956</w:t>
            </w:r>
          </w:p>
        </w:tc>
        <w:tc>
          <w:tcPr>
            <w:tcW w:w="915" w:type="pct"/>
            <w:shd w:val="clear" w:color="auto" w:fill="auto"/>
            <w:noWrap/>
            <w:vAlign w:val="center"/>
          </w:tcPr>
          <w:p w14:paraId="69AAE10E">
            <w:pPr>
              <w:jc w:val="center"/>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071" w:type="pct"/>
            <w:shd w:val="clear" w:color="auto" w:fill="auto"/>
            <w:noWrap/>
            <w:vAlign w:val="center"/>
          </w:tcPr>
          <w:p w14:paraId="3F7F984E">
            <w:pPr>
              <w:jc w:val="center"/>
              <w:rPr>
                <w:color w:val="000000" w:themeColor="text1"/>
                <w14:textFill>
                  <w14:solidFill>
                    <w14:schemeClr w14:val="tx1"/>
                  </w14:solidFill>
                </w14:textFill>
              </w:rPr>
            </w:pPr>
            <w:r>
              <w:rPr>
                <w:color w:val="000000" w:themeColor="text1"/>
                <w14:textFill>
                  <w14:solidFill>
                    <w14:schemeClr w14:val="tx1"/>
                  </w14:solidFill>
                </w14:textFill>
              </w:rPr>
              <w:t>0.006693</w:t>
            </w:r>
          </w:p>
        </w:tc>
        <w:tc>
          <w:tcPr>
            <w:tcW w:w="872" w:type="pct"/>
            <w:shd w:val="clear" w:color="auto" w:fill="auto"/>
            <w:noWrap/>
            <w:vAlign w:val="center"/>
          </w:tcPr>
          <w:p w14:paraId="3FD67CDD">
            <w:pPr>
              <w:jc w:val="center"/>
              <w:rPr>
                <w:color w:val="000000" w:themeColor="text1"/>
                <w14:textFill>
                  <w14:solidFill>
                    <w14:schemeClr w14:val="tx1"/>
                  </w14:solidFill>
                </w14:textFill>
              </w:rPr>
            </w:pPr>
            <w:r>
              <w:rPr>
                <w:color w:val="000000" w:themeColor="text1"/>
                <w14:textFill>
                  <w14:solidFill>
                    <w14:schemeClr w14:val="tx1"/>
                  </w14:solidFill>
                </w14:textFill>
              </w:rPr>
              <w:t>0.33</w:t>
            </w:r>
          </w:p>
        </w:tc>
      </w:tr>
      <w:tr w14:paraId="540C776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8D16E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425</w:t>
            </w:r>
          </w:p>
        </w:tc>
        <w:tc>
          <w:tcPr>
            <w:tcW w:w="1331" w:type="pct"/>
            <w:shd w:val="clear" w:color="auto" w:fill="auto"/>
            <w:noWrap/>
            <w:vAlign w:val="center"/>
          </w:tcPr>
          <w:p w14:paraId="039C900A">
            <w:pPr>
              <w:jc w:val="center"/>
              <w:rPr>
                <w:color w:val="000000" w:themeColor="text1"/>
                <w14:textFill>
                  <w14:solidFill>
                    <w14:schemeClr w14:val="tx1"/>
                  </w14:solidFill>
                </w14:textFill>
              </w:rPr>
            </w:pPr>
            <w:r>
              <w:rPr>
                <w:color w:val="000000" w:themeColor="text1"/>
                <w14:textFill>
                  <w14:solidFill>
                    <w14:schemeClr w14:val="tx1"/>
                  </w14:solidFill>
                </w14:textFill>
              </w:rPr>
              <w:t>0.000944</w:t>
            </w:r>
          </w:p>
        </w:tc>
        <w:tc>
          <w:tcPr>
            <w:tcW w:w="915" w:type="pct"/>
            <w:shd w:val="clear" w:color="auto" w:fill="auto"/>
            <w:noWrap/>
            <w:vAlign w:val="center"/>
          </w:tcPr>
          <w:p w14:paraId="27AA447F">
            <w:pPr>
              <w:jc w:val="center"/>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071" w:type="pct"/>
            <w:shd w:val="clear" w:color="auto" w:fill="auto"/>
            <w:noWrap/>
            <w:vAlign w:val="center"/>
          </w:tcPr>
          <w:p w14:paraId="7EBF6C33">
            <w:pPr>
              <w:jc w:val="center"/>
              <w:rPr>
                <w:color w:val="000000" w:themeColor="text1"/>
                <w14:textFill>
                  <w14:solidFill>
                    <w14:schemeClr w14:val="tx1"/>
                  </w14:solidFill>
                </w14:textFill>
              </w:rPr>
            </w:pPr>
            <w:r>
              <w:rPr>
                <w:color w:val="000000" w:themeColor="text1"/>
                <w14:textFill>
                  <w14:solidFill>
                    <w14:schemeClr w14:val="tx1"/>
                  </w14:solidFill>
                </w14:textFill>
              </w:rPr>
              <w:t>0.006608</w:t>
            </w:r>
          </w:p>
        </w:tc>
        <w:tc>
          <w:tcPr>
            <w:tcW w:w="872" w:type="pct"/>
            <w:shd w:val="clear" w:color="auto" w:fill="auto"/>
            <w:noWrap/>
            <w:vAlign w:val="center"/>
          </w:tcPr>
          <w:p w14:paraId="4E7BF98C">
            <w:pPr>
              <w:jc w:val="center"/>
              <w:rPr>
                <w:color w:val="000000" w:themeColor="text1"/>
                <w14:textFill>
                  <w14:solidFill>
                    <w14:schemeClr w14:val="tx1"/>
                  </w14:solidFill>
                </w14:textFill>
              </w:rPr>
            </w:pPr>
            <w:r>
              <w:rPr>
                <w:color w:val="000000" w:themeColor="text1"/>
                <w14:textFill>
                  <w14:solidFill>
                    <w14:schemeClr w14:val="tx1"/>
                  </w14:solidFill>
                </w14:textFill>
              </w:rPr>
              <w:t>0.33</w:t>
            </w:r>
          </w:p>
        </w:tc>
      </w:tr>
      <w:tr w14:paraId="47A975E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4AD1B7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450</w:t>
            </w:r>
          </w:p>
        </w:tc>
        <w:tc>
          <w:tcPr>
            <w:tcW w:w="1331" w:type="pct"/>
            <w:shd w:val="clear" w:color="auto" w:fill="auto"/>
            <w:noWrap/>
            <w:vAlign w:val="center"/>
          </w:tcPr>
          <w:p w14:paraId="54A4CBA9">
            <w:pPr>
              <w:jc w:val="center"/>
              <w:rPr>
                <w:color w:val="000000" w:themeColor="text1"/>
                <w14:textFill>
                  <w14:solidFill>
                    <w14:schemeClr w14:val="tx1"/>
                  </w14:solidFill>
                </w14:textFill>
              </w:rPr>
            </w:pPr>
            <w:r>
              <w:rPr>
                <w:color w:val="000000" w:themeColor="text1"/>
                <w14:textFill>
                  <w14:solidFill>
                    <w14:schemeClr w14:val="tx1"/>
                  </w14:solidFill>
                </w14:textFill>
              </w:rPr>
              <w:t>0.00093</w:t>
            </w:r>
          </w:p>
        </w:tc>
        <w:tc>
          <w:tcPr>
            <w:tcW w:w="915" w:type="pct"/>
            <w:shd w:val="clear" w:color="auto" w:fill="auto"/>
            <w:noWrap/>
            <w:vAlign w:val="center"/>
          </w:tcPr>
          <w:p w14:paraId="0997E4C9">
            <w:pPr>
              <w:jc w:val="center"/>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071" w:type="pct"/>
            <w:shd w:val="clear" w:color="auto" w:fill="auto"/>
            <w:noWrap/>
            <w:vAlign w:val="center"/>
          </w:tcPr>
          <w:p w14:paraId="4CA05AD0">
            <w:pPr>
              <w:jc w:val="center"/>
              <w:rPr>
                <w:color w:val="000000" w:themeColor="text1"/>
                <w14:textFill>
                  <w14:solidFill>
                    <w14:schemeClr w14:val="tx1"/>
                  </w14:solidFill>
                </w14:textFill>
              </w:rPr>
            </w:pPr>
            <w:r>
              <w:rPr>
                <w:color w:val="000000" w:themeColor="text1"/>
                <w14:textFill>
                  <w14:solidFill>
                    <w14:schemeClr w14:val="tx1"/>
                  </w14:solidFill>
                </w14:textFill>
              </w:rPr>
              <w:t>0.006508</w:t>
            </w:r>
          </w:p>
        </w:tc>
        <w:tc>
          <w:tcPr>
            <w:tcW w:w="872" w:type="pct"/>
            <w:shd w:val="clear" w:color="auto" w:fill="auto"/>
            <w:noWrap/>
            <w:vAlign w:val="center"/>
          </w:tcPr>
          <w:p w14:paraId="20AF93FD">
            <w:pPr>
              <w:jc w:val="center"/>
              <w:rPr>
                <w:color w:val="000000" w:themeColor="text1"/>
                <w14:textFill>
                  <w14:solidFill>
                    <w14:schemeClr w14:val="tx1"/>
                  </w14:solidFill>
                </w14:textFill>
              </w:rPr>
            </w:pPr>
            <w:r>
              <w:rPr>
                <w:color w:val="000000" w:themeColor="text1"/>
                <w14:textFill>
                  <w14:solidFill>
                    <w14:schemeClr w14:val="tx1"/>
                  </w14:solidFill>
                </w14:textFill>
              </w:rPr>
              <w:t>0.33</w:t>
            </w:r>
          </w:p>
        </w:tc>
      </w:tr>
      <w:tr w14:paraId="0E9B095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DDA1B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475</w:t>
            </w:r>
          </w:p>
        </w:tc>
        <w:tc>
          <w:tcPr>
            <w:tcW w:w="1331" w:type="pct"/>
            <w:shd w:val="clear" w:color="auto" w:fill="auto"/>
            <w:noWrap/>
            <w:vAlign w:val="center"/>
          </w:tcPr>
          <w:p w14:paraId="735C38DA">
            <w:pPr>
              <w:jc w:val="center"/>
              <w:rPr>
                <w:color w:val="000000" w:themeColor="text1"/>
                <w14:textFill>
                  <w14:solidFill>
                    <w14:schemeClr w14:val="tx1"/>
                  </w14:solidFill>
                </w14:textFill>
              </w:rPr>
            </w:pPr>
            <w:r>
              <w:rPr>
                <w:color w:val="000000" w:themeColor="text1"/>
                <w14:textFill>
                  <w14:solidFill>
                    <w14:schemeClr w14:val="tx1"/>
                  </w14:solidFill>
                </w14:textFill>
              </w:rPr>
              <w:t>0.000914</w:t>
            </w:r>
          </w:p>
        </w:tc>
        <w:tc>
          <w:tcPr>
            <w:tcW w:w="915" w:type="pct"/>
            <w:shd w:val="clear" w:color="auto" w:fill="auto"/>
            <w:noWrap/>
            <w:vAlign w:val="center"/>
          </w:tcPr>
          <w:p w14:paraId="0ACB461E">
            <w:pPr>
              <w:jc w:val="center"/>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071" w:type="pct"/>
            <w:shd w:val="clear" w:color="auto" w:fill="auto"/>
            <w:noWrap/>
            <w:vAlign w:val="center"/>
          </w:tcPr>
          <w:p w14:paraId="34F14ED0">
            <w:pPr>
              <w:jc w:val="center"/>
              <w:rPr>
                <w:color w:val="000000" w:themeColor="text1"/>
                <w14:textFill>
                  <w14:solidFill>
                    <w14:schemeClr w14:val="tx1"/>
                  </w14:solidFill>
                </w14:textFill>
              </w:rPr>
            </w:pPr>
            <w:r>
              <w:rPr>
                <w:color w:val="000000" w:themeColor="text1"/>
                <w14:textFill>
                  <w14:solidFill>
                    <w14:schemeClr w14:val="tx1"/>
                  </w14:solidFill>
                </w14:textFill>
              </w:rPr>
              <w:t>0.0064</w:t>
            </w:r>
          </w:p>
        </w:tc>
        <w:tc>
          <w:tcPr>
            <w:tcW w:w="872" w:type="pct"/>
            <w:shd w:val="clear" w:color="auto" w:fill="auto"/>
            <w:noWrap/>
            <w:vAlign w:val="center"/>
          </w:tcPr>
          <w:p w14:paraId="0900B00B">
            <w:pPr>
              <w:jc w:val="center"/>
              <w:rPr>
                <w:color w:val="000000" w:themeColor="text1"/>
                <w14:textFill>
                  <w14:solidFill>
                    <w14:schemeClr w14:val="tx1"/>
                  </w14:solidFill>
                </w14:textFill>
              </w:rPr>
            </w:pPr>
            <w:r>
              <w:rPr>
                <w:color w:val="000000" w:themeColor="text1"/>
                <w14:textFill>
                  <w14:solidFill>
                    <w14:schemeClr w14:val="tx1"/>
                  </w14:solidFill>
                </w14:textFill>
              </w:rPr>
              <w:t>0.32</w:t>
            </w:r>
          </w:p>
        </w:tc>
      </w:tr>
      <w:tr w14:paraId="6C8D878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B1052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331" w:type="pct"/>
            <w:shd w:val="clear" w:color="auto" w:fill="auto"/>
            <w:noWrap/>
            <w:vAlign w:val="center"/>
          </w:tcPr>
          <w:p w14:paraId="61F3F74A">
            <w:pPr>
              <w:jc w:val="center"/>
              <w:rPr>
                <w:color w:val="000000" w:themeColor="text1"/>
                <w14:textFill>
                  <w14:solidFill>
                    <w14:schemeClr w14:val="tx1"/>
                  </w14:solidFill>
                </w14:textFill>
              </w:rPr>
            </w:pPr>
            <w:r>
              <w:rPr>
                <w:color w:val="000000" w:themeColor="text1"/>
                <w14:textFill>
                  <w14:solidFill>
                    <w14:schemeClr w14:val="tx1"/>
                  </w14:solidFill>
                </w14:textFill>
              </w:rPr>
              <w:t>0.000898</w:t>
            </w:r>
          </w:p>
        </w:tc>
        <w:tc>
          <w:tcPr>
            <w:tcW w:w="915" w:type="pct"/>
            <w:shd w:val="clear" w:color="auto" w:fill="auto"/>
            <w:noWrap/>
            <w:vAlign w:val="center"/>
          </w:tcPr>
          <w:p w14:paraId="7664F3DB">
            <w:pPr>
              <w:jc w:val="center"/>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071" w:type="pct"/>
            <w:shd w:val="clear" w:color="auto" w:fill="auto"/>
            <w:noWrap/>
            <w:vAlign w:val="center"/>
          </w:tcPr>
          <w:p w14:paraId="55ED7CF4">
            <w:pPr>
              <w:jc w:val="center"/>
              <w:rPr>
                <w:color w:val="000000" w:themeColor="text1"/>
                <w14:textFill>
                  <w14:solidFill>
                    <w14:schemeClr w14:val="tx1"/>
                  </w14:solidFill>
                </w14:textFill>
              </w:rPr>
            </w:pPr>
            <w:r>
              <w:rPr>
                <w:color w:val="000000" w:themeColor="text1"/>
                <w14:textFill>
                  <w14:solidFill>
                    <w14:schemeClr w14:val="tx1"/>
                  </w14:solidFill>
                </w14:textFill>
              </w:rPr>
              <w:t>0.006286</w:t>
            </w:r>
          </w:p>
        </w:tc>
        <w:tc>
          <w:tcPr>
            <w:tcW w:w="872" w:type="pct"/>
            <w:shd w:val="clear" w:color="auto" w:fill="auto"/>
            <w:noWrap/>
            <w:vAlign w:val="center"/>
          </w:tcPr>
          <w:p w14:paraId="3340A0BC">
            <w:pPr>
              <w:jc w:val="center"/>
              <w:rPr>
                <w:color w:val="000000" w:themeColor="text1"/>
                <w14:textFill>
                  <w14:solidFill>
                    <w14:schemeClr w14:val="tx1"/>
                  </w14:solidFill>
                </w14:textFill>
              </w:rPr>
            </w:pPr>
            <w:r>
              <w:rPr>
                <w:color w:val="000000" w:themeColor="text1"/>
                <w14:textFill>
                  <w14:solidFill>
                    <w14:schemeClr w14:val="tx1"/>
                  </w14:solidFill>
                </w14:textFill>
              </w:rPr>
              <w:t>0.31</w:t>
            </w:r>
          </w:p>
        </w:tc>
      </w:tr>
      <w:tr w14:paraId="5324419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D8C5E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525</w:t>
            </w:r>
          </w:p>
        </w:tc>
        <w:tc>
          <w:tcPr>
            <w:tcW w:w="1331" w:type="pct"/>
            <w:shd w:val="clear" w:color="auto" w:fill="auto"/>
            <w:noWrap/>
            <w:vAlign w:val="center"/>
          </w:tcPr>
          <w:p w14:paraId="045B9264">
            <w:pPr>
              <w:jc w:val="center"/>
              <w:rPr>
                <w:color w:val="000000" w:themeColor="text1"/>
                <w14:textFill>
                  <w14:solidFill>
                    <w14:schemeClr w14:val="tx1"/>
                  </w14:solidFill>
                </w14:textFill>
              </w:rPr>
            </w:pPr>
            <w:r>
              <w:rPr>
                <w:color w:val="000000" w:themeColor="text1"/>
                <w14:textFill>
                  <w14:solidFill>
                    <w14:schemeClr w14:val="tx1"/>
                  </w14:solidFill>
                </w14:textFill>
              </w:rPr>
              <w:t>0.000881</w:t>
            </w:r>
          </w:p>
        </w:tc>
        <w:tc>
          <w:tcPr>
            <w:tcW w:w="915" w:type="pct"/>
            <w:shd w:val="clear" w:color="auto" w:fill="auto"/>
            <w:noWrap/>
            <w:vAlign w:val="center"/>
          </w:tcPr>
          <w:p w14:paraId="1EFC77BA">
            <w:pPr>
              <w:jc w:val="center"/>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071" w:type="pct"/>
            <w:shd w:val="clear" w:color="auto" w:fill="auto"/>
            <w:noWrap/>
            <w:vAlign w:val="center"/>
          </w:tcPr>
          <w:p w14:paraId="4C732FF8">
            <w:pPr>
              <w:jc w:val="center"/>
              <w:rPr>
                <w:color w:val="000000" w:themeColor="text1"/>
                <w14:textFill>
                  <w14:solidFill>
                    <w14:schemeClr w14:val="tx1"/>
                  </w14:solidFill>
                </w14:textFill>
              </w:rPr>
            </w:pPr>
            <w:r>
              <w:rPr>
                <w:color w:val="000000" w:themeColor="text1"/>
                <w14:textFill>
                  <w14:solidFill>
                    <w14:schemeClr w14:val="tx1"/>
                  </w14:solidFill>
                </w14:textFill>
              </w:rPr>
              <w:t>0.00617</w:t>
            </w:r>
          </w:p>
        </w:tc>
        <w:tc>
          <w:tcPr>
            <w:tcW w:w="872" w:type="pct"/>
            <w:shd w:val="clear" w:color="auto" w:fill="auto"/>
            <w:noWrap/>
            <w:vAlign w:val="center"/>
          </w:tcPr>
          <w:p w14:paraId="42C65972">
            <w:pPr>
              <w:jc w:val="center"/>
              <w:rPr>
                <w:color w:val="000000" w:themeColor="text1"/>
                <w14:textFill>
                  <w14:solidFill>
                    <w14:schemeClr w14:val="tx1"/>
                  </w14:solidFill>
                </w14:textFill>
              </w:rPr>
            </w:pPr>
            <w:r>
              <w:rPr>
                <w:color w:val="000000" w:themeColor="text1"/>
                <w14:textFill>
                  <w14:solidFill>
                    <w14:schemeClr w14:val="tx1"/>
                  </w14:solidFill>
                </w14:textFill>
              </w:rPr>
              <w:t>0.31</w:t>
            </w:r>
          </w:p>
        </w:tc>
      </w:tr>
      <w:tr w14:paraId="7A2121A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3F9D4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w:t>
            </w:r>
          </w:p>
        </w:tc>
        <w:tc>
          <w:tcPr>
            <w:tcW w:w="1331" w:type="pct"/>
            <w:shd w:val="clear" w:color="auto" w:fill="auto"/>
            <w:noWrap/>
            <w:vAlign w:val="center"/>
          </w:tcPr>
          <w:p w14:paraId="44CF806C">
            <w:pPr>
              <w:jc w:val="center"/>
              <w:rPr>
                <w:color w:val="000000" w:themeColor="text1"/>
                <w14:textFill>
                  <w14:solidFill>
                    <w14:schemeClr w14:val="tx1"/>
                  </w14:solidFill>
                </w14:textFill>
              </w:rPr>
            </w:pPr>
            <w:r>
              <w:rPr>
                <w:color w:val="000000" w:themeColor="text1"/>
                <w14:textFill>
                  <w14:solidFill>
                    <w14:schemeClr w14:val="tx1"/>
                  </w14:solidFill>
                </w14:textFill>
              </w:rPr>
              <w:t>0.000865</w:t>
            </w:r>
          </w:p>
        </w:tc>
        <w:tc>
          <w:tcPr>
            <w:tcW w:w="915" w:type="pct"/>
            <w:shd w:val="clear" w:color="auto" w:fill="auto"/>
            <w:noWrap/>
            <w:vAlign w:val="center"/>
          </w:tcPr>
          <w:p w14:paraId="7EC5D410">
            <w:pPr>
              <w:jc w:val="center"/>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071" w:type="pct"/>
            <w:shd w:val="clear" w:color="auto" w:fill="auto"/>
            <w:noWrap/>
            <w:vAlign w:val="center"/>
          </w:tcPr>
          <w:p w14:paraId="5F9F4BC7">
            <w:pPr>
              <w:jc w:val="center"/>
              <w:rPr>
                <w:color w:val="000000" w:themeColor="text1"/>
                <w14:textFill>
                  <w14:solidFill>
                    <w14:schemeClr w14:val="tx1"/>
                  </w14:solidFill>
                </w14:textFill>
              </w:rPr>
            </w:pPr>
            <w:r>
              <w:rPr>
                <w:color w:val="000000" w:themeColor="text1"/>
                <w14:textFill>
                  <w14:solidFill>
                    <w14:schemeClr w14:val="tx1"/>
                  </w14:solidFill>
                </w14:textFill>
              </w:rPr>
              <w:t>0.006054</w:t>
            </w:r>
          </w:p>
        </w:tc>
        <w:tc>
          <w:tcPr>
            <w:tcW w:w="872" w:type="pct"/>
            <w:shd w:val="clear" w:color="auto" w:fill="auto"/>
            <w:noWrap/>
            <w:vAlign w:val="center"/>
          </w:tcPr>
          <w:p w14:paraId="1AFE01A6">
            <w:pPr>
              <w:jc w:val="center"/>
              <w:rPr>
                <w:color w:val="000000" w:themeColor="text1"/>
                <w14:textFill>
                  <w14:solidFill>
                    <w14:schemeClr w14:val="tx1"/>
                  </w14:solidFill>
                </w14:textFill>
              </w:rPr>
            </w:pPr>
            <w:r>
              <w:rPr>
                <w:color w:val="000000" w:themeColor="text1"/>
                <w14:textFill>
                  <w14:solidFill>
                    <w14:schemeClr w14:val="tx1"/>
                  </w14:solidFill>
                </w14:textFill>
              </w:rPr>
              <w:t>0.30</w:t>
            </w:r>
          </w:p>
        </w:tc>
      </w:tr>
      <w:tr w14:paraId="3912082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F743C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575</w:t>
            </w:r>
          </w:p>
        </w:tc>
        <w:tc>
          <w:tcPr>
            <w:tcW w:w="1331" w:type="pct"/>
            <w:shd w:val="clear" w:color="auto" w:fill="auto"/>
            <w:noWrap/>
            <w:vAlign w:val="center"/>
          </w:tcPr>
          <w:p w14:paraId="5ED7897D">
            <w:pPr>
              <w:jc w:val="center"/>
              <w:rPr>
                <w:color w:val="000000" w:themeColor="text1"/>
                <w14:textFill>
                  <w14:solidFill>
                    <w14:schemeClr w14:val="tx1"/>
                  </w14:solidFill>
                </w14:textFill>
              </w:rPr>
            </w:pPr>
            <w:r>
              <w:rPr>
                <w:color w:val="000000" w:themeColor="text1"/>
                <w14:textFill>
                  <w14:solidFill>
                    <w14:schemeClr w14:val="tx1"/>
                  </w14:solidFill>
                </w14:textFill>
              </w:rPr>
              <w:t>0.000848</w:t>
            </w:r>
          </w:p>
        </w:tc>
        <w:tc>
          <w:tcPr>
            <w:tcW w:w="915" w:type="pct"/>
            <w:shd w:val="clear" w:color="auto" w:fill="auto"/>
            <w:noWrap/>
            <w:vAlign w:val="center"/>
          </w:tcPr>
          <w:p w14:paraId="15A3BCF6">
            <w:pPr>
              <w:jc w:val="center"/>
              <w:rPr>
                <w:color w:val="000000" w:themeColor="text1"/>
                <w14:textFill>
                  <w14:solidFill>
                    <w14:schemeClr w14:val="tx1"/>
                  </w14:solidFill>
                </w14:textFill>
              </w:rPr>
            </w:pPr>
            <w:r>
              <w:rPr>
                <w:color w:val="000000" w:themeColor="text1"/>
                <w14:textFill>
                  <w14:solidFill>
                    <w14:schemeClr w14:val="tx1"/>
                  </w14:solidFill>
                </w14:textFill>
              </w:rPr>
              <w:t>0.09</w:t>
            </w:r>
          </w:p>
        </w:tc>
        <w:tc>
          <w:tcPr>
            <w:tcW w:w="1071" w:type="pct"/>
            <w:shd w:val="clear" w:color="auto" w:fill="auto"/>
            <w:noWrap/>
            <w:vAlign w:val="center"/>
          </w:tcPr>
          <w:p w14:paraId="0A1A5AA1">
            <w:pPr>
              <w:jc w:val="center"/>
              <w:rPr>
                <w:color w:val="000000" w:themeColor="text1"/>
                <w14:textFill>
                  <w14:solidFill>
                    <w14:schemeClr w14:val="tx1"/>
                  </w14:solidFill>
                </w14:textFill>
              </w:rPr>
            </w:pPr>
            <w:r>
              <w:rPr>
                <w:color w:val="000000" w:themeColor="text1"/>
                <w14:textFill>
                  <w14:solidFill>
                    <w14:schemeClr w14:val="tx1"/>
                  </w14:solidFill>
                </w14:textFill>
              </w:rPr>
              <w:t>0.005938</w:t>
            </w:r>
          </w:p>
        </w:tc>
        <w:tc>
          <w:tcPr>
            <w:tcW w:w="872" w:type="pct"/>
            <w:shd w:val="clear" w:color="auto" w:fill="auto"/>
            <w:noWrap/>
            <w:vAlign w:val="center"/>
          </w:tcPr>
          <w:p w14:paraId="4CFC31E5">
            <w:pPr>
              <w:jc w:val="center"/>
              <w:rPr>
                <w:color w:val="000000" w:themeColor="text1"/>
                <w14:textFill>
                  <w14:solidFill>
                    <w14:schemeClr w14:val="tx1"/>
                  </w14:solidFill>
                </w14:textFill>
              </w:rPr>
            </w:pPr>
            <w:r>
              <w:rPr>
                <w:color w:val="000000" w:themeColor="text1"/>
                <w14:textFill>
                  <w14:solidFill>
                    <w14:schemeClr w14:val="tx1"/>
                  </w14:solidFill>
                </w14:textFill>
              </w:rPr>
              <w:t>0.30</w:t>
            </w:r>
          </w:p>
        </w:tc>
      </w:tr>
      <w:tr w14:paraId="22646E9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CD545E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p>
        </w:tc>
        <w:tc>
          <w:tcPr>
            <w:tcW w:w="1331" w:type="pct"/>
            <w:shd w:val="clear" w:color="auto" w:fill="auto"/>
            <w:noWrap/>
            <w:vAlign w:val="center"/>
          </w:tcPr>
          <w:p w14:paraId="79B655AB">
            <w:pPr>
              <w:jc w:val="center"/>
              <w:rPr>
                <w:color w:val="000000" w:themeColor="text1"/>
                <w14:textFill>
                  <w14:solidFill>
                    <w14:schemeClr w14:val="tx1"/>
                  </w14:solidFill>
                </w14:textFill>
              </w:rPr>
            </w:pPr>
            <w:r>
              <w:rPr>
                <w:color w:val="000000" w:themeColor="text1"/>
                <w14:textFill>
                  <w14:solidFill>
                    <w14:schemeClr w14:val="tx1"/>
                  </w14:solidFill>
                </w14:textFill>
              </w:rPr>
              <w:t>0.000832</w:t>
            </w:r>
          </w:p>
        </w:tc>
        <w:tc>
          <w:tcPr>
            <w:tcW w:w="915" w:type="pct"/>
            <w:shd w:val="clear" w:color="auto" w:fill="auto"/>
            <w:noWrap/>
            <w:vAlign w:val="center"/>
          </w:tcPr>
          <w:p w14:paraId="6FE32BAA">
            <w:pPr>
              <w:jc w:val="center"/>
              <w:rPr>
                <w:color w:val="000000" w:themeColor="text1"/>
                <w14:textFill>
                  <w14:solidFill>
                    <w14:schemeClr w14:val="tx1"/>
                  </w14:solidFill>
                </w14:textFill>
              </w:rPr>
            </w:pPr>
            <w:r>
              <w:rPr>
                <w:color w:val="000000" w:themeColor="text1"/>
                <w14:textFill>
                  <w14:solidFill>
                    <w14:schemeClr w14:val="tx1"/>
                  </w14:solidFill>
                </w14:textFill>
              </w:rPr>
              <w:t>0.09</w:t>
            </w:r>
          </w:p>
        </w:tc>
        <w:tc>
          <w:tcPr>
            <w:tcW w:w="1071" w:type="pct"/>
            <w:shd w:val="clear" w:color="auto" w:fill="auto"/>
            <w:noWrap/>
            <w:vAlign w:val="center"/>
          </w:tcPr>
          <w:p w14:paraId="16AF279D">
            <w:pPr>
              <w:jc w:val="center"/>
              <w:rPr>
                <w:color w:val="000000" w:themeColor="text1"/>
                <w14:textFill>
                  <w14:solidFill>
                    <w14:schemeClr w14:val="tx1"/>
                  </w14:solidFill>
                </w14:textFill>
              </w:rPr>
            </w:pPr>
            <w:r>
              <w:rPr>
                <w:color w:val="000000" w:themeColor="text1"/>
                <w14:textFill>
                  <w14:solidFill>
                    <w14:schemeClr w14:val="tx1"/>
                  </w14:solidFill>
                </w14:textFill>
              </w:rPr>
              <w:t>0.005824</w:t>
            </w:r>
          </w:p>
        </w:tc>
        <w:tc>
          <w:tcPr>
            <w:tcW w:w="872" w:type="pct"/>
            <w:shd w:val="clear" w:color="auto" w:fill="auto"/>
            <w:noWrap/>
            <w:vAlign w:val="center"/>
          </w:tcPr>
          <w:p w14:paraId="34C04D4C">
            <w:pPr>
              <w:jc w:val="center"/>
              <w:rPr>
                <w:color w:val="000000" w:themeColor="text1"/>
                <w14:textFill>
                  <w14:solidFill>
                    <w14:schemeClr w14:val="tx1"/>
                  </w14:solidFill>
                </w14:textFill>
              </w:rPr>
            </w:pPr>
            <w:r>
              <w:rPr>
                <w:color w:val="000000" w:themeColor="text1"/>
                <w14:textFill>
                  <w14:solidFill>
                    <w14:schemeClr w14:val="tx1"/>
                  </w14:solidFill>
                </w14:textFill>
              </w:rPr>
              <w:t>0.29</w:t>
            </w:r>
          </w:p>
        </w:tc>
      </w:tr>
      <w:tr w14:paraId="142E570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B71AD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625</w:t>
            </w:r>
          </w:p>
        </w:tc>
        <w:tc>
          <w:tcPr>
            <w:tcW w:w="1331" w:type="pct"/>
            <w:shd w:val="clear" w:color="auto" w:fill="auto"/>
            <w:noWrap/>
            <w:vAlign w:val="center"/>
          </w:tcPr>
          <w:p w14:paraId="67A59883">
            <w:pPr>
              <w:jc w:val="center"/>
              <w:rPr>
                <w:color w:val="000000" w:themeColor="text1"/>
                <w14:textFill>
                  <w14:solidFill>
                    <w14:schemeClr w14:val="tx1"/>
                  </w14:solidFill>
                </w14:textFill>
              </w:rPr>
            </w:pPr>
            <w:r>
              <w:rPr>
                <w:color w:val="000000" w:themeColor="text1"/>
                <w14:textFill>
                  <w14:solidFill>
                    <w14:schemeClr w14:val="tx1"/>
                  </w14:solidFill>
                </w14:textFill>
              </w:rPr>
              <w:t>0.000816</w:t>
            </w:r>
          </w:p>
        </w:tc>
        <w:tc>
          <w:tcPr>
            <w:tcW w:w="915" w:type="pct"/>
            <w:shd w:val="clear" w:color="auto" w:fill="auto"/>
            <w:noWrap/>
            <w:vAlign w:val="center"/>
          </w:tcPr>
          <w:p w14:paraId="57B847F5">
            <w:pPr>
              <w:jc w:val="center"/>
              <w:rPr>
                <w:color w:val="000000" w:themeColor="text1"/>
                <w14:textFill>
                  <w14:solidFill>
                    <w14:schemeClr w14:val="tx1"/>
                  </w14:solidFill>
                </w14:textFill>
              </w:rPr>
            </w:pPr>
            <w:r>
              <w:rPr>
                <w:color w:val="000000" w:themeColor="text1"/>
                <w14:textFill>
                  <w14:solidFill>
                    <w14:schemeClr w14:val="tx1"/>
                  </w14:solidFill>
                </w14:textFill>
              </w:rPr>
              <w:t>0.09</w:t>
            </w:r>
          </w:p>
        </w:tc>
        <w:tc>
          <w:tcPr>
            <w:tcW w:w="1071" w:type="pct"/>
            <w:shd w:val="clear" w:color="auto" w:fill="auto"/>
            <w:noWrap/>
            <w:vAlign w:val="center"/>
          </w:tcPr>
          <w:p w14:paraId="1185C4E4">
            <w:pPr>
              <w:jc w:val="center"/>
              <w:rPr>
                <w:color w:val="000000" w:themeColor="text1"/>
                <w14:textFill>
                  <w14:solidFill>
                    <w14:schemeClr w14:val="tx1"/>
                  </w14:solidFill>
                </w14:textFill>
              </w:rPr>
            </w:pPr>
            <w:r>
              <w:rPr>
                <w:color w:val="000000" w:themeColor="text1"/>
                <w14:textFill>
                  <w14:solidFill>
                    <w14:schemeClr w14:val="tx1"/>
                  </w14:solidFill>
                </w14:textFill>
              </w:rPr>
              <w:t>0.005712</w:t>
            </w:r>
          </w:p>
        </w:tc>
        <w:tc>
          <w:tcPr>
            <w:tcW w:w="872" w:type="pct"/>
            <w:shd w:val="clear" w:color="auto" w:fill="auto"/>
            <w:noWrap/>
            <w:vAlign w:val="center"/>
          </w:tcPr>
          <w:p w14:paraId="6500F597">
            <w:pPr>
              <w:jc w:val="center"/>
              <w:rPr>
                <w:color w:val="000000" w:themeColor="text1"/>
                <w14:textFill>
                  <w14:solidFill>
                    <w14:schemeClr w14:val="tx1"/>
                  </w14:solidFill>
                </w14:textFill>
              </w:rPr>
            </w:pPr>
            <w:r>
              <w:rPr>
                <w:color w:val="000000" w:themeColor="text1"/>
                <w14:textFill>
                  <w14:solidFill>
                    <w14:schemeClr w14:val="tx1"/>
                  </w14:solidFill>
                </w14:textFill>
              </w:rPr>
              <w:t>0.29</w:t>
            </w:r>
          </w:p>
        </w:tc>
      </w:tr>
      <w:tr w14:paraId="6769725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A15A62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650</w:t>
            </w:r>
          </w:p>
        </w:tc>
        <w:tc>
          <w:tcPr>
            <w:tcW w:w="1331" w:type="pct"/>
            <w:shd w:val="clear" w:color="auto" w:fill="auto"/>
            <w:noWrap/>
            <w:vAlign w:val="center"/>
          </w:tcPr>
          <w:p w14:paraId="0CB50BB7">
            <w:pPr>
              <w:jc w:val="center"/>
              <w:rPr>
                <w:color w:val="000000" w:themeColor="text1"/>
                <w14:textFill>
                  <w14:solidFill>
                    <w14:schemeClr w14:val="tx1"/>
                  </w14:solidFill>
                </w14:textFill>
              </w:rPr>
            </w:pPr>
            <w:r>
              <w:rPr>
                <w:color w:val="000000" w:themeColor="text1"/>
                <w14:textFill>
                  <w14:solidFill>
                    <w14:schemeClr w14:val="tx1"/>
                  </w14:solidFill>
                </w14:textFill>
              </w:rPr>
              <w:t>0.0008</w:t>
            </w:r>
          </w:p>
        </w:tc>
        <w:tc>
          <w:tcPr>
            <w:tcW w:w="915" w:type="pct"/>
            <w:shd w:val="clear" w:color="auto" w:fill="auto"/>
            <w:noWrap/>
            <w:vAlign w:val="center"/>
          </w:tcPr>
          <w:p w14:paraId="64BFA2D0">
            <w:pPr>
              <w:jc w:val="center"/>
              <w:rPr>
                <w:color w:val="000000" w:themeColor="text1"/>
                <w14:textFill>
                  <w14:solidFill>
                    <w14:schemeClr w14:val="tx1"/>
                  </w14:solidFill>
                </w14:textFill>
              </w:rPr>
            </w:pPr>
            <w:r>
              <w:rPr>
                <w:color w:val="000000" w:themeColor="text1"/>
                <w14:textFill>
                  <w14:solidFill>
                    <w14:schemeClr w14:val="tx1"/>
                  </w14:solidFill>
                </w14:textFill>
              </w:rPr>
              <w:t>0.09</w:t>
            </w:r>
          </w:p>
        </w:tc>
        <w:tc>
          <w:tcPr>
            <w:tcW w:w="1071" w:type="pct"/>
            <w:shd w:val="clear" w:color="auto" w:fill="auto"/>
            <w:noWrap/>
            <w:vAlign w:val="center"/>
          </w:tcPr>
          <w:p w14:paraId="160ED7C4">
            <w:pPr>
              <w:jc w:val="center"/>
              <w:rPr>
                <w:color w:val="000000" w:themeColor="text1"/>
                <w14:textFill>
                  <w14:solidFill>
                    <w14:schemeClr w14:val="tx1"/>
                  </w14:solidFill>
                </w14:textFill>
              </w:rPr>
            </w:pPr>
            <w:r>
              <w:rPr>
                <w:color w:val="000000" w:themeColor="text1"/>
                <w14:textFill>
                  <w14:solidFill>
                    <w14:schemeClr w14:val="tx1"/>
                  </w14:solidFill>
                </w14:textFill>
              </w:rPr>
              <w:t>0.005603</w:t>
            </w:r>
          </w:p>
        </w:tc>
        <w:tc>
          <w:tcPr>
            <w:tcW w:w="872" w:type="pct"/>
            <w:shd w:val="clear" w:color="auto" w:fill="auto"/>
            <w:noWrap/>
            <w:vAlign w:val="center"/>
          </w:tcPr>
          <w:p w14:paraId="6106B1B6">
            <w:pPr>
              <w:jc w:val="center"/>
              <w:rPr>
                <w:color w:val="000000" w:themeColor="text1"/>
                <w14:textFill>
                  <w14:solidFill>
                    <w14:schemeClr w14:val="tx1"/>
                  </w14:solidFill>
                </w14:textFill>
              </w:rPr>
            </w:pPr>
            <w:r>
              <w:rPr>
                <w:color w:val="000000" w:themeColor="text1"/>
                <w14:textFill>
                  <w14:solidFill>
                    <w14:schemeClr w14:val="tx1"/>
                  </w14:solidFill>
                </w14:textFill>
              </w:rPr>
              <w:t>0.28</w:t>
            </w:r>
          </w:p>
        </w:tc>
      </w:tr>
      <w:tr w14:paraId="6984EF8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5FB0D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675</w:t>
            </w:r>
          </w:p>
        </w:tc>
        <w:tc>
          <w:tcPr>
            <w:tcW w:w="1331" w:type="pct"/>
            <w:shd w:val="clear" w:color="auto" w:fill="auto"/>
            <w:noWrap/>
            <w:vAlign w:val="center"/>
          </w:tcPr>
          <w:p w14:paraId="0469A4E0">
            <w:pPr>
              <w:jc w:val="center"/>
              <w:rPr>
                <w:color w:val="000000" w:themeColor="text1"/>
                <w14:textFill>
                  <w14:solidFill>
                    <w14:schemeClr w14:val="tx1"/>
                  </w14:solidFill>
                </w14:textFill>
              </w:rPr>
            </w:pPr>
            <w:r>
              <w:rPr>
                <w:color w:val="000000" w:themeColor="text1"/>
                <w14:textFill>
                  <w14:solidFill>
                    <w14:schemeClr w14:val="tx1"/>
                  </w14:solidFill>
                </w14:textFill>
              </w:rPr>
              <w:t>0.000785</w:t>
            </w:r>
          </w:p>
        </w:tc>
        <w:tc>
          <w:tcPr>
            <w:tcW w:w="915" w:type="pct"/>
            <w:shd w:val="clear" w:color="auto" w:fill="auto"/>
            <w:noWrap/>
            <w:vAlign w:val="center"/>
          </w:tcPr>
          <w:p w14:paraId="3E3DA827">
            <w:pPr>
              <w:jc w:val="center"/>
              <w:rPr>
                <w:color w:val="000000" w:themeColor="text1"/>
                <w14:textFill>
                  <w14:solidFill>
                    <w14:schemeClr w14:val="tx1"/>
                  </w14:solidFill>
                </w14:textFill>
              </w:rPr>
            </w:pPr>
            <w:r>
              <w:rPr>
                <w:color w:val="000000" w:themeColor="text1"/>
                <w14:textFill>
                  <w14:solidFill>
                    <w14:schemeClr w14:val="tx1"/>
                  </w14:solidFill>
                </w14:textFill>
              </w:rPr>
              <w:t>0.09</w:t>
            </w:r>
          </w:p>
        </w:tc>
        <w:tc>
          <w:tcPr>
            <w:tcW w:w="1071" w:type="pct"/>
            <w:shd w:val="clear" w:color="auto" w:fill="auto"/>
            <w:noWrap/>
            <w:vAlign w:val="center"/>
          </w:tcPr>
          <w:p w14:paraId="7861FD0C">
            <w:pPr>
              <w:jc w:val="center"/>
              <w:rPr>
                <w:color w:val="000000" w:themeColor="text1"/>
                <w14:textFill>
                  <w14:solidFill>
                    <w14:schemeClr w14:val="tx1"/>
                  </w14:solidFill>
                </w14:textFill>
              </w:rPr>
            </w:pPr>
            <w:r>
              <w:rPr>
                <w:color w:val="000000" w:themeColor="text1"/>
                <w14:textFill>
                  <w14:solidFill>
                    <w14:schemeClr w14:val="tx1"/>
                  </w14:solidFill>
                </w14:textFill>
              </w:rPr>
              <w:t>0.005496</w:t>
            </w:r>
          </w:p>
        </w:tc>
        <w:tc>
          <w:tcPr>
            <w:tcW w:w="872" w:type="pct"/>
            <w:shd w:val="clear" w:color="auto" w:fill="auto"/>
            <w:noWrap/>
            <w:vAlign w:val="center"/>
          </w:tcPr>
          <w:p w14:paraId="3ECDC79C">
            <w:pPr>
              <w:jc w:val="center"/>
              <w:rPr>
                <w:color w:val="000000" w:themeColor="text1"/>
                <w14:textFill>
                  <w14:solidFill>
                    <w14:schemeClr w14:val="tx1"/>
                  </w14:solidFill>
                </w14:textFill>
              </w:rPr>
            </w:pPr>
            <w:r>
              <w:rPr>
                <w:color w:val="000000" w:themeColor="text1"/>
                <w14:textFill>
                  <w14:solidFill>
                    <w14:schemeClr w14:val="tx1"/>
                  </w14:solidFill>
                </w14:textFill>
              </w:rPr>
              <w:t>0.27</w:t>
            </w:r>
          </w:p>
        </w:tc>
      </w:tr>
      <w:tr w14:paraId="01EAD35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B224C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700</w:t>
            </w:r>
          </w:p>
        </w:tc>
        <w:tc>
          <w:tcPr>
            <w:tcW w:w="1331" w:type="pct"/>
            <w:shd w:val="clear" w:color="auto" w:fill="auto"/>
            <w:noWrap/>
            <w:vAlign w:val="center"/>
          </w:tcPr>
          <w:p w14:paraId="5C0E8AEE">
            <w:pPr>
              <w:jc w:val="center"/>
              <w:rPr>
                <w:color w:val="000000" w:themeColor="text1"/>
                <w14:textFill>
                  <w14:solidFill>
                    <w14:schemeClr w14:val="tx1"/>
                  </w14:solidFill>
                </w14:textFill>
              </w:rPr>
            </w:pPr>
            <w:r>
              <w:rPr>
                <w:color w:val="000000" w:themeColor="text1"/>
                <w14:textFill>
                  <w14:solidFill>
                    <w14:schemeClr w14:val="tx1"/>
                  </w14:solidFill>
                </w14:textFill>
              </w:rPr>
              <w:t>0.000771</w:t>
            </w:r>
          </w:p>
        </w:tc>
        <w:tc>
          <w:tcPr>
            <w:tcW w:w="915" w:type="pct"/>
            <w:shd w:val="clear" w:color="auto" w:fill="auto"/>
            <w:noWrap/>
            <w:vAlign w:val="center"/>
          </w:tcPr>
          <w:p w14:paraId="6A0EE0FE">
            <w:pPr>
              <w:jc w:val="center"/>
              <w:rPr>
                <w:color w:val="000000" w:themeColor="text1"/>
                <w14:textFill>
                  <w14:solidFill>
                    <w14:schemeClr w14:val="tx1"/>
                  </w14:solidFill>
                </w14:textFill>
              </w:rPr>
            </w:pPr>
            <w:r>
              <w:rPr>
                <w:color w:val="000000" w:themeColor="text1"/>
                <w14:textFill>
                  <w14:solidFill>
                    <w14:schemeClr w14:val="tx1"/>
                  </w14:solidFill>
                </w14:textFill>
              </w:rPr>
              <w:t>0.09</w:t>
            </w:r>
          </w:p>
        </w:tc>
        <w:tc>
          <w:tcPr>
            <w:tcW w:w="1071" w:type="pct"/>
            <w:shd w:val="clear" w:color="auto" w:fill="auto"/>
            <w:noWrap/>
            <w:vAlign w:val="center"/>
          </w:tcPr>
          <w:p w14:paraId="1817B0B9">
            <w:pPr>
              <w:jc w:val="center"/>
              <w:rPr>
                <w:color w:val="000000" w:themeColor="text1"/>
                <w14:textFill>
                  <w14:solidFill>
                    <w14:schemeClr w14:val="tx1"/>
                  </w14:solidFill>
                </w14:textFill>
              </w:rPr>
            </w:pPr>
            <w:r>
              <w:rPr>
                <w:color w:val="000000" w:themeColor="text1"/>
                <w14:textFill>
                  <w14:solidFill>
                    <w14:schemeClr w14:val="tx1"/>
                  </w14:solidFill>
                </w14:textFill>
              </w:rPr>
              <w:t>0.0054</w:t>
            </w:r>
          </w:p>
        </w:tc>
        <w:tc>
          <w:tcPr>
            <w:tcW w:w="872" w:type="pct"/>
            <w:shd w:val="clear" w:color="auto" w:fill="auto"/>
            <w:noWrap/>
            <w:vAlign w:val="center"/>
          </w:tcPr>
          <w:p w14:paraId="5FA9AB32">
            <w:pPr>
              <w:jc w:val="center"/>
              <w:rPr>
                <w:color w:val="000000" w:themeColor="text1"/>
                <w14:textFill>
                  <w14:solidFill>
                    <w14:schemeClr w14:val="tx1"/>
                  </w14:solidFill>
                </w14:textFill>
              </w:rPr>
            </w:pPr>
            <w:r>
              <w:rPr>
                <w:color w:val="000000" w:themeColor="text1"/>
                <w14:textFill>
                  <w14:solidFill>
                    <w14:schemeClr w14:val="tx1"/>
                  </w14:solidFill>
                </w14:textFill>
              </w:rPr>
              <w:t>0.27</w:t>
            </w:r>
          </w:p>
        </w:tc>
      </w:tr>
      <w:tr w14:paraId="3BF5DC9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A5B6F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725</w:t>
            </w:r>
          </w:p>
        </w:tc>
        <w:tc>
          <w:tcPr>
            <w:tcW w:w="1331" w:type="pct"/>
            <w:shd w:val="clear" w:color="auto" w:fill="auto"/>
            <w:noWrap/>
            <w:vAlign w:val="center"/>
          </w:tcPr>
          <w:p w14:paraId="7D676935">
            <w:pPr>
              <w:jc w:val="center"/>
              <w:rPr>
                <w:color w:val="000000" w:themeColor="text1"/>
                <w14:textFill>
                  <w14:solidFill>
                    <w14:schemeClr w14:val="tx1"/>
                  </w14:solidFill>
                </w14:textFill>
              </w:rPr>
            </w:pPr>
            <w:r>
              <w:rPr>
                <w:color w:val="000000" w:themeColor="text1"/>
                <w14:textFill>
                  <w14:solidFill>
                    <w14:schemeClr w14:val="tx1"/>
                  </w14:solidFill>
                </w14:textFill>
              </w:rPr>
              <w:t>0.000765</w:t>
            </w:r>
          </w:p>
        </w:tc>
        <w:tc>
          <w:tcPr>
            <w:tcW w:w="915" w:type="pct"/>
            <w:shd w:val="clear" w:color="auto" w:fill="auto"/>
            <w:noWrap/>
            <w:vAlign w:val="center"/>
          </w:tcPr>
          <w:p w14:paraId="4D4F2F4F">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669AA8AE">
            <w:pPr>
              <w:jc w:val="center"/>
              <w:rPr>
                <w:color w:val="000000" w:themeColor="text1"/>
                <w14:textFill>
                  <w14:solidFill>
                    <w14:schemeClr w14:val="tx1"/>
                  </w14:solidFill>
                </w14:textFill>
              </w:rPr>
            </w:pPr>
            <w:r>
              <w:rPr>
                <w:color w:val="000000" w:themeColor="text1"/>
                <w14:textFill>
                  <w14:solidFill>
                    <w14:schemeClr w14:val="tx1"/>
                  </w14:solidFill>
                </w14:textFill>
              </w:rPr>
              <w:t>0.005354</w:t>
            </w:r>
          </w:p>
        </w:tc>
        <w:tc>
          <w:tcPr>
            <w:tcW w:w="872" w:type="pct"/>
            <w:shd w:val="clear" w:color="auto" w:fill="auto"/>
            <w:noWrap/>
            <w:vAlign w:val="center"/>
          </w:tcPr>
          <w:p w14:paraId="29AF467F">
            <w:pPr>
              <w:jc w:val="center"/>
              <w:rPr>
                <w:color w:val="000000" w:themeColor="text1"/>
                <w14:textFill>
                  <w14:solidFill>
                    <w14:schemeClr w14:val="tx1"/>
                  </w14:solidFill>
                </w14:textFill>
              </w:rPr>
            </w:pPr>
            <w:r>
              <w:rPr>
                <w:color w:val="000000" w:themeColor="text1"/>
                <w14:textFill>
                  <w14:solidFill>
                    <w14:schemeClr w14:val="tx1"/>
                  </w14:solidFill>
                </w14:textFill>
              </w:rPr>
              <w:t>0.27</w:t>
            </w:r>
          </w:p>
        </w:tc>
      </w:tr>
      <w:tr w14:paraId="2E30E32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14D14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750</w:t>
            </w:r>
          </w:p>
        </w:tc>
        <w:tc>
          <w:tcPr>
            <w:tcW w:w="1331" w:type="pct"/>
            <w:shd w:val="clear" w:color="auto" w:fill="auto"/>
            <w:noWrap/>
            <w:vAlign w:val="center"/>
          </w:tcPr>
          <w:p w14:paraId="31CB795D">
            <w:pPr>
              <w:jc w:val="center"/>
              <w:rPr>
                <w:color w:val="000000" w:themeColor="text1"/>
                <w14:textFill>
                  <w14:solidFill>
                    <w14:schemeClr w14:val="tx1"/>
                  </w14:solidFill>
                </w14:textFill>
              </w:rPr>
            </w:pPr>
            <w:r>
              <w:rPr>
                <w:color w:val="000000" w:themeColor="text1"/>
                <w14:textFill>
                  <w14:solidFill>
                    <w14:schemeClr w14:val="tx1"/>
                  </w14:solidFill>
                </w14:textFill>
              </w:rPr>
              <w:t>0.000758</w:t>
            </w:r>
          </w:p>
        </w:tc>
        <w:tc>
          <w:tcPr>
            <w:tcW w:w="915" w:type="pct"/>
            <w:shd w:val="clear" w:color="auto" w:fill="auto"/>
            <w:noWrap/>
            <w:vAlign w:val="center"/>
          </w:tcPr>
          <w:p w14:paraId="47460456">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78A983E5">
            <w:pPr>
              <w:jc w:val="center"/>
              <w:rPr>
                <w:color w:val="000000" w:themeColor="text1"/>
                <w14:textFill>
                  <w14:solidFill>
                    <w14:schemeClr w14:val="tx1"/>
                  </w14:solidFill>
                </w14:textFill>
              </w:rPr>
            </w:pPr>
            <w:r>
              <w:rPr>
                <w:color w:val="000000" w:themeColor="text1"/>
                <w14:textFill>
                  <w14:solidFill>
                    <w14:schemeClr w14:val="tx1"/>
                  </w14:solidFill>
                </w14:textFill>
              </w:rPr>
              <w:t>0.005304</w:t>
            </w:r>
          </w:p>
        </w:tc>
        <w:tc>
          <w:tcPr>
            <w:tcW w:w="872" w:type="pct"/>
            <w:shd w:val="clear" w:color="auto" w:fill="auto"/>
            <w:noWrap/>
            <w:vAlign w:val="center"/>
          </w:tcPr>
          <w:p w14:paraId="0A97786E">
            <w:pPr>
              <w:jc w:val="center"/>
              <w:rPr>
                <w:color w:val="000000" w:themeColor="text1"/>
                <w14:textFill>
                  <w14:solidFill>
                    <w14:schemeClr w14:val="tx1"/>
                  </w14:solidFill>
                </w14:textFill>
              </w:rPr>
            </w:pPr>
            <w:r>
              <w:rPr>
                <w:color w:val="000000" w:themeColor="text1"/>
                <w14:textFill>
                  <w14:solidFill>
                    <w14:schemeClr w14:val="tx1"/>
                  </w14:solidFill>
                </w14:textFill>
              </w:rPr>
              <w:t>0.27</w:t>
            </w:r>
          </w:p>
        </w:tc>
      </w:tr>
      <w:tr w14:paraId="6D65502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9E04B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775</w:t>
            </w:r>
          </w:p>
        </w:tc>
        <w:tc>
          <w:tcPr>
            <w:tcW w:w="1331" w:type="pct"/>
            <w:shd w:val="clear" w:color="auto" w:fill="auto"/>
            <w:noWrap/>
            <w:vAlign w:val="center"/>
          </w:tcPr>
          <w:p w14:paraId="3988676F">
            <w:pPr>
              <w:jc w:val="center"/>
              <w:rPr>
                <w:color w:val="000000" w:themeColor="text1"/>
                <w14:textFill>
                  <w14:solidFill>
                    <w14:schemeClr w14:val="tx1"/>
                  </w14:solidFill>
                </w14:textFill>
              </w:rPr>
            </w:pPr>
            <w:r>
              <w:rPr>
                <w:color w:val="000000" w:themeColor="text1"/>
                <w14:textFill>
                  <w14:solidFill>
                    <w14:schemeClr w14:val="tx1"/>
                  </w14:solidFill>
                </w14:textFill>
              </w:rPr>
              <w:t>0.00075</w:t>
            </w:r>
          </w:p>
        </w:tc>
        <w:tc>
          <w:tcPr>
            <w:tcW w:w="915" w:type="pct"/>
            <w:shd w:val="clear" w:color="auto" w:fill="auto"/>
            <w:noWrap/>
            <w:vAlign w:val="center"/>
          </w:tcPr>
          <w:p w14:paraId="42E4A69B">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1F2D0868">
            <w:pPr>
              <w:jc w:val="center"/>
              <w:rPr>
                <w:color w:val="000000" w:themeColor="text1"/>
                <w14:textFill>
                  <w14:solidFill>
                    <w14:schemeClr w14:val="tx1"/>
                  </w14:solidFill>
                </w14:textFill>
              </w:rPr>
            </w:pPr>
            <w:r>
              <w:rPr>
                <w:color w:val="000000" w:themeColor="text1"/>
                <w14:textFill>
                  <w14:solidFill>
                    <w14:schemeClr w14:val="tx1"/>
                  </w14:solidFill>
                </w14:textFill>
              </w:rPr>
              <w:t>0.005251</w:t>
            </w:r>
          </w:p>
        </w:tc>
        <w:tc>
          <w:tcPr>
            <w:tcW w:w="872" w:type="pct"/>
            <w:shd w:val="clear" w:color="auto" w:fill="auto"/>
            <w:noWrap/>
            <w:vAlign w:val="center"/>
          </w:tcPr>
          <w:p w14:paraId="1DF3D01C">
            <w:pPr>
              <w:jc w:val="center"/>
              <w:rPr>
                <w:color w:val="000000" w:themeColor="text1"/>
                <w14:textFill>
                  <w14:solidFill>
                    <w14:schemeClr w14:val="tx1"/>
                  </w14:solidFill>
                </w14:textFill>
              </w:rPr>
            </w:pPr>
            <w:r>
              <w:rPr>
                <w:color w:val="000000" w:themeColor="text1"/>
                <w14:textFill>
                  <w14:solidFill>
                    <w14:schemeClr w14:val="tx1"/>
                  </w14:solidFill>
                </w14:textFill>
              </w:rPr>
              <w:t>0.26</w:t>
            </w:r>
          </w:p>
        </w:tc>
      </w:tr>
      <w:tr w14:paraId="4CDBEC6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77BEF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800</w:t>
            </w:r>
          </w:p>
        </w:tc>
        <w:tc>
          <w:tcPr>
            <w:tcW w:w="1331" w:type="pct"/>
            <w:shd w:val="clear" w:color="auto" w:fill="auto"/>
            <w:noWrap/>
            <w:vAlign w:val="center"/>
          </w:tcPr>
          <w:p w14:paraId="3A8B4EBF">
            <w:pPr>
              <w:jc w:val="center"/>
              <w:rPr>
                <w:color w:val="000000" w:themeColor="text1"/>
                <w14:textFill>
                  <w14:solidFill>
                    <w14:schemeClr w14:val="tx1"/>
                  </w14:solidFill>
                </w14:textFill>
              </w:rPr>
            </w:pPr>
            <w:r>
              <w:rPr>
                <w:color w:val="000000" w:themeColor="text1"/>
                <w14:textFill>
                  <w14:solidFill>
                    <w14:schemeClr w14:val="tx1"/>
                  </w14:solidFill>
                </w14:textFill>
              </w:rPr>
              <w:t>0.000742</w:t>
            </w:r>
          </w:p>
        </w:tc>
        <w:tc>
          <w:tcPr>
            <w:tcW w:w="915" w:type="pct"/>
            <w:shd w:val="clear" w:color="auto" w:fill="auto"/>
            <w:noWrap/>
            <w:vAlign w:val="center"/>
          </w:tcPr>
          <w:p w14:paraId="7935F25A">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07F6A721">
            <w:pPr>
              <w:jc w:val="center"/>
              <w:rPr>
                <w:color w:val="000000" w:themeColor="text1"/>
                <w14:textFill>
                  <w14:solidFill>
                    <w14:schemeClr w14:val="tx1"/>
                  </w14:solidFill>
                </w14:textFill>
              </w:rPr>
            </w:pPr>
            <w:r>
              <w:rPr>
                <w:color w:val="000000" w:themeColor="text1"/>
                <w14:textFill>
                  <w14:solidFill>
                    <w14:schemeClr w14:val="tx1"/>
                  </w14:solidFill>
                </w14:textFill>
              </w:rPr>
              <w:t>0.005195</w:t>
            </w:r>
          </w:p>
        </w:tc>
        <w:tc>
          <w:tcPr>
            <w:tcW w:w="872" w:type="pct"/>
            <w:shd w:val="clear" w:color="auto" w:fill="auto"/>
            <w:noWrap/>
            <w:vAlign w:val="center"/>
          </w:tcPr>
          <w:p w14:paraId="596A6A34">
            <w:pPr>
              <w:jc w:val="center"/>
              <w:rPr>
                <w:color w:val="000000" w:themeColor="text1"/>
                <w14:textFill>
                  <w14:solidFill>
                    <w14:schemeClr w14:val="tx1"/>
                  </w14:solidFill>
                </w14:textFill>
              </w:rPr>
            </w:pPr>
            <w:r>
              <w:rPr>
                <w:color w:val="000000" w:themeColor="text1"/>
                <w14:textFill>
                  <w14:solidFill>
                    <w14:schemeClr w14:val="tx1"/>
                  </w14:solidFill>
                </w14:textFill>
              </w:rPr>
              <w:t>0.26</w:t>
            </w:r>
          </w:p>
        </w:tc>
      </w:tr>
      <w:tr w14:paraId="2E67A40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33906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825</w:t>
            </w:r>
          </w:p>
        </w:tc>
        <w:tc>
          <w:tcPr>
            <w:tcW w:w="1331" w:type="pct"/>
            <w:shd w:val="clear" w:color="auto" w:fill="auto"/>
            <w:noWrap/>
            <w:vAlign w:val="center"/>
          </w:tcPr>
          <w:p w14:paraId="6D0AD079">
            <w:pPr>
              <w:jc w:val="center"/>
              <w:rPr>
                <w:color w:val="000000" w:themeColor="text1"/>
                <w14:textFill>
                  <w14:solidFill>
                    <w14:schemeClr w14:val="tx1"/>
                  </w14:solidFill>
                </w14:textFill>
              </w:rPr>
            </w:pPr>
            <w:r>
              <w:rPr>
                <w:color w:val="000000" w:themeColor="text1"/>
                <w14:textFill>
                  <w14:solidFill>
                    <w14:schemeClr w14:val="tx1"/>
                  </w14:solidFill>
                </w14:textFill>
              </w:rPr>
              <w:t>0.000734</w:t>
            </w:r>
          </w:p>
        </w:tc>
        <w:tc>
          <w:tcPr>
            <w:tcW w:w="915" w:type="pct"/>
            <w:shd w:val="clear" w:color="auto" w:fill="auto"/>
            <w:noWrap/>
            <w:vAlign w:val="center"/>
          </w:tcPr>
          <w:p w14:paraId="6BF9CB30">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5A2D583D">
            <w:pPr>
              <w:jc w:val="center"/>
              <w:rPr>
                <w:color w:val="000000" w:themeColor="text1"/>
                <w14:textFill>
                  <w14:solidFill>
                    <w14:schemeClr w14:val="tx1"/>
                  </w14:solidFill>
                </w14:textFill>
              </w:rPr>
            </w:pPr>
            <w:r>
              <w:rPr>
                <w:color w:val="000000" w:themeColor="text1"/>
                <w14:textFill>
                  <w14:solidFill>
                    <w14:schemeClr w14:val="tx1"/>
                  </w14:solidFill>
                </w14:textFill>
              </w:rPr>
              <w:t>0.005137</w:t>
            </w:r>
          </w:p>
        </w:tc>
        <w:tc>
          <w:tcPr>
            <w:tcW w:w="872" w:type="pct"/>
            <w:shd w:val="clear" w:color="auto" w:fill="auto"/>
            <w:noWrap/>
            <w:vAlign w:val="center"/>
          </w:tcPr>
          <w:p w14:paraId="05338081">
            <w:pPr>
              <w:jc w:val="center"/>
              <w:rPr>
                <w:color w:val="000000" w:themeColor="text1"/>
                <w14:textFill>
                  <w14:solidFill>
                    <w14:schemeClr w14:val="tx1"/>
                  </w14:solidFill>
                </w14:textFill>
              </w:rPr>
            </w:pPr>
            <w:r>
              <w:rPr>
                <w:color w:val="000000" w:themeColor="text1"/>
                <w14:textFill>
                  <w14:solidFill>
                    <w14:schemeClr w14:val="tx1"/>
                  </w14:solidFill>
                </w14:textFill>
              </w:rPr>
              <w:t>0.26</w:t>
            </w:r>
          </w:p>
        </w:tc>
      </w:tr>
      <w:tr w14:paraId="17D2719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02C60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850</w:t>
            </w:r>
          </w:p>
        </w:tc>
        <w:tc>
          <w:tcPr>
            <w:tcW w:w="1331" w:type="pct"/>
            <w:shd w:val="clear" w:color="auto" w:fill="auto"/>
            <w:noWrap/>
            <w:vAlign w:val="center"/>
          </w:tcPr>
          <w:p w14:paraId="162309A3">
            <w:pPr>
              <w:jc w:val="center"/>
              <w:rPr>
                <w:color w:val="000000" w:themeColor="text1"/>
                <w14:textFill>
                  <w14:solidFill>
                    <w14:schemeClr w14:val="tx1"/>
                  </w14:solidFill>
                </w14:textFill>
              </w:rPr>
            </w:pPr>
            <w:r>
              <w:rPr>
                <w:color w:val="000000" w:themeColor="text1"/>
                <w14:textFill>
                  <w14:solidFill>
                    <w14:schemeClr w14:val="tx1"/>
                  </w14:solidFill>
                </w14:textFill>
              </w:rPr>
              <w:t>0.000725</w:t>
            </w:r>
          </w:p>
        </w:tc>
        <w:tc>
          <w:tcPr>
            <w:tcW w:w="915" w:type="pct"/>
            <w:shd w:val="clear" w:color="auto" w:fill="auto"/>
            <w:noWrap/>
            <w:vAlign w:val="center"/>
          </w:tcPr>
          <w:p w14:paraId="6F8B1FF7">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35BE8F6C">
            <w:pPr>
              <w:jc w:val="center"/>
              <w:rPr>
                <w:color w:val="000000" w:themeColor="text1"/>
                <w14:textFill>
                  <w14:solidFill>
                    <w14:schemeClr w14:val="tx1"/>
                  </w14:solidFill>
                </w14:textFill>
              </w:rPr>
            </w:pPr>
            <w:r>
              <w:rPr>
                <w:color w:val="000000" w:themeColor="text1"/>
                <w14:textFill>
                  <w14:solidFill>
                    <w14:schemeClr w14:val="tx1"/>
                  </w14:solidFill>
                </w14:textFill>
              </w:rPr>
              <w:t>0.005078</w:t>
            </w:r>
          </w:p>
        </w:tc>
        <w:tc>
          <w:tcPr>
            <w:tcW w:w="872" w:type="pct"/>
            <w:shd w:val="clear" w:color="auto" w:fill="auto"/>
            <w:noWrap/>
            <w:vAlign w:val="center"/>
          </w:tcPr>
          <w:p w14:paraId="15E52C9A">
            <w:pPr>
              <w:jc w:val="center"/>
              <w:rPr>
                <w:color w:val="000000" w:themeColor="text1"/>
                <w14:textFill>
                  <w14:solidFill>
                    <w14:schemeClr w14:val="tx1"/>
                  </w14:solidFill>
                </w14:textFill>
              </w:rPr>
            </w:pPr>
            <w:r>
              <w:rPr>
                <w:color w:val="000000" w:themeColor="text1"/>
                <w14:textFill>
                  <w14:solidFill>
                    <w14:schemeClr w14:val="tx1"/>
                  </w14:solidFill>
                </w14:textFill>
              </w:rPr>
              <w:t>0.25</w:t>
            </w:r>
          </w:p>
        </w:tc>
      </w:tr>
      <w:tr w14:paraId="364FE1E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5AF2A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875</w:t>
            </w:r>
          </w:p>
        </w:tc>
        <w:tc>
          <w:tcPr>
            <w:tcW w:w="1331" w:type="pct"/>
            <w:shd w:val="clear" w:color="auto" w:fill="auto"/>
            <w:noWrap/>
            <w:vAlign w:val="center"/>
          </w:tcPr>
          <w:p w14:paraId="7AD2D838">
            <w:pPr>
              <w:jc w:val="center"/>
              <w:rPr>
                <w:color w:val="000000" w:themeColor="text1"/>
                <w14:textFill>
                  <w14:solidFill>
                    <w14:schemeClr w14:val="tx1"/>
                  </w14:solidFill>
                </w14:textFill>
              </w:rPr>
            </w:pPr>
            <w:r>
              <w:rPr>
                <w:color w:val="000000" w:themeColor="text1"/>
                <w14:textFill>
                  <w14:solidFill>
                    <w14:schemeClr w14:val="tx1"/>
                  </w14:solidFill>
                </w14:textFill>
              </w:rPr>
              <w:t>0.000717</w:t>
            </w:r>
          </w:p>
        </w:tc>
        <w:tc>
          <w:tcPr>
            <w:tcW w:w="915" w:type="pct"/>
            <w:shd w:val="clear" w:color="auto" w:fill="auto"/>
            <w:noWrap/>
            <w:vAlign w:val="center"/>
          </w:tcPr>
          <w:p w14:paraId="31161F2A">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017A96ED">
            <w:pPr>
              <w:jc w:val="center"/>
              <w:rPr>
                <w:color w:val="000000" w:themeColor="text1"/>
                <w14:textFill>
                  <w14:solidFill>
                    <w14:schemeClr w14:val="tx1"/>
                  </w14:solidFill>
                </w14:textFill>
              </w:rPr>
            </w:pPr>
            <w:r>
              <w:rPr>
                <w:color w:val="000000" w:themeColor="text1"/>
                <w14:textFill>
                  <w14:solidFill>
                    <w14:schemeClr w14:val="tx1"/>
                  </w14:solidFill>
                </w14:textFill>
              </w:rPr>
              <w:t>0.005018</w:t>
            </w:r>
          </w:p>
        </w:tc>
        <w:tc>
          <w:tcPr>
            <w:tcW w:w="872" w:type="pct"/>
            <w:shd w:val="clear" w:color="auto" w:fill="auto"/>
            <w:noWrap/>
            <w:vAlign w:val="center"/>
          </w:tcPr>
          <w:p w14:paraId="1DDE6698">
            <w:pPr>
              <w:jc w:val="center"/>
              <w:rPr>
                <w:color w:val="000000" w:themeColor="text1"/>
                <w14:textFill>
                  <w14:solidFill>
                    <w14:schemeClr w14:val="tx1"/>
                  </w14:solidFill>
                </w14:textFill>
              </w:rPr>
            </w:pPr>
            <w:r>
              <w:rPr>
                <w:color w:val="000000" w:themeColor="text1"/>
                <w14:textFill>
                  <w14:solidFill>
                    <w14:schemeClr w14:val="tx1"/>
                  </w14:solidFill>
                </w14:textFill>
              </w:rPr>
              <w:t>0.25</w:t>
            </w:r>
          </w:p>
        </w:tc>
      </w:tr>
      <w:tr w14:paraId="61F8C77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506D7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p>
        </w:tc>
        <w:tc>
          <w:tcPr>
            <w:tcW w:w="1331" w:type="pct"/>
            <w:shd w:val="clear" w:color="auto" w:fill="auto"/>
            <w:noWrap/>
            <w:vAlign w:val="center"/>
          </w:tcPr>
          <w:p w14:paraId="5DB60030">
            <w:pPr>
              <w:jc w:val="center"/>
              <w:rPr>
                <w:color w:val="000000" w:themeColor="text1"/>
                <w14:textFill>
                  <w14:solidFill>
                    <w14:schemeClr w14:val="tx1"/>
                  </w14:solidFill>
                </w14:textFill>
              </w:rPr>
            </w:pPr>
            <w:r>
              <w:rPr>
                <w:color w:val="000000" w:themeColor="text1"/>
                <w14:textFill>
                  <w14:solidFill>
                    <w14:schemeClr w14:val="tx1"/>
                  </w14:solidFill>
                </w14:textFill>
              </w:rPr>
              <w:t>0.00071</w:t>
            </w:r>
          </w:p>
        </w:tc>
        <w:tc>
          <w:tcPr>
            <w:tcW w:w="915" w:type="pct"/>
            <w:shd w:val="clear" w:color="auto" w:fill="auto"/>
            <w:noWrap/>
            <w:vAlign w:val="center"/>
          </w:tcPr>
          <w:p w14:paraId="2859B550">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12060B1F">
            <w:pPr>
              <w:jc w:val="center"/>
              <w:rPr>
                <w:color w:val="000000" w:themeColor="text1"/>
                <w14:textFill>
                  <w14:solidFill>
                    <w14:schemeClr w14:val="tx1"/>
                  </w14:solidFill>
                </w14:textFill>
              </w:rPr>
            </w:pPr>
            <w:r>
              <w:rPr>
                <w:color w:val="000000" w:themeColor="text1"/>
                <w14:textFill>
                  <w14:solidFill>
                    <w14:schemeClr w14:val="tx1"/>
                  </w14:solidFill>
                </w14:textFill>
              </w:rPr>
              <w:t>0.00497</w:t>
            </w:r>
          </w:p>
        </w:tc>
        <w:tc>
          <w:tcPr>
            <w:tcW w:w="872" w:type="pct"/>
            <w:shd w:val="clear" w:color="auto" w:fill="auto"/>
            <w:noWrap/>
            <w:vAlign w:val="center"/>
          </w:tcPr>
          <w:p w14:paraId="739CB87D">
            <w:pPr>
              <w:jc w:val="center"/>
              <w:rPr>
                <w:color w:val="000000" w:themeColor="text1"/>
                <w14:textFill>
                  <w14:solidFill>
                    <w14:schemeClr w14:val="tx1"/>
                  </w14:solidFill>
                </w14:textFill>
              </w:rPr>
            </w:pPr>
            <w:r>
              <w:rPr>
                <w:color w:val="000000" w:themeColor="text1"/>
                <w14:textFill>
                  <w14:solidFill>
                    <w14:schemeClr w14:val="tx1"/>
                  </w14:solidFill>
                </w14:textFill>
              </w:rPr>
              <w:t>0.25</w:t>
            </w:r>
          </w:p>
        </w:tc>
      </w:tr>
      <w:tr w14:paraId="669B2BD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5821A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925</w:t>
            </w:r>
          </w:p>
        </w:tc>
        <w:tc>
          <w:tcPr>
            <w:tcW w:w="1331" w:type="pct"/>
            <w:shd w:val="clear" w:color="auto" w:fill="auto"/>
            <w:noWrap/>
            <w:vAlign w:val="center"/>
          </w:tcPr>
          <w:p w14:paraId="3621466A">
            <w:pPr>
              <w:jc w:val="center"/>
              <w:rPr>
                <w:color w:val="000000" w:themeColor="text1"/>
                <w14:textFill>
                  <w14:solidFill>
                    <w14:schemeClr w14:val="tx1"/>
                  </w14:solidFill>
                </w14:textFill>
              </w:rPr>
            </w:pPr>
            <w:r>
              <w:rPr>
                <w:color w:val="000000" w:themeColor="text1"/>
                <w14:textFill>
                  <w14:solidFill>
                    <w14:schemeClr w14:val="tx1"/>
                  </w14:solidFill>
                </w14:textFill>
              </w:rPr>
              <w:t>0.000703</w:t>
            </w:r>
          </w:p>
        </w:tc>
        <w:tc>
          <w:tcPr>
            <w:tcW w:w="915" w:type="pct"/>
            <w:shd w:val="clear" w:color="auto" w:fill="auto"/>
            <w:noWrap/>
            <w:vAlign w:val="center"/>
          </w:tcPr>
          <w:p w14:paraId="16EA2AA7">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1AC93C4B">
            <w:pPr>
              <w:jc w:val="center"/>
              <w:rPr>
                <w:color w:val="000000" w:themeColor="text1"/>
                <w14:textFill>
                  <w14:solidFill>
                    <w14:schemeClr w14:val="tx1"/>
                  </w14:solidFill>
                </w14:textFill>
              </w:rPr>
            </w:pPr>
            <w:r>
              <w:rPr>
                <w:color w:val="000000" w:themeColor="text1"/>
                <w14:textFill>
                  <w14:solidFill>
                    <w14:schemeClr w14:val="tx1"/>
                  </w14:solidFill>
                </w14:textFill>
              </w:rPr>
              <w:t>0.004923</w:t>
            </w:r>
          </w:p>
        </w:tc>
        <w:tc>
          <w:tcPr>
            <w:tcW w:w="872" w:type="pct"/>
            <w:shd w:val="clear" w:color="auto" w:fill="auto"/>
            <w:noWrap/>
            <w:vAlign w:val="center"/>
          </w:tcPr>
          <w:p w14:paraId="0D91C777">
            <w:pPr>
              <w:jc w:val="center"/>
              <w:rPr>
                <w:color w:val="000000" w:themeColor="text1"/>
                <w14:textFill>
                  <w14:solidFill>
                    <w14:schemeClr w14:val="tx1"/>
                  </w14:solidFill>
                </w14:textFill>
              </w:rPr>
            </w:pPr>
            <w:r>
              <w:rPr>
                <w:color w:val="000000" w:themeColor="text1"/>
                <w14:textFill>
                  <w14:solidFill>
                    <w14:schemeClr w14:val="tx1"/>
                  </w14:solidFill>
                </w14:textFill>
              </w:rPr>
              <w:t>0.25</w:t>
            </w:r>
          </w:p>
        </w:tc>
      </w:tr>
      <w:tr w14:paraId="6EC1043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787D4D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950</w:t>
            </w:r>
          </w:p>
        </w:tc>
        <w:tc>
          <w:tcPr>
            <w:tcW w:w="1331" w:type="pct"/>
            <w:shd w:val="clear" w:color="auto" w:fill="auto"/>
            <w:noWrap/>
            <w:vAlign w:val="center"/>
          </w:tcPr>
          <w:p w14:paraId="02BD5D43">
            <w:pPr>
              <w:jc w:val="center"/>
              <w:rPr>
                <w:color w:val="000000" w:themeColor="text1"/>
                <w14:textFill>
                  <w14:solidFill>
                    <w14:schemeClr w14:val="tx1"/>
                  </w14:solidFill>
                </w14:textFill>
              </w:rPr>
            </w:pPr>
            <w:r>
              <w:rPr>
                <w:color w:val="000000" w:themeColor="text1"/>
                <w14:textFill>
                  <w14:solidFill>
                    <w14:schemeClr w14:val="tx1"/>
                  </w14:solidFill>
                </w14:textFill>
              </w:rPr>
              <w:t>0.000696</w:t>
            </w:r>
          </w:p>
        </w:tc>
        <w:tc>
          <w:tcPr>
            <w:tcW w:w="915" w:type="pct"/>
            <w:shd w:val="clear" w:color="auto" w:fill="auto"/>
            <w:noWrap/>
            <w:vAlign w:val="center"/>
          </w:tcPr>
          <w:p w14:paraId="71058CAF">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7E21DBF1">
            <w:pPr>
              <w:jc w:val="center"/>
              <w:rPr>
                <w:color w:val="000000" w:themeColor="text1"/>
                <w14:textFill>
                  <w14:solidFill>
                    <w14:schemeClr w14:val="tx1"/>
                  </w14:solidFill>
                </w14:textFill>
              </w:rPr>
            </w:pPr>
            <w:r>
              <w:rPr>
                <w:color w:val="000000" w:themeColor="text1"/>
                <w14:textFill>
                  <w14:solidFill>
                    <w14:schemeClr w14:val="tx1"/>
                  </w14:solidFill>
                </w14:textFill>
              </w:rPr>
              <w:t>0.004875</w:t>
            </w:r>
          </w:p>
        </w:tc>
        <w:tc>
          <w:tcPr>
            <w:tcW w:w="872" w:type="pct"/>
            <w:shd w:val="clear" w:color="auto" w:fill="auto"/>
            <w:noWrap/>
            <w:vAlign w:val="center"/>
          </w:tcPr>
          <w:p w14:paraId="10AAB0A5">
            <w:pPr>
              <w:jc w:val="center"/>
              <w:rPr>
                <w:color w:val="000000" w:themeColor="text1"/>
                <w14:textFill>
                  <w14:solidFill>
                    <w14:schemeClr w14:val="tx1"/>
                  </w14:solidFill>
                </w14:textFill>
              </w:rPr>
            </w:pPr>
            <w:r>
              <w:rPr>
                <w:color w:val="000000" w:themeColor="text1"/>
                <w14:textFill>
                  <w14:solidFill>
                    <w14:schemeClr w14:val="tx1"/>
                  </w14:solidFill>
                </w14:textFill>
              </w:rPr>
              <w:t>0.24</w:t>
            </w:r>
          </w:p>
        </w:tc>
      </w:tr>
      <w:tr w14:paraId="66A9691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F9152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975</w:t>
            </w:r>
          </w:p>
        </w:tc>
        <w:tc>
          <w:tcPr>
            <w:tcW w:w="1331" w:type="pct"/>
            <w:shd w:val="clear" w:color="auto" w:fill="auto"/>
            <w:noWrap/>
            <w:vAlign w:val="center"/>
          </w:tcPr>
          <w:p w14:paraId="322571B0">
            <w:pPr>
              <w:jc w:val="center"/>
              <w:rPr>
                <w:color w:val="000000" w:themeColor="text1"/>
                <w14:textFill>
                  <w14:solidFill>
                    <w14:schemeClr w14:val="tx1"/>
                  </w14:solidFill>
                </w14:textFill>
              </w:rPr>
            </w:pPr>
            <w:r>
              <w:rPr>
                <w:color w:val="000000" w:themeColor="text1"/>
                <w14:textFill>
                  <w14:solidFill>
                    <w14:schemeClr w14:val="tx1"/>
                  </w14:solidFill>
                </w14:textFill>
              </w:rPr>
              <w:t>0.000689</w:t>
            </w:r>
          </w:p>
        </w:tc>
        <w:tc>
          <w:tcPr>
            <w:tcW w:w="915" w:type="pct"/>
            <w:shd w:val="clear" w:color="auto" w:fill="auto"/>
            <w:noWrap/>
            <w:vAlign w:val="center"/>
          </w:tcPr>
          <w:p w14:paraId="67275CD0">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772D47E5">
            <w:pPr>
              <w:jc w:val="center"/>
              <w:rPr>
                <w:color w:val="000000" w:themeColor="text1"/>
                <w14:textFill>
                  <w14:solidFill>
                    <w14:schemeClr w14:val="tx1"/>
                  </w14:solidFill>
                </w14:textFill>
              </w:rPr>
            </w:pPr>
            <w:r>
              <w:rPr>
                <w:color w:val="000000" w:themeColor="text1"/>
                <w14:textFill>
                  <w14:solidFill>
                    <w14:schemeClr w14:val="tx1"/>
                  </w14:solidFill>
                </w14:textFill>
              </w:rPr>
              <w:t>0.004826</w:t>
            </w:r>
          </w:p>
        </w:tc>
        <w:tc>
          <w:tcPr>
            <w:tcW w:w="872" w:type="pct"/>
            <w:shd w:val="clear" w:color="auto" w:fill="auto"/>
            <w:noWrap/>
            <w:vAlign w:val="center"/>
          </w:tcPr>
          <w:p w14:paraId="215EE52A">
            <w:pPr>
              <w:jc w:val="center"/>
              <w:rPr>
                <w:color w:val="000000" w:themeColor="text1"/>
                <w14:textFill>
                  <w14:solidFill>
                    <w14:schemeClr w14:val="tx1"/>
                  </w14:solidFill>
                </w14:textFill>
              </w:rPr>
            </w:pPr>
            <w:r>
              <w:rPr>
                <w:color w:val="000000" w:themeColor="text1"/>
                <w14:textFill>
                  <w14:solidFill>
                    <w14:schemeClr w14:val="tx1"/>
                  </w14:solidFill>
                </w14:textFill>
              </w:rPr>
              <w:t>0.24</w:t>
            </w:r>
          </w:p>
        </w:tc>
      </w:tr>
      <w:tr w14:paraId="0200512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C23DD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w:t>
            </w:r>
          </w:p>
        </w:tc>
        <w:tc>
          <w:tcPr>
            <w:tcW w:w="1331" w:type="pct"/>
            <w:shd w:val="clear" w:color="auto" w:fill="auto"/>
            <w:noWrap/>
            <w:vAlign w:val="center"/>
          </w:tcPr>
          <w:p w14:paraId="3C93BEA5">
            <w:pPr>
              <w:jc w:val="center"/>
              <w:rPr>
                <w:color w:val="000000" w:themeColor="text1"/>
                <w14:textFill>
                  <w14:solidFill>
                    <w14:schemeClr w14:val="tx1"/>
                  </w14:solidFill>
                </w14:textFill>
              </w:rPr>
            </w:pPr>
            <w:r>
              <w:rPr>
                <w:color w:val="000000" w:themeColor="text1"/>
                <w14:textFill>
                  <w14:solidFill>
                    <w14:schemeClr w14:val="tx1"/>
                  </w14:solidFill>
                </w14:textFill>
              </w:rPr>
              <w:t>0.000682</w:t>
            </w:r>
          </w:p>
        </w:tc>
        <w:tc>
          <w:tcPr>
            <w:tcW w:w="915" w:type="pct"/>
            <w:shd w:val="clear" w:color="auto" w:fill="auto"/>
            <w:noWrap/>
            <w:vAlign w:val="center"/>
          </w:tcPr>
          <w:p w14:paraId="2A973D68">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19E60997">
            <w:pPr>
              <w:jc w:val="center"/>
              <w:rPr>
                <w:color w:val="000000" w:themeColor="text1"/>
                <w14:textFill>
                  <w14:solidFill>
                    <w14:schemeClr w14:val="tx1"/>
                  </w14:solidFill>
                </w14:textFill>
              </w:rPr>
            </w:pPr>
            <w:r>
              <w:rPr>
                <w:color w:val="000000" w:themeColor="text1"/>
                <w14:textFill>
                  <w14:solidFill>
                    <w14:schemeClr w14:val="tx1"/>
                  </w14:solidFill>
                </w14:textFill>
              </w:rPr>
              <w:t>0.004776</w:t>
            </w:r>
          </w:p>
        </w:tc>
        <w:tc>
          <w:tcPr>
            <w:tcW w:w="872" w:type="pct"/>
            <w:shd w:val="clear" w:color="auto" w:fill="auto"/>
            <w:noWrap/>
            <w:vAlign w:val="center"/>
          </w:tcPr>
          <w:p w14:paraId="467AC4A5">
            <w:pPr>
              <w:jc w:val="center"/>
              <w:rPr>
                <w:color w:val="000000" w:themeColor="text1"/>
                <w14:textFill>
                  <w14:solidFill>
                    <w14:schemeClr w14:val="tx1"/>
                  </w14:solidFill>
                </w14:textFill>
              </w:rPr>
            </w:pPr>
            <w:r>
              <w:rPr>
                <w:color w:val="000000" w:themeColor="text1"/>
                <w14:textFill>
                  <w14:solidFill>
                    <w14:schemeClr w14:val="tx1"/>
                  </w14:solidFill>
                </w14:textFill>
              </w:rPr>
              <w:t>0.24</w:t>
            </w:r>
          </w:p>
        </w:tc>
      </w:tr>
      <w:tr w14:paraId="7B851D9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CCFCDE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1025</w:t>
            </w:r>
          </w:p>
        </w:tc>
        <w:tc>
          <w:tcPr>
            <w:tcW w:w="1331" w:type="pct"/>
            <w:shd w:val="clear" w:color="auto" w:fill="auto"/>
            <w:noWrap/>
            <w:vAlign w:val="center"/>
          </w:tcPr>
          <w:p w14:paraId="2305F4DC">
            <w:pPr>
              <w:jc w:val="center"/>
              <w:rPr>
                <w:color w:val="000000" w:themeColor="text1"/>
                <w14:textFill>
                  <w14:solidFill>
                    <w14:schemeClr w14:val="tx1"/>
                  </w14:solidFill>
                </w14:textFill>
              </w:rPr>
            </w:pPr>
            <w:r>
              <w:rPr>
                <w:color w:val="000000" w:themeColor="text1"/>
                <w14:textFill>
                  <w14:solidFill>
                    <w14:schemeClr w14:val="tx1"/>
                  </w14:solidFill>
                </w14:textFill>
              </w:rPr>
              <w:t>0.000675</w:t>
            </w:r>
          </w:p>
        </w:tc>
        <w:tc>
          <w:tcPr>
            <w:tcW w:w="915" w:type="pct"/>
            <w:shd w:val="clear" w:color="auto" w:fill="auto"/>
            <w:noWrap/>
            <w:vAlign w:val="center"/>
          </w:tcPr>
          <w:p w14:paraId="209D503C">
            <w:pPr>
              <w:jc w:val="center"/>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071" w:type="pct"/>
            <w:shd w:val="clear" w:color="auto" w:fill="auto"/>
            <w:noWrap/>
            <w:vAlign w:val="center"/>
          </w:tcPr>
          <w:p w14:paraId="125EAAF4">
            <w:pPr>
              <w:jc w:val="center"/>
              <w:rPr>
                <w:color w:val="000000" w:themeColor="text1"/>
                <w14:textFill>
                  <w14:solidFill>
                    <w14:schemeClr w14:val="tx1"/>
                  </w14:solidFill>
                </w14:textFill>
              </w:rPr>
            </w:pPr>
            <w:r>
              <w:rPr>
                <w:color w:val="000000" w:themeColor="text1"/>
                <w14:textFill>
                  <w14:solidFill>
                    <w14:schemeClr w14:val="tx1"/>
                  </w14:solidFill>
                </w14:textFill>
              </w:rPr>
              <w:t>0.004725</w:t>
            </w:r>
          </w:p>
        </w:tc>
        <w:tc>
          <w:tcPr>
            <w:tcW w:w="872" w:type="pct"/>
            <w:shd w:val="clear" w:color="auto" w:fill="auto"/>
            <w:noWrap/>
            <w:vAlign w:val="center"/>
          </w:tcPr>
          <w:p w14:paraId="16BC6780">
            <w:pPr>
              <w:jc w:val="center"/>
              <w:rPr>
                <w:color w:val="000000" w:themeColor="text1"/>
                <w14:textFill>
                  <w14:solidFill>
                    <w14:schemeClr w14:val="tx1"/>
                  </w14:solidFill>
                </w14:textFill>
              </w:rPr>
            </w:pPr>
            <w:r>
              <w:rPr>
                <w:color w:val="000000" w:themeColor="text1"/>
                <w14:textFill>
                  <w14:solidFill>
                    <w14:schemeClr w14:val="tx1"/>
                  </w14:solidFill>
                </w14:textFill>
              </w:rPr>
              <w:t>0.24</w:t>
            </w:r>
          </w:p>
        </w:tc>
      </w:tr>
      <w:tr w14:paraId="0D4C73B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DD5F2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1038</w:t>
            </w:r>
          </w:p>
        </w:tc>
        <w:tc>
          <w:tcPr>
            <w:tcW w:w="1331" w:type="pct"/>
            <w:shd w:val="clear" w:color="auto" w:fill="auto"/>
            <w:noWrap/>
            <w:vAlign w:val="center"/>
          </w:tcPr>
          <w:p w14:paraId="01246F70">
            <w:pPr>
              <w:jc w:val="center"/>
              <w:rPr>
                <w:color w:val="000000" w:themeColor="text1"/>
                <w14:textFill>
                  <w14:solidFill>
                    <w14:schemeClr w14:val="tx1"/>
                  </w14:solidFill>
                </w14:textFill>
              </w:rPr>
            </w:pPr>
            <w:r>
              <w:rPr>
                <w:color w:val="000000" w:themeColor="text1"/>
                <w14:textFill>
                  <w14:solidFill>
                    <w14:schemeClr w14:val="tx1"/>
                  </w14:solidFill>
                </w14:textFill>
              </w:rPr>
              <w:t>0.000674</w:t>
            </w:r>
          </w:p>
        </w:tc>
        <w:tc>
          <w:tcPr>
            <w:tcW w:w="915" w:type="pct"/>
            <w:shd w:val="clear" w:color="auto" w:fill="auto"/>
            <w:noWrap/>
            <w:vAlign w:val="center"/>
          </w:tcPr>
          <w:p w14:paraId="56AB4460">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1A9BCA03">
            <w:pPr>
              <w:jc w:val="center"/>
              <w:rPr>
                <w:color w:val="000000" w:themeColor="text1"/>
                <w14:textFill>
                  <w14:solidFill>
                    <w14:schemeClr w14:val="tx1"/>
                  </w14:solidFill>
                </w14:textFill>
              </w:rPr>
            </w:pPr>
            <w:r>
              <w:rPr>
                <w:color w:val="000000" w:themeColor="text1"/>
                <w14:textFill>
                  <w14:solidFill>
                    <w14:schemeClr w14:val="tx1"/>
                  </w14:solidFill>
                </w14:textFill>
              </w:rPr>
              <w:t>0.004719</w:t>
            </w:r>
          </w:p>
        </w:tc>
        <w:tc>
          <w:tcPr>
            <w:tcW w:w="872" w:type="pct"/>
            <w:shd w:val="clear" w:color="auto" w:fill="auto"/>
            <w:noWrap/>
            <w:vAlign w:val="center"/>
          </w:tcPr>
          <w:p w14:paraId="1AF6313D">
            <w:pPr>
              <w:jc w:val="center"/>
              <w:rPr>
                <w:color w:val="000000" w:themeColor="text1"/>
                <w14:textFill>
                  <w14:solidFill>
                    <w14:schemeClr w14:val="tx1"/>
                  </w14:solidFill>
                </w14:textFill>
              </w:rPr>
            </w:pPr>
            <w:r>
              <w:rPr>
                <w:color w:val="000000" w:themeColor="text1"/>
                <w14:textFill>
                  <w14:solidFill>
                    <w14:schemeClr w14:val="tx1"/>
                  </w14:solidFill>
                </w14:textFill>
              </w:rPr>
              <w:t>0.24</w:t>
            </w:r>
          </w:p>
        </w:tc>
      </w:tr>
      <w:tr w14:paraId="094091E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13C76E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1045</w:t>
            </w:r>
          </w:p>
        </w:tc>
        <w:tc>
          <w:tcPr>
            <w:tcW w:w="1331" w:type="pct"/>
            <w:shd w:val="clear" w:color="auto" w:fill="auto"/>
            <w:noWrap/>
            <w:vAlign w:val="center"/>
          </w:tcPr>
          <w:p w14:paraId="6025186A">
            <w:pPr>
              <w:jc w:val="center"/>
              <w:rPr>
                <w:color w:val="000000" w:themeColor="text1"/>
                <w14:textFill>
                  <w14:solidFill>
                    <w14:schemeClr w14:val="tx1"/>
                  </w14:solidFill>
                </w14:textFill>
              </w:rPr>
            </w:pPr>
            <w:r>
              <w:rPr>
                <w:color w:val="000000" w:themeColor="text1"/>
                <w14:textFill>
                  <w14:solidFill>
                    <w14:schemeClr w14:val="tx1"/>
                  </w14:solidFill>
                </w14:textFill>
              </w:rPr>
              <w:t>0.000668</w:t>
            </w:r>
          </w:p>
        </w:tc>
        <w:tc>
          <w:tcPr>
            <w:tcW w:w="915" w:type="pct"/>
            <w:shd w:val="clear" w:color="auto" w:fill="auto"/>
            <w:noWrap/>
            <w:vAlign w:val="center"/>
          </w:tcPr>
          <w:p w14:paraId="6900CC3A">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3D719C73">
            <w:pPr>
              <w:jc w:val="center"/>
              <w:rPr>
                <w:color w:val="000000" w:themeColor="text1"/>
                <w14:textFill>
                  <w14:solidFill>
                    <w14:schemeClr w14:val="tx1"/>
                  </w14:solidFill>
                </w14:textFill>
              </w:rPr>
            </w:pPr>
            <w:r>
              <w:rPr>
                <w:color w:val="000000" w:themeColor="text1"/>
                <w14:textFill>
                  <w14:solidFill>
                    <w14:schemeClr w14:val="tx1"/>
                  </w14:solidFill>
                </w14:textFill>
              </w:rPr>
              <w:t>0.004674</w:t>
            </w:r>
          </w:p>
        </w:tc>
        <w:tc>
          <w:tcPr>
            <w:tcW w:w="872" w:type="pct"/>
            <w:shd w:val="clear" w:color="auto" w:fill="auto"/>
            <w:noWrap/>
            <w:vAlign w:val="center"/>
          </w:tcPr>
          <w:p w14:paraId="42F0C807">
            <w:pPr>
              <w:jc w:val="center"/>
              <w:rPr>
                <w:color w:val="000000" w:themeColor="text1"/>
                <w14:textFill>
                  <w14:solidFill>
                    <w14:schemeClr w14:val="tx1"/>
                  </w14:solidFill>
                </w14:textFill>
              </w:rPr>
            </w:pPr>
            <w:r>
              <w:rPr>
                <w:color w:val="000000" w:themeColor="text1"/>
                <w14:textFill>
                  <w14:solidFill>
                    <w14:schemeClr w14:val="tx1"/>
                  </w14:solidFill>
                </w14:textFill>
              </w:rPr>
              <w:t>0.23</w:t>
            </w:r>
          </w:p>
        </w:tc>
      </w:tr>
      <w:tr w14:paraId="0948208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2A256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1050</w:t>
            </w:r>
          </w:p>
        </w:tc>
        <w:tc>
          <w:tcPr>
            <w:tcW w:w="1331" w:type="pct"/>
            <w:shd w:val="clear" w:color="auto" w:fill="auto"/>
            <w:noWrap/>
            <w:vAlign w:val="center"/>
          </w:tcPr>
          <w:p w14:paraId="0964F91E">
            <w:pPr>
              <w:jc w:val="center"/>
              <w:rPr>
                <w:color w:val="000000" w:themeColor="text1"/>
                <w14:textFill>
                  <w14:solidFill>
                    <w14:schemeClr w14:val="tx1"/>
                  </w14:solidFill>
                </w14:textFill>
              </w:rPr>
            </w:pPr>
            <w:r>
              <w:rPr>
                <w:color w:val="000000" w:themeColor="text1"/>
                <w14:textFill>
                  <w14:solidFill>
                    <w14:schemeClr w14:val="tx1"/>
                  </w14:solidFill>
                </w14:textFill>
              </w:rPr>
              <w:t>0.000666</w:t>
            </w:r>
          </w:p>
        </w:tc>
        <w:tc>
          <w:tcPr>
            <w:tcW w:w="915" w:type="pct"/>
            <w:shd w:val="clear" w:color="auto" w:fill="auto"/>
            <w:noWrap/>
            <w:vAlign w:val="center"/>
          </w:tcPr>
          <w:p w14:paraId="79701EDC">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43398B96">
            <w:pPr>
              <w:jc w:val="center"/>
              <w:rPr>
                <w:color w:val="000000" w:themeColor="text1"/>
                <w14:textFill>
                  <w14:solidFill>
                    <w14:schemeClr w14:val="tx1"/>
                  </w14:solidFill>
                </w14:textFill>
              </w:rPr>
            </w:pPr>
            <w:r>
              <w:rPr>
                <w:color w:val="000000" w:themeColor="text1"/>
                <w14:textFill>
                  <w14:solidFill>
                    <w14:schemeClr w14:val="tx1"/>
                  </w14:solidFill>
                </w14:textFill>
              </w:rPr>
              <w:t>0.004662</w:t>
            </w:r>
          </w:p>
        </w:tc>
        <w:tc>
          <w:tcPr>
            <w:tcW w:w="872" w:type="pct"/>
            <w:shd w:val="clear" w:color="auto" w:fill="auto"/>
            <w:noWrap/>
            <w:vAlign w:val="center"/>
          </w:tcPr>
          <w:p w14:paraId="7AB2CF92">
            <w:pPr>
              <w:jc w:val="center"/>
              <w:rPr>
                <w:color w:val="000000" w:themeColor="text1"/>
                <w14:textFill>
                  <w14:solidFill>
                    <w14:schemeClr w14:val="tx1"/>
                  </w14:solidFill>
                </w14:textFill>
              </w:rPr>
            </w:pPr>
            <w:r>
              <w:rPr>
                <w:color w:val="000000" w:themeColor="text1"/>
                <w14:textFill>
                  <w14:solidFill>
                    <w14:schemeClr w14:val="tx1"/>
                  </w14:solidFill>
                </w14:textFill>
              </w:rPr>
              <w:t>0.23</w:t>
            </w:r>
          </w:p>
        </w:tc>
      </w:tr>
      <w:tr w14:paraId="2F54B5C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BF89B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1075</w:t>
            </w:r>
          </w:p>
        </w:tc>
        <w:tc>
          <w:tcPr>
            <w:tcW w:w="1331" w:type="pct"/>
            <w:shd w:val="clear" w:color="auto" w:fill="auto"/>
            <w:noWrap/>
            <w:vAlign w:val="center"/>
          </w:tcPr>
          <w:p w14:paraId="414EA876">
            <w:pPr>
              <w:jc w:val="center"/>
              <w:rPr>
                <w:color w:val="000000" w:themeColor="text1"/>
                <w14:textFill>
                  <w14:solidFill>
                    <w14:schemeClr w14:val="tx1"/>
                  </w14:solidFill>
                </w14:textFill>
              </w:rPr>
            </w:pPr>
            <w:r>
              <w:rPr>
                <w:color w:val="000000" w:themeColor="text1"/>
                <w14:textFill>
                  <w14:solidFill>
                    <w14:schemeClr w14:val="tx1"/>
                  </w14:solidFill>
                </w14:textFill>
              </w:rPr>
              <w:t>0.00066</w:t>
            </w:r>
          </w:p>
        </w:tc>
        <w:tc>
          <w:tcPr>
            <w:tcW w:w="915" w:type="pct"/>
            <w:shd w:val="clear" w:color="auto" w:fill="auto"/>
            <w:noWrap/>
            <w:vAlign w:val="center"/>
          </w:tcPr>
          <w:p w14:paraId="22F07309">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73C5DF33">
            <w:pPr>
              <w:jc w:val="center"/>
              <w:rPr>
                <w:color w:val="000000" w:themeColor="text1"/>
                <w14:textFill>
                  <w14:solidFill>
                    <w14:schemeClr w14:val="tx1"/>
                  </w14:solidFill>
                </w14:textFill>
              </w:rPr>
            </w:pPr>
            <w:r>
              <w:rPr>
                <w:color w:val="000000" w:themeColor="text1"/>
                <w14:textFill>
                  <w14:solidFill>
                    <w14:schemeClr w14:val="tx1"/>
                  </w14:solidFill>
                </w14:textFill>
              </w:rPr>
              <w:t>0.004623</w:t>
            </w:r>
          </w:p>
        </w:tc>
        <w:tc>
          <w:tcPr>
            <w:tcW w:w="872" w:type="pct"/>
            <w:shd w:val="clear" w:color="auto" w:fill="auto"/>
            <w:noWrap/>
            <w:vAlign w:val="center"/>
          </w:tcPr>
          <w:p w14:paraId="780E1993">
            <w:pPr>
              <w:jc w:val="center"/>
              <w:rPr>
                <w:color w:val="000000" w:themeColor="text1"/>
                <w14:textFill>
                  <w14:solidFill>
                    <w14:schemeClr w14:val="tx1"/>
                  </w14:solidFill>
                </w14:textFill>
              </w:rPr>
            </w:pPr>
            <w:r>
              <w:rPr>
                <w:color w:val="000000" w:themeColor="text1"/>
                <w14:textFill>
                  <w14:solidFill>
                    <w14:schemeClr w14:val="tx1"/>
                  </w14:solidFill>
                </w14:textFill>
              </w:rPr>
              <w:t>0.23</w:t>
            </w:r>
          </w:p>
        </w:tc>
      </w:tr>
      <w:tr w14:paraId="5637E68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0F96D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1100</w:t>
            </w:r>
          </w:p>
        </w:tc>
        <w:tc>
          <w:tcPr>
            <w:tcW w:w="1331" w:type="pct"/>
            <w:shd w:val="clear" w:color="auto" w:fill="auto"/>
            <w:noWrap/>
            <w:vAlign w:val="center"/>
          </w:tcPr>
          <w:p w14:paraId="4427910C">
            <w:pPr>
              <w:jc w:val="center"/>
              <w:rPr>
                <w:color w:val="000000" w:themeColor="text1"/>
                <w14:textFill>
                  <w14:solidFill>
                    <w14:schemeClr w14:val="tx1"/>
                  </w14:solidFill>
                </w14:textFill>
              </w:rPr>
            </w:pPr>
            <w:r>
              <w:rPr>
                <w:color w:val="000000" w:themeColor="text1"/>
                <w14:textFill>
                  <w14:solidFill>
                    <w14:schemeClr w14:val="tx1"/>
                  </w14:solidFill>
                </w14:textFill>
              </w:rPr>
              <w:t>0.000653</w:t>
            </w:r>
          </w:p>
        </w:tc>
        <w:tc>
          <w:tcPr>
            <w:tcW w:w="915" w:type="pct"/>
            <w:shd w:val="clear" w:color="auto" w:fill="auto"/>
            <w:noWrap/>
            <w:vAlign w:val="center"/>
          </w:tcPr>
          <w:p w14:paraId="7CBE0BC7">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76DE35CB">
            <w:pPr>
              <w:jc w:val="center"/>
              <w:rPr>
                <w:color w:val="000000" w:themeColor="text1"/>
                <w14:textFill>
                  <w14:solidFill>
                    <w14:schemeClr w14:val="tx1"/>
                  </w14:solidFill>
                </w14:textFill>
              </w:rPr>
            </w:pPr>
            <w:r>
              <w:rPr>
                <w:color w:val="000000" w:themeColor="text1"/>
                <w14:textFill>
                  <w14:solidFill>
                    <w14:schemeClr w14:val="tx1"/>
                  </w14:solidFill>
                </w14:textFill>
              </w:rPr>
              <w:t>0.004572</w:t>
            </w:r>
          </w:p>
        </w:tc>
        <w:tc>
          <w:tcPr>
            <w:tcW w:w="872" w:type="pct"/>
            <w:shd w:val="clear" w:color="auto" w:fill="auto"/>
            <w:noWrap/>
            <w:vAlign w:val="center"/>
          </w:tcPr>
          <w:p w14:paraId="68FE0FA5">
            <w:pPr>
              <w:jc w:val="center"/>
              <w:rPr>
                <w:color w:val="000000" w:themeColor="text1"/>
                <w14:textFill>
                  <w14:solidFill>
                    <w14:schemeClr w14:val="tx1"/>
                  </w14:solidFill>
                </w14:textFill>
              </w:rPr>
            </w:pPr>
            <w:r>
              <w:rPr>
                <w:color w:val="000000" w:themeColor="text1"/>
                <w14:textFill>
                  <w14:solidFill>
                    <w14:schemeClr w14:val="tx1"/>
                  </w14:solidFill>
                </w14:textFill>
              </w:rPr>
              <w:t>0.23</w:t>
            </w:r>
          </w:p>
        </w:tc>
      </w:tr>
      <w:tr w14:paraId="1F5076F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A6737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1125</w:t>
            </w:r>
          </w:p>
        </w:tc>
        <w:tc>
          <w:tcPr>
            <w:tcW w:w="1331" w:type="pct"/>
            <w:shd w:val="clear" w:color="auto" w:fill="auto"/>
            <w:noWrap/>
            <w:vAlign w:val="center"/>
          </w:tcPr>
          <w:p w14:paraId="0B179945">
            <w:pPr>
              <w:jc w:val="center"/>
              <w:rPr>
                <w:color w:val="000000" w:themeColor="text1"/>
                <w14:textFill>
                  <w14:solidFill>
                    <w14:schemeClr w14:val="tx1"/>
                  </w14:solidFill>
                </w14:textFill>
              </w:rPr>
            </w:pPr>
            <w:r>
              <w:rPr>
                <w:color w:val="000000" w:themeColor="text1"/>
                <w14:textFill>
                  <w14:solidFill>
                    <w14:schemeClr w14:val="tx1"/>
                  </w14:solidFill>
                </w14:textFill>
              </w:rPr>
              <w:t>0.000646</w:t>
            </w:r>
          </w:p>
        </w:tc>
        <w:tc>
          <w:tcPr>
            <w:tcW w:w="915" w:type="pct"/>
            <w:shd w:val="clear" w:color="auto" w:fill="auto"/>
            <w:noWrap/>
            <w:vAlign w:val="center"/>
          </w:tcPr>
          <w:p w14:paraId="72BCDCDC">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7CF7E8CF">
            <w:pPr>
              <w:jc w:val="center"/>
              <w:rPr>
                <w:color w:val="000000" w:themeColor="text1"/>
                <w14:textFill>
                  <w14:solidFill>
                    <w14:schemeClr w14:val="tx1"/>
                  </w14:solidFill>
                </w14:textFill>
              </w:rPr>
            </w:pPr>
            <w:r>
              <w:rPr>
                <w:color w:val="000000" w:themeColor="text1"/>
                <w14:textFill>
                  <w14:solidFill>
                    <w14:schemeClr w14:val="tx1"/>
                  </w14:solidFill>
                </w14:textFill>
              </w:rPr>
              <w:t>0.004521</w:t>
            </w:r>
          </w:p>
        </w:tc>
        <w:tc>
          <w:tcPr>
            <w:tcW w:w="872" w:type="pct"/>
            <w:shd w:val="clear" w:color="auto" w:fill="auto"/>
            <w:noWrap/>
            <w:vAlign w:val="center"/>
          </w:tcPr>
          <w:p w14:paraId="691ACB52">
            <w:pPr>
              <w:jc w:val="center"/>
              <w:rPr>
                <w:color w:val="000000" w:themeColor="text1"/>
                <w14:textFill>
                  <w14:solidFill>
                    <w14:schemeClr w14:val="tx1"/>
                  </w14:solidFill>
                </w14:textFill>
              </w:rPr>
            </w:pPr>
            <w:r>
              <w:rPr>
                <w:color w:val="000000" w:themeColor="text1"/>
                <w14:textFill>
                  <w14:solidFill>
                    <w14:schemeClr w14:val="tx1"/>
                  </w14:solidFill>
                </w14:textFill>
              </w:rPr>
              <w:t>0.23</w:t>
            </w:r>
          </w:p>
        </w:tc>
      </w:tr>
      <w:tr w14:paraId="5454F7C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FD0A5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1150</w:t>
            </w:r>
          </w:p>
        </w:tc>
        <w:tc>
          <w:tcPr>
            <w:tcW w:w="1331" w:type="pct"/>
            <w:shd w:val="clear" w:color="auto" w:fill="auto"/>
            <w:noWrap/>
            <w:vAlign w:val="center"/>
          </w:tcPr>
          <w:p w14:paraId="22E76781">
            <w:pPr>
              <w:jc w:val="center"/>
              <w:rPr>
                <w:color w:val="000000" w:themeColor="text1"/>
                <w14:textFill>
                  <w14:solidFill>
                    <w14:schemeClr w14:val="tx1"/>
                  </w14:solidFill>
                </w14:textFill>
              </w:rPr>
            </w:pPr>
            <w:r>
              <w:rPr>
                <w:color w:val="000000" w:themeColor="text1"/>
                <w14:textFill>
                  <w14:solidFill>
                    <w14:schemeClr w14:val="tx1"/>
                  </w14:solidFill>
                </w14:textFill>
              </w:rPr>
              <w:t>0.000638</w:t>
            </w:r>
          </w:p>
        </w:tc>
        <w:tc>
          <w:tcPr>
            <w:tcW w:w="915" w:type="pct"/>
            <w:shd w:val="clear" w:color="auto" w:fill="auto"/>
            <w:noWrap/>
            <w:vAlign w:val="center"/>
          </w:tcPr>
          <w:p w14:paraId="57E4CBC2">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125C40B6">
            <w:pPr>
              <w:jc w:val="center"/>
              <w:rPr>
                <w:color w:val="000000" w:themeColor="text1"/>
                <w14:textFill>
                  <w14:solidFill>
                    <w14:schemeClr w14:val="tx1"/>
                  </w14:solidFill>
                </w14:textFill>
              </w:rPr>
            </w:pPr>
            <w:r>
              <w:rPr>
                <w:color w:val="000000" w:themeColor="text1"/>
                <w14:textFill>
                  <w14:solidFill>
                    <w14:schemeClr w14:val="tx1"/>
                  </w14:solidFill>
                </w14:textFill>
              </w:rPr>
              <w:t>0.004469</w:t>
            </w:r>
          </w:p>
        </w:tc>
        <w:tc>
          <w:tcPr>
            <w:tcW w:w="872" w:type="pct"/>
            <w:shd w:val="clear" w:color="auto" w:fill="auto"/>
            <w:noWrap/>
            <w:vAlign w:val="center"/>
          </w:tcPr>
          <w:p w14:paraId="555BA5E4">
            <w:pPr>
              <w:jc w:val="center"/>
              <w:rPr>
                <w:color w:val="000000" w:themeColor="text1"/>
                <w14:textFill>
                  <w14:solidFill>
                    <w14:schemeClr w14:val="tx1"/>
                  </w14:solidFill>
                </w14:textFill>
              </w:rPr>
            </w:pPr>
            <w:r>
              <w:rPr>
                <w:color w:val="000000" w:themeColor="text1"/>
                <w14:textFill>
                  <w14:solidFill>
                    <w14:schemeClr w14:val="tx1"/>
                  </w14:solidFill>
                </w14:textFill>
              </w:rPr>
              <w:t>0.22</w:t>
            </w:r>
          </w:p>
        </w:tc>
      </w:tr>
      <w:tr w14:paraId="47E91245">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D13BA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1175</w:t>
            </w:r>
          </w:p>
        </w:tc>
        <w:tc>
          <w:tcPr>
            <w:tcW w:w="1331" w:type="pct"/>
            <w:shd w:val="clear" w:color="auto" w:fill="auto"/>
            <w:noWrap/>
            <w:vAlign w:val="center"/>
          </w:tcPr>
          <w:p w14:paraId="72D8EB70">
            <w:pPr>
              <w:jc w:val="center"/>
              <w:rPr>
                <w:color w:val="000000" w:themeColor="text1"/>
                <w14:textFill>
                  <w14:solidFill>
                    <w14:schemeClr w14:val="tx1"/>
                  </w14:solidFill>
                </w14:textFill>
              </w:rPr>
            </w:pPr>
            <w:r>
              <w:rPr>
                <w:color w:val="000000" w:themeColor="text1"/>
                <w14:textFill>
                  <w14:solidFill>
                    <w14:schemeClr w14:val="tx1"/>
                  </w14:solidFill>
                </w14:textFill>
              </w:rPr>
              <w:t>0.000631</w:t>
            </w:r>
          </w:p>
        </w:tc>
        <w:tc>
          <w:tcPr>
            <w:tcW w:w="915" w:type="pct"/>
            <w:shd w:val="clear" w:color="auto" w:fill="auto"/>
            <w:noWrap/>
            <w:vAlign w:val="center"/>
          </w:tcPr>
          <w:p w14:paraId="3A950C5D">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493D2220">
            <w:pPr>
              <w:jc w:val="center"/>
              <w:rPr>
                <w:color w:val="000000" w:themeColor="text1"/>
                <w14:textFill>
                  <w14:solidFill>
                    <w14:schemeClr w14:val="tx1"/>
                  </w14:solidFill>
                </w14:textFill>
              </w:rPr>
            </w:pPr>
            <w:r>
              <w:rPr>
                <w:color w:val="000000" w:themeColor="text1"/>
                <w14:textFill>
                  <w14:solidFill>
                    <w14:schemeClr w14:val="tx1"/>
                  </w14:solidFill>
                </w14:textFill>
              </w:rPr>
              <w:t>0.004419</w:t>
            </w:r>
          </w:p>
        </w:tc>
        <w:tc>
          <w:tcPr>
            <w:tcW w:w="872" w:type="pct"/>
            <w:shd w:val="clear" w:color="auto" w:fill="auto"/>
            <w:noWrap/>
            <w:vAlign w:val="center"/>
          </w:tcPr>
          <w:p w14:paraId="33ABCD41">
            <w:pPr>
              <w:jc w:val="center"/>
              <w:rPr>
                <w:color w:val="000000" w:themeColor="text1"/>
                <w14:textFill>
                  <w14:solidFill>
                    <w14:schemeClr w14:val="tx1"/>
                  </w14:solidFill>
                </w14:textFill>
              </w:rPr>
            </w:pPr>
            <w:r>
              <w:rPr>
                <w:color w:val="000000" w:themeColor="text1"/>
                <w14:textFill>
                  <w14:solidFill>
                    <w14:schemeClr w14:val="tx1"/>
                  </w14:solidFill>
                </w14:textFill>
              </w:rPr>
              <w:t>0.22</w:t>
            </w:r>
          </w:p>
        </w:tc>
      </w:tr>
      <w:tr w14:paraId="4709696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543544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w:t>
            </w:r>
          </w:p>
        </w:tc>
        <w:tc>
          <w:tcPr>
            <w:tcW w:w="1331" w:type="pct"/>
            <w:shd w:val="clear" w:color="auto" w:fill="auto"/>
            <w:noWrap/>
            <w:vAlign w:val="center"/>
          </w:tcPr>
          <w:p w14:paraId="7E40C74B">
            <w:pPr>
              <w:jc w:val="center"/>
              <w:rPr>
                <w:color w:val="000000" w:themeColor="text1"/>
                <w14:textFill>
                  <w14:solidFill>
                    <w14:schemeClr w14:val="tx1"/>
                  </w14:solidFill>
                </w14:textFill>
              </w:rPr>
            </w:pPr>
            <w:r>
              <w:rPr>
                <w:color w:val="000000" w:themeColor="text1"/>
                <w14:textFill>
                  <w14:solidFill>
                    <w14:schemeClr w14:val="tx1"/>
                  </w14:solidFill>
                </w14:textFill>
              </w:rPr>
              <w:t>0.000624</w:t>
            </w:r>
          </w:p>
        </w:tc>
        <w:tc>
          <w:tcPr>
            <w:tcW w:w="915" w:type="pct"/>
            <w:shd w:val="clear" w:color="auto" w:fill="auto"/>
            <w:noWrap/>
            <w:vAlign w:val="center"/>
          </w:tcPr>
          <w:p w14:paraId="3BBD91C8">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24F461EB">
            <w:pPr>
              <w:jc w:val="center"/>
              <w:rPr>
                <w:color w:val="000000" w:themeColor="text1"/>
                <w14:textFill>
                  <w14:solidFill>
                    <w14:schemeClr w14:val="tx1"/>
                  </w14:solidFill>
                </w14:textFill>
              </w:rPr>
            </w:pPr>
            <w:r>
              <w:rPr>
                <w:color w:val="000000" w:themeColor="text1"/>
                <w14:textFill>
                  <w14:solidFill>
                    <w14:schemeClr w14:val="tx1"/>
                  </w14:solidFill>
                </w14:textFill>
              </w:rPr>
              <w:t>0.004368</w:t>
            </w:r>
          </w:p>
        </w:tc>
        <w:tc>
          <w:tcPr>
            <w:tcW w:w="872" w:type="pct"/>
            <w:shd w:val="clear" w:color="auto" w:fill="auto"/>
            <w:noWrap/>
            <w:vAlign w:val="center"/>
          </w:tcPr>
          <w:p w14:paraId="57B2AA77">
            <w:pPr>
              <w:jc w:val="center"/>
              <w:rPr>
                <w:color w:val="000000" w:themeColor="text1"/>
                <w14:textFill>
                  <w14:solidFill>
                    <w14:schemeClr w14:val="tx1"/>
                  </w14:solidFill>
                </w14:textFill>
              </w:rPr>
            </w:pPr>
            <w:r>
              <w:rPr>
                <w:color w:val="000000" w:themeColor="text1"/>
                <w14:textFill>
                  <w14:solidFill>
                    <w14:schemeClr w14:val="tx1"/>
                  </w14:solidFill>
                </w14:textFill>
              </w:rPr>
              <w:t>0.22</w:t>
            </w:r>
          </w:p>
        </w:tc>
      </w:tr>
      <w:tr w14:paraId="155BC66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FDA2EE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1225</w:t>
            </w:r>
          </w:p>
        </w:tc>
        <w:tc>
          <w:tcPr>
            <w:tcW w:w="1331" w:type="pct"/>
            <w:shd w:val="clear" w:color="auto" w:fill="auto"/>
            <w:noWrap/>
            <w:vAlign w:val="center"/>
          </w:tcPr>
          <w:p w14:paraId="2BA6FC5C">
            <w:pPr>
              <w:jc w:val="center"/>
              <w:rPr>
                <w:color w:val="000000" w:themeColor="text1"/>
                <w14:textFill>
                  <w14:solidFill>
                    <w14:schemeClr w14:val="tx1"/>
                  </w14:solidFill>
                </w14:textFill>
              </w:rPr>
            </w:pPr>
            <w:r>
              <w:rPr>
                <w:color w:val="000000" w:themeColor="text1"/>
                <w14:textFill>
                  <w14:solidFill>
                    <w14:schemeClr w14:val="tx1"/>
                  </w14:solidFill>
                </w14:textFill>
              </w:rPr>
              <w:t>0.000617</w:t>
            </w:r>
          </w:p>
        </w:tc>
        <w:tc>
          <w:tcPr>
            <w:tcW w:w="915" w:type="pct"/>
            <w:shd w:val="clear" w:color="auto" w:fill="auto"/>
            <w:noWrap/>
            <w:vAlign w:val="center"/>
          </w:tcPr>
          <w:p w14:paraId="22ADC895">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3F13F205">
            <w:pPr>
              <w:jc w:val="center"/>
              <w:rPr>
                <w:color w:val="000000" w:themeColor="text1"/>
                <w14:textFill>
                  <w14:solidFill>
                    <w14:schemeClr w14:val="tx1"/>
                  </w14:solidFill>
                </w14:textFill>
              </w:rPr>
            </w:pPr>
            <w:r>
              <w:rPr>
                <w:color w:val="000000" w:themeColor="text1"/>
                <w14:textFill>
                  <w14:solidFill>
                    <w14:schemeClr w14:val="tx1"/>
                  </w14:solidFill>
                </w14:textFill>
              </w:rPr>
              <w:t>0.004318</w:t>
            </w:r>
          </w:p>
        </w:tc>
        <w:tc>
          <w:tcPr>
            <w:tcW w:w="872" w:type="pct"/>
            <w:shd w:val="clear" w:color="auto" w:fill="auto"/>
            <w:noWrap/>
            <w:vAlign w:val="center"/>
          </w:tcPr>
          <w:p w14:paraId="7DD85549">
            <w:pPr>
              <w:jc w:val="center"/>
              <w:rPr>
                <w:color w:val="000000" w:themeColor="text1"/>
                <w14:textFill>
                  <w14:solidFill>
                    <w14:schemeClr w14:val="tx1"/>
                  </w14:solidFill>
                </w14:textFill>
              </w:rPr>
            </w:pPr>
            <w:r>
              <w:rPr>
                <w:color w:val="000000" w:themeColor="text1"/>
                <w14:textFill>
                  <w14:solidFill>
                    <w14:schemeClr w14:val="tx1"/>
                  </w14:solidFill>
                </w14:textFill>
              </w:rPr>
              <w:t>0.22</w:t>
            </w:r>
          </w:p>
        </w:tc>
      </w:tr>
      <w:tr w14:paraId="53F0FA2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2B420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1250</w:t>
            </w:r>
          </w:p>
        </w:tc>
        <w:tc>
          <w:tcPr>
            <w:tcW w:w="1331" w:type="pct"/>
            <w:shd w:val="clear" w:color="auto" w:fill="auto"/>
            <w:noWrap/>
            <w:vAlign w:val="center"/>
          </w:tcPr>
          <w:p w14:paraId="3BF1AE95">
            <w:pPr>
              <w:jc w:val="center"/>
              <w:rPr>
                <w:color w:val="000000" w:themeColor="text1"/>
                <w14:textFill>
                  <w14:solidFill>
                    <w14:schemeClr w14:val="tx1"/>
                  </w14:solidFill>
                </w14:textFill>
              </w:rPr>
            </w:pPr>
            <w:r>
              <w:rPr>
                <w:color w:val="000000" w:themeColor="text1"/>
                <w14:textFill>
                  <w14:solidFill>
                    <w14:schemeClr w14:val="tx1"/>
                  </w14:solidFill>
                </w14:textFill>
              </w:rPr>
              <w:t>0.00061</w:t>
            </w:r>
          </w:p>
        </w:tc>
        <w:tc>
          <w:tcPr>
            <w:tcW w:w="915" w:type="pct"/>
            <w:shd w:val="clear" w:color="auto" w:fill="auto"/>
            <w:noWrap/>
            <w:vAlign w:val="center"/>
          </w:tcPr>
          <w:p w14:paraId="7D135D79">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2E18530E">
            <w:pPr>
              <w:jc w:val="center"/>
              <w:rPr>
                <w:color w:val="000000" w:themeColor="text1"/>
                <w14:textFill>
                  <w14:solidFill>
                    <w14:schemeClr w14:val="tx1"/>
                  </w14:solidFill>
                </w14:textFill>
              </w:rPr>
            </w:pPr>
            <w:r>
              <w:rPr>
                <w:color w:val="000000" w:themeColor="text1"/>
                <w14:textFill>
                  <w14:solidFill>
                    <w14:schemeClr w14:val="tx1"/>
                  </w14:solidFill>
                </w14:textFill>
              </w:rPr>
              <w:t>0.004268</w:t>
            </w:r>
          </w:p>
        </w:tc>
        <w:tc>
          <w:tcPr>
            <w:tcW w:w="872" w:type="pct"/>
            <w:shd w:val="clear" w:color="auto" w:fill="auto"/>
            <w:noWrap/>
            <w:vAlign w:val="center"/>
          </w:tcPr>
          <w:p w14:paraId="45914F89">
            <w:pPr>
              <w:jc w:val="center"/>
              <w:rPr>
                <w:color w:val="000000" w:themeColor="text1"/>
                <w14:textFill>
                  <w14:solidFill>
                    <w14:schemeClr w14:val="tx1"/>
                  </w14:solidFill>
                </w14:textFill>
              </w:rPr>
            </w:pPr>
            <w:r>
              <w:rPr>
                <w:color w:val="000000" w:themeColor="text1"/>
                <w14:textFill>
                  <w14:solidFill>
                    <w14:schemeClr w14:val="tx1"/>
                  </w14:solidFill>
                </w14:textFill>
              </w:rPr>
              <w:t>0.21</w:t>
            </w:r>
          </w:p>
        </w:tc>
      </w:tr>
      <w:tr w14:paraId="47517DA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595563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1275</w:t>
            </w:r>
          </w:p>
        </w:tc>
        <w:tc>
          <w:tcPr>
            <w:tcW w:w="1331" w:type="pct"/>
            <w:shd w:val="clear" w:color="auto" w:fill="auto"/>
            <w:noWrap/>
            <w:vAlign w:val="center"/>
          </w:tcPr>
          <w:p w14:paraId="0934DBAF">
            <w:pPr>
              <w:jc w:val="center"/>
              <w:rPr>
                <w:color w:val="000000" w:themeColor="text1"/>
                <w14:textFill>
                  <w14:solidFill>
                    <w14:schemeClr w14:val="tx1"/>
                  </w14:solidFill>
                </w14:textFill>
              </w:rPr>
            </w:pPr>
            <w:r>
              <w:rPr>
                <w:color w:val="000000" w:themeColor="text1"/>
                <w14:textFill>
                  <w14:solidFill>
                    <w14:schemeClr w14:val="tx1"/>
                  </w14:solidFill>
                </w14:textFill>
              </w:rPr>
              <w:t>0.000603</w:t>
            </w:r>
          </w:p>
        </w:tc>
        <w:tc>
          <w:tcPr>
            <w:tcW w:w="915" w:type="pct"/>
            <w:shd w:val="clear" w:color="auto" w:fill="auto"/>
            <w:noWrap/>
            <w:vAlign w:val="center"/>
          </w:tcPr>
          <w:p w14:paraId="196DDCE4">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15655D58">
            <w:pPr>
              <w:jc w:val="center"/>
              <w:rPr>
                <w:color w:val="000000" w:themeColor="text1"/>
                <w14:textFill>
                  <w14:solidFill>
                    <w14:schemeClr w14:val="tx1"/>
                  </w14:solidFill>
                </w14:textFill>
              </w:rPr>
            </w:pPr>
            <w:r>
              <w:rPr>
                <w:color w:val="000000" w:themeColor="text1"/>
                <w14:textFill>
                  <w14:solidFill>
                    <w14:schemeClr w14:val="tx1"/>
                  </w14:solidFill>
                </w14:textFill>
              </w:rPr>
              <w:t>0.004224</w:t>
            </w:r>
          </w:p>
        </w:tc>
        <w:tc>
          <w:tcPr>
            <w:tcW w:w="872" w:type="pct"/>
            <w:shd w:val="clear" w:color="auto" w:fill="auto"/>
            <w:noWrap/>
            <w:vAlign w:val="center"/>
          </w:tcPr>
          <w:p w14:paraId="5C74D14A">
            <w:pPr>
              <w:jc w:val="center"/>
              <w:rPr>
                <w:color w:val="000000" w:themeColor="text1"/>
                <w14:textFill>
                  <w14:solidFill>
                    <w14:schemeClr w14:val="tx1"/>
                  </w14:solidFill>
                </w14:textFill>
              </w:rPr>
            </w:pPr>
            <w:r>
              <w:rPr>
                <w:color w:val="000000" w:themeColor="text1"/>
                <w14:textFill>
                  <w14:solidFill>
                    <w14:schemeClr w14:val="tx1"/>
                  </w14:solidFill>
                </w14:textFill>
              </w:rPr>
              <w:t>0.21</w:t>
            </w:r>
          </w:p>
        </w:tc>
      </w:tr>
      <w:tr w14:paraId="78216A6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86B27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1300</w:t>
            </w:r>
          </w:p>
        </w:tc>
        <w:tc>
          <w:tcPr>
            <w:tcW w:w="1331" w:type="pct"/>
            <w:shd w:val="clear" w:color="auto" w:fill="auto"/>
            <w:noWrap/>
            <w:vAlign w:val="center"/>
          </w:tcPr>
          <w:p w14:paraId="7130BBBF">
            <w:pPr>
              <w:jc w:val="center"/>
              <w:rPr>
                <w:color w:val="000000" w:themeColor="text1"/>
                <w14:textFill>
                  <w14:solidFill>
                    <w14:schemeClr w14:val="tx1"/>
                  </w14:solidFill>
                </w14:textFill>
              </w:rPr>
            </w:pPr>
            <w:r>
              <w:rPr>
                <w:color w:val="000000" w:themeColor="text1"/>
                <w14:textFill>
                  <w14:solidFill>
                    <w14:schemeClr w14:val="tx1"/>
                  </w14:solidFill>
                </w14:textFill>
              </w:rPr>
              <w:t>0.000598</w:t>
            </w:r>
          </w:p>
        </w:tc>
        <w:tc>
          <w:tcPr>
            <w:tcW w:w="915" w:type="pct"/>
            <w:shd w:val="clear" w:color="auto" w:fill="auto"/>
            <w:noWrap/>
            <w:vAlign w:val="center"/>
          </w:tcPr>
          <w:p w14:paraId="0C0CCF8C">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7D1EFFA5">
            <w:pPr>
              <w:jc w:val="center"/>
              <w:rPr>
                <w:color w:val="000000" w:themeColor="text1"/>
                <w14:textFill>
                  <w14:solidFill>
                    <w14:schemeClr w14:val="tx1"/>
                  </w14:solidFill>
                </w14:textFill>
              </w:rPr>
            </w:pPr>
            <w:r>
              <w:rPr>
                <w:color w:val="000000" w:themeColor="text1"/>
                <w14:textFill>
                  <w14:solidFill>
                    <w14:schemeClr w14:val="tx1"/>
                  </w14:solidFill>
                </w14:textFill>
              </w:rPr>
              <w:t>0.004188</w:t>
            </w:r>
          </w:p>
        </w:tc>
        <w:tc>
          <w:tcPr>
            <w:tcW w:w="872" w:type="pct"/>
            <w:shd w:val="clear" w:color="auto" w:fill="auto"/>
            <w:noWrap/>
            <w:vAlign w:val="center"/>
          </w:tcPr>
          <w:p w14:paraId="0DD898AA">
            <w:pPr>
              <w:jc w:val="center"/>
              <w:rPr>
                <w:color w:val="000000" w:themeColor="text1"/>
                <w14:textFill>
                  <w14:solidFill>
                    <w14:schemeClr w14:val="tx1"/>
                  </w14:solidFill>
                </w14:textFill>
              </w:rPr>
            </w:pPr>
            <w:r>
              <w:rPr>
                <w:color w:val="000000" w:themeColor="text1"/>
                <w14:textFill>
                  <w14:solidFill>
                    <w14:schemeClr w14:val="tx1"/>
                  </w14:solidFill>
                </w14:textFill>
              </w:rPr>
              <w:t>0.21</w:t>
            </w:r>
          </w:p>
        </w:tc>
      </w:tr>
      <w:tr w14:paraId="0359D90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15167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1325</w:t>
            </w:r>
          </w:p>
        </w:tc>
        <w:tc>
          <w:tcPr>
            <w:tcW w:w="1331" w:type="pct"/>
            <w:shd w:val="clear" w:color="auto" w:fill="auto"/>
            <w:noWrap/>
            <w:vAlign w:val="center"/>
          </w:tcPr>
          <w:p w14:paraId="75A6C701">
            <w:pPr>
              <w:jc w:val="center"/>
              <w:rPr>
                <w:color w:val="000000" w:themeColor="text1"/>
                <w14:textFill>
                  <w14:solidFill>
                    <w14:schemeClr w14:val="tx1"/>
                  </w14:solidFill>
                </w14:textFill>
              </w:rPr>
            </w:pPr>
            <w:r>
              <w:rPr>
                <w:color w:val="000000" w:themeColor="text1"/>
                <w14:textFill>
                  <w14:solidFill>
                    <w14:schemeClr w14:val="tx1"/>
                  </w14:solidFill>
                </w14:textFill>
              </w:rPr>
              <w:t>0.000593</w:t>
            </w:r>
          </w:p>
        </w:tc>
        <w:tc>
          <w:tcPr>
            <w:tcW w:w="915" w:type="pct"/>
            <w:shd w:val="clear" w:color="auto" w:fill="auto"/>
            <w:noWrap/>
            <w:vAlign w:val="center"/>
          </w:tcPr>
          <w:p w14:paraId="67FC0B0A">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0323B893">
            <w:pPr>
              <w:jc w:val="center"/>
              <w:rPr>
                <w:color w:val="000000" w:themeColor="text1"/>
                <w14:textFill>
                  <w14:solidFill>
                    <w14:schemeClr w14:val="tx1"/>
                  </w14:solidFill>
                </w14:textFill>
              </w:rPr>
            </w:pPr>
            <w:r>
              <w:rPr>
                <w:color w:val="000000" w:themeColor="text1"/>
                <w14:textFill>
                  <w14:solidFill>
                    <w14:schemeClr w14:val="tx1"/>
                  </w14:solidFill>
                </w14:textFill>
              </w:rPr>
              <w:t>0.004152</w:t>
            </w:r>
          </w:p>
        </w:tc>
        <w:tc>
          <w:tcPr>
            <w:tcW w:w="872" w:type="pct"/>
            <w:shd w:val="clear" w:color="auto" w:fill="auto"/>
            <w:noWrap/>
            <w:vAlign w:val="center"/>
          </w:tcPr>
          <w:p w14:paraId="51EBBD74">
            <w:pPr>
              <w:jc w:val="center"/>
              <w:rPr>
                <w:color w:val="000000" w:themeColor="text1"/>
                <w14:textFill>
                  <w14:solidFill>
                    <w14:schemeClr w14:val="tx1"/>
                  </w14:solidFill>
                </w14:textFill>
              </w:rPr>
            </w:pPr>
            <w:r>
              <w:rPr>
                <w:color w:val="000000" w:themeColor="text1"/>
                <w14:textFill>
                  <w14:solidFill>
                    <w14:schemeClr w14:val="tx1"/>
                  </w14:solidFill>
                </w14:textFill>
              </w:rPr>
              <w:t>0.21</w:t>
            </w:r>
          </w:p>
        </w:tc>
      </w:tr>
      <w:tr w14:paraId="5C7A314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4E172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1350</w:t>
            </w:r>
          </w:p>
        </w:tc>
        <w:tc>
          <w:tcPr>
            <w:tcW w:w="1331" w:type="pct"/>
            <w:shd w:val="clear" w:color="auto" w:fill="auto"/>
            <w:noWrap/>
            <w:vAlign w:val="center"/>
          </w:tcPr>
          <w:p w14:paraId="5EF450C6">
            <w:pPr>
              <w:jc w:val="center"/>
              <w:rPr>
                <w:color w:val="000000" w:themeColor="text1"/>
                <w14:textFill>
                  <w14:solidFill>
                    <w14:schemeClr w14:val="tx1"/>
                  </w14:solidFill>
                </w14:textFill>
              </w:rPr>
            </w:pPr>
            <w:r>
              <w:rPr>
                <w:color w:val="000000" w:themeColor="text1"/>
                <w14:textFill>
                  <w14:solidFill>
                    <w14:schemeClr w14:val="tx1"/>
                  </w14:solidFill>
                </w14:textFill>
              </w:rPr>
              <w:t>0.000588</w:t>
            </w:r>
          </w:p>
        </w:tc>
        <w:tc>
          <w:tcPr>
            <w:tcW w:w="915" w:type="pct"/>
            <w:shd w:val="clear" w:color="auto" w:fill="auto"/>
            <w:noWrap/>
            <w:vAlign w:val="center"/>
          </w:tcPr>
          <w:p w14:paraId="20B8392C">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071" w:type="pct"/>
            <w:shd w:val="clear" w:color="auto" w:fill="auto"/>
            <w:noWrap/>
            <w:vAlign w:val="center"/>
          </w:tcPr>
          <w:p w14:paraId="2C96DACC">
            <w:pPr>
              <w:jc w:val="center"/>
              <w:rPr>
                <w:color w:val="000000" w:themeColor="text1"/>
                <w14:textFill>
                  <w14:solidFill>
                    <w14:schemeClr w14:val="tx1"/>
                  </w14:solidFill>
                </w14:textFill>
              </w:rPr>
            </w:pPr>
            <w:r>
              <w:rPr>
                <w:color w:val="000000" w:themeColor="text1"/>
                <w14:textFill>
                  <w14:solidFill>
                    <w14:schemeClr w14:val="tx1"/>
                  </w14:solidFill>
                </w14:textFill>
              </w:rPr>
              <w:t>0.004115</w:t>
            </w:r>
          </w:p>
        </w:tc>
        <w:tc>
          <w:tcPr>
            <w:tcW w:w="872" w:type="pct"/>
            <w:shd w:val="clear" w:color="auto" w:fill="auto"/>
            <w:noWrap/>
            <w:vAlign w:val="center"/>
          </w:tcPr>
          <w:p w14:paraId="1821D258">
            <w:pPr>
              <w:jc w:val="center"/>
              <w:rPr>
                <w:color w:val="000000" w:themeColor="text1"/>
                <w14:textFill>
                  <w14:solidFill>
                    <w14:schemeClr w14:val="tx1"/>
                  </w14:solidFill>
                </w14:textFill>
              </w:rPr>
            </w:pPr>
            <w:r>
              <w:rPr>
                <w:color w:val="000000" w:themeColor="text1"/>
                <w14:textFill>
                  <w14:solidFill>
                    <w14:schemeClr w14:val="tx1"/>
                  </w14:solidFill>
                </w14:textFill>
              </w:rPr>
              <w:t>0.21</w:t>
            </w:r>
          </w:p>
        </w:tc>
      </w:tr>
      <w:tr w14:paraId="3A9BA42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C2722B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1375</w:t>
            </w:r>
          </w:p>
        </w:tc>
        <w:tc>
          <w:tcPr>
            <w:tcW w:w="1331" w:type="pct"/>
            <w:shd w:val="clear" w:color="auto" w:fill="auto"/>
            <w:noWrap/>
            <w:vAlign w:val="center"/>
          </w:tcPr>
          <w:p w14:paraId="3F568571">
            <w:pPr>
              <w:jc w:val="center"/>
              <w:rPr>
                <w:color w:val="000000" w:themeColor="text1"/>
                <w14:textFill>
                  <w14:solidFill>
                    <w14:schemeClr w14:val="tx1"/>
                  </w14:solidFill>
                </w14:textFill>
              </w:rPr>
            </w:pPr>
            <w:r>
              <w:rPr>
                <w:color w:val="000000" w:themeColor="text1"/>
                <w14:textFill>
                  <w14:solidFill>
                    <w14:schemeClr w14:val="tx1"/>
                  </w14:solidFill>
                </w14:textFill>
              </w:rPr>
              <w:t>0.000583</w:t>
            </w:r>
          </w:p>
        </w:tc>
        <w:tc>
          <w:tcPr>
            <w:tcW w:w="915" w:type="pct"/>
            <w:shd w:val="clear" w:color="auto" w:fill="auto"/>
            <w:noWrap/>
            <w:vAlign w:val="center"/>
          </w:tcPr>
          <w:p w14:paraId="2F1C0A19">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607FF1E3">
            <w:pPr>
              <w:jc w:val="center"/>
              <w:rPr>
                <w:color w:val="000000" w:themeColor="text1"/>
                <w14:textFill>
                  <w14:solidFill>
                    <w14:schemeClr w14:val="tx1"/>
                  </w14:solidFill>
                </w14:textFill>
              </w:rPr>
            </w:pPr>
            <w:r>
              <w:rPr>
                <w:color w:val="000000" w:themeColor="text1"/>
                <w14:textFill>
                  <w14:solidFill>
                    <w14:schemeClr w14:val="tx1"/>
                  </w14:solidFill>
                </w14:textFill>
              </w:rPr>
              <w:t>0.004078</w:t>
            </w:r>
          </w:p>
        </w:tc>
        <w:tc>
          <w:tcPr>
            <w:tcW w:w="872" w:type="pct"/>
            <w:shd w:val="clear" w:color="auto" w:fill="auto"/>
            <w:noWrap/>
            <w:vAlign w:val="center"/>
          </w:tcPr>
          <w:p w14:paraId="5B4AF53F">
            <w:pPr>
              <w:jc w:val="center"/>
              <w:rPr>
                <w:color w:val="000000" w:themeColor="text1"/>
                <w14:textFill>
                  <w14:solidFill>
                    <w14:schemeClr w14:val="tx1"/>
                  </w14:solidFill>
                </w14:textFill>
              </w:rPr>
            </w:pPr>
            <w:r>
              <w:rPr>
                <w:color w:val="000000" w:themeColor="text1"/>
                <w14:textFill>
                  <w14:solidFill>
                    <w14:schemeClr w14:val="tx1"/>
                  </w14:solidFill>
                </w14:textFill>
              </w:rPr>
              <w:t>0.20</w:t>
            </w:r>
          </w:p>
        </w:tc>
      </w:tr>
      <w:tr w14:paraId="6214018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52D3E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1400</w:t>
            </w:r>
          </w:p>
        </w:tc>
        <w:tc>
          <w:tcPr>
            <w:tcW w:w="1331" w:type="pct"/>
            <w:shd w:val="clear" w:color="auto" w:fill="auto"/>
            <w:noWrap/>
            <w:vAlign w:val="center"/>
          </w:tcPr>
          <w:p w14:paraId="6641145F">
            <w:pPr>
              <w:jc w:val="center"/>
              <w:rPr>
                <w:color w:val="000000" w:themeColor="text1"/>
                <w14:textFill>
                  <w14:solidFill>
                    <w14:schemeClr w14:val="tx1"/>
                  </w14:solidFill>
                </w14:textFill>
              </w:rPr>
            </w:pPr>
            <w:r>
              <w:rPr>
                <w:color w:val="000000" w:themeColor="text1"/>
                <w14:textFill>
                  <w14:solidFill>
                    <w14:schemeClr w14:val="tx1"/>
                  </w14:solidFill>
                </w14:textFill>
              </w:rPr>
              <w:t>0.000577</w:t>
            </w:r>
          </w:p>
        </w:tc>
        <w:tc>
          <w:tcPr>
            <w:tcW w:w="915" w:type="pct"/>
            <w:shd w:val="clear" w:color="auto" w:fill="auto"/>
            <w:noWrap/>
            <w:vAlign w:val="center"/>
          </w:tcPr>
          <w:p w14:paraId="561C80E5">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6E65E11D">
            <w:pPr>
              <w:jc w:val="center"/>
              <w:rPr>
                <w:color w:val="000000" w:themeColor="text1"/>
                <w14:textFill>
                  <w14:solidFill>
                    <w14:schemeClr w14:val="tx1"/>
                  </w14:solidFill>
                </w14:textFill>
              </w:rPr>
            </w:pPr>
            <w:r>
              <w:rPr>
                <w:color w:val="000000" w:themeColor="text1"/>
                <w14:textFill>
                  <w14:solidFill>
                    <w14:schemeClr w14:val="tx1"/>
                  </w14:solidFill>
                </w14:textFill>
              </w:rPr>
              <w:t>0.004042</w:t>
            </w:r>
          </w:p>
        </w:tc>
        <w:tc>
          <w:tcPr>
            <w:tcW w:w="872" w:type="pct"/>
            <w:shd w:val="clear" w:color="auto" w:fill="auto"/>
            <w:noWrap/>
            <w:vAlign w:val="center"/>
          </w:tcPr>
          <w:p w14:paraId="03292331">
            <w:pPr>
              <w:jc w:val="center"/>
              <w:rPr>
                <w:color w:val="000000" w:themeColor="text1"/>
                <w14:textFill>
                  <w14:solidFill>
                    <w14:schemeClr w14:val="tx1"/>
                  </w14:solidFill>
                </w14:textFill>
              </w:rPr>
            </w:pPr>
            <w:r>
              <w:rPr>
                <w:color w:val="000000" w:themeColor="text1"/>
                <w14:textFill>
                  <w14:solidFill>
                    <w14:schemeClr w14:val="tx1"/>
                  </w14:solidFill>
                </w14:textFill>
              </w:rPr>
              <w:t>0.20</w:t>
            </w:r>
          </w:p>
        </w:tc>
      </w:tr>
      <w:tr w14:paraId="3ABF759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97381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1425</w:t>
            </w:r>
          </w:p>
        </w:tc>
        <w:tc>
          <w:tcPr>
            <w:tcW w:w="1331" w:type="pct"/>
            <w:shd w:val="clear" w:color="auto" w:fill="auto"/>
            <w:noWrap/>
            <w:vAlign w:val="center"/>
          </w:tcPr>
          <w:p w14:paraId="228B0E7E">
            <w:pPr>
              <w:jc w:val="center"/>
              <w:rPr>
                <w:color w:val="000000" w:themeColor="text1"/>
                <w14:textFill>
                  <w14:solidFill>
                    <w14:schemeClr w14:val="tx1"/>
                  </w14:solidFill>
                </w14:textFill>
              </w:rPr>
            </w:pPr>
            <w:r>
              <w:rPr>
                <w:color w:val="000000" w:themeColor="text1"/>
                <w14:textFill>
                  <w14:solidFill>
                    <w14:schemeClr w14:val="tx1"/>
                  </w14:solidFill>
                </w14:textFill>
              </w:rPr>
              <w:t>0.000572</w:t>
            </w:r>
          </w:p>
        </w:tc>
        <w:tc>
          <w:tcPr>
            <w:tcW w:w="915" w:type="pct"/>
            <w:shd w:val="clear" w:color="auto" w:fill="auto"/>
            <w:noWrap/>
            <w:vAlign w:val="center"/>
          </w:tcPr>
          <w:p w14:paraId="678AC17C">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39302E6E">
            <w:pPr>
              <w:jc w:val="center"/>
              <w:rPr>
                <w:color w:val="000000" w:themeColor="text1"/>
                <w14:textFill>
                  <w14:solidFill>
                    <w14:schemeClr w14:val="tx1"/>
                  </w14:solidFill>
                </w14:textFill>
              </w:rPr>
            </w:pPr>
            <w:r>
              <w:rPr>
                <w:color w:val="000000" w:themeColor="text1"/>
                <w14:textFill>
                  <w14:solidFill>
                    <w14:schemeClr w14:val="tx1"/>
                  </w14:solidFill>
                </w14:textFill>
              </w:rPr>
              <w:t>0.004005</w:t>
            </w:r>
          </w:p>
        </w:tc>
        <w:tc>
          <w:tcPr>
            <w:tcW w:w="872" w:type="pct"/>
            <w:shd w:val="clear" w:color="auto" w:fill="auto"/>
            <w:noWrap/>
            <w:vAlign w:val="center"/>
          </w:tcPr>
          <w:p w14:paraId="613158A6">
            <w:pPr>
              <w:jc w:val="center"/>
              <w:rPr>
                <w:color w:val="000000" w:themeColor="text1"/>
                <w14:textFill>
                  <w14:solidFill>
                    <w14:schemeClr w14:val="tx1"/>
                  </w14:solidFill>
                </w14:textFill>
              </w:rPr>
            </w:pPr>
            <w:r>
              <w:rPr>
                <w:color w:val="000000" w:themeColor="text1"/>
                <w14:textFill>
                  <w14:solidFill>
                    <w14:schemeClr w14:val="tx1"/>
                  </w14:solidFill>
                </w14:textFill>
              </w:rPr>
              <w:t>0.20</w:t>
            </w:r>
          </w:p>
        </w:tc>
      </w:tr>
      <w:tr w14:paraId="0AD502E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68F0A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1450</w:t>
            </w:r>
          </w:p>
        </w:tc>
        <w:tc>
          <w:tcPr>
            <w:tcW w:w="1331" w:type="pct"/>
            <w:shd w:val="clear" w:color="auto" w:fill="auto"/>
            <w:noWrap/>
            <w:vAlign w:val="center"/>
          </w:tcPr>
          <w:p w14:paraId="46EC6607">
            <w:pPr>
              <w:jc w:val="center"/>
              <w:rPr>
                <w:color w:val="000000" w:themeColor="text1"/>
                <w14:textFill>
                  <w14:solidFill>
                    <w14:schemeClr w14:val="tx1"/>
                  </w14:solidFill>
                </w14:textFill>
              </w:rPr>
            </w:pPr>
            <w:r>
              <w:rPr>
                <w:color w:val="000000" w:themeColor="text1"/>
                <w14:textFill>
                  <w14:solidFill>
                    <w14:schemeClr w14:val="tx1"/>
                  </w14:solidFill>
                </w14:textFill>
              </w:rPr>
              <w:t>0.000567</w:t>
            </w:r>
          </w:p>
        </w:tc>
        <w:tc>
          <w:tcPr>
            <w:tcW w:w="915" w:type="pct"/>
            <w:shd w:val="clear" w:color="auto" w:fill="auto"/>
            <w:noWrap/>
            <w:vAlign w:val="center"/>
          </w:tcPr>
          <w:p w14:paraId="13E408CE">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798F2520">
            <w:pPr>
              <w:jc w:val="center"/>
              <w:rPr>
                <w:color w:val="000000" w:themeColor="text1"/>
                <w14:textFill>
                  <w14:solidFill>
                    <w14:schemeClr w14:val="tx1"/>
                  </w14:solidFill>
                </w14:textFill>
              </w:rPr>
            </w:pPr>
            <w:r>
              <w:rPr>
                <w:color w:val="000000" w:themeColor="text1"/>
                <w14:textFill>
                  <w14:solidFill>
                    <w14:schemeClr w14:val="tx1"/>
                  </w14:solidFill>
                </w14:textFill>
              </w:rPr>
              <w:t>0.003969</w:t>
            </w:r>
          </w:p>
        </w:tc>
        <w:tc>
          <w:tcPr>
            <w:tcW w:w="872" w:type="pct"/>
            <w:shd w:val="clear" w:color="auto" w:fill="auto"/>
            <w:noWrap/>
            <w:vAlign w:val="center"/>
          </w:tcPr>
          <w:p w14:paraId="5A8E6E68">
            <w:pPr>
              <w:jc w:val="center"/>
              <w:rPr>
                <w:color w:val="000000" w:themeColor="text1"/>
                <w14:textFill>
                  <w14:solidFill>
                    <w14:schemeClr w14:val="tx1"/>
                  </w14:solidFill>
                </w14:textFill>
              </w:rPr>
            </w:pPr>
            <w:r>
              <w:rPr>
                <w:color w:val="000000" w:themeColor="text1"/>
                <w14:textFill>
                  <w14:solidFill>
                    <w14:schemeClr w14:val="tx1"/>
                  </w14:solidFill>
                </w14:textFill>
              </w:rPr>
              <w:t>0.20</w:t>
            </w:r>
          </w:p>
        </w:tc>
      </w:tr>
      <w:tr w14:paraId="08F0B7A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92AD3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1475</w:t>
            </w:r>
          </w:p>
        </w:tc>
        <w:tc>
          <w:tcPr>
            <w:tcW w:w="1331" w:type="pct"/>
            <w:shd w:val="clear" w:color="auto" w:fill="auto"/>
            <w:noWrap/>
            <w:vAlign w:val="center"/>
          </w:tcPr>
          <w:p w14:paraId="563BFF9C">
            <w:pPr>
              <w:jc w:val="center"/>
              <w:rPr>
                <w:color w:val="000000" w:themeColor="text1"/>
                <w14:textFill>
                  <w14:solidFill>
                    <w14:schemeClr w14:val="tx1"/>
                  </w14:solidFill>
                </w14:textFill>
              </w:rPr>
            </w:pPr>
            <w:r>
              <w:rPr>
                <w:color w:val="000000" w:themeColor="text1"/>
                <w14:textFill>
                  <w14:solidFill>
                    <w14:schemeClr w14:val="tx1"/>
                  </w14:solidFill>
                </w14:textFill>
              </w:rPr>
              <w:t>0.000562</w:t>
            </w:r>
          </w:p>
        </w:tc>
        <w:tc>
          <w:tcPr>
            <w:tcW w:w="915" w:type="pct"/>
            <w:shd w:val="clear" w:color="auto" w:fill="auto"/>
            <w:noWrap/>
            <w:vAlign w:val="center"/>
          </w:tcPr>
          <w:p w14:paraId="5DFB9302">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262FD47C">
            <w:pPr>
              <w:jc w:val="center"/>
              <w:rPr>
                <w:color w:val="000000" w:themeColor="text1"/>
                <w14:textFill>
                  <w14:solidFill>
                    <w14:schemeClr w14:val="tx1"/>
                  </w14:solidFill>
                </w14:textFill>
              </w:rPr>
            </w:pPr>
            <w:r>
              <w:rPr>
                <w:color w:val="000000" w:themeColor="text1"/>
                <w14:textFill>
                  <w14:solidFill>
                    <w14:schemeClr w14:val="tx1"/>
                  </w14:solidFill>
                </w14:textFill>
              </w:rPr>
              <w:t>0.003933</w:t>
            </w:r>
          </w:p>
        </w:tc>
        <w:tc>
          <w:tcPr>
            <w:tcW w:w="872" w:type="pct"/>
            <w:shd w:val="clear" w:color="auto" w:fill="auto"/>
            <w:noWrap/>
            <w:vAlign w:val="center"/>
          </w:tcPr>
          <w:p w14:paraId="3D715AB4">
            <w:pPr>
              <w:jc w:val="center"/>
              <w:rPr>
                <w:color w:val="000000" w:themeColor="text1"/>
                <w14:textFill>
                  <w14:solidFill>
                    <w14:schemeClr w14:val="tx1"/>
                  </w14:solidFill>
                </w14:textFill>
              </w:rPr>
            </w:pPr>
            <w:r>
              <w:rPr>
                <w:color w:val="000000" w:themeColor="text1"/>
                <w14:textFill>
                  <w14:solidFill>
                    <w14:schemeClr w14:val="tx1"/>
                  </w14:solidFill>
                </w14:textFill>
              </w:rPr>
              <w:t>0.20</w:t>
            </w:r>
          </w:p>
        </w:tc>
      </w:tr>
      <w:tr w14:paraId="27E623C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1F4E2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1500</w:t>
            </w:r>
          </w:p>
        </w:tc>
        <w:tc>
          <w:tcPr>
            <w:tcW w:w="1331" w:type="pct"/>
            <w:shd w:val="clear" w:color="auto" w:fill="auto"/>
            <w:noWrap/>
            <w:vAlign w:val="center"/>
          </w:tcPr>
          <w:p w14:paraId="4063BFBD">
            <w:pPr>
              <w:jc w:val="center"/>
              <w:rPr>
                <w:color w:val="000000" w:themeColor="text1"/>
                <w14:textFill>
                  <w14:solidFill>
                    <w14:schemeClr w14:val="tx1"/>
                  </w14:solidFill>
                </w14:textFill>
              </w:rPr>
            </w:pPr>
            <w:r>
              <w:rPr>
                <w:color w:val="000000" w:themeColor="text1"/>
                <w14:textFill>
                  <w14:solidFill>
                    <w14:schemeClr w14:val="tx1"/>
                  </w14:solidFill>
                </w14:textFill>
              </w:rPr>
              <w:t>0.000557</w:t>
            </w:r>
          </w:p>
        </w:tc>
        <w:tc>
          <w:tcPr>
            <w:tcW w:w="915" w:type="pct"/>
            <w:shd w:val="clear" w:color="auto" w:fill="auto"/>
            <w:noWrap/>
            <w:vAlign w:val="center"/>
          </w:tcPr>
          <w:p w14:paraId="0399A86E">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1EEBC325">
            <w:pPr>
              <w:jc w:val="center"/>
              <w:rPr>
                <w:color w:val="000000" w:themeColor="text1"/>
                <w14:textFill>
                  <w14:solidFill>
                    <w14:schemeClr w14:val="tx1"/>
                  </w14:solidFill>
                </w14:textFill>
              </w:rPr>
            </w:pPr>
            <w:r>
              <w:rPr>
                <w:color w:val="000000" w:themeColor="text1"/>
                <w14:textFill>
                  <w14:solidFill>
                    <w14:schemeClr w14:val="tx1"/>
                  </w14:solidFill>
                </w14:textFill>
              </w:rPr>
              <w:t>0.003897</w:t>
            </w:r>
          </w:p>
        </w:tc>
        <w:tc>
          <w:tcPr>
            <w:tcW w:w="872" w:type="pct"/>
            <w:shd w:val="clear" w:color="auto" w:fill="auto"/>
            <w:noWrap/>
            <w:vAlign w:val="center"/>
          </w:tcPr>
          <w:p w14:paraId="67355380">
            <w:pPr>
              <w:jc w:val="center"/>
              <w:rPr>
                <w:color w:val="000000" w:themeColor="text1"/>
                <w14:textFill>
                  <w14:solidFill>
                    <w14:schemeClr w14:val="tx1"/>
                  </w14:solidFill>
                </w14:textFill>
              </w:rPr>
            </w:pPr>
            <w:r>
              <w:rPr>
                <w:color w:val="000000" w:themeColor="text1"/>
                <w14:textFill>
                  <w14:solidFill>
                    <w14:schemeClr w14:val="tx1"/>
                  </w14:solidFill>
                </w14:textFill>
              </w:rPr>
              <w:t>0.19</w:t>
            </w:r>
          </w:p>
        </w:tc>
      </w:tr>
      <w:tr w14:paraId="3E1E466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E0B9EA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1525</w:t>
            </w:r>
          </w:p>
        </w:tc>
        <w:tc>
          <w:tcPr>
            <w:tcW w:w="1331" w:type="pct"/>
            <w:shd w:val="clear" w:color="auto" w:fill="auto"/>
            <w:noWrap/>
            <w:vAlign w:val="center"/>
          </w:tcPr>
          <w:p w14:paraId="0CB05DC6">
            <w:pPr>
              <w:jc w:val="center"/>
              <w:rPr>
                <w:color w:val="000000" w:themeColor="text1"/>
                <w14:textFill>
                  <w14:solidFill>
                    <w14:schemeClr w14:val="tx1"/>
                  </w14:solidFill>
                </w14:textFill>
              </w:rPr>
            </w:pPr>
            <w:r>
              <w:rPr>
                <w:color w:val="000000" w:themeColor="text1"/>
                <w14:textFill>
                  <w14:solidFill>
                    <w14:schemeClr w14:val="tx1"/>
                  </w14:solidFill>
                </w14:textFill>
              </w:rPr>
              <w:t>0.000552</w:t>
            </w:r>
          </w:p>
        </w:tc>
        <w:tc>
          <w:tcPr>
            <w:tcW w:w="915" w:type="pct"/>
            <w:shd w:val="clear" w:color="auto" w:fill="auto"/>
            <w:noWrap/>
            <w:vAlign w:val="center"/>
          </w:tcPr>
          <w:p w14:paraId="79AD1A5C">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42831C28">
            <w:pPr>
              <w:jc w:val="center"/>
              <w:rPr>
                <w:color w:val="000000" w:themeColor="text1"/>
                <w14:textFill>
                  <w14:solidFill>
                    <w14:schemeClr w14:val="tx1"/>
                  </w14:solidFill>
                </w14:textFill>
              </w:rPr>
            </w:pPr>
            <w:r>
              <w:rPr>
                <w:color w:val="000000" w:themeColor="text1"/>
                <w14:textFill>
                  <w14:solidFill>
                    <w14:schemeClr w14:val="tx1"/>
                  </w14:solidFill>
                </w14:textFill>
              </w:rPr>
              <w:t>0.003861</w:t>
            </w:r>
          </w:p>
        </w:tc>
        <w:tc>
          <w:tcPr>
            <w:tcW w:w="872" w:type="pct"/>
            <w:shd w:val="clear" w:color="auto" w:fill="auto"/>
            <w:noWrap/>
            <w:vAlign w:val="center"/>
          </w:tcPr>
          <w:p w14:paraId="1B0A7D7F">
            <w:pPr>
              <w:jc w:val="center"/>
              <w:rPr>
                <w:color w:val="000000" w:themeColor="text1"/>
                <w14:textFill>
                  <w14:solidFill>
                    <w14:schemeClr w14:val="tx1"/>
                  </w14:solidFill>
                </w14:textFill>
              </w:rPr>
            </w:pPr>
            <w:r>
              <w:rPr>
                <w:color w:val="000000" w:themeColor="text1"/>
                <w14:textFill>
                  <w14:solidFill>
                    <w14:schemeClr w14:val="tx1"/>
                  </w14:solidFill>
                </w14:textFill>
              </w:rPr>
              <w:t>0.19</w:t>
            </w:r>
          </w:p>
        </w:tc>
      </w:tr>
      <w:tr w14:paraId="3991885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EADF2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1550</w:t>
            </w:r>
          </w:p>
        </w:tc>
        <w:tc>
          <w:tcPr>
            <w:tcW w:w="1331" w:type="pct"/>
            <w:shd w:val="clear" w:color="auto" w:fill="auto"/>
            <w:noWrap/>
            <w:vAlign w:val="center"/>
          </w:tcPr>
          <w:p w14:paraId="0D1D7E8A">
            <w:pPr>
              <w:jc w:val="center"/>
              <w:rPr>
                <w:color w:val="000000" w:themeColor="text1"/>
                <w14:textFill>
                  <w14:solidFill>
                    <w14:schemeClr w14:val="tx1"/>
                  </w14:solidFill>
                </w14:textFill>
              </w:rPr>
            </w:pPr>
            <w:r>
              <w:rPr>
                <w:color w:val="000000" w:themeColor="text1"/>
                <w14:textFill>
                  <w14:solidFill>
                    <w14:schemeClr w14:val="tx1"/>
                  </w14:solidFill>
                </w14:textFill>
              </w:rPr>
              <w:t>0.000546</w:t>
            </w:r>
          </w:p>
        </w:tc>
        <w:tc>
          <w:tcPr>
            <w:tcW w:w="915" w:type="pct"/>
            <w:shd w:val="clear" w:color="auto" w:fill="auto"/>
            <w:noWrap/>
            <w:vAlign w:val="center"/>
          </w:tcPr>
          <w:p w14:paraId="523138BE">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69D75B65">
            <w:pPr>
              <w:jc w:val="center"/>
              <w:rPr>
                <w:color w:val="000000" w:themeColor="text1"/>
                <w14:textFill>
                  <w14:solidFill>
                    <w14:schemeClr w14:val="tx1"/>
                  </w14:solidFill>
                </w14:textFill>
              </w:rPr>
            </w:pPr>
            <w:r>
              <w:rPr>
                <w:color w:val="000000" w:themeColor="text1"/>
                <w14:textFill>
                  <w14:solidFill>
                    <w14:schemeClr w14:val="tx1"/>
                  </w14:solidFill>
                </w14:textFill>
              </w:rPr>
              <w:t>0.003825</w:t>
            </w:r>
          </w:p>
        </w:tc>
        <w:tc>
          <w:tcPr>
            <w:tcW w:w="872" w:type="pct"/>
            <w:shd w:val="clear" w:color="auto" w:fill="auto"/>
            <w:noWrap/>
            <w:vAlign w:val="center"/>
          </w:tcPr>
          <w:p w14:paraId="6BDEB0F5">
            <w:pPr>
              <w:jc w:val="center"/>
              <w:rPr>
                <w:color w:val="000000" w:themeColor="text1"/>
                <w14:textFill>
                  <w14:solidFill>
                    <w14:schemeClr w14:val="tx1"/>
                  </w14:solidFill>
                </w14:textFill>
              </w:rPr>
            </w:pPr>
            <w:r>
              <w:rPr>
                <w:color w:val="000000" w:themeColor="text1"/>
                <w14:textFill>
                  <w14:solidFill>
                    <w14:schemeClr w14:val="tx1"/>
                  </w14:solidFill>
                </w14:textFill>
              </w:rPr>
              <w:t>0.19</w:t>
            </w:r>
          </w:p>
        </w:tc>
      </w:tr>
      <w:tr w14:paraId="39C053E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68791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1560</w:t>
            </w:r>
          </w:p>
        </w:tc>
        <w:tc>
          <w:tcPr>
            <w:tcW w:w="1331" w:type="pct"/>
            <w:shd w:val="clear" w:color="auto" w:fill="auto"/>
            <w:noWrap/>
            <w:vAlign w:val="center"/>
          </w:tcPr>
          <w:p w14:paraId="552C8FF6">
            <w:pPr>
              <w:jc w:val="center"/>
              <w:rPr>
                <w:color w:val="000000" w:themeColor="text1"/>
                <w14:textFill>
                  <w14:solidFill>
                    <w14:schemeClr w14:val="tx1"/>
                  </w14:solidFill>
                </w14:textFill>
              </w:rPr>
            </w:pPr>
            <w:r>
              <w:rPr>
                <w:color w:val="000000" w:themeColor="text1"/>
                <w14:textFill>
                  <w14:solidFill>
                    <w14:schemeClr w14:val="tx1"/>
                  </w14:solidFill>
                </w14:textFill>
              </w:rPr>
              <w:t>0.000541</w:t>
            </w:r>
          </w:p>
        </w:tc>
        <w:tc>
          <w:tcPr>
            <w:tcW w:w="915" w:type="pct"/>
            <w:shd w:val="clear" w:color="auto" w:fill="auto"/>
            <w:noWrap/>
            <w:vAlign w:val="center"/>
          </w:tcPr>
          <w:p w14:paraId="67F6B3D5">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3BAE12D9">
            <w:pPr>
              <w:jc w:val="center"/>
              <w:rPr>
                <w:color w:val="000000" w:themeColor="text1"/>
                <w14:textFill>
                  <w14:solidFill>
                    <w14:schemeClr w14:val="tx1"/>
                  </w14:solidFill>
                </w14:textFill>
              </w:rPr>
            </w:pPr>
            <w:r>
              <w:rPr>
                <w:color w:val="000000" w:themeColor="text1"/>
                <w14:textFill>
                  <w14:solidFill>
                    <w14:schemeClr w14:val="tx1"/>
                  </w14:solidFill>
                </w14:textFill>
              </w:rPr>
              <w:t>0.00379</w:t>
            </w:r>
          </w:p>
        </w:tc>
        <w:tc>
          <w:tcPr>
            <w:tcW w:w="872" w:type="pct"/>
            <w:shd w:val="clear" w:color="auto" w:fill="auto"/>
            <w:noWrap/>
            <w:vAlign w:val="center"/>
          </w:tcPr>
          <w:p w14:paraId="2DD03947">
            <w:pPr>
              <w:jc w:val="center"/>
              <w:rPr>
                <w:color w:val="000000" w:themeColor="text1"/>
                <w14:textFill>
                  <w14:solidFill>
                    <w14:schemeClr w14:val="tx1"/>
                  </w14:solidFill>
                </w14:textFill>
              </w:rPr>
            </w:pPr>
            <w:r>
              <w:rPr>
                <w:color w:val="000000" w:themeColor="text1"/>
                <w14:textFill>
                  <w14:solidFill>
                    <w14:schemeClr w14:val="tx1"/>
                  </w14:solidFill>
                </w14:textFill>
              </w:rPr>
              <w:t>0.19</w:t>
            </w:r>
          </w:p>
        </w:tc>
      </w:tr>
      <w:tr w14:paraId="30736CB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809C6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1575</w:t>
            </w:r>
          </w:p>
        </w:tc>
        <w:tc>
          <w:tcPr>
            <w:tcW w:w="1331" w:type="pct"/>
            <w:shd w:val="clear" w:color="auto" w:fill="auto"/>
            <w:noWrap/>
            <w:vAlign w:val="center"/>
          </w:tcPr>
          <w:p w14:paraId="38E043FE">
            <w:pPr>
              <w:jc w:val="center"/>
              <w:rPr>
                <w:color w:val="000000" w:themeColor="text1"/>
                <w14:textFill>
                  <w14:solidFill>
                    <w14:schemeClr w14:val="tx1"/>
                  </w14:solidFill>
                </w14:textFill>
              </w:rPr>
            </w:pPr>
            <w:r>
              <w:rPr>
                <w:color w:val="000000" w:themeColor="text1"/>
                <w14:textFill>
                  <w14:solidFill>
                    <w14:schemeClr w14:val="tx1"/>
                  </w14:solidFill>
                </w14:textFill>
              </w:rPr>
              <w:t>0.000536</w:t>
            </w:r>
          </w:p>
        </w:tc>
        <w:tc>
          <w:tcPr>
            <w:tcW w:w="915" w:type="pct"/>
            <w:shd w:val="clear" w:color="auto" w:fill="auto"/>
            <w:noWrap/>
            <w:vAlign w:val="center"/>
          </w:tcPr>
          <w:p w14:paraId="3A76DEEA">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7F4942A3">
            <w:pPr>
              <w:jc w:val="center"/>
              <w:rPr>
                <w:color w:val="000000" w:themeColor="text1"/>
                <w14:textFill>
                  <w14:solidFill>
                    <w14:schemeClr w14:val="tx1"/>
                  </w14:solidFill>
                </w14:textFill>
              </w:rPr>
            </w:pPr>
            <w:r>
              <w:rPr>
                <w:color w:val="000000" w:themeColor="text1"/>
                <w14:textFill>
                  <w14:solidFill>
                    <w14:schemeClr w14:val="tx1"/>
                  </w14:solidFill>
                </w14:textFill>
              </w:rPr>
              <w:t>0.003755</w:t>
            </w:r>
          </w:p>
        </w:tc>
        <w:tc>
          <w:tcPr>
            <w:tcW w:w="872" w:type="pct"/>
            <w:shd w:val="clear" w:color="auto" w:fill="auto"/>
            <w:noWrap/>
            <w:vAlign w:val="center"/>
          </w:tcPr>
          <w:p w14:paraId="592F74C6">
            <w:pPr>
              <w:jc w:val="center"/>
              <w:rPr>
                <w:color w:val="000000" w:themeColor="text1"/>
                <w14:textFill>
                  <w14:solidFill>
                    <w14:schemeClr w14:val="tx1"/>
                  </w14:solidFill>
                </w14:textFill>
              </w:rPr>
            </w:pPr>
            <w:r>
              <w:rPr>
                <w:color w:val="000000" w:themeColor="text1"/>
                <w14:textFill>
                  <w14:solidFill>
                    <w14:schemeClr w14:val="tx1"/>
                  </w14:solidFill>
                </w14:textFill>
              </w:rPr>
              <w:t>0.19</w:t>
            </w:r>
          </w:p>
        </w:tc>
      </w:tr>
      <w:tr w14:paraId="3BF7B5E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6A5E9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1600</w:t>
            </w:r>
          </w:p>
        </w:tc>
        <w:tc>
          <w:tcPr>
            <w:tcW w:w="1331" w:type="pct"/>
            <w:shd w:val="clear" w:color="auto" w:fill="auto"/>
            <w:noWrap/>
            <w:vAlign w:val="center"/>
          </w:tcPr>
          <w:p w14:paraId="2567B6ED">
            <w:pPr>
              <w:jc w:val="center"/>
              <w:rPr>
                <w:color w:val="000000" w:themeColor="text1"/>
                <w14:textFill>
                  <w14:solidFill>
                    <w14:schemeClr w14:val="tx1"/>
                  </w14:solidFill>
                </w14:textFill>
              </w:rPr>
            </w:pPr>
            <w:r>
              <w:rPr>
                <w:color w:val="000000" w:themeColor="text1"/>
                <w14:textFill>
                  <w14:solidFill>
                    <w14:schemeClr w14:val="tx1"/>
                  </w14:solidFill>
                </w14:textFill>
              </w:rPr>
              <w:t>0.000534</w:t>
            </w:r>
          </w:p>
        </w:tc>
        <w:tc>
          <w:tcPr>
            <w:tcW w:w="915" w:type="pct"/>
            <w:shd w:val="clear" w:color="auto" w:fill="auto"/>
            <w:noWrap/>
            <w:vAlign w:val="center"/>
          </w:tcPr>
          <w:p w14:paraId="5D7F1F63">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6F92F43E">
            <w:pPr>
              <w:jc w:val="center"/>
              <w:rPr>
                <w:color w:val="000000" w:themeColor="text1"/>
                <w14:textFill>
                  <w14:solidFill>
                    <w14:schemeClr w14:val="tx1"/>
                  </w14:solidFill>
                </w14:textFill>
              </w:rPr>
            </w:pPr>
            <w:r>
              <w:rPr>
                <w:color w:val="000000" w:themeColor="text1"/>
                <w14:textFill>
                  <w14:solidFill>
                    <w14:schemeClr w14:val="tx1"/>
                  </w14:solidFill>
                </w14:textFill>
              </w:rPr>
              <w:t>0.00374</w:t>
            </w:r>
          </w:p>
        </w:tc>
        <w:tc>
          <w:tcPr>
            <w:tcW w:w="872" w:type="pct"/>
            <w:shd w:val="clear" w:color="auto" w:fill="auto"/>
            <w:noWrap/>
            <w:vAlign w:val="center"/>
          </w:tcPr>
          <w:p w14:paraId="2835773B">
            <w:pPr>
              <w:jc w:val="center"/>
              <w:rPr>
                <w:color w:val="000000" w:themeColor="text1"/>
                <w14:textFill>
                  <w14:solidFill>
                    <w14:schemeClr w14:val="tx1"/>
                  </w14:solidFill>
                </w14:textFill>
              </w:rPr>
            </w:pPr>
            <w:r>
              <w:rPr>
                <w:color w:val="000000" w:themeColor="text1"/>
                <w14:textFill>
                  <w14:solidFill>
                    <w14:schemeClr w14:val="tx1"/>
                  </w14:solidFill>
                </w14:textFill>
              </w:rPr>
              <w:t>0.19</w:t>
            </w:r>
          </w:p>
        </w:tc>
      </w:tr>
      <w:tr w14:paraId="4D31BB7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93E3A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1625</w:t>
            </w:r>
          </w:p>
        </w:tc>
        <w:tc>
          <w:tcPr>
            <w:tcW w:w="1331" w:type="pct"/>
            <w:shd w:val="clear" w:color="auto" w:fill="auto"/>
            <w:noWrap/>
            <w:vAlign w:val="center"/>
          </w:tcPr>
          <w:p w14:paraId="20FC891B">
            <w:pPr>
              <w:jc w:val="center"/>
              <w:rPr>
                <w:color w:val="000000" w:themeColor="text1"/>
                <w14:textFill>
                  <w14:solidFill>
                    <w14:schemeClr w14:val="tx1"/>
                  </w14:solidFill>
                </w14:textFill>
              </w:rPr>
            </w:pPr>
            <w:r>
              <w:rPr>
                <w:color w:val="000000" w:themeColor="text1"/>
                <w14:textFill>
                  <w14:solidFill>
                    <w14:schemeClr w14:val="tx1"/>
                  </w14:solidFill>
                </w14:textFill>
              </w:rPr>
              <w:t>0.000531</w:t>
            </w:r>
          </w:p>
        </w:tc>
        <w:tc>
          <w:tcPr>
            <w:tcW w:w="915" w:type="pct"/>
            <w:shd w:val="clear" w:color="auto" w:fill="auto"/>
            <w:noWrap/>
            <w:vAlign w:val="center"/>
          </w:tcPr>
          <w:p w14:paraId="1DE0F95C">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79DC4777">
            <w:pPr>
              <w:jc w:val="center"/>
              <w:rPr>
                <w:color w:val="000000" w:themeColor="text1"/>
                <w14:textFill>
                  <w14:solidFill>
                    <w14:schemeClr w14:val="tx1"/>
                  </w14:solidFill>
                </w14:textFill>
              </w:rPr>
            </w:pPr>
            <w:r>
              <w:rPr>
                <w:color w:val="000000" w:themeColor="text1"/>
                <w14:textFill>
                  <w14:solidFill>
                    <w14:schemeClr w14:val="tx1"/>
                  </w14:solidFill>
                </w14:textFill>
              </w:rPr>
              <w:t>0.00372</w:t>
            </w:r>
          </w:p>
        </w:tc>
        <w:tc>
          <w:tcPr>
            <w:tcW w:w="872" w:type="pct"/>
            <w:shd w:val="clear" w:color="auto" w:fill="auto"/>
            <w:noWrap/>
            <w:vAlign w:val="center"/>
          </w:tcPr>
          <w:p w14:paraId="6182062C">
            <w:pPr>
              <w:jc w:val="center"/>
              <w:rPr>
                <w:color w:val="000000" w:themeColor="text1"/>
                <w14:textFill>
                  <w14:solidFill>
                    <w14:schemeClr w14:val="tx1"/>
                  </w14:solidFill>
                </w14:textFill>
              </w:rPr>
            </w:pPr>
            <w:r>
              <w:rPr>
                <w:color w:val="000000" w:themeColor="text1"/>
                <w14:textFill>
                  <w14:solidFill>
                    <w14:schemeClr w14:val="tx1"/>
                  </w14:solidFill>
                </w14:textFill>
              </w:rPr>
              <w:t>0.19</w:t>
            </w:r>
          </w:p>
        </w:tc>
      </w:tr>
      <w:tr w14:paraId="2048FBF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08B3A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1650</w:t>
            </w:r>
          </w:p>
        </w:tc>
        <w:tc>
          <w:tcPr>
            <w:tcW w:w="1331" w:type="pct"/>
            <w:shd w:val="clear" w:color="auto" w:fill="auto"/>
            <w:noWrap/>
            <w:vAlign w:val="center"/>
          </w:tcPr>
          <w:p w14:paraId="6A0E933B">
            <w:pPr>
              <w:jc w:val="center"/>
              <w:rPr>
                <w:color w:val="000000" w:themeColor="text1"/>
                <w14:textFill>
                  <w14:solidFill>
                    <w14:schemeClr w14:val="tx1"/>
                  </w14:solidFill>
                </w14:textFill>
              </w:rPr>
            </w:pPr>
            <w:r>
              <w:rPr>
                <w:color w:val="000000" w:themeColor="text1"/>
                <w14:textFill>
                  <w14:solidFill>
                    <w14:schemeClr w14:val="tx1"/>
                  </w14:solidFill>
                </w14:textFill>
              </w:rPr>
              <w:t>0.000527</w:t>
            </w:r>
          </w:p>
        </w:tc>
        <w:tc>
          <w:tcPr>
            <w:tcW w:w="915" w:type="pct"/>
            <w:shd w:val="clear" w:color="auto" w:fill="auto"/>
            <w:noWrap/>
            <w:vAlign w:val="center"/>
          </w:tcPr>
          <w:p w14:paraId="7B314E85">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619FB9E9">
            <w:pPr>
              <w:jc w:val="center"/>
              <w:rPr>
                <w:color w:val="000000" w:themeColor="text1"/>
                <w14:textFill>
                  <w14:solidFill>
                    <w14:schemeClr w14:val="tx1"/>
                  </w14:solidFill>
                </w14:textFill>
              </w:rPr>
            </w:pPr>
            <w:r>
              <w:rPr>
                <w:color w:val="000000" w:themeColor="text1"/>
                <w14:textFill>
                  <w14:solidFill>
                    <w14:schemeClr w14:val="tx1"/>
                  </w14:solidFill>
                </w14:textFill>
              </w:rPr>
              <w:t>0.003686</w:t>
            </w:r>
          </w:p>
        </w:tc>
        <w:tc>
          <w:tcPr>
            <w:tcW w:w="872" w:type="pct"/>
            <w:shd w:val="clear" w:color="auto" w:fill="auto"/>
            <w:noWrap/>
            <w:vAlign w:val="center"/>
          </w:tcPr>
          <w:p w14:paraId="11EB3EB0">
            <w:pPr>
              <w:jc w:val="center"/>
              <w:rPr>
                <w:color w:val="000000" w:themeColor="text1"/>
                <w14:textFill>
                  <w14:solidFill>
                    <w14:schemeClr w14:val="tx1"/>
                  </w14:solidFill>
                </w14:textFill>
              </w:rPr>
            </w:pPr>
            <w:r>
              <w:rPr>
                <w:color w:val="000000" w:themeColor="text1"/>
                <w14:textFill>
                  <w14:solidFill>
                    <w14:schemeClr w14:val="tx1"/>
                  </w14:solidFill>
                </w14:textFill>
              </w:rPr>
              <w:t>0.18</w:t>
            </w:r>
          </w:p>
        </w:tc>
      </w:tr>
      <w:tr w14:paraId="52838C1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CB189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1675</w:t>
            </w:r>
          </w:p>
        </w:tc>
        <w:tc>
          <w:tcPr>
            <w:tcW w:w="1331" w:type="pct"/>
            <w:shd w:val="clear" w:color="auto" w:fill="auto"/>
            <w:noWrap/>
            <w:vAlign w:val="center"/>
          </w:tcPr>
          <w:p w14:paraId="553177C2">
            <w:pPr>
              <w:jc w:val="center"/>
              <w:rPr>
                <w:color w:val="000000" w:themeColor="text1"/>
                <w14:textFill>
                  <w14:solidFill>
                    <w14:schemeClr w14:val="tx1"/>
                  </w14:solidFill>
                </w14:textFill>
              </w:rPr>
            </w:pPr>
            <w:r>
              <w:rPr>
                <w:color w:val="000000" w:themeColor="text1"/>
                <w14:textFill>
                  <w14:solidFill>
                    <w14:schemeClr w14:val="tx1"/>
                  </w14:solidFill>
                </w14:textFill>
              </w:rPr>
              <w:t>0.000522</w:t>
            </w:r>
          </w:p>
        </w:tc>
        <w:tc>
          <w:tcPr>
            <w:tcW w:w="915" w:type="pct"/>
            <w:shd w:val="clear" w:color="auto" w:fill="auto"/>
            <w:noWrap/>
            <w:vAlign w:val="center"/>
          </w:tcPr>
          <w:p w14:paraId="2A78A461">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13C02C25">
            <w:pPr>
              <w:jc w:val="center"/>
              <w:rPr>
                <w:color w:val="000000" w:themeColor="text1"/>
                <w14:textFill>
                  <w14:solidFill>
                    <w14:schemeClr w14:val="tx1"/>
                  </w14:solidFill>
                </w14:textFill>
              </w:rPr>
            </w:pPr>
            <w:r>
              <w:rPr>
                <w:color w:val="000000" w:themeColor="text1"/>
                <w14:textFill>
                  <w14:solidFill>
                    <w14:schemeClr w14:val="tx1"/>
                  </w14:solidFill>
                </w14:textFill>
              </w:rPr>
              <w:t>0.003652</w:t>
            </w:r>
          </w:p>
        </w:tc>
        <w:tc>
          <w:tcPr>
            <w:tcW w:w="872" w:type="pct"/>
            <w:shd w:val="clear" w:color="auto" w:fill="auto"/>
            <w:noWrap/>
            <w:vAlign w:val="center"/>
          </w:tcPr>
          <w:p w14:paraId="03096700">
            <w:pPr>
              <w:jc w:val="center"/>
              <w:rPr>
                <w:color w:val="000000" w:themeColor="text1"/>
                <w14:textFill>
                  <w14:solidFill>
                    <w14:schemeClr w14:val="tx1"/>
                  </w14:solidFill>
                </w14:textFill>
              </w:rPr>
            </w:pPr>
            <w:r>
              <w:rPr>
                <w:color w:val="000000" w:themeColor="text1"/>
                <w14:textFill>
                  <w14:solidFill>
                    <w14:schemeClr w14:val="tx1"/>
                  </w14:solidFill>
                </w14:textFill>
              </w:rPr>
              <w:t>0.18</w:t>
            </w:r>
          </w:p>
        </w:tc>
      </w:tr>
      <w:tr w14:paraId="105B005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3E44F0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1700</w:t>
            </w:r>
          </w:p>
        </w:tc>
        <w:tc>
          <w:tcPr>
            <w:tcW w:w="1331" w:type="pct"/>
            <w:shd w:val="clear" w:color="auto" w:fill="auto"/>
            <w:noWrap/>
            <w:vAlign w:val="center"/>
          </w:tcPr>
          <w:p w14:paraId="2A9DB2C0">
            <w:pPr>
              <w:jc w:val="center"/>
              <w:rPr>
                <w:color w:val="000000" w:themeColor="text1"/>
                <w14:textFill>
                  <w14:solidFill>
                    <w14:schemeClr w14:val="tx1"/>
                  </w14:solidFill>
                </w14:textFill>
              </w:rPr>
            </w:pPr>
            <w:r>
              <w:rPr>
                <w:color w:val="000000" w:themeColor="text1"/>
                <w14:textFill>
                  <w14:solidFill>
                    <w14:schemeClr w14:val="tx1"/>
                  </w14:solidFill>
                </w14:textFill>
              </w:rPr>
              <w:t>0.000517</w:t>
            </w:r>
          </w:p>
        </w:tc>
        <w:tc>
          <w:tcPr>
            <w:tcW w:w="915" w:type="pct"/>
            <w:shd w:val="clear" w:color="auto" w:fill="auto"/>
            <w:noWrap/>
            <w:vAlign w:val="center"/>
          </w:tcPr>
          <w:p w14:paraId="328E3D81">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59AC709E">
            <w:pPr>
              <w:jc w:val="center"/>
              <w:rPr>
                <w:color w:val="000000" w:themeColor="text1"/>
                <w14:textFill>
                  <w14:solidFill>
                    <w14:schemeClr w14:val="tx1"/>
                  </w14:solidFill>
                </w14:textFill>
              </w:rPr>
            </w:pPr>
            <w:r>
              <w:rPr>
                <w:color w:val="000000" w:themeColor="text1"/>
                <w14:textFill>
                  <w14:solidFill>
                    <w14:schemeClr w14:val="tx1"/>
                  </w14:solidFill>
                </w14:textFill>
              </w:rPr>
              <w:t>0.003619</w:t>
            </w:r>
          </w:p>
        </w:tc>
        <w:tc>
          <w:tcPr>
            <w:tcW w:w="872" w:type="pct"/>
            <w:shd w:val="clear" w:color="auto" w:fill="auto"/>
            <w:noWrap/>
            <w:vAlign w:val="center"/>
          </w:tcPr>
          <w:p w14:paraId="0A1D2A95">
            <w:pPr>
              <w:jc w:val="center"/>
              <w:rPr>
                <w:color w:val="000000" w:themeColor="text1"/>
                <w14:textFill>
                  <w14:solidFill>
                    <w14:schemeClr w14:val="tx1"/>
                  </w14:solidFill>
                </w14:textFill>
              </w:rPr>
            </w:pPr>
            <w:r>
              <w:rPr>
                <w:color w:val="000000" w:themeColor="text1"/>
                <w14:textFill>
                  <w14:solidFill>
                    <w14:schemeClr w14:val="tx1"/>
                  </w14:solidFill>
                </w14:textFill>
              </w:rPr>
              <w:t>0.18</w:t>
            </w:r>
          </w:p>
        </w:tc>
      </w:tr>
      <w:tr w14:paraId="35AC16F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8A76E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1725</w:t>
            </w:r>
          </w:p>
        </w:tc>
        <w:tc>
          <w:tcPr>
            <w:tcW w:w="1331" w:type="pct"/>
            <w:shd w:val="clear" w:color="auto" w:fill="auto"/>
            <w:noWrap/>
            <w:vAlign w:val="center"/>
          </w:tcPr>
          <w:p w14:paraId="021C26AD">
            <w:pPr>
              <w:jc w:val="center"/>
              <w:rPr>
                <w:color w:val="000000" w:themeColor="text1"/>
                <w14:textFill>
                  <w14:solidFill>
                    <w14:schemeClr w14:val="tx1"/>
                  </w14:solidFill>
                </w14:textFill>
              </w:rPr>
            </w:pPr>
            <w:r>
              <w:rPr>
                <w:color w:val="000000" w:themeColor="text1"/>
                <w14:textFill>
                  <w14:solidFill>
                    <w14:schemeClr w14:val="tx1"/>
                  </w14:solidFill>
                </w14:textFill>
              </w:rPr>
              <w:t>0.000512</w:t>
            </w:r>
          </w:p>
        </w:tc>
        <w:tc>
          <w:tcPr>
            <w:tcW w:w="915" w:type="pct"/>
            <w:shd w:val="clear" w:color="auto" w:fill="auto"/>
            <w:noWrap/>
            <w:vAlign w:val="center"/>
          </w:tcPr>
          <w:p w14:paraId="4870033E">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4AAE89AD">
            <w:pPr>
              <w:jc w:val="center"/>
              <w:rPr>
                <w:color w:val="000000" w:themeColor="text1"/>
                <w14:textFill>
                  <w14:solidFill>
                    <w14:schemeClr w14:val="tx1"/>
                  </w14:solidFill>
                </w14:textFill>
              </w:rPr>
            </w:pPr>
            <w:r>
              <w:rPr>
                <w:color w:val="000000" w:themeColor="text1"/>
                <w14:textFill>
                  <w14:solidFill>
                    <w14:schemeClr w14:val="tx1"/>
                  </w14:solidFill>
                </w14:textFill>
              </w:rPr>
              <w:t>0.003586</w:t>
            </w:r>
          </w:p>
        </w:tc>
        <w:tc>
          <w:tcPr>
            <w:tcW w:w="872" w:type="pct"/>
            <w:shd w:val="clear" w:color="auto" w:fill="auto"/>
            <w:noWrap/>
            <w:vAlign w:val="center"/>
          </w:tcPr>
          <w:p w14:paraId="79F8BFF5">
            <w:pPr>
              <w:jc w:val="center"/>
              <w:rPr>
                <w:color w:val="000000" w:themeColor="text1"/>
                <w14:textFill>
                  <w14:solidFill>
                    <w14:schemeClr w14:val="tx1"/>
                  </w14:solidFill>
                </w14:textFill>
              </w:rPr>
            </w:pPr>
            <w:r>
              <w:rPr>
                <w:color w:val="000000" w:themeColor="text1"/>
                <w14:textFill>
                  <w14:solidFill>
                    <w14:schemeClr w14:val="tx1"/>
                  </w14:solidFill>
                </w14:textFill>
              </w:rPr>
              <w:t>0.18</w:t>
            </w:r>
          </w:p>
        </w:tc>
      </w:tr>
      <w:tr w14:paraId="2C631289">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72172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1750</w:t>
            </w:r>
          </w:p>
        </w:tc>
        <w:tc>
          <w:tcPr>
            <w:tcW w:w="1331" w:type="pct"/>
            <w:shd w:val="clear" w:color="auto" w:fill="auto"/>
            <w:noWrap/>
            <w:vAlign w:val="center"/>
          </w:tcPr>
          <w:p w14:paraId="55F248D4">
            <w:pPr>
              <w:jc w:val="center"/>
              <w:rPr>
                <w:color w:val="000000" w:themeColor="text1"/>
                <w14:textFill>
                  <w14:solidFill>
                    <w14:schemeClr w14:val="tx1"/>
                  </w14:solidFill>
                </w14:textFill>
              </w:rPr>
            </w:pPr>
            <w:r>
              <w:rPr>
                <w:color w:val="000000" w:themeColor="text1"/>
                <w14:textFill>
                  <w14:solidFill>
                    <w14:schemeClr w14:val="tx1"/>
                  </w14:solidFill>
                </w14:textFill>
              </w:rPr>
              <w:t>0.000508</w:t>
            </w:r>
          </w:p>
        </w:tc>
        <w:tc>
          <w:tcPr>
            <w:tcW w:w="915" w:type="pct"/>
            <w:shd w:val="clear" w:color="auto" w:fill="auto"/>
            <w:noWrap/>
            <w:vAlign w:val="center"/>
          </w:tcPr>
          <w:p w14:paraId="2D472CE0">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43ADFD65">
            <w:pPr>
              <w:jc w:val="center"/>
              <w:rPr>
                <w:color w:val="000000" w:themeColor="text1"/>
                <w14:textFill>
                  <w14:solidFill>
                    <w14:schemeClr w14:val="tx1"/>
                  </w14:solidFill>
                </w14:textFill>
              </w:rPr>
            </w:pPr>
            <w:r>
              <w:rPr>
                <w:color w:val="000000" w:themeColor="text1"/>
                <w14:textFill>
                  <w14:solidFill>
                    <w14:schemeClr w14:val="tx1"/>
                  </w14:solidFill>
                </w14:textFill>
              </w:rPr>
              <w:t>0.003553</w:t>
            </w:r>
          </w:p>
        </w:tc>
        <w:tc>
          <w:tcPr>
            <w:tcW w:w="872" w:type="pct"/>
            <w:shd w:val="clear" w:color="auto" w:fill="auto"/>
            <w:noWrap/>
            <w:vAlign w:val="center"/>
          </w:tcPr>
          <w:p w14:paraId="7A2E3203">
            <w:pPr>
              <w:jc w:val="center"/>
              <w:rPr>
                <w:color w:val="000000" w:themeColor="text1"/>
                <w14:textFill>
                  <w14:solidFill>
                    <w14:schemeClr w14:val="tx1"/>
                  </w14:solidFill>
                </w14:textFill>
              </w:rPr>
            </w:pPr>
            <w:r>
              <w:rPr>
                <w:color w:val="000000" w:themeColor="text1"/>
                <w14:textFill>
                  <w14:solidFill>
                    <w14:schemeClr w14:val="tx1"/>
                  </w14:solidFill>
                </w14:textFill>
              </w:rPr>
              <w:t>0.18</w:t>
            </w:r>
          </w:p>
        </w:tc>
      </w:tr>
      <w:tr w14:paraId="701D7AC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DD085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1775</w:t>
            </w:r>
          </w:p>
        </w:tc>
        <w:tc>
          <w:tcPr>
            <w:tcW w:w="1331" w:type="pct"/>
            <w:shd w:val="clear" w:color="auto" w:fill="auto"/>
            <w:noWrap/>
            <w:vAlign w:val="center"/>
          </w:tcPr>
          <w:p w14:paraId="69A82FE1">
            <w:pPr>
              <w:jc w:val="center"/>
              <w:rPr>
                <w:color w:val="000000" w:themeColor="text1"/>
                <w14:textFill>
                  <w14:solidFill>
                    <w14:schemeClr w14:val="tx1"/>
                  </w14:solidFill>
                </w14:textFill>
              </w:rPr>
            </w:pPr>
            <w:r>
              <w:rPr>
                <w:color w:val="000000" w:themeColor="text1"/>
                <w14:textFill>
                  <w14:solidFill>
                    <w14:schemeClr w14:val="tx1"/>
                  </w14:solidFill>
                </w14:textFill>
              </w:rPr>
              <w:t>0.000503</w:t>
            </w:r>
          </w:p>
        </w:tc>
        <w:tc>
          <w:tcPr>
            <w:tcW w:w="915" w:type="pct"/>
            <w:shd w:val="clear" w:color="auto" w:fill="auto"/>
            <w:noWrap/>
            <w:vAlign w:val="center"/>
          </w:tcPr>
          <w:p w14:paraId="3DC104CF">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1D4F7CEB">
            <w:pPr>
              <w:jc w:val="center"/>
              <w:rPr>
                <w:color w:val="000000" w:themeColor="text1"/>
                <w14:textFill>
                  <w14:solidFill>
                    <w14:schemeClr w14:val="tx1"/>
                  </w14:solidFill>
                </w14:textFill>
              </w:rPr>
            </w:pPr>
            <w:r>
              <w:rPr>
                <w:color w:val="000000" w:themeColor="text1"/>
                <w14:textFill>
                  <w14:solidFill>
                    <w14:schemeClr w14:val="tx1"/>
                  </w14:solidFill>
                </w14:textFill>
              </w:rPr>
              <w:t>0.003521</w:t>
            </w:r>
          </w:p>
        </w:tc>
        <w:tc>
          <w:tcPr>
            <w:tcW w:w="872" w:type="pct"/>
            <w:shd w:val="clear" w:color="auto" w:fill="auto"/>
            <w:noWrap/>
            <w:vAlign w:val="center"/>
          </w:tcPr>
          <w:p w14:paraId="7A6C3663">
            <w:pPr>
              <w:jc w:val="center"/>
              <w:rPr>
                <w:color w:val="000000" w:themeColor="text1"/>
                <w14:textFill>
                  <w14:solidFill>
                    <w14:schemeClr w14:val="tx1"/>
                  </w14:solidFill>
                </w14:textFill>
              </w:rPr>
            </w:pPr>
            <w:r>
              <w:rPr>
                <w:color w:val="000000" w:themeColor="text1"/>
                <w14:textFill>
                  <w14:solidFill>
                    <w14:schemeClr w14:val="tx1"/>
                  </w14:solidFill>
                </w14:textFill>
              </w:rPr>
              <w:t>0.18</w:t>
            </w:r>
          </w:p>
        </w:tc>
      </w:tr>
      <w:tr w14:paraId="21E1A49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2828A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1800</w:t>
            </w:r>
          </w:p>
        </w:tc>
        <w:tc>
          <w:tcPr>
            <w:tcW w:w="1331" w:type="pct"/>
            <w:shd w:val="clear" w:color="auto" w:fill="auto"/>
            <w:noWrap/>
            <w:vAlign w:val="center"/>
          </w:tcPr>
          <w:p w14:paraId="4D3D28A1">
            <w:pPr>
              <w:jc w:val="center"/>
              <w:rPr>
                <w:color w:val="000000" w:themeColor="text1"/>
                <w14:textFill>
                  <w14:solidFill>
                    <w14:schemeClr w14:val="tx1"/>
                  </w14:solidFill>
                </w14:textFill>
              </w:rPr>
            </w:pPr>
            <w:r>
              <w:rPr>
                <w:color w:val="000000" w:themeColor="text1"/>
                <w14:textFill>
                  <w14:solidFill>
                    <w14:schemeClr w14:val="tx1"/>
                  </w14:solidFill>
                </w14:textFill>
              </w:rPr>
              <w:t>0.000499</w:t>
            </w:r>
          </w:p>
        </w:tc>
        <w:tc>
          <w:tcPr>
            <w:tcW w:w="915" w:type="pct"/>
            <w:shd w:val="clear" w:color="auto" w:fill="auto"/>
            <w:noWrap/>
            <w:vAlign w:val="center"/>
          </w:tcPr>
          <w:p w14:paraId="71E01164">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71" w:type="pct"/>
            <w:shd w:val="clear" w:color="auto" w:fill="auto"/>
            <w:noWrap/>
            <w:vAlign w:val="center"/>
          </w:tcPr>
          <w:p w14:paraId="212AB932">
            <w:pPr>
              <w:jc w:val="center"/>
              <w:rPr>
                <w:color w:val="000000" w:themeColor="text1"/>
                <w14:textFill>
                  <w14:solidFill>
                    <w14:schemeClr w14:val="tx1"/>
                  </w14:solidFill>
                </w14:textFill>
              </w:rPr>
            </w:pPr>
            <w:r>
              <w:rPr>
                <w:color w:val="000000" w:themeColor="text1"/>
                <w14:textFill>
                  <w14:solidFill>
                    <w14:schemeClr w14:val="tx1"/>
                  </w14:solidFill>
                </w14:textFill>
              </w:rPr>
              <w:t>0.00349</w:t>
            </w:r>
          </w:p>
        </w:tc>
        <w:tc>
          <w:tcPr>
            <w:tcW w:w="872" w:type="pct"/>
            <w:shd w:val="clear" w:color="auto" w:fill="auto"/>
            <w:noWrap/>
            <w:vAlign w:val="center"/>
          </w:tcPr>
          <w:p w14:paraId="0C84A48D">
            <w:pPr>
              <w:jc w:val="center"/>
              <w:rPr>
                <w:color w:val="000000" w:themeColor="text1"/>
                <w14:textFill>
                  <w14:solidFill>
                    <w14:schemeClr w14:val="tx1"/>
                  </w14:solidFill>
                </w14:textFill>
              </w:rPr>
            </w:pPr>
            <w:r>
              <w:rPr>
                <w:color w:val="000000" w:themeColor="text1"/>
                <w14:textFill>
                  <w14:solidFill>
                    <w14:schemeClr w14:val="tx1"/>
                  </w14:solidFill>
                </w14:textFill>
              </w:rPr>
              <w:t>0.17</w:t>
            </w:r>
          </w:p>
        </w:tc>
      </w:tr>
      <w:tr w14:paraId="77AE3DE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9F840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1825</w:t>
            </w:r>
          </w:p>
        </w:tc>
        <w:tc>
          <w:tcPr>
            <w:tcW w:w="1331" w:type="pct"/>
            <w:shd w:val="clear" w:color="auto" w:fill="auto"/>
            <w:noWrap/>
            <w:vAlign w:val="center"/>
          </w:tcPr>
          <w:p w14:paraId="68FC72EC">
            <w:pPr>
              <w:jc w:val="center"/>
              <w:rPr>
                <w:color w:val="000000" w:themeColor="text1"/>
                <w14:textFill>
                  <w14:solidFill>
                    <w14:schemeClr w14:val="tx1"/>
                  </w14:solidFill>
                </w14:textFill>
              </w:rPr>
            </w:pPr>
            <w:r>
              <w:rPr>
                <w:color w:val="000000" w:themeColor="text1"/>
                <w14:textFill>
                  <w14:solidFill>
                    <w14:schemeClr w14:val="tx1"/>
                  </w14:solidFill>
                </w14:textFill>
              </w:rPr>
              <w:t>0.000494</w:t>
            </w:r>
          </w:p>
        </w:tc>
        <w:tc>
          <w:tcPr>
            <w:tcW w:w="915" w:type="pct"/>
            <w:shd w:val="clear" w:color="auto" w:fill="auto"/>
            <w:noWrap/>
            <w:vAlign w:val="center"/>
          </w:tcPr>
          <w:p w14:paraId="2E4875E1">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2437CB96">
            <w:pPr>
              <w:jc w:val="center"/>
              <w:rPr>
                <w:color w:val="000000" w:themeColor="text1"/>
                <w14:textFill>
                  <w14:solidFill>
                    <w14:schemeClr w14:val="tx1"/>
                  </w14:solidFill>
                </w14:textFill>
              </w:rPr>
            </w:pPr>
            <w:r>
              <w:rPr>
                <w:color w:val="000000" w:themeColor="text1"/>
                <w14:textFill>
                  <w14:solidFill>
                    <w14:schemeClr w14:val="tx1"/>
                  </w14:solidFill>
                </w14:textFill>
              </w:rPr>
              <w:t>0.003458</w:t>
            </w:r>
          </w:p>
        </w:tc>
        <w:tc>
          <w:tcPr>
            <w:tcW w:w="872" w:type="pct"/>
            <w:shd w:val="clear" w:color="auto" w:fill="auto"/>
            <w:noWrap/>
            <w:vAlign w:val="center"/>
          </w:tcPr>
          <w:p w14:paraId="53C261B6">
            <w:pPr>
              <w:jc w:val="center"/>
              <w:rPr>
                <w:color w:val="000000" w:themeColor="text1"/>
                <w14:textFill>
                  <w14:solidFill>
                    <w14:schemeClr w14:val="tx1"/>
                  </w14:solidFill>
                </w14:textFill>
              </w:rPr>
            </w:pPr>
            <w:r>
              <w:rPr>
                <w:color w:val="000000" w:themeColor="text1"/>
                <w14:textFill>
                  <w14:solidFill>
                    <w14:schemeClr w14:val="tx1"/>
                  </w14:solidFill>
                </w14:textFill>
              </w:rPr>
              <w:t>0.17</w:t>
            </w:r>
          </w:p>
        </w:tc>
      </w:tr>
      <w:tr w14:paraId="3423876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4E076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1850</w:t>
            </w:r>
          </w:p>
        </w:tc>
        <w:tc>
          <w:tcPr>
            <w:tcW w:w="1331" w:type="pct"/>
            <w:shd w:val="clear" w:color="auto" w:fill="auto"/>
            <w:noWrap/>
            <w:vAlign w:val="center"/>
          </w:tcPr>
          <w:p w14:paraId="13EA3C69">
            <w:pPr>
              <w:jc w:val="center"/>
              <w:rPr>
                <w:color w:val="000000" w:themeColor="text1"/>
                <w14:textFill>
                  <w14:solidFill>
                    <w14:schemeClr w14:val="tx1"/>
                  </w14:solidFill>
                </w14:textFill>
              </w:rPr>
            </w:pPr>
            <w:r>
              <w:rPr>
                <w:color w:val="000000" w:themeColor="text1"/>
                <w14:textFill>
                  <w14:solidFill>
                    <w14:schemeClr w14:val="tx1"/>
                  </w14:solidFill>
                </w14:textFill>
              </w:rPr>
              <w:t>0.00049</w:t>
            </w:r>
          </w:p>
        </w:tc>
        <w:tc>
          <w:tcPr>
            <w:tcW w:w="915" w:type="pct"/>
            <w:shd w:val="clear" w:color="auto" w:fill="auto"/>
            <w:noWrap/>
            <w:vAlign w:val="center"/>
          </w:tcPr>
          <w:p w14:paraId="3A3C74B2">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52B1048E">
            <w:pPr>
              <w:jc w:val="center"/>
              <w:rPr>
                <w:color w:val="000000" w:themeColor="text1"/>
                <w14:textFill>
                  <w14:solidFill>
                    <w14:schemeClr w14:val="tx1"/>
                  </w14:solidFill>
                </w14:textFill>
              </w:rPr>
            </w:pPr>
            <w:r>
              <w:rPr>
                <w:color w:val="000000" w:themeColor="text1"/>
                <w14:textFill>
                  <w14:solidFill>
                    <w14:schemeClr w14:val="tx1"/>
                  </w14:solidFill>
                </w14:textFill>
              </w:rPr>
              <w:t>0.003427</w:t>
            </w:r>
          </w:p>
        </w:tc>
        <w:tc>
          <w:tcPr>
            <w:tcW w:w="872" w:type="pct"/>
            <w:shd w:val="clear" w:color="auto" w:fill="auto"/>
            <w:noWrap/>
            <w:vAlign w:val="center"/>
          </w:tcPr>
          <w:p w14:paraId="46D30DBE">
            <w:pPr>
              <w:jc w:val="center"/>
              <w:rPr>
                <w:color w:val="000000" w:themeColor="text1"/>
                <w14:textFill>
                  <w14:solidFill>
                    <w14:schemeClr w14:val="tx1"/>
                  </w14:solidFill>
                </w14:textFill>
              </w:rPr>
            </w:pPr>
            <w:r>
              <w:rPr>
                <w:color w:val="000000" w:themeColor="text1"/>
                <w14:textFill>
                  <w14:solidFill>
                    <w14:schemeClr w14:val="tx1"/>
                  </w14:solidFill>
                </w14:textFill>
              </w:rPr>
              <w:t>0.17</w:t>
            </w:r>
          </w:p>
        </w:tc>
      </w:tr>
      <w:tr w14:paraId="2FA06DA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FDE263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1875</w:t>
            </w:r>
          </w:p>
        </w:tc>
        <w:tc>
          <w:tcPr>
            <w:tcW w:w="1331" w:type="pct"/>
            <w:shd w:val="clear" w:color="auto" w:fill="auto"/>
            <w:noWrap/>
            <w:vAlign w:val="center"/>
          </w:tcPr>
          <w:p w14:paraId="0957D47B">
            <w:pPr>
              <w:jc w:val="center"/>
              <w:rPr>
                <w:color w:val="000000" w:themeColor="text1"/>
                <w14:textFill>
                  <w14:solidFill>
                    <w14:schemeClr w14:val="tx1"/>
                  </w14:solidFill>
                </w14:textFill>
              </w:rPr>
            </w:pPr>
            <w:r>
              <w:rPr>
                <w:color w:val="000000" w:themeColor="text1"/>
                <w14:textFill>
                  <w14:solidFill>
                    <w14:schemeClr w14:val="tx1"/>
                  </w14:solidFill>
                </w14:textFill>
              </w:rPr>
              <w:t>0.000485</w:t>
            </w:r>
          </w:p>
        </w:tc>
        <w:tc>
          <w:tcPr>
            <w:tcW w:w="915" w:type="pct"/>
            <w:shd w:val="clear" w:color="auto" w:fill="auto"/>
            <w:noWrap/>
            <w:vAlign w:val="center"/>
          </w:tcPr>
          <w:p w14:paraId="3D6954FC">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2D431813">
            <w:pPr>
              <w:jc w:val="center"/>
              <w:rPr>
                <w:color w:val="000000" w:themeColor="text1"/>
                <w14:textFill>
                  <w14:solidFill>
                    <w14:schemeClr w14:val="tx1"/>
                  </w14:solidFill>
                </w14:textFill>
              </w:rPr>
            </w:pPr>
            <w:r>
              <w:rPr>
                <w:color w:val="000000" w:themeColor="text1"/>
                <w14:textFill>
                  <w14:solidFill>
                    <w14:schemeClr w14:val="tx1"/>
                  </w14:solidFill>
                </w14:textFill>
              </w:rPr>
              <w:t>0.003397</w:t>
            </w:r>
          </w:p>
        </w:tc>
        <w:tc>
          <w:tcPr>
            <w:tcW w:w="872" w:type="pct"/>
            <w:shd w:val="clear" w:color="auto" w:fill="auto"/>
            <w:noWrap/>
            <w:vAlign w:val="center"/>
          </w:tcPr>
          <w:p w14:paraId="2AE5D07C">
            <w:pPr>
              <w:jc w:val="center"/>
              <w:rPr>
                <w:color w:val="000000" w:themeColor="text1"/>
                <w14:textFill>
                  <w14:solidFill>
                    <w14:schemeClr w14:val="tx1"/>
                  </w14:solidFill>
                </w14:textFill>
              </w:rPr>
            </w:pPr>
            <w:r>
              <w:rPr>
                <w:color w:val="000000" w:themeColor="text1"/>
                <w14:textFill>
                  <w14:solidFill>
                    <w14:schemeClr w14:val="tx1"/>
                  </w14:solidFill>
                </w14:textFill>
              </w:rPr>
              <w:t>0.17</w:t>
            </w:r>
          </w:p>
        </w:tc>
      </w:tr>
      <w:tr w14:paraId="7E9F591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1A233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1900</w:t>
            </w:r>
          </w:p>
        </w:tc>
        <w:tc>
          <w:tcPr>
            <w:tcW w:w="1331" w:type="pct"/>
            <w:shd w:val="clear" w:color="auto" w:fill="auto"/>
            <w:noWrap/>
            <w:vAlign w:val="center"/>
          </w:tcPr>
          <w:p w14:paraId="4D488DCA">
            <w:pPr>
              <w:jc w:val="center"/>
              <w:rPr>
                <w:color w:val="000000" w:themeColor="text1"/>
                <w14:textFill>
                  <w14:solidFill>
                    <w14:schemeClr w14:val="tx1"/>
                  </w14:solidFill>
                </w14:textFill>
              </w:rPr>
            </w:pPr>
            <w:r>
              <w:rPr>
                <w:color w:val="000000" w:themeColor="text1"/>
                <w14:textFill>
                  <w14:solidFill>
                    <w14:schemeClr w14:val="tx1"/>
                  </w14:solidFill>
                </w14:textFill>
              </w:rPr>
              <w:t>0.000481</w:t>
            </w:r>
          </w:p>
        </w:tc>
        <w:tc>
          <w:tcPr>
            <w:tcW w:w="915" w:type="pct"/>
            <w:shd w:val="clear" w:color="auto" w:fill="auto"/>
            <w:noWrap/>
            <w:vAlign w:val="center"/>
          </w:tcPr>
          <w:p w14:paraId="179A1E29">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0384A3CD">
            <w:pPr>
              <w:jc w:val="center"/>
              <w:rPr>
                <w:color w:val="000000" w:themeColor="text1"/>
                <w14:textFill>
                  <w14:solidFill>
                    <w14:schemeClr w14:val="tx1"/>
                  </w14:solidFill>
                </w14:textFill>
              </w:rPr>
            </w:pPr>
            <w:r>
              <w:rPr>
                <w:color w:val="000000" w:themeColor="text1"/>
                <w14:textFill>
                  <w14:solidFill>
                    <w14:schemeClr w14:val="tx1"/>
                  </w14:solidFill>
                </w14:textFill>
              </w:rPr>
              <w:t>0.003367</w:t>
            </w:r>
          </w:p>
        </w:tc>
        <w:tc>
          <w:tcPr>
            <w:tcW w:w="872" w:type="pct"/>
            <w:shd w:val="clear" w:color="auto" w:fill="auto"/>
            <w:noWrap/>
            <w:vAlign w:val="center"/>
          </w:tcPr>
          <w:p w14:paraId="5F1EA840">
            <w:pPr>
              <w:jc w:val="center"/>
              <w:rPr>
                <w:color w:val="000000" w:themeColor="text1"/>
                <w14:textFill>
                  <w14:solidFill>
                    <w14:schemeClr w14:val="tx1"/>
                  </w14:solidFill>
                </w14:textFill>
              </w:rPr>
            </w:pPr>
            <w:r>
              <w:rPr>
                <w:color w:val="000000" w:themeColor="text1"/>
                <w14:textFill>
                  <w14:solidFill>
                    <w14:schemeClr w14:val="tx1"/>
                  </w14:solidFill>
                </w14:textFill>
              </w:rPr>
              <w:t>0.17</w:t>
            </w:r>
          </w:p>
        </w:tc>
      </w:tr>
      <w:tr w14:paraId="5457091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2EDBF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1925</w:t>
            </w:r>
          </w:p>
        </w:tc>
        <w:tc>
          <w:tcPr>
            <w:tcW w:w="1331" w:type="pct"/>
            <w:shd w:val="clear" w:color="auto" w:fill="auto"/>
            <w:noWrap/>
            <w:vAlign w:val="center"/>
          </w:tcPr>
          <w:p w14:paraId="1ED1046A">
            <w:pPr>
              <w:jc w:val="center"/>
              <w:rPr>
                <w:color w:val="000000" w:themeColor="text1"/>
                <w14:textFill>
                  <w14:solidFill>
                    <w14:schemeClr w14:val="tx1"/>
                  </w14:solidFill>
                </w14:textFill>
              </w:rPr>
            </w:pPr>
            <w:r>
              <w:rPr>
                <w:color w:val="000000" w:themeColor="text1"/>
                <w14:textFill>
                  <w14:solidFill>
                    <w14:schemeClr w14:val="tx1"/>
                  </w14:solidFill>
                </w14:textFill>
              </w:rPr>
              <w:t>0.000477</w:t>
            </w:r>
          </w:p>
        </w:tc>
        <w:tc>
          <w:tcPr>
            <w:tcW w:w="915" w:type="pct"/>
            <w:shd w:val="clear" w:color="auto" w:fill="auto"/>
            <w:noWrap/>
            <w:vAlign w:val="center"/>
          </w:tcPr>
          <w:p w14:paraId="41CC16F7">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4EE84C04">
            <w:pPr>
              <w:jc w:val="center"/>
              <w:rPr>
                <w:color w:val="000000" w:themeColor="text1"/>
                <w14:textFill>
                  <w14:solidFill>
                    <w14:schemeClr w14:val="tx1"/>
                  </w14:solidFill>
                </w14:textFill>
              </w:rPr>
            </w:pPr>
            <w:r>
              <w:rPr>
                <w:color w:val="000000" w:themeColor="text1"/>
                <w14:textFill>
                  <w14:solidFill>
                    <w14:schemeClr w14:val="tx1"/>
                  </w14:solidFill>
                </w14:textFill>
              </w:rPr>
              <w:t>0.003337</w:t>
            </w:r>
          </w:p>
        </w:tc>
        <w:tc>
          <w:tcPr>
            <w:tcW w:w="872" w:type="pct"/>
            <w:shd w:val="clear" w:color="auto" w:fill="auto"/>
            <w:noWrap/>
            <w:vAlign w:val="center"/>
          </w:tcPr>
          <w:p w14:paraId="4AB99103">
            <w:pPr>
              <w:jc w:val="center"/>
              <w:rPr>
                <w:color w:val="000000" w:themeColor="text1"/>
                <w14:textFill>
                  <w14:solidFill>
                    <w14:schemeClr w14:val="tx1"/>
                  </w14:solidFill>
                </w14:textFill>
              </w:rPr>
            </w:pPr>
            <w:r>
              <w:rPr>
                <w:color w:val="000000" w:themeColor="text1"/>
                <w14:textFill>
                  <w14:solidFill>
                    <w14:schemeClr w14:val="tx1"/>
                  </w14:solidFill>
                </w14:textFill>
              </w:rPr>
              <w:t>0.17</w:t>
            </w:r>
          </w:p>
        </w:tc>
      </w:tr>
      <w:tr w14:paraId="2F646351">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93017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1950</w:t>
            </w:r>
          </w:p>
        </w:tc>
        <w:tc>
          <w:tcPr>
            <w:tcW w:w="1331" w:type="pct"/>
            <w:shd w:val="clear" w:color="auto" w:fill="auto"/>
            <w:noWrap/>
            <w:vAlign w:val="center"/>
          </w:tcPr>
          <w:p w14:paraId="0E656C2F">
            <w:pPr>
              <w:jc w:val="center"/>
              <w:rPr>
                <w:color w:val="000000" w:themeColor="text1"/>
                <w14:textFill>
                  <w14:solidFill>
                    <w14:schemeClr w14:val="tx1"/>
                  </w14:solidFill>
                </w14:textFill>
              </w:rPr>
            </w:pPr>
            <w:r>
              <w:rPr>
                <w:color w:val="000000" w:themeColor="text1"/>
                <w14:textFill>
                  <w14:solidFill>
                    <w14:schemeClr w14:val="tx1"/>
                  </w14:solidFill>
                </w14:textFill>
              </w:rPr>
              <w:t>0.000473</w:t>
            </w:r>
          </w:p>
        </w:tc>
        <w:tc>
          <w:tcPr>
            <w:tcW w:w="915" w:type="pct"/>
            <w:shd w:val="clear" w:color="auto" w:fill="auto"/>
            <w:noWrap/>
            <w:vAlign w:val="center"/>
          </w:tcPr>
          <w:p w14:paraId="7742B3A7">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2CBD6373">
            <w:pPr>
              <w:jc w:val="center"/>
              <w:rPr>
                <w:color w:val="000000" w:themeColor="text1"/>
                <w14:textFill>
                  <w14:solidFill>
                    <w14:schemeClr w14:val="tx1"/>
                  </w14:solidFill>
                </w14:textFill>
              </w:rPr>
            </w:pPr>
            <w:r>
              <w:rPr>
                <w:color w:val="000000" w:themeColor="text1"/>
                <w14:textFill>
                  <w14:solidFill>
                    <w14:schemeClr w14:val="tx1"/>
                  </w14:solidFill>
                </w14:textFill>
              </w:rPr>
              <w:t>0.003308</w:t>
            </w:r>
          </w:p>
        </w:tc>
        <w:tc>
          <w:tcPr>
            <w:tcW w:w="872" w:type="pct"/>
            <w:shd w:val="clear" w:color="auto" w:fill="auto"/>
            <w:noWrap/>
            <w:vAlign w:val="center"/>
          </w:tcPr>
          <w:p w14:paraId="72F821CB">
            <w:pPr>
              <w:jc w:val="center"/>
              <w:rPr>
                <w:color w:val="000000" w:themeColor="text1"/>
                <w14:textFill>
                  <w14:solidFill>
                    <w14:schemeClr w14:val="tx1"/>
                  </w14:solidFill>
                </w14:textFill>
              </w:rPr>
            </w:pPr>
            <w:r>
              <w:rPr>
                <w:color w:val="000000" w:themeColor="text1"/>
                <w14:textFill>
                  <w14:solidFill>
                    <w14:schemeClr w14:val="tx1"/>
                  </w14:solidFill>
                </w14:textFill>
              </w:rPr>
              <w:t>0.17</w:t>
            </w:r>
          </w:p>
        </w:tc>
      </w:tr>
      <w:tr w14:paraId="30F86CF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4EE15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1975</w:t>
            </w:r>
          </w:p>
        </w:tc>
        <w:tc>
          <w:tcPr>
            <w:tcW w:w="1331" w:type="pct"/>
            <w:shd w:val="clear" w:color="auto" w:fill="auto"/>
            <w:noWrap/>
            <w:vAlign w:val="center"/>
          </w:tcPr>
          <w:p w14:paraId="742E3CCF">
            <w:pPr>
              <w:jc w:val="center"/>
              <w:rPr>
                <w:color w:val="000000" w:themeColor="text1"/>
                <w14:textFill>
                  <w14:solidFill>
                    <w14:schemeClr w14:val="tx1"/>
                  </w14:solidFill>
                </w14:textFill>
              </w:rPr>
            </w:pPr>
            <w:r>
              <w:rPr>
                <w:color w:val="000000" w:themeColor="text1"/>
                <w14:textFill>
                  <w14:solidFill>
                    <w14:schemeClr w14:val="tx1"/>
                  </w14:solidFill>
                </w14:textFill>
              </w:rPr>
              <w:t>0.000468</w:t>
            </w:r>
          </w:p>
        </w:tc>
        <w:tc>
          <w:tcPr>
            <w:tcW w:w="915" w:type="pct"/>
            <w:shd w:val="clear" w:color="auto" w:fill="auto"/>
            <w:noWrap/>
            <w:vAlign w:val="center"/>
          </w:tcPr>
          <w:p w14:paraId="353189F2">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1AFA69B1">
            <w:pPr>
              <w:jc w:val="center"/>
              <w:rPr>
                <w:color w:val="000000" w:themeColor="text1"/>
                <w14:textFill>
                  <w14:solidFill>
                    <w14:schemeClr w14:val="tx1"/>
                  </w14:solidFill>
                </w14:textFill>
              </w:rPr>
            </w:pPr>
            <w:r>
              <w:rPr>
                <w:color w:val="000000" w:themeColor="text1"/>
                <w14:textFill>
                  <w14:solidFill>
                    <w14:schemeClr w14:val="tx1"/>
                  </w14:solidFill>
                </w14:textFill>
              </w:rPr>
              <w:t>0.003279</w:t>
            </w:r>
          </w:p>
        </w:tc>
        <w:tc>
          <w:tcPr>
            <w:tcW w:w="872" w:type="pct"/>
            <w:shd w:val="clear" w:color="auto" w:fill="auto"/>
            <w:noWrap/>
            <w:vAlign w:val="center"/>
          </w:tcPr>
          <w:p w14:paraId="6C9311AA">
            <w:pPr>
              <w:jc w:val="center"/>
              <w:rPr>
                <w:color w:val="000000" w:themeColor="text1"/>
                <w14:textFill>
                  <w14:solidFill>
                    <w14:schemeClr w14:val="tx1"/>
                  </w14:solidFill>
                </w14:textFill>
              </w:rPr>
            </w:pPr>
            <w:r>
              <w:rPr>
                <w:color w:val="000000" w:themeColor="text1"/>
                <w14:textFill>
                  <w14:solidFill>
                    <w14:schemeClr w14:val="tx1"/>
                  </w14:solidFill>
                </w14:textFill>
              </w:rPr>
              <w:t>0.16</w:t>
            </w:r>
          </w:p>
        </w:tc>
      </w:tr>
      <w:tr w14:paraId="3A79C0C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BF1DC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2000</w:t>
            </w:r>
          </w:p>
        </w:tc>
        <w:tc>
          <w:tcPr>
            <w:tcW w:w="1331" w:type="pct"/>
            <w:shd w:val="clear" w:color="auto" w:fill="auto"/>
            <w:noWrap/>
            <w:vAlign w:val="center"/>
          </w:tcPr>
          <w:p w14:paraId="12B9D56F">
            <w:pPr>
              <w:jc w:val="center"/>
              <w:rPr>
                <w:color w:val="000000" w:themeColor="text1"/>
                <w14:textFill>
                  <w14:solidFill>
                    <w14:schemeClr w14:val="tx1"/>
                  </w14:solidFill>
                </w14:textFill>
              </w:rPr>
            </w:pPr>
            <w:r>
              <w:rPr>
                <w:color w:val="000000" w:themeColor="text1"/>
                <w14:textFill>
                  <w14:solidFill>
                    <w14:schemeClr w14:val="tx1"/>
                  </w14:solidFill>
                </w14:textFill>
              </w:rPr>
              <w:t>0.000464</w:t>
            </w:r>
          </w:p>
        </w:tc>
        <w:tc>
          <w:tcPr>
            <w:tcW w:w="915" w:type="pct"/>
            <w:shd w:val="clear" w:color="auto" w:fill="auto"/>
            <w:noWrap/>
            <w:vAlign w:val="center"/>
          </w:tcPr>
          <w:p w14:paraId="7E95AEEF">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7545B276">
            <w:pPr>
              <w:jc w:val="center"/>
              <w:rPr>
                <w:color w:val="000000" w:themeColor="text1"/>
                <w14:textFill>
                  <w14:solidFill>
                    <w14:schemeClr w14:val="tx1"/>
                  </w14:solidFill>
                </w14:textFill>
              </w:rPr>
            </w:pPr>
            <w:r>
              <w:rPr>
                <w:color w:val="000000" w:themeColor="text1"/>
                <w14:textFill>
                  <w14:solidFill>
                    <w14:schemeClr w14:val="tx1"/>
                  </w14:solidFill>
                </w14:textFill>
              </w:rPr>
              <w:t>0.00325</w:t>
            </w:r>
          </w:p>
        </w:tc>
        <w:tc>
          <w:tcPr>
            <w:tcW w:w="872" w:type="pct"/>
            <w:shd w:val="clear" w:color="auto" w:fill="auto"/>
            <w:noWrap/>
            <w:vAlign w:val="center"/>
          </w:tcPr>
          <w:p w14:paraId="700248EC">
            <w:pPr>
              <w:jc w:val="center"/>
              <w:rPr>
                <w:color w:val="000000" w:themeColor="text1"/>
                <w14:textFill>
                  <w14:solidFill>
                    <w14:schemeClr w14:val="tx1"/>
                  </w14:solidFill>
                </w14:textFill>
              </w:rPr>
            </w:pPr>
            <w:r>
              <w:rPr>
                <w:color w:val="000000" w:themeColor="text1"/>
                <w14:textFill>
                  <w14:solidFill>
                    <w14:schemeClr w14:val="tx1"/>
                  </w14:solidFill>
                </w14:textFill>
              </w:rPr>
              <w:t>0.16</w:t>
            </w:r>
          </w:p>
        </w:tc>
      </w:tr>
      <w:tr w14:paraId="7C439EB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EDE7F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2025</w:t>
            </w:r>
          </w:p>
        </w:tc>
        <w:tc>
          <w:tcPr>
            <w:tcW w:w="1331" w:type="pct"/>
            <w:shd w:val="clear" w:color="auto" w:fill="auto"/>
            <w:noWrap/>
            <w:vAlign w:val="center"/>
          </w:tcPr>
          <w:p w14:paraId="3B5328B6">
            <w:pPr>
              <w:jc w:val="center"/>
              <w:rPr>
                <w:color w:val="000000" w:themeColor="text1"/>
                <w14:textFill>
                  <w14:solidFill>
                    <w14:schemeClr w14:val="tx1"/>
                  </w14:solidFill>
                </w14:textFill>
              </w:rPr>
            </w:pPr>
            <w:r>
              <w:rPr>
                <w:color w:val="000000" w:themeColor="text1"/>
                <w14:textFill>
                  <w14:solidFill>
                    <w14:schemeClr w14:val="tx1"/>
                  </w14:solidFill>
                </w14:textFill>
              </w:rPr>
              <w:t>0.00046</w:t>
            </w:r>
          </w:p>
        </w:tc>
        <w:tc>
          <w:tcPr>
            <w:tcW w:w="915" w:type="pct"/>
            <w:shd w:val="clear" w:color="auto" w:fill="auto"/>
            <w:noWrap/>
            <w:vAlign w:val="center"/>
          </w:tcPr>
          <w:p w14:paraId="5F2181B0">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3AD148CB">
            <w:pPr>
              <w:jc w:val="center"/>
              <w:rPr>
                <w:color w:val="000000" w:themeColor="text1"/>
                <w14:textFill>
                  <w14:solidFill>
                    <w14:schemeClr w14:val="tx1"/>
                  </w14:solidFill>
                </w14:textFill>
              </w:rPr>
            </w:pPr>
            <w:r>
              <w:rPr>
                <w:color w:val="000000" w:themeColor="text1"/>
                <w14:textFill>
                  <w14:solidFill>
                    <w14:schemeClr w14:val="tx1"/>
                  </w14:solidFill>
                </w14:textFill>
              </w:rPr>
              <w:t>0.003222</w:t>
            </w:r>
          </w:p>
        </w:tc>
        <w:tc>
          <w:tcPr>
            <w:tcW w:w="872" w:type="pct"/>
            <w:shd w:val="clear" w:color="auto" w:fill="auto"/>
            <w:noWrap/>
            <w:vAlign w:val="center"/>
          </w:tcPr>
          <w:p w14:paraId="55F3353E">
            <w:pPr>
              <w:jc w:val="center"/>
              <w:rPr>
                <w:color w:val="000000" w:themeColor="text1"/>
                <w14:textFill>
                  <w14:solidFill>
                    <w14:schemeClr w14:val="tx1"/>
                  </w14:solidFill>
                </w14:textFill>
              </w:rPr>
            </w:pPr>
            <w:r>
              <w:rPr>
                <w:color w:val="000000" w:themeColor="text1"/>
                <w14:textFill>
                  <w14:solidFill>
                    <w14:schemeClr w14:val="tx1"/>
                  </w14:solidFill>
                </w14:textFill>
              </w:rPr>
              <w:t>0.16</w:t>
            </w:r>
          </w:p>
        </w:tc>
      </w:tr>
      <w:tr w14:paraId="0223092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AC336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2050</w:t>
            </w:r>
          </w:p>
        </w:tc>
        <w:tc>
          <w:tcPr>
            <w:tcW w:w="1331" w:type="pct"/>
            <w:shd w:val="clear" w:color="auto" w:fill="auto"/>
            <w:noWrap/>
            <w:vAlign w:val="center"/>
          </w:tcPr>
          <w:p w14:paraId="715E7E42">
            <w:pPr>
              <w:jc w:val="center"/>
              <w:rPr>
                <w:color w:val="000000" w:themeColor="text1"/>
                <w14:textFill>
                  <w14:solidFill>
                    <w14:schemeClr w14:val="tx1"/>
                  </w14:solidFill>
                </w14:textFill>
              </w:rPr>
            </w:pPr>
            <w:r>
              <w:rPr>
                <w:color w:val="000000" w:themeColor="text1"/>
                <w14:textFill>
                  <w14:solidFill>
                    <w14:schemeClr w14:val="tx1"/>
                  </w14:solidFill>
                </w14:textFill>
              </w:rPr>
              <w:t>0.000456</w:t>
            </w:r>
          </w:p>
        </w:tc>
        <w:tc>
          <w:tcPr>
            <w:tcW w:w="915" w:type="pct"/>
            <w:shd w:val="clear" w:color="auto" w:fill="auto"/>
            <w:noWrap/>
            <w:vAlign w:val="center"/>
          </w:tcPr>
          <w:p w14:paraId="2B2CB925">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47232176">
            <w:pPr>
              <w:jc w:val="center"/>
              <w:rPr>
                <w:color w:val="000000" w:themeColor="text1"/>
                <w14:textFill>
                  <w14:solidFill>
                    <w14:schemeClr w14:val="tx1"/>
                  </w14:solidFill>
                </w14:textFill>
              </w:rPr>
            </w:pPr>
            <w:r>
              <w:rPr>
                <w:color w:val="000000" w:themeColor="text1"/>
                <w14:textFill>
                  <w14:solidFill>
                    <w14:schemeClr w14:val="tx1"/>
                  </w14:solidFill>
                </w14:textFill>
              </w:rPr>
              <w:t>0.003194</w:t>
            </w:r>
          </w:p>
        </w:tc>
        <w:tc>
          <w:tcPr>
            <w:tcW w:w="872" w:type="pct"/>
            <w:shd w:val="clear" w:color="auto" w:fill="auto"/>
            <w:noWrap/>
            <w:vAlign w:val="center"/>
          </w:tcPr>
          <w:p w14:paraId="73975C02">
            <w:pPr>
              <w:jc w:val="center"/>
              <w:rPr>
                <w:color w:val="000000" w:themeColor="text1"/>
                <w14:textFill>
                  <w14:solidFill>
                    <w14:schemeClr w14:val="tx1"/>
                  </w14:solidFill>
                </w14:textFill>
              </w:rPr>
            </w:pPr>
            <w:r>
              <w:rPr>
                <w:color w:val="000000" w:themeColor="text1"/>
                <w14:textFill>
                  <w14:solidFill>
                    <w14:schemeClr w14:val="tx1"/>
                  </w14:solidFill>
                </w14:textFill>
              </w:rPr>
              <w:t>0.16</w:t>
            </w:r>
          </w:p>
        </w:tc>
      </w:tr>
      <w:tr w14:paraId="55A1431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645687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2075</w:t>
            </w:r>
          </w:p>
        </w:tc>
        <w:tc>
          <w:tcPr>
            <w:tcW w:w="1331" w:type="pct"/>
            <w:shd w:val="clear" w:color="auto" w:fill="auto"/>
            <w:noWrap/>
            <w:vAlign w:val="center"/>
          </w:tcPr>
          <w:p w14:paraId="21B3943B">
            <w:pPr>
              <w:jc w:val="center"/>
              <w:rPr>
                <w:color w:val="000000" w:themeColor="text1"/>
                <w14:textFill>
                  <w14:solidFill>
                    <w14:schemeClr w14:val="tx1"/>
                  </w14:solidFill>
                </w14:textFill>
              </w:rPr>
            </w:pPr>
            <w:r>
              <w:rPr>
                <w:color w:val="000000" w:themeColor="text1"/>
                <w14:textFill>
                  <w14:solidFill>
                    <w14:schemeClr w14:val="tx1"/>
                  </w14:solidFill>
                </w14:textFill>
              </w:rPr>
              <w:t>0.000452</w:t>
            </w:r>
          </w:p>
        </w:tc>
        <w:tc>
          <w:tcPr>
            <w:tcW w:w="915" w:type="pct"/>
            <w:shd w:val="clear" w:color="auto" w:fill="auto"/>
            <w:noWrap/>
            <w:vAlign w:val="center"/>
          </w:tcPr>
          <w:p w14:paraId="290F4F52">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0592BEFB">
            <w:pPr>
              <w:jc w:val="center"/>
              <w:rPr>
                <w:color w:val="000000" w:themeColor="text1"/>
                <w14:textFill>
                  <w14:solidFill>
                    <w14:schemeClr w14:val="tx1"/>
                  </w14:solidFill>
                </w14:textFill>
              </w:rPr>
            </w:pPr>
            <w:r>
              <w:rPr>
                <w:color w:val="000000" w:themeColor="text1"/>
                <w14:textFill>
                  <w14:solidFill>
                    <w14:schemeClr w14:val="tx1"/>
                  </w14:solidFill>
                </w14:textFill>
              </w:rPr>
              <w:t>0.003167</w:t>
            </w:r>
          </w:p>
        </w:tc>
        <w:tc>
          <w:tcPr>
            <w:tcW w:w="872" w:type="pct"/>
            <w:shd w:val="clear" w:color="auto" w:fill="auto"/>
            <w:noWrap/>
            <w:vAlign w:val="center"/>
          </w:tcPr>
          <w:p w14:paraId="77B35E5F">
            <w:pPr>
              <w:jc w:val="center"/>
              <w:rPr>
                <w:color w:val="000000" w:themeColor="text1"/>
                <w14:textFill>
                  <w14:solidFill>
                    <w14:schemeClr w14:val="tx1"/>
                  </w14:solidFill>
                </w14:textFill>
              </w:rPr>
            </w:pPr>
            <w:r>
              <w:rPr>
                <w:color w:val="000000" w:themeColor="text1"/>
                <w14:textFill>
                  <w14:solidFill>
                    <w14:schemeClr w14:val="tx1"/>
                  </w14:solidFill>
                </w14:textFill>
              </w:rPr>
              <w:t>0.16</w:t>
            </w:r>
          </w:p>
        </w:tc>
      </w:tr>
      <w:tr w14:paraId="402F794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9BE53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2100</w:t>
            </w:r>
          </w:p>
        </w:tc>
        <w:tc>
          <w:tcPr>
            <w:tcW w:w="1331" w:type="pct"/>
            <w:shd w:val="clear" w:color="auto" w:fill="auto"/>
            <w:noWrap/>
            <w:vAlign w:val="center"/>
          </w:tcPr>
          <w:p w14:paraId="6903751F">
            <w:pPr>
              <w:jc w:val="center"/>
              <w:rPr>
                <w:color w:val="000000" w:themeColor="text1"/>
                <w14:textFill>
                  <w14:solidFill>
                    <w14:schemeClr w14:val="tx1"/>
                  </w14:solidFill>
                </w14:textFill>
              </w:rPr>
            </w:pPr>
            <w:r>
              <w:rPr>
                <w:color w:val="000000" w:themeColor="text1"/>
                <w14:textFill>
                  <w14:solidFill>
                    <w14:schemeClr w14:val="tx1"/>
                  </w14:solidFill>
                </w14:textFill>
              </w:rPr>
              <w:t>0.000449</w:t>
            </w:r>
          </w:p>
        </w:tc>
        <w:tc>
          <w:tcPr>
            <w:tcW w:w="915" w:type="pct"/>
            <w:shd w:val="clear" w:color="auto" w:fill="auto"/>
            <w:noWrap/>
            <w:vAlign w:val="center"/>
          </w:tcPr>
          <w:p w14:paraId="6D90B6B4">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71735398">
            <w:pPr>
              <w:jc w:val="center"/>
              <w:rPr>
                <w:color w:val="000000" w:themeColor="text1"/>
                <w14:textFill>
                  <w14:solidFill>
                    <w14:schemeClr w14:val="tx1"/>
                  </w14:solidFill>
                </w14:textFill>
              </w:rPr>
            </w:pPr>
            <w:r>
              <w:rPr>
                <w:color w:val="000000" w:themeColor="text1"/>
                <w14:textFill>
                  <w14:solidFill>
                    <w14:schemeClr w14:val="tx1"/>
                  </w14:solidFill>
                </w14:textFill>
              </w:rPr>
              <w:t>0.00314</w:t>
            </w:r>
          </w:p>
        </w:tc>
        <w:tc>
          <w:tcPr>
            <w:tcW w:w="872" w:type="pct"/>
            <w:shd w:val="clear" w:color="auto" w:fill="auto"/>
            <w:noWrap/>
            <w:vAlign w:val="center"/>
          </w:tcPr>
          <w:p w14:paraId="4AA1225B">
            <w:pPr>
              <w:jc w:val="center"/>
              <w:rPr>
                <w:color w:val="000000" w:themeColor="text1"/>
                <w14:textFill>
                  <w14:solidFill>
                    <w14:schemeClr w14:val="tx1"/>
                  </w14:solidFill>
                </w14:textFill>
              </w:rPr>
            </w:pPr>
            <w:r>
              <w:rPr>
                <w:color w:val="000000" w:themeColor="text1"/>
                <w14:textFill>
                  <w14:solidFill>
                    <w14:schemeClr w14:val="tx1"/>
                  </w14:solidFill>
                </w14:textFill>
              </w:rPr>
              <w:t>0.16</w:t>
            </w:r>
          </w:p>
        </w:tc>
      </w:tr>
      <w:tr w14:paraId="24BD1D2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D54A3E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2125</w:t>
            </w:r>
          </w:p>
        </w:tc>
        <w:tc>
          <w:tcPr>
            <w:tcW w:w="1331" w:type="pct"/>
            <w:shd w:val="clear" w:color="auto" w:fill="auto"/>
            <w:noWrap/>
            <w:vAlign w:val="center"/>
          </w:tcPr>
          <w:p w14:paraId="6E6711FA">
            <w:pPr>
              <w:jc w:val="center"/>
              <w:rPr>
                <w:color w:val="000000" w:themeColor="text1"/>
                <w14:textFill>
                  <w14:solidFill>
                    <w14:schemeClr w14:val="tx1"/>
                  </w14:solidFill>
                </w14:textFill>
              </w:rPr>
            </w:pPr>
            <w:r>
              <w:rPr>
                <w:color w:val="000000" w:themeColor="text1"/>
                <w14:textFill>
                  <w14:solidFill>
                    <w14:schemeClr w14:val="tx1"/>
                  </w14:solidFill>
                </w14:textFill>
              </w:rPr>
              <w:t>0.000445</w:t>
            </w:r>
          </w:p>
        </w:tc>
        <w:tc>
          <w:tcPr>
            <w:tcW w:w="915" w:type="pct"/>
            <w:shd w:val="clear" w:color="auto" w:fill="auto"/>
            <w:noWrap/>
            <w:vAlign w:val="center"/>
          </w:tcPr>
          <w:p w14:paraId="0F8312E6">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0A042712">
            <w:pPr>
              <w:jc w:val="center"/>
              <w:rPr>
                <w:color w:val="000000" w:themeColor="text1"/>
                <w14:textFill>
                  <w14:solidFill>
                    <w14:schemeClr w14:val="tx1"/>
                  </w14:solidFill>
                </w14:textFill>
              </w:rPr>
            </w:pPr>
            <w:r>
              <w:rPr>
                <w:color w:val="000000" w:themeColor="text1"/>
                <w14:textFill>
                  <w14:solidFill>
                    <w14:schemeClr w14:val="tx1"/>
                  </w14:solidFill>
                </w14:textFill>
              </w:rPr>
              <w:t>0.003114</w:t>
            </w:r>
          </w:p>
        </w:tc>
        <w:tc>
          <w:tcPr>
            <w:tcW w:w="872" w:type="pct"/>
            <w:shd w:val="clear" w:color="auto" w:fill="auto"/>
            <w:noWrap/>
            <w:vAlign w:val="center"/>
          </w:tcPr>
          <w:p w14:paraId="7B653064">
            <w:pPr>
              <w:jc w:val="center"/>
              <w:rPr>
                <w:color w:val="000000" w:themeColor="text1"/>
                <w14:textFill>
                  <w14:solidFill>
                    <w14:schemeClr w14:val="tx1"/>
                  </w14:solidFill>
                </w14:textFill>
              </w:rPr>
            </w:pPr>
            <w:r>
              <w:rPr>
                <w:color w:val="000000" w:themeColor="text1"/>
                <w14:textFill>
                  <w14:solidFill>
                    <w14:schemeClr w14:val="tx1"/>
                  </w14:solidFill>
                </w14:textFill>
              </w:rPr>
              <w:t>0.16</w:t>
            </w:r>
          </w:p>
        </w:tc>
      </w:tr>
      <w:tr w14:paraId="78FEF77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74024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2150</w:t>
            </w:r>
          </w:p>
        </w:tc>
        <w:tc>
          <w:tcPr>
            <w:tcW w:w="1331" w:type="pct"/>
            <w:shd w:val="clear" w:color="auto" w:fill="auto"/>
            <w:noWrap/>
            <w:vAlign w:val="center"/>
          </w:tcPr>
          <w:p w14:paraId="4C05AD63">
            <w:pPr>
              <w:jc w:val="center"/>
              <w:rPr>
                <w:color w:val="000000" w:themeColor="text1"/>
                <w14:textFill>
                  <w14:solidFill>
                    <w14:schemeClr w14:val="tx1"/>
                  </w14:solidFill>
                </w14:textFill>
              </w:rPr>
            </w:pPr>
            <w:r>
              <w:rPr>
                <w:color w:val="000000" w:themeColor="text1"/>
                <w14:textFill>
                  <w14:solidFill>
                    <w14:schemeClr w14:val="tx1"/>
                  </w14:solidFill>
                </w14:textFill>
              </w:rPr>
              <w:t>0.000441</w:t>
            </w:r>
          </w:p>
        </w:tc>
        <w:tc>
          <w:tcPr>
            <w:tcW w:w="915" w:type="pct"/>
            <w:shd w:val="clear" w:color="auto" w:fill="auto"/>
            <w:noWrap/>
            <w:vAlign w:val="center"/>
          </w:tcPr>
          <w:p w14:paraId="74F36433">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498471DB">
            <w:pPr>
              <w:jc w:val="center"/>
              <w:rPr>
                <w:color w:val="000000" w:themeColor="text1"/>
                <w14:textFill>
                  <w14:solidFill>
                    <w14:schemeClr w14:val="tx1"/>
                  </w14:solidFill>
                </w14:textFill>
              </w:rPr>
            </w:pPr>
            <w:r>
              <w:rPr>
                <w:color w:val="000000" w:themeColor="text1"/>
                <w14:textFill>
                  <w14:solidFill>
                    <w14:schemeClr w14:val="tx1"/>
                  </w14:solidFill>
                </w14:textFill>
              </w:rPr>
              <w:t>0.003088</w:t>
            </w:r>
          </w:p>
        </w:tc>
        <w:tc>
          <w:tcPr>
            <w:tcW w:w="872" w:type="pct"/>
            <w:shd w:val="clear" w:color="auto" w:fill="auto"/>
            <w:noWrap/>
            <w:vAlign w:val="center"/>
          </w:tcPr>
          <w:p w14:paraId="60A130C4">
            <w:pPr>
              <w:jc w:val="center"/>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250CCA1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3139D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2175</w:t>
            </w:r>
          </w:p>
        </w:tc>
        <w:tc>
          <w:tcPr>
            <w:tcW w:w="1331" w:type="pct"/>
            <w:shd w:val="clear" w:color="auto" w:fill="auto"/>
            <w:noWrap/>
            <w:vAlign w:val="center"/>
          </w:tcPr>
          <w:p w14:paraId="445CC87C">
            <w:pPr>
              <w:jc w:val="center"/>
              <w:rPr>
                <w:color w:val="000000" w:themeColor="text1"/>
                <w14:textFill>
                  <w14:solidFill>
                    <w14:schemeClr w14:val="tx1"/>
                  </w14:solidFill>
                </w14:textFill>
              </w:rPr>
            </w:pPr>
            <w:r>
              <w:rPr>
                <w:color w:val="000000" w:themeColor="text1"/>
                <w14:textFill>
                  <w14:solidFill>
                    <w14:schemeClr w14:val="tx1"/>
                  </w14:solidFill>
                </w14:textFill>
              </w:rPr>
              <w:t>0.000437</w:t>
            </w:r>
          </w:p>
        </w:tc>
        <w:tc>
          <w:tcPr>
            <w:tcW w:w="915" w:type="pct"/>
            <w:shd w:val="clear" w:color="auto" w:fill="auto"/>
            <w:noWrap/>
            <w:vAlign w:val="center"/>
          </w:tcPr>
          <w:p w14:paraId="3E88B659">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45B2F16B">
            <w:pPr>
              <w:jc w:val="center"/>
              <w:rPr>
                <w:color w:val="000000" w:themeColor="text1"/>
                <w14:textFill>
                  <w14:solidFill>
                    <w14:schemeClr w14:val="tx1"/>
                  </w14:solidFill>
                </w14:textFill>
              </w:rPr>
            </w:pPr>
            <w:r>
              <w:rPr>
                <w:color w:val="000000" w:themeColor="text1"/>
                <w14:textFill>
                  <w14:solidFill>
                    <w14:schemeClr w14:val="tx1"/>
                  </w14:solidFill>
                </w14:textFill>
              </w:rPr>
              <w:t>0.003062</w:t>
            </w:r>
          </w:p>
        </w:tc>
        <w:tc>
          <w:tcPr>
            <w:tcW w:w="872" w:type="pct"/>
            <w:shd w:val="clear" w:color="auto" w:fill="auto"/>
            <w:noWrap/>
            <w:vAlign w:val="center"/>
          </w:tcPr>
          <w:p w14:paraId="1A901EF2">
            <w:pPr>
              <w:jc w:val="center"/>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6CBCC9B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B79A7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2200</w:t>
            </w:r>
          </w:p>
        </w:tc>
        <w:tc>
          <w:tcPr>
            <w:tcW w:w="1331" w:type="pct"/>
            <w:shd w:val="clear" w:color="auto" w:fill="auto"/>
            <w:noWrap/>
            <w:vAlign w:val="center"/>
          </w:tcPr>
          <w:p w14:paraId="63170D7A">
            <w:pPr>
              <w:jc w:val="center"/>
              <w:rPr>
                <w:color w:val="000000" w:themeColor="text1"/>
                <w14:textFill>
                  <w14:solidFill>
                    <w14:schemeClr w14:val="tx1"/>
                  </w14:solidFill>
                </w14:textFill>
              </w:rPr>
            </w:pPr>
            <w:r>
              <w:rPr>
                <w:color w:val="000000" w:themeColor="text1"/>
                <w14:textFill>
                  <w14:solidFill>
                    <w14:schemeClr w14:val="tx1"/>
                  </w14:solidFill>
                </w14:textFill>
              </w:rPr>
              <w:t>0.000434</w:t>
            </w:r>
          </w:p>
        </w:tc>
        <w:tc>
          <w:tcPr>
            <w:tcW w:w="915" w:type="pct"/>
            <w:shd w:val="clear" w:color="auto" w:fill="auto"/>
            <w:noWrap/>
            <w:vAlign w:val="center"/>
          </w:tcPr>
          <w:p w14:paraId="77ABF5AA">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63D43908">
            <w:pPr>
              <w:jc w:val="center"/>
              <w:rPr>
                <w:color w:val="000000" w:themeColor="text1"/>
                <w14:textFill>
                  <w14:solidFill>
                    <w14:schemeClr w14:val="tx1"/>
                  </w14:solidFill>
                </w14:textFill>
              </w:rPr>
            </w:pPr>
            <w:r>
              <w:rPr>
                <w:color w:val="000000" w:themeColor="text1"/>
                <w14:textFill>
                  <w14:solidFill>
                    <w14:schemeClr w14:val="tx1"/>
                  </w14:solidFill>
                </w14:textFill>
              </w:rPr>
              <w:t>0.003037</w:t>
            </w:r>
          </w:p>
        </w:tc>
        <w:tc>
          <w:tcPr>
            <w:tcW w:w="872" w:type="pct"/>
            <w:shd w:val="clear" w:color="auto" w:fill="auto"/>
            <w:noWrap/>
            <w:vAlign w:val="center"/>
          </w:tcPr>
          <w:p w14:paraId="46180291">
            <w:pPr>
              <w:jc w:val="center"/>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6690AC6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660E4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2225</w:t>
            </w:r>
          </w:p>
        </w:tc>
        <w:tc>
          <w:tcPr>
            <w:tcW w:w="1331" w:type="pct"/>
            <w:shd w:val="clear" w:color="auto" w:fill="auto"/>
            <w:noWrap/>
            <w:vAlign w:val="center"/>
          </w:tcPr>
          <w:p w14:paraId="671C543A">
            <w:pPr>
              <w:jc w:val="center"/>
              <w:rPr>
                <w:color w:val="000000" w:themeColor="text1"/>
                <w14:textFill>
                  <w14:solidFill>
                    <w14:schemeClr w14:val="tx1"/>
                  </w14:solidFill>
                </w14:textFill>
              </w:rPr>
            </w:pPr>
            <w:r>
              <w:rPr>
                <w:color w:val="000000" w:themeColor="text1"/>
                <w14:textFill>
                  <w14:solidFill>
                    <w14:schemeClr w14:val="tx1"/>
                  </w14:solidFill>
                </w14:textFill>
              </w:rPr>
              <w:t>0.00043</w:t>
            </w:r>
          </w:p>
        </w:tc>
        <w:tc>
          <w:tcPr>
            <w:tcW w:w="915" w:type="pct"/>
            <w:shd w:val="clear" w:color="auto" w:fill="auto"/>
            <w:noWrap/>
            <w:vAlign w:val="center"/>
          </w:tcPr>
          <w:p w14:paraId="5B7A43D3">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66FB3DB8">
            <w:pPr>
              <w:jc w:val="center"/>
              <w:rPr>
                <w:color w:val="000000" w:themeColor="text1"/>
                <w14:textFill>
                  <w14:solidFill>
                    <w14:schemeClr w14:val="tx1"/>
                  </w14:solidFill>
                </w14:textFill>
              </w:rPr>
            </w:pPr>
            <w:r>
              <w:rPr>
                <w:color w:val="000000" w:themeColor="text1"/>
                <w14:textFill>
                  <w14:solidFill>
                    <w14:schemeClr w14:val="tx1"/>
                  </w14:solidFill>
                </w14:textFill>
              </w:rPr>
              <w:t>0.003012</w:t>
            </w:r>
          </w:p>
        </w:tc>
        <w:tc>
          <w:tcPr>
            <w:tcW w:w="872" w:type="pct"/>
            <w:shd w:val="clear" w:color="auto" w:fill="auto"/>
            <w:noWrap/>
            <w:vAlign w:val="center"/>
          </w:tcPr>
          <w:p w14:paraId="38C1196D">
            <w:pPr>
              <w:jc w:val="center"/>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4CE6680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CD9FB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2250</w:t>
            </w:r>
          </w:p>
        </w:tc>
        <w:tc>
          <w:tcPr>
            <w:tcW w:w="1331" w:type="pct"/>
            <w:shd w:val="clear" w:color="auto" w:fill="auto"/>
            <w:noWrap/>
            <w:vAlign w:val="center"/>
          </w:tcPr>
          <w:p w14:paraId="6921C18A">
            <w:pPr>
              <w:jc w:val="center"/>
              <w:rPr>
                <w:color w:val="000000" w:themeColor="text1"/>
                <w14:textFill>
                  <w14:solidFill>
                    <w14:schemeClr w14:val="tx1"/>
                  </w14:solidFill>
                </w14:textFill>
              </w:rPr>
            </w:pPr>
            <w:r>
              <w:rPr>
                <w:color w:val="000000" w:themeColor="text1"/>
                <w14:textFill>
                  <w14:solidFill>
                    <w14:schemeClr w14:val="tx1"/>
                  </w14:solidFill>
                </w14:textFill>
              </w:rPr>
              <w:t>0.000427</w:t>
            </w:r>
          </w:p>
        </w:tc>
        <w:tc>
          <w:tcPr>
            <w:tcW w:w="915" w:type="pct"/>
            <w:shd w:val="clear" w:color="auto" w:fill="auto"/>
            <w:noWrap/>
            <w:vAlign w:val="center"/>
          </w:tcPr>
          <w:p w14:paraId="5F5221CE">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057B6D63">
            <w:pPr>
              <w:jc w:val="center"/>
              <w:rPr>
                <w:color w:val="000000" w:themeColor="text1"/>
                <w14:textFill>
                  <w14:solidFill>
                    <w14:schemeClr w14:val="tx1"/>
                  </w14:solidFill>
                </w14:textFill>
              </w:rPr>
            </w:pPr>
            <w:r>
              <w:rPr>
                <w:color w:val="000000" w:themeColor="text1"/>
                <w14:textFill>
                  <w14:solidFill>
                    <w14:schemeClr w14:val="tx1"/>
                  </w14:solidFill>
                </w14:textFill>
              </w:rPr>
              <w:t>0.002987</w:t>
            </w:r>
          </w:p>
        </w:tc>
        <w:tc>
          <w:tcPr>
            <w:tcW w:w="872" w:type="pct"/>
            <w:shd w:val="clear" w:color="auto" w:fill="auto"/>
            <w:noWrap/>
            <w:vAlign w:val="center"/>
          </w:tcPr>
          <w:p w14:paraId="42240C1C">
            <w:pPr>
              <w:jc w:val="center"/>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0446FA8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8913E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2275</w:t>
            </w:r>
          </w:p>
        </w:tc>
        <w:tc>
          <w:tcPr>
            <w:tcW w:w="1331" w:type="pct"/>
            <w:shd w:val="clear" w:color="auto" w:fill="auto"/>
            <w:noWrap/>
            <w:vAlign w:val="center"/>
          </w:tcPr>
          <w:p w14:paraId="64896678">
            <w:pPr>
              <w:jc w:val="center"/>
              <w:rPr>
                <w:color w:val="000000" w:themeColor="text1"/>
                <w14:textFill>
                  <w14:solidFill>
                    <w14:schemeClr w14:val="tx1"/>
                  </w14:solidFill>
                </w14:textFill>
              </w:rPr>
            </w:pPr>
            <w:r>
              <w:rPr>
                <w:color w:val="000000" w:themeColor="text1"/>
                <w14:textFill>
                  <w14:solidFill>
                    <w14:schemeClr w14:val="tx1"/>
                  </w14:solidFill>
                </w14:textFill>
              </w:rPr>
              <w:t>0.000423</w:t>
            </w:r>
          </w:p>
        </w:tc>
        <w:tc>
          <w:tcPr>
            <w:tcW w:w="915" w:type="pct"/>
            <w:shd w:val="clear" w:color="auto" w:fill="auto"/>
            <w:noWrap/>
            <w:vAlign w:val="center"/>
          </w:tcPr>
          <w:p w14:paraId="186D6260">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3D682946">
            <w:pPr>
              <w:jc w:val="center"/>
              <w:rPr>
                <w:color w:val="000000" w:themeColor="text1"/>
                <w14:textFill>
                  <w14:solidFill>
                    <w14:schemeClr w14:val="tx1"/>
                  </w14:solidFill>
                </w14:textFill>
              </w:rPr>
            </w:pPr>
            <w:r>
              <w:rPr>
                <w:color w:val="000000" w:themeColor="text1"/>
                <w14:textFill>
                  <w14:solidFill>
                    <w14:schemeClr w14:val="tx1"/>
                  </w14:solidFill>
                </w14:textFill>
              </w:rPr>
              <w:t>0.002963</w:t>
            </w:r>
          </w:p>
        </w:tc>
        <w:tc>
          <w:tcPr>
            <w:tcW w:w="872" w:type="pct"/>
            <w:shd w:val="clear" w:color="auto" w:fill="auto"/>
            <w:noWrap/>
            <w:vAlign w:val="center"/>
          </w:tcPr>
          <w:p w14:paraId="3BF51A02">
            <w:pPr>
              <w:jc w:val="center"/>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426E4E2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13FC9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2300</w:t>
            </w:r>
          </w:p>
        </w:tc>
        <w:tc>
          <w:tcPr>
            <w:tcW w:w="1331" w:type="pct"/>
            <w:shd w:val="clear" w:color="auto" w:fill="auto"/>
            <w:noWrap/>
            <w:vAlign w:val="center"/>
          </w:tcPr>
          <w:p w14:paraId="2BA23C05">
            <w:pPr>
              <w:jc w:val="center"/>
              <w:rPr>
                <w:color w:val="000000" w:themeColor="text1"/>
                <w14:textFill>
                  <w14:solidFill>
                    <w14:schemeClr w14:val="tx1"/>
                  </w14:solidFill>
                </w14:textFill>
              </w:rPr>
            </w:pPr>
            <w:r>
              <w:rPr>
                <w:color w:val="000000" w:themeColor="text1"/>
                <w14:textFill>
                  <w14:solidFill>
                    <w14:schemeClr w14:val="tx1"/>
                  </w14:solidFill>
                </w14:textFill>
              </w:rPr>
              <w:t>0.00042</w:t>
            </w:r>
          </w:p>
        </w:tc>
        <w:tc>
          <w:tcPr>
            <w:tcW w:w="915" w:type="pct"/>
            <w:shd w:val="clear" w:color="auto" w:fill="auto"/>
            <w:noWrap/>
            <w:vAlign w:val="center"/>
          </w:tcPr>
          <w:p w14:paraId="43AEAA8C">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0372A356">
            <w:pPr>
              <w:jc w:val="center"/>
              <w:rPr>
                <w:color w:val="000000" w:themeColor="text1"/>
                <w14:textFill>
                  <w14:solidFill>
                    <w14:schemeClr w14:val="tx1"/>
                  </w14:solidFill>
                </w14:textFill>
              </w:rPr>
            </w:pPr>
            <w:r>
              <w:rPr>
                <w:color w:val="000000" w:themeColor="text1"/>
                <w14:textFill>
                  <w14:solidFill>
                    <w14:schemeClr w14:val="tx1"/>
                  </w14:solidFill>
                </w14:textFill>
              </w:rPr>
              <w:t>0.002939</w:t>
            </w:r>
          </w:p>
        </w:tc>
        <w:tc>
          <w:tcPr>
            <w:tcW w:w="872" w:type="pct"/>
            <w:shd w:val="clear" w:color="auto" w:fill="auto"/>
            <w:noWrap/>
            <w:vAlign w:val="center"/>
          </w:tcPr>
          <w:p w14:paraId="2B09D70A">
            <w:pPr>
              <w:jc w:val="center"/>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3345487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3C3205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2325</w:t>
            </w:r>
          </w:p>
        </w:tc>
        <w:tc>
          <w:tcPr>
            <w:tcW w:w="1331" w:type="pct"/>
            <w:shd w:val="clear" w:color="auto" w:fill="auto"/>
            <w:noWrap/>
            <w:vAlign w:val="center"/>
          </w:tcPr>
          <w:p w14:paraId="502A59E3">
            <w:pPr>
              <w:jc w:val="center"/>
              <w:rPr>
                <w:color w:val="000000" w:themeColor="text1"/>
                <w14:textFill>
                  <w14:solidFill>
                    <w14:schemeClr w14:val="tx1"/>
                  </w14:solidFill>
                </w14:textFill>
              </w:rPr>
            </w:pPr>
            <w:r>
              <w:rPr>
                <w:color w:val="000000" w:themeColor="text1"/>
                <w14:textFill>
                  <w14:solidFill>
                    <w14:schemeClr w14:val="tx1"/>
                  </w14:solidFill>
                </w14:textFill>
              </w:rPr>
              <w:t>0.000417</w:t>
            </w:r>
          </w:p>
        </w:tc>
        <w:tc>
          <w:tcPr>
            <w:tcW w:w="915" w:type="pct"/>
            <w:shd w:val="clear" w:color="auto" w:fill="auto"/>
            <w:noWrap/>
            <w:vAlign w:val="center"/>
          </w:tcPr>
          <w:p w14:paraId="5B2E38C7">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76E7AC82">
            <w:pPr>
              <w:jc w:val="center"/>
              <w:rPr>
                <w:color w:val="000000" w:themeColor="text1"/>
                <w14:textFill>
                  <w14:solidFill>
                    <w14:schemeClr w14:val="tx1"/>
                  </w14:solidFill>
                </w14:textFill>
              </w:rPr>
            </w:pPr>
            <w:r>
              <w:rPr>
                <w:color w:val="000000" w:themeColor="text1"/>
                <w14:textFill>
                  <w14:solidFill>
                    <w14:schemeClr w14:val="tx1"/>
                  </w14:solidFill>
                </w14:textFill>
              </w:rPr>
              <w:t>0.002916</w:t>
            </w:r>
          </w:p>
        </w:tc>
        <w:tc>
          <w:tcPr>
            <w:tcW w:w="872" w:type="pct"/>
            <w:shd w:val="clear" w:color="auto" w:fill="auto"/>
            <w:noWrap/>
            <w:vAlign w:val="center"/>
          </w:tcPr>
          <w:p w14:paraId="3DD3A3DD">
            <w:pPr>
              <w:jc w:val="center"/>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404D0A3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B058B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2350</w:t>
            </w:r>
          </w:p>
        </w:tc>
        <w:tc>
          <w:tcPr>
            <w:tcW w:w="1331" w:type="pct"/>
            <w:shd w:val="clear" w:color="auto" w:fill="auto"/>
            <w:noWrap/>
            <w:vAlign w:val="center"/>
          </w:tcPr>
          <w:p w14:paraId="58D31560">
            <w:pPr>
              <w:jc w:val="center"/>
              <w:rPr>
                <w:color w:val="000000" w:themeColor="text1"/>
                <w14:textFill>
                  <w14:solidFill>
                    <w14:schemeClr w14:val="tx1"/>
                  </w14:solidFill>
                </w14:textFill>
              </w:rPr>
            </w:pPr>
            <w:r>
              <w:rPr>
                <w:color w:val="000000" w:themeColor="text1"/>
                <w14:textFill>
                  <w14:solidFill>
                    <w14:schemeClr w14:val="tx1"/>
                  </w14:solidFill>
                </w14:textFill>
              </w:rPr>
              <w:t>0.000413</w:t>
            </w:r>
          </w:p>
        </w:tc>
        <w:tc>
          <w:tcPr>
            <w:tcW w:w="915" w:type="pct"/>
            <w:shd w:val="clear" w:color="auto" w:fill="auto"/>
            <w:noWrap/>
            <w:vAlign w:val="center"/>
          </w:tcPr>
          <w:p w14:paraId="4126700F">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290D452C">
            <w:pPr>
              <w:jc w:val="center"/>
              <w:rPr>
                <w:color w:val="000000" w:themeColor="text1"/>
                <w14:textFill>
                  <w14:solidFill>
                    <w14:schemeClr w14:val="tx1"/>
                  </w14:solidFill>
                </w14:textFill>
              </w:rPr>
            </w:pPr>
            <w:r>
              <w:rPr>
                <w:color w:val="000000" w:themeColor="text1"/>
                <w14:textFill>
                  <w14:solidFill>
                    <w14:schemeClr w14:val="tx1"/>
                  </w14:solidFill>
                </w14:textFill>
              </w:rPr>
              <w:t>0.002892</w:t>
            </w:r>
          </w:p>
        </w:tc>
        <w:tc>
          <w:tcPr>
            <w:tcW w:w="872" w:type="pct"/>
            <w:shd w:val="clear" w:color="auto" w:fill="auto"/>
            <w:noWrap/>
            <w:vAlign w:val="center"/>
          </w:tcPr>
          <w:p w14:paraId="30B34787">
            <w:pPr>
              <w:jc w:val="center"/>
              <w:rPr>
                <w:color w:val="000000" w:themeColor="text1"/>
                <w14:textFill>
                  <w14:solidFill>
                    <w14:schemeClr w14:val="tx1"/>
                  </w14:solidFill>
                </w14:textFill>
              </w:rPr>
            </w:pPr>
            <w:r>
              <w:rPr>
                <w:color w:val="000000" w:themeColor="text1"/>
                <w14:textFill>
                  <w14:solidFill>
                    <w14:schemeClr w14:val="tx1"/>
                  </w14:solidFill>
                </w14:textFill>
              </w:rPr>
              <w:t>0.14</w:t>
            </w:r>
          </w:p>
        </w:tc>
      </w:tr>
      <w:tr w14:paraId="176649D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C8B79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2375</w:t>
            </w:r>
          </w:p>
        </w:tc>
        <w:tc>
          <w:tcPr>
            <w:tcW w:w="1331" w:type="pct"/>
            <w:shd w:val="clear" w:color="auto" w:fill="auto"/>
            <w:noWrap/>
            <w:vAlign w:val="center"/>
          </w:tcPr>
          <w:p w14:paraId="4810EA42">
            <w:pPr>
              <w:jc w:val="center"/>
              <w:rPr>
                <w:color w:val="000000" w:themeColor="text1"/>
                <w14:textFill>
                  <w14:solidFill>
                    <w14:schemeClr w14:val="tx1"/>
                  </w14:solidFill>
                </w14:textFill>
              </w:rPr>
            </w:pPr>
            <w:r>
              <w:rPr>
                <w:color w:val="000000" w:themeColor="text1"/>
                <w14:textFill>
                  <w14:solidFill>
                    <w14:schemeClr w14:val="tx1"/>
                  </w14:solidFill>
                </w14:textFill>
              </w:rPr>
              <w:t>0.00041</w:t>
            </w:r>
          </w:p>
        </w:tc>
        <w:tc>
          <w:tcPr>
            <w:tcW w:w="915" w:type="pct"/>
            <w:shd w:val="clear" w:color="auto" w:fill="auto"/>
            <w:noWrap/>
            <w:vAlign w:val="center"/>
          </w:tcPr>
          <w:p w14:paraId="18D72B72">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1759E0C1">
            <w:pPr>
              <w:jc w:val="center"/>
              <w:rPr>
                <w:color w:val="000000" w:themeColor="text1"/>
                <w14:textFill>
                  <w14:solidFill>
                    <w14:schemeClr w14:val="tx1"/>
                  </w14:solidFill>
                </w14:textFill>
              </w:rPr>
            </w:pPr>
            <w:r>
              <w:rPr>
                <w:color w:val="000000" w:themeColor="text1"/>
                <w14:textFill>
                  <w14:solidFill>
                    <w14:schemeClr w14:val="tx1"/>
                  </w14:solidFill>
                </w14:textFill>
              </w:rPr>
              <w:t>0.00287</w:t>
            </w:r>
          </w:p>
        </w:tc>
        <w:tc>
          <w:tcPr>
            <w:tcW w:w="872" w:type="pct"/>
            <w:shd w:val="clear" w:color="auto" w:fill="auto"/>
            <w:noWrap/>
            <w:vAlign w:val="center"/>
          </w:tcPr>
          <w:p w14:paraId="3FC7D137">
            <w:pPr>
              <w:jc w:val="center"/>
              <w:rPr>
                <w:color w:val="000000" w:themeColor="text1"/>
                <w14:textFill>
                  <w14:solidFill>
                    <w14:schemeClr w14:val="tx1"/>
                  </w14:solidFill>
                </w14:textFill>
              </w:rPr>
            </w:pPr>
            <w:r>
              <w:rPr>
                <w:color w:val="000000" w:themeColor="text1"/>
                <w14:textFill>
                  <w14:solidFill>
                    <w14:schemeClr w14:val="tx1"/>
                  </w14:solidFill>
                </w14:textFill>
              </w:rPr>
              <w:t>0.14</w:t>
            </w:r>
          </w:p>
        </w:tc>
      </w:tr>
      <w:tr w14:paraId="08AEEBC6">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100C9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2400</w:t>
            </w:r>
          </w:p>
        </w:tc>
        <w:tc>
          <w:tcPr>
            <w:tcW w:w="1331" w:type="pct"/>
            <w:shd w:val="clear" w:color="auto" w:fill="auto"/>
            <w:noWrap/>
            <w:vAlign w:val="center"/>
          </w:tcPr>
          <w:p w14:paraId="2BC8088E">
            <w:pPr>
              <w:jc w:val="center"/>
              <w:rPr>
                <w:color w:val="000000" w:themeColor="text1"/>
                <w14:textFill>
                  <w14:solidFill>
                    <w14:schemeClr w14:val="tx1"/>
                  </w14:solidFill>
                </w14:textFill>
              </w:rPr>
            </w:pPr>
            <w:r>
              <w:rPr>
                <w:color w:val="000000" w:themeColor="text1"/>
                <w14:textFill>
                  <w14:solidFill>
                    <w14:schemeClr w14:val="tx1"/>
                  </w14:solidFill>
                </w14:textFill>
              </w:rPr>
              <w:t>0.000407</w:t>
            </w:r>
          </w:p>
        </w:tc>
        <w:tc>
          <w:tcPr>
            <w:tcW w:w="915" w:type="pct"/>
            <w:shd w:val="clear" w:color="auto" w:fill="auto"/>
            <w:noWrap/>
            <w:vAlign w:val="center"/>
          </w:tcPr>
          <w:p w14:paraId="427C460A">
            <w:pPr>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71" w:type="pct"/>
            <w:shd w:val="clear" w:color="auto" w:fill="auto"/>
            <w:noWrap/>
            <w:vAlign w:val="center"/>
          </w:tcPr>
          <w:p w14:paraId="364B88F1">
            <w:pPr>
              <w:jc w:val="center"/>
              <w:rPr>
                <w:color w:val="000000" w:themeColor="text1"/>
                <w14:textFill>
                  <w14:solidFill>
                    <w14:schemeClr w14:val="tx1"/>
                  </w14:solidFill>
                </w14:textFill>
              </w:rPr>
            </w:pPr>
            <w:r>
              <w:rPr>
                <w:color w:val="000000" w:themeColor="text1"/>
                <w14:textFill>
                  <w14:solidFill>
                    <w14:schemeClr w14:val="tx1"/>
                  </w14:solidFill>
                </w14:textFill>
              </w:rPr>
              <w:t>0.002847</w:t>
            </w:r>
          </w:p>
        </w:tc>
        <w:tc>
          <w:tcPr>
            <w:tcW w:w="872" w:type="pct"/>
            <w:shd w:val="clear" w:color="auto" w:fill="auto"/>
            <w:noWrap/>
            <w:vAlign w:val="center"/>
          </w:tcPr>
          <w:p w14:paraId="198914CF">
            <w:pPr>
              <w:jc w:val="center"/>
              <w:rPr>
                <w:color w:val="000000" w:themeColor="text1"/>
                <w14:textFill>
                  <w14:solidFill>
                    <w14:schemeClr w14:val="tx1"/>
                  </w14:solidFill>
                </w14:textFill>
              </w:rPr>
            </w:pPr>
            <w:r>
              <w:rPr>
                <w:color w:val="000000" w:themeColor="text1"/>
                <w14:textFill>
                  <w14:solidFill>
                    <w14:schemeClr w14:val="tx1"/>
                  </w14:solidFill>
                </w14:textFill>
              </w:rPr>
              <w:t>0.14</w:t>
            </w:r>
          </w:p>
        </w:tc>
      </w:tr>
      <w:tr w14:paraId="6D80048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C99E4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2425</w:t>
            </w:r>
          </w:p>
        </w:tc>
        <w:tc>
          <w:tcPr>
            <w:tcW w:w="1331" w:type="pct"/>
            <w:shd w:val="clear" w:color="auto" w:fill="auto"/>
            <w:noWrap/>
            <w:vAlign w:val="center"/>
          </w:tcPr>
          <w:p w14:paraId="68A02EAB">
            <w:pPr>
              <w:jc w:val="center"/>
              <w:rPr>
                <w:color w:val="000000" w:themeColor="text1"/>
                <w14:textFill>
                  <w14:solidFill>
                    <w14:schemeClr w14:val="tx1"/>
                  </w14:solidFill>
                </w14:textFill>
              </w:rPr>
            </w:pPr>
            <w:r>
              <w:rPr>
                <w:color w:val="000000" w:themeColor="text1"/>
                <w14:textFill>
                  <w14:solidFill>
                    <w14:schemeClr w14:val="tx1"/>
                  </w14:solidFill>
                </w14:textFill>
              </w:rPr>
              <w:t>0.000404</w:t>
            </w:r>
          </w:p>
        </w:tc>
        <w:tc>
          <w:tcPr>
            <w:tcW w:w="915" w:type="pct"/>
            <w:shd w:val="clear" w:color="auto" w:fill="auto"/>
            <w:noWrap/>
            <w:vAlign w:val="center"/>
          </w:tcPr>
          <w:p w14:paraId="62E61F75">
            <w:pPr>
              <w:jc w:val="center"/>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071" w:type="pct"/>
            <w:shd w:val="clear" w:color="auto" w:fill="auto"/>
            <w:noWrap/>
            <w:vAlign w:val="center"/>
          </w:tcPr>
          <w:p w14:paraId="31958A6D">
            <w:pPr>
              <w:jc w:val="center"/>
              <w:rPr>
                <w:color w:val="000000" w:themeColor="text1"/>
                <w14:textFill>
                  <w14:solidFill>
                    <w14:schemeClr w14:val="tx1"/>
                  </w14:solidFill>
                </w14:textFill>
              </w:rPr>
            </w:pPr>
            <w:r>
              <w:rPr>
                <w:color w:val="000000" w:themeColor="text1"/>
                <w14:textFill>
                  <w14:solidFill>
                    <w14:schemeClr w14:val="tx1"/>
                  </w14:solidFill>
                </w14:textFill>
              </w:rPr>
              <w:t>0.002827</w:t>
            </w:r>
          </w:p>
        </w:tc>
        <w:tc>
          <w:tcPr>
            <w:tcW w:w="872" w:type="pct"/>
            <w:shd w:val="clear" w:color="auto" w:fill="auto"/>
            <w:noWrap/>
            <w:vAlign w:val="center"/>
          </w:tcPr>
          <w:p w14:paraId="52292E7D">
            <w:pPr>
              <w:jc w:val="center"/>
              <w:rPr>
                <w:color w:val="000000" w:themeColor="text1"/>
                <w14:textFill>
                  <w14:solidFill>
                    <w14:schemeClr w14:val="tx1"/>
                  </w14:solidFill>
                </w14:textFill>
              </w:rPr>
            </w:pPr>
            <w:r>
              <w:rPr>
                <w:color w:val="000000" w:themeColor="text1"/>
                <w14:textFill>
                  <w14:solidFill>
                    <w14:schemeClr w14:val="tx1"/>
                  </w14:solidFill>
                </w14:textFill>
              </w:rPr>
              <w:t>0.14</w:t>
            </w:r>
          </w:p>
        </w:tc>
      </w:tr>
      <w:tr w14:paraId="6F490ED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B3EEB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2450</w:t>
            </w:r>
          </w:p>
        </w:tc>
        <w:tc>
          <w:tcPr>
            <w:tcW w:w="1331" w:type="pct"/>
            <w:shd w:val="clear" w:color="auto" w:fill="auto"/>
            <w:noWrap/>
            <w:vAlign w:val="center"/>
          </w:tcPr>
          <w:p w14:paraId="755B7188">
            <w:pPr>
              <w:jc w:val="center"/>
              <w:rPr>
                <w:color w:val="000000" w:themeColor="text1"/>
                <w14:textFill>
                  <w14:solidFill>
                    <w14:schemeClr w14:val="tx1"/>
                  </w14:solidFill>
                </w14:textFill>
              </w:rPr>
            </w:pPr>
            <w:r>
              <w:rPr>
                <w:color w:val="000000" w:themeColor="text1"/>
                <w14:textFill>
                  <w14:solidFill>
                    <w14:schemeClr w14:val="tx1"/>
                  </w14:solidFill>
                </w14:textFill>
              </w:rPr>
              <w:t>0.000401</w:t>
            </w:r>
          </w:p>
        </w:tc>
        <w:tc>
          <w:tcPr>
            <w:tcW w:w="915" w:type="pct"/>
            <w:shd w:val="clear" w:color="auto" w:fill="auto"/>
            <w:noWrap/>
            <w:vAlign w:val="center"/>
          </w:tcPr>
          <w:p w14:paraId="67B82F59">
            <w:pPr>
              <w:jc w:val="center"/>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071" w:type="pct"/>
            <w:shd w:val="clear" w:color="auto" w:fill="auto"/>
            <w:noWrap/>
            <w:vAlign w:val="center"/>
          </w:tcPr>
          <w:p w14:paraId="714A18B7">
            <w:pPr>
              <w:jc w:val="center"/>
              <w:rPr>
                <w:color w:val="000000" w:themeColor="text1"/>
                <w14:textFill>
                  <w14:solidFill>
                    <w14:schemeClr w14:val="tx1"/>
                  </w14:solidFill>
                </w14:textFill>
              </w:rPr>
            </w:pPr>
            <w:r>
              <w:rPr>
                <w:color w:val="000000" w:themeColor="text1"/>
                <w14:textFill>
                  <w14:solidFill>
                    <w14:schemeClr w14:val="tx1"/>
                  </w14:solidFill>
                </w14:textFill>
              </w:rPr>
              <w:t>0.002809</w:t>
            </w:r>
          </w:p>
        </w:tc>
        <w:tc>
          <w:tcPr>
            <w:tcW w:w="872" w:type="pct"/>
            <w:shd w:val="clear" w:color="auto" w:fill="auto"/>
            <w:noWrap/>
            <w:vAlign w:val="center"/>
          </w:tcPr>
          <w:p w14:paraId="6FD34357">
            <w:pPr>
              <w:jc w:val="center"/>
              <w:rPr>
                <w:color w:val="000000" w:themeColor="text1"/>
                <w14:textFill>
                  <w14:solidFill>
                    <w14:schemeClr w14:val="tx1"/>
                  </w14:solidFill>
                </w14:textFill>
              </w:rPr>
            </w:pPr>
            <w:r>
              <w:rPr>
                <w:color w:val="000000" w:themeColor="text1"/>
                <w14:textFill>
                  <w14:solidFill>
                    <w14:schemeClr w14:val="tx1"/>
                  </w14:solidFill>
                </w14:textFill>
              </w:rPr>
              <w:t>0.14</w:t>
            </w:r>
          </w:p>
        </w:tc>
      </w:tr>
      <w:tr w14:paraId="07C1360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F68BD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2475</w:t>
            </w:r>
          </w:p>
        </w:tc>
        <w:tc>
          <w:tcPr>
            <w:tcW w:w="1331" w:type="pct"/>
            <w:shd w:val="clear" w:color="auto" w:fill="auto"/>
            <w:noWrap/>
            <w:vAlign w:val="center"/>
          </w:tcPr>
          <w:p w14:paraId="7D2FE0E4">
            <w:pPr>
              <w:jc w:val="center"/>
              <w:rPr>
                <w:color w:val="000000" w:themeColor="text1"/>
                <w14:textFill>
                  <w14:solidFill>
                    <w14:schemeClr w14:val="tx1"/>
                  </w14:solidFill>
                </w14:textFill>
              </w:rPr>
            </w:pPr>
            <w:r>
              <w:rPr>
                <w:color w:val="000000" w:themeColor="text1"/>
                <w14:textFill>
                  <w14:solidFill>
                    <w14:schemeClr w14:val="tx1"/>
                  </w14:solidFill>
                </w14:textFill>
              </w:rPr>
              <w:t>0.000399</w:t>
            </w:r>
          </w:p>
        </w:tc>
        <w:tc>
          <w:tcPr>
            <w:tcW w:w="915" w:type="pct"/>
            <w:shd w:val="clear" w:color="auto" w:fill="auto"/>
            <w:noWrap/>
            <w:vAlign w:val="center"/>
          </w:tcPr>
          <w:p w14:paraId="3EC2FD83">
            <w:pPr>
              <w:jc w:val="center"/>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071" w:type="pct"/>
            <w:shd w:val="clear" w:color="auto" w:fill="auto"/>
            <w:noWrap/>
            <w:vAlign w:val="center"/>
          </w:tcPr>
          <w:p w14:paraId="60BD692A">
            <w:pPr>
              <w:jc w:val="center"/>
              <w:rPr>
                <w:color w:val="000000" w:themeColor="text1"/>
                <w14:textFill>
                  <w14:solidFill>
                    <w14:schemeClr w14:val="tx1"/>
                  </w14:solidFill>
                </w14:textFill>
              </w:rPr>
            </w:pPr>
            <w:r>
              <w:rPr>
                <w:color w:val="000000" w:themeColor="text1"/>
                <w14:textFill>
                  <w14:solidFill>
                    <w14:schemeClr w14:val="tx1"/>
                  </w14:solidFill>
                </w14:textFill>
              </w:rPr>
              <w:t>0.002791</w:t>
            </w:r>
          </w:p>
        </w:tc>
        <w:tc>
          <w:tcPr>
            <w:tcW w:w="872" w:type="pct"/>
            <w:shd w:val="clear" w:color="auto" w:fill="auto"/>
            <w:noWrap/>
            <w:vAlign w:val="center"/>
          </w:tcPr>
          <w:p w14:paraId="7B6CB149">
            <w:pPr>
              <w:jc w:val="center"/>
              <w:rPr>
                <w:color w:val="000000" w:themeColor="text1"/>
                <w14:textFill>
                  <w14:solidFill>
                    <w14:schemeClr w14:val="tx1"/>
                  </w14:solidFill>
                </w14:textFill>
              </w:rPr>
            </w:pPr>
            <w:r>
              <w:rPr>
                <w:color w:val="000000" w:themeColor="text1"/>
                <w14:textFill>
                  <w14:solidFill>
                    <w14:schemeClr w14:val="tx1"/>
                  </w14:solidFill>
                </w14:textFill>
              </w:rPr>
              <w:t>0.14</w:t>
            </w:r>
          </w:p>
        </w:tc>
      </w:tr>
      <w:tr w14:paraId="25B111B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79A96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2500</w:t>
            </w:r>
          </w:p>
        </w:tc>
        <w:tc>
          <w:tcPr>
            <w:tcW w:w="1331" w:type="pct"/>
            <w:shd w:val="clear" w:color="auto" w:fill="auto"/>
            <w:noWrap/>
            <w:vAlign w:val="center"/>
          </w:tcPr>
          <w:p w14:paraId="28ABFA6D">
            <w:pPr>
              <w:jc w:val="center"/>
              <w:rPr>
                <w:color w:val="000000" w:themeColor="text1"/>
                <w14:textFill>
                  <w14:solidFill>
                    <w14:schemeClr w14:val="tx1"/>
                  </w14:solidFill>
                </w14:textFill>
              </w:rPr>
            </w:pPr>
            <w:r>
              <w:rPr>
                <w:color w:val="000000" w:themeColor="text1"/>
                <w14:textFill>
                  <w14:solidFill>
                    <w14:schemeClr w14:val="tx1"/>
                  </w14:solidFill>
                </w14:textFill>
              </w:rPr>
              <w:t>0.000396</w:t>
            </w:r>
          </w:p>
        </w:tc>
        <w:tc>
          <w:tcPr>
            <w:tcW w:w="915" w:type="pct"/>
            <w:shd w:val="clear" w:color="auto" w:fill="auto"/>
            <w:noWrap/>
            <w:vAlign w:val="center"/>
          </w:tcPr>
          <w:p w14:paraId="06C998CD">
            <w:pPr>
              <w:jc w:val="center"/>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071" w:type="pct"/>
            <w:shd w:val="clear" w:color="auto" w:fill="auto"/>
            <w:noWrap/>
            <w:vAlign w:val="center"/>
          </w:tcPr>
          <w:p w14:paraId="56513F24">
            <w:pPr>
              <w:jc w:val="center"/>
              <w:rPr>
                <w:color w:val="000000" w:themeColor="text1"/>
                <w14:textFill>
                  <w14:solidFill>
                    <w14:schemeClr w14:val="tx1"/>
                  </w14:solidFill>
                </w14:textFill>
              </w:rPr>
            </w:pPr>
            <w:r>
              <w:rPr>
                <w:color w:val="000000" w:themeColor="text1"/>
                <w14:textFill>
                  <w14:solidFill>
                    <w14:schemeClr w14:val="tx1"/>
                  </w14:solidFill>
                </w14:textFill>
              </w:rPr>
              <w:t>0.002773</w:t>
            </w:r>
          </w:p>
        </w:tc>
        <w:tc>
          <w:tcPr>
            <w:tcW w:w="872" w:type="pct"/>
            <w:shd w:val="clear" w:color="auto" w:fill="auto"/>
            <w:noWrap/>
            <w:vAlign w:val="center"/>
          </w:tcPr>
          <w:p w14:paraId="14757C53">
            <w:pPr>
              <w:jc w:val="center"/>
              <w:rPr>
                <w:color w:val="000000" w:themeColor="text1"/>
                <w14:textFill>
                  <w14:solidFill>
                    <w14:schemeClr w14:val="tx1"/>
                  </w14:solidFill>
                </w14:textFill>
              </w:rPr>
            </w:pPr>
            <w:r>
              <w:rPr>
                <w:color w:val="000000" w:themeColor="text1"/>
                <w14:textFill>
                  <w14:solidFill>
                    <w14:schemeClr w14:val="tx1"/>
                  </w14:solidFill>
                </w14:textFill>
              </w:rPr>
              <w:t>0.14</w:t>
            </w:r>
          </w:p>
        </w:tc>
      </w:tr>
    </w:tbl>
    <w:p w14:paraId="438BF7A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废气非正常排放情况下，根据预测表明，颗粒物下风向预测最大浓度为</w:t>
      </w:r>
      <w:r>
        <w:rPr>
          <w:b/>
          <w:color w:val="000000" w:themeColor="text1"/>
          <w:kern w:val="0"/>
          <w:sz w:val="24"/>
          <w14:textFill>
            <w14:solidFill>
              <w14:schemeClr w14:val="tx1"/>
            </w14:solidFill>
          </w14:textFill>
        </w:rPr>
        <w:t>0.001077</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color w:val="000000" w:themeColor="text1"/>
          <w:kern w:val="0"/>
          <w:sz w:val="24"/>
          <w14:textFill>
            <w14:solidFill>
              <w14:schemeClr w14:val="tx1"/>
            </w14:solidFill>
          </w14:textFill>
        </w:rPr>
        <w:t>最大浓度占标率为0.12%</w:t>
      </w:r>
      <w:r>
        <w:rPr>
          <w:color w:val="000000" w:themeColor="text1"/>
          <w:sz w:val="24"/>
          <w14:textFill>
            <w14:solidFill>
              <w14:schemeClr w14:val="tx1"/>
            </w14:solidFill>
          </w14:textFill>
        </w:rPr>
        <w:t>，非甲烷总烃下风向预测最大浓度为</w:t>
      </w:r>
      <w:r>
        <w:rPr>
          <w:b/>
          <w:color w:val="000000" w:themeColor="text1"/>
          <w:kern w:val="0"/>
          <w:sz w:val="24"/>
          <w14:textFill>
            <w14:solidFill>
              <w14:schemeClr w14:val="tx1"/>
            </w14:solidFill>
          </w14:textFill>
        </w:rPr>
        <w:t>0.007536</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color w:val="000000" w:themeColor="text1"/>
          <w:kern w:val="0"/>
          <w:sz w:val="24"/>
          <w14:textFill>
            <w14:solidFill>
              <w14:schemeClr w14:val="tx1"/>
            </w14:solidFill>
          </w14:textFill>
        </w:rPr>
        <w:t>最大浓度占标率为0.38%</w:t>
      </w:r>
      <w:r>
        <w:rPr>
          <w:color w:val="000000" w:themeColor="text1"/>
          <w:sz w:val="24"/>
          <w14:textFill>
            <w14:solidFill>
              <w14:schemeClr w14:val="tx1"/>
            </w14:solidFill>
          </w14:textFill>
        </w:rPr>
        <w:t>，出现在污染源下风向196m处，能满足GB3095－2012《环境空气质量标准》二级标准；</w:t>
      </w:r>
    </w:p>
    <w:p w14:paraId="2717AF49">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但颗粒物、非甲烷总烃落地排放浓度较正常工况增加几倍，因此本项目应该加强废气治理设施的日常维护和检修，保证各污染治理设施高效率正常运转；应制定严格的生产管理制度和责任制度，发现故障及时修复处理，若出现异常情况必须立即停止生产，杜绝废气非正常排放，有效防止废气污染物排放事故发生。</w:t>
      </w:r>
    </w:p>
    <w:p w14:paraId="30E15514">
      <w:pPr>
        <w:pStyle w:val="105"/>
        <w:rPr>
          <w:rFonts w:cs="Times New Roman"/>
          <w:color w:val="000000" w:themeColor="text1"/>
          <w14:textFill>
            <w14:solidFill>
              <w14:schemeClr w14:val="tx1"/>
            </w14:solidFill>
          </w14:textFill>
        </w:rPr>
      </w:pPr>
      <w:bookmarkStart w:id="395" w:name="_Toc482952950"/>
      <w:bookmarkStart w:id="396" w:name="_Toc484069847"/>
      <w:r>
        <w:rPr>
          <w:rFonts w:cs="Times New Roman"/>
          <w:color w:val="000000" w:themeColor="text1"/>
          <w14:textFill>
            <w14:solidFill>
              <w14:schemeClr w14:val="tx1"/>
            </w14:solidFill>
          </w14:textFill>
        </w:rPr>
        <w:t>6.1.5环境防护距离</w:t>
      </w:r>
      <w:bookmarkEnd w:id="395"/>
      <w:bookmarkEnd w:id="396"/>
    </w:p>
    <w:p w14:paraId="5E6FCCE1">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HJ/T2.2-2018《环境影响评价技术导则－大气环境》，“8.7.5章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65AD7CAA">
      <w:pPr>
        <w:autoSpaceDE w:val="0"/>
        <w:autoSpaceDN w:val="0"/>
        <w:adjustRightInd w:val="0"/>
        <w:spacing w:line="360" w:lineRule="auto"/>
        <w:ind w:firstLine="480"/>
        <w:jc w:val="left"/>
        <w:rPr>
          <w:color w:val="FF0000"/>
          <w:sz w:val="24"/>
        </w:rPr>
      </w:pPr>
      <w:r>
        <w:rPr>
          <w:color w:val="FF0000"/>
          <w:sz w:val="24"/>
        </w:rPr>
        <w:t>根据上述预测分析，本项目颗粒物、非甲烷总烃厂界落地浓度满足</w:t>
      </w:r>
      <w:r>
        <w:rPr>
          <w:rFonts w:hint="eastAsia"/>
          <w:color w:val="FF0000"/>
          <w:sz w:val="24"/>
        </w:rPr>
        <w:t>《合成树脂工业污染物排放标准》（</w:t>
      </w:r>
      <w:r>
        <w:rPr>
          <w:color w:val="FF0000"/>
          <w:sz w:val="24"/>
        </w:rPr>
        <w:t>GB31572-2015</w:t>
      </w:r>
      <w:r>
        <w:rPr>
          <w:rFonts w:hint="eastAsia"/>
          <w:color w:val="FF0000"/>
          <w:sz w:val="24"/>
        </w:rPr>
        <w:t>）</w:t>
      </w:r>
      <w:r>
        <w:rPr>
          <w:color w:val="FF0000"/>
          <w:sz w:val="24"/>
        </w:rPr>
        <w:t>颗粒物1.0 mg/m</w:t>
      </w:r>
      <w:r>
        <w:rPr>
          <w:color w:val="FF0000"/>
          <w:sz w:val="24"/>
          <w:vertAlign w:val="superscript"/>
        </w:rPr>
        <w:t>3</w:t>
      </w:r>
      <w:r>
        <w:rPr>
          <w:color w:val="FF0000"/>
          <w:sz w:val="24"/>
        </w:rPr>
        <w:t>、非甲烷总烃4.0mg/m</w:t>
      </w:r>
      <w:r>
        <w:rPr>
          <w:color w:val="FF0000"/>
          <w:sz w:val="24"/>
          <w:vertAlign w:val="superscript"/>
        </w:rPr>
        <w:t>3</w:t>
      </w:r>
      <w:r>
        <w:rPr>
          <w:color w:val="FF0000"/>
          <w:sz w:val="24"/>
        </w:rPr>
        <w:t>的要求，因此无需设置大气环境防护距离。</w:t>
      </w:r>
    </w:p>
    <w:p w14:paraId="199CA873">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6.1.6污染物排放量核算</w:t>
      </w:r>
    </w:p>
    <w:p w14:paraId="26435F99">
      <w:pPr>
        <w:autoSpaceDE w:val="0"/>
        <w:autoSpaceDN w:val="0"/>
        <w:adjustRightInd w:val="0"/>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 大气环境》（HJ2.2-2018）中 8.1.2“二级评价项目不进行进一步预测与评价，只对污染物排放量进行核算”，本项目为二级评价，因此主要对项目污染物排放量进行核算。</w:t>
      </w:r>
    </w:p>
    <w:p w14:paraId="25EA3E4D">
      <w:pPr>
        <w:autoSpaceDE w:val="0"/>
        <w:autoSpaceDN w:val="0"/>
        <w:adjustRightInd w:val="0"/>
        <w:spacing w:line="360" w:lineRule="auto"/>
        <w:ind w:firstLine="48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1、有组织排放量核算</w:t>
      </w:r>
    </w:p>
    <w:p w14:paraId="46C91172">
      <w:pPr>
        <w:autoSpaceDE w:val="0"/>
        <w:autoSpaceDN w:val="0"/>
        <w:adjustRightInd w:val="0"/>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根据工程分析，项目污染物有组织排放量核算见表6.1-10。</w:t>
      </w:r>
    </w:p>
    <w:p w14:paraId="0B8BD5A0">
      <w:pPr>
        <w:tabs>
          <w:tab w:val="left" w:pos="3267"/>
        </w:tabs>
        <w:autoSpaceDE w:val="0"/>
        <w:autoSpaceDN w:val="0"/>
        <w:spacing w:line="360" w:lineRule="auto"/>
        <w:jc w:val="center"/>
        <w:rPr>
          <w:rFonts w:eastAsiaTheme="minorEastAsia"/>
          <w:b/>
          <w:color w:val="000000" w:themeColor="text1"/>
          <w:kern w:val="0"/>
          <w:sz w:val="24"/>
          <w:szCs w:val="22"/>
          <w14:textFill>
            <w14:solidFill>
              <w14:schemeClr w14:val="tx1"/>
            </w14:solidFill>
          </w14:textFill>
        </w:rPr>
      </w:pPr>
      <w:r>
        <w:rPr>
          <w:rFonts w:eastAsiaTheme="minorEastAsia"/>
          <w:b/>
          <w:color w:val="000000" w:themeColor="text1"/>
          <w:kern w:val="0"/>
          <w:sz w:val="24"/>
          <w:szCs w:val="22"/>
          <w14:textFill>
            <w14:solidFill>
              <w14:schemeClr w14:val="tx1"/>
            </w14:solidFill>
          </w14:textFill>
        </w:rPr>
        <w:t xml:space="preserve">表6.1-10   </w:t>
      </w:r>
      <w:r>
        <w:rPr>
          <w:rFonts w:eastAsiaTheme="minorEastAsia"/>
          <w:b/>
          <w:color w:val="000000" w:themeColor="text1"/>
          <w:w w:val="95"/>
          <w:kern w:val="0"/>
          <w:sz w:val="24"/>
          <w:szCs w:val="22"/>
          <w14:textFill>
            <w14:solidFill>
              <w14:schemeClr w14:val="tx1"/>
            </w14:solidFill>
          </w14:textFill>
        </w:rPr>
        <w:t>项目大气污染物有组织排放量核算表</w:t>
      </w:r>
    </w:p>
    <w:tbl>
      <w:tblPr>
        <w:tblStyle w:val="29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1632"/>
        <w:gridCol w:w="1849"/>
        <w:gridCol w:w="1849"/>
        <w:gridCol w:w="1847"/>
      </w:tblGrid>
      <w:tr w14:paraId="4F471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5" w:type="pct"/>
            <w:shd w:val="clear" w:color="auto" w:fill="auto"/>
            <w:vAlign w:val="center"/>
          </w:tcPr>
          <w:p w14:paraId="6DE5D44C">
            <w:pPr>
              <w:autoSpaceDE w:val="0"/>
              <w:autoSpaceDN w:val="0"/>
              <w:ind w:left="105" w:leftChars="50" w:right="105" w:rightChars="50"/>
              <w:jc w:val="center"/>
              <w:rPr>
                <w:rFonts w:ascii="Times New Roman" w:hAnsi="Times New Roman"/>
                <w:b/>
                <w:color w:val="000000" w:themeColor="text1"/>
                <w:kern w:val="0"/>
                <w:szCs w:val="21"/>
                <w:lang w:eastAsia="en-US"/>
                <w14:textFill>
                  <w14:solidFill>
                    <w14:schemeClr w14:val="tx1"/>
                  </w14:solidFill>
                </w14:textFill>
              </w:rPr>
            </w:pPr>
            <w:r>
              <w:rPr>
                <w:rFonts w:ascii="Times New Roman" w:hAnsi="Times New Roman"/>
                <w:b/>
                <w:color w:val="000000" w:themeColor="text1"/>
                <w:kern w:val="0"/>
                <w:szCs w:val="21"/>
                <w:lang w:eastAsia="en-US"/>
                <w14:textFill>
                  <w14:solidFill>
                    <w14:schemeClr w14:val="tx1"/>
                  </w14:solidFill>
                </w14:textFill>
              </w:rPr>
              <w:t>污染源</w:t>
            </w:r>
          </w:p>
        </w:tc>
        <w:tc>
          <w:tcPr>
            <w:tcW w:w="981" w:type="pct"/>
            <w:shd w:val="clear" w:color="auto" w:fill="auto"/>
            <w:vAlign w:val="center"/>
          </w:tcPr>
          <w:p w14:paraId="5E27C763">
            <w:pPr>
              <w:autoSpaceDE w:val="0"/>
              <w:autoSpaceDN w:val="0"/>
              <w:ind w:left="105" w:leftChars="50" w:right="105" w:rightChars="50"/>
              <w:jc w:val="center"/>
              <w:rPr>
                <w:rFonts w:ascii="Times New Roman" w:hAnsi="Times New Roman"/>
                <w:b/>
                <w:color w:val="000000" w:themeColor="text1"/>
                <w:kern w:val="0"/>
                <w:szCs w:val="21"/>
                <w:lang w:eastAsia="en-US"/>
                <w14:textFill>
                  <w14:solidFill>
                    <w14:schemeClr w14:val="tx1"/>
                  </w14:solidFill>
                </w14:textFill>
              </w:rPr>
            </w:pPr>
            <w:r>
              <w:rPr>
                <w:rFonts w:ascii="Times New Roman" w:hAnsi="Times New Roman"/>
                <w:b/>
                <w:color w:val="000000" w:themeColor="text1"/>
                <w:kern w:val="0"/>
                <w:szCs w:val="21"/>
                <w:lang w:eastAsia="en-US"/>
                <w14:textFill>
                  <w14:solidFill>
                    <w14:schemeClr w14:val="tx1"/>
                  </w14:solidFill>
                </w14:textFill>
              </w:rPr>
              <w:t>污染物</w:t>
            </w:r>
          </w:p>
        </w:tc>
        <w:tc>
          <w:tcPr>
            <w:tcW w:w="1112" w:type="pct"/>
            <w:shd w:val="clear" w:color="auto" w:fill="auto"/>
            <w:vAlign w:val="center"/>
          </w:tcPr>
          <w:p w14:paraId="228EC9DF">
            <w:pPr>
              <w:autoSpaceDE w:val="0"/>
              <w:autoSpaceDN w:val="0"/>
              <w:ind w:left="105" w:leftChars="50" w:right="105" w:rightChars="50"/>
              <w:jc w:val="center"/>
              <w:rPr>
                <w:rFonts w:ascii="Times New Roman" w:hAnsi="Times New Roman" w:eastAsia="Times New Roman"/>
                <w:b/>
                <w:color w:val="000000" w:themeColor="text1"/>
                <w:kern w:val="0"/>
                <w:szCs w:val="21"/>
                <w:lang w:eastAsia="zh-CN"/>
                <w14:textFill>
                  <w14:solidFill>
                    <w14:schemeClr w14:val="tx1"/>
                  </w14:solidFill>
                </w14:textFill>
              </w:rPr>
            </w:pPr>
            <w:r>
              <w:rPr>
                <w:rFonts w:ascii="Times New Roman" w:hAnsi="Times New Roman"/>
                <w:b/>
                <w:color w:val="000000" w:themeColor="text1"/>
                <w:kern w:val="0"/>
                <w:szCs w:val="21"/>
                <w:lang w:eastAsia="zh-CN"/>
                <w14:textFill>
                  <w14:solidFill>
                    <w14:schemeClr w14:val="tx1"/>
                  </w14:solidFill>
                </w14:textFill>
              </w:rPr>
              <w:t>核算排放浓度</w:t>
            </w:r>
          </w:p>
          <w:p w14:paraId="4795571E">
            <w:pPr>
              <w:autoSpaceDE w:val="0"/>
              <w:autoSpaceDN w:val="0"/>
              <w:ind w:left="105" w:leftChars="50" w:right="105" w:rightChars="50"/>
              <w:jc w:val="center"/>
              <w:rPr>
                <w:rFonts w:ascii="Times New Roman" w:hAnsi="Times New Roman"/>
                <w:b/>
                <w:color w:val="000000" w:themeColor="text1"/>
                <w:kern w:val="0"/>
                <w:szCs w:val="21"/>
                <w:lang w:eastAsia="zh-CN"/>
                <w14:textFill>
                  <w14:solidFill>
                    <w14:schemeClr w14:val="tx1"/>
                  </w14:solidFill>
                </w14:textFill>
              </w:rPr>
            </w:pPr>
            <w:r>
              <w:rPr>
                <w:rFonts w:ascii="Times New Roman" w:hAnsi="Times New Roman"/>
                <w:b/>
                <w:color w:val="000000" w:themeColor="text1"/>
                <w:kern w:val="0"/>
                <w:szCs w:val="21"/>
                <w:lang w:eastAsia="zh-CN"/>
                <w14:textFill>
                  <w14:solidFill>
                    <w14:schemeClr w14:val="tx1"/>
                  </w14:solidFill>
                </w14:textFill>
              </w:rPr>
              <w:t>（</w:t>
            </w:r>
            <w:r>
              <w:rPr>
                <w:rFonts w:ascii="Times New Roman" w:hAnsi="Times New Roman" w:eastAsia="Times New Roman"/>
                <w:b/>
                <w:color w:val="000000" w:themeColor="text1"/>
                <w:kern w:val="0"/>
                <w:szCs w:val="21"/>
                <w:lang w:eastAsia="zh-CN"/>
                <w14:textFill>
                  <w14:solidFill>
                    <w14:schemeClr w14:val="tx1"/>
                  </w14:solidFill>
                </w14:textFill>
              </w:rPr>
              <w:t>mg/m</w:t>
            </w:r>
            <w:r>
              <w:rPr>
                <w:rFonts w:ascii="Times New Roman" w:hAnsi="Times New Roman" w:eastAsia="Times New Roman"/>
                <w:b/>
                <w:color w:val="000000" w:themeColor="text1"/>
                <w:kern w:val="0"/>
                <w:szCs w:val="21"/>
                <w:vertAlign w:val="superscript"/>
                <w:lang w:eastAsia="zh-CN"/>
                <w14:textFill>
                  <w14:solidFill>
                    <w14:schemeClr w14:val="tx1"/>
                  </w14:solidFill>
                </w14:textFill>
              </w:rPr>
              <w:t>3</w:t>
            </w:r>
            <w:r>
              <w:rPr>
                <w:rFonts w:ascii="Times New Roman" w:hAnsi="Times New Roman"/>
                <w:b/>
                <w:color w:val="000000" w:themeColor="text1"/>
                <w:kern w:val="0"/>
                <w:szCs w:val="21"/>
                <w:lang w:eastAsia="zh-CN"/>
                <w14:textFill>
                  <w14:solidFill>
                    <w14:schemeClr w14:val="tx1"/>
                  </w14:solidFill>
                </w14:textFill>
              </w:rPr>
              <w:t>）</w:t>
            </w:r>
          </w:p>
        </w:tc>
        <w:tc>
          <w:tcPr>
            <w:tcW w:w="1112" w:type="pct"/>
            <w:shd w:val="clear" w:color="auto" w:fill="auto"/>
            <w:vAlign w:val="center"/>
          </w:tcPr>
          <w:p w14:paraId="5ADAC7B7">
            <w:pPr>
              <w:autoSpaceDE w:val="0"/>
              <w:autoSpaceDN w:val="0"/>
              <w:ind w:left="105" w:leftChars="50" w:right="105" w:rightChars="50"/>
              <w:jc w:val="center"/>
              <w:rPr>
                <w:rFonts w:ascii="Times New Roman" w:hAnsi="Times New Roman"/>
                <w:b/>
                <w:color w:val="000000" w:themeColor="text1"/>
                <w:kern w:val="0"/>
                <w:szCs w:val="21"/>
                <w:lang w:eastAsia="en-US"/>
                <w14:textFill>
                  <w14:solidFill>
                    <w14:schemeClr w14:val="tx1"/>
                  </w14:solidFill>
                </w14:textFill>
              </w:rPr>
            </w:pPr>
            <w:r>
              <w:rPr>
                <w:rFonts w:ascii="Times New Roman" w:hAnsi="Times New Roman"/>
                <w:b/>
                <w:color w:val="000000" w:themeColor="text1"/>
                <w:kern w:val="0"/>
                <w:szCs w:val="21"/>
                <w:lang w:eastAsia="en-US"/>
                <w14:textFill>
                  <w14:solidFill>
                    <w14:schemeClr w14:val="tx1"/>
                  </w14:solidFill>
                </w14:textFill>
              </w:rPr>
              <w:t>核算排放速率</w:t>
            </w:r>
          </w:p>
          <w:p w14:paraId="066E7F5F">
            <w:pPr>
              <w:autoSpaceDE w:val="0"/>
              <w:autoSpaceDN w:val="0"/>
              <w:ind w:left="105" w:leftChars="50" w:right="105" w:rightChars="50"/>
              <w:jc w:val="center"/>
              <w:rPr>
                <w:rFonts w:ascii="Times New Roman" w:hAnsi="Times New Roman"/>
                <w:b/>
                <w:color w:val="000000" w:themeColor="text1"/>
                <w:kern w:val="0"/>
                <w:szCs w:val="21"/>
                <w:lang w:eastAsia="en-US"/>
                <w14:textFill>
                  <w14:solidFill>
                    <w14:schemeClr w14:val="tx1"/>
                  </w14:solidFill>
                </w14:textFill>
              </w:rPr>
            </w:pPr>
            <w:r>
              <w:rPr>
                <w:rFonts w:ascii="Times New Roman" w:hAnsi="Times New Roman"/>
                <w:b/>
                <w:color w:val="000000" w:themeColor="text1"/>
                <w:kern w:val="0"/>
                <w:szCs w:val="21"/>
                <w:lang w:eastAsia="en-US"/>
                <w14:textFill>
                  <w14:solidFill>
                    <w14:schemeClr w14:val="tx1"/>
                  </w14:solidFill>
                </w14:textFill>
              </w:rPr>
              <w:t>（</w:t>
            </w:r>
            <w:r>
              <w:rPr>
                <w:rFonts w:ascii="Times New Roman" w:hAnsi="Times New Roman" w:eastAsia="Times New Roman"/>
                <w:b/>
                <w:color w:val="000000" w:themeColor="text1"/>
                <w:kern w:val="0"/>
                <w:szCs w:val="21"/>
                <w:lang w:eastAsia="en-US"/>
                <w14:textFill>
                  <w14:solidFill>
                    <w14:schemeClr w14:val="tx1"/>
                  </w14:solidFill>
                </w14:textFill>
              </w:rPr>
              <w:t>kg/h</w:t>
            </w:r>
            <w:r>
              <w:rPr>
                <w:rFonts w:ascii="Times New Roman" w:hAnsi="Times New Roman"/>
                <w:b/>
                <w:color w:val="000000" w:themeColor="text1"/>
                <w:kern w:val="0"/>
                <w:szCs w:val="21"/>
                <w:lang w:eastAsia="en-US"/>
                <w14:textFill>
                  <w14:solidFill>
                    <w14:schemeClr w14:val="tx1"/>
                  </w14:solidFill>
                </w14:textFill>
              </w:rPr>
              <w:t>）</w:t>
            </w:r>
          </w:p>
        </w:tc>
        <w:tc>
          <w:tcPr>
            <w:tcW w:w="1110" w:type="pct"/>
            <w:shd w:val="clear" w:color="auto" w:fill="auto"/>
            <w:vAlign w:val="center"/>
          </w:tcPr>
          <w:p w14:paraId="19DFB98E">
            <w:pPr>
              <w:autoSpaceDE w:val="0"/>
              <w:autoSpaceDN w:val="0"/>
              <w:ind w:left="105" w:leftChars="50" w:right="105" w:rightChars="50"/>
              <w:jc w:val="center"/>
              <w:rPr>
                <w:rFonts w:ascii="Times New Roman" w:hAnsi="Times New Roman"/>
                <w:b/>
                <w:color w:val="000000" w:themeColor="text1"/>
                <w:kern w:val="0"/>
                <w:szCs w:val="21"/>
                <w:lang w:eastAsia="en-US"/>
                <w14:textFill>
                  <w14:solidFill>
                    <w14:schemeClr w14:val="tx1"/>
                  </w14:solidFill>
                </w14:textFill>
              </w:rPr>
            </w:pPr>
            <w:r>
              <w:rPr>
                <w:rFonts w:ascii="Times New Roman" w:hAnsi="Times New Roman"/>
                <w:b/>
                <w:color w:val="000000" w:themeColor="text1"/>
                <w:kern w:val="0"/>
                <w:szCs w:val="21"/>
                <w:lang w:eastAsia="en-US"/>
                <w14:textFill>
                  <w14:solidFill>
                    <w14:schemeClr w14:val="tx1"/>
                  </w14:solidFill>
                </w14:textFill>
              </w:rPr>
              <w:t>核算年排放量（</w:t>
            </w:r>
            <w:r>
              <w:rPr>
                <w:rFonts w:ascii="Times New Roman" w:hAnsi="Times New Roman" w:eastAsia="Times New Roman"/>
                <w:b/>
                <w:color w:val="000000" w:themeColor="text1"/>
                <w:kern w:val="0"/>
                <w:szCs w:val="21"/>
                <w:lang w:eastAsia="en-US"/>
                <w14:textFill>
                  <w14:solidFill>
                    <w14:schemeClr w14:val="tx1"/>
                  </w14:solidFill>
                </w14:textFill>
              </w:rPr>
              <w:t>t/a</w:t>
            </w:r>
            <w:r>
              <w:rPr>
                <w:rFonts w:ascii="Times New Roman" w:hAnsi="Times New Roman"/>
                <w:b/>
                <w:color w:val="000000" w:themeColor="text1"/>
                <w:kern w:val="0"/>
                <w:szCs w:val="21"/>
                <w:lang w:eastAsia="en-US"/>
                <w14:textFill>
                  <w14:solidFill>
                    <w14:schemeClr w14:val="tx1"/>
                  </w14:solidFill>
                </w14:textFill>
              </w:rPr>
              <w:t>）</w:t>
            </w:r>
          </w:p>
        </w:tc>
      </w:tr>
      <w:tr w14:paraId="4D7FF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5" w:type="pct"/>
            <w:vMerge w:val="restart"/>
            <w:shd w:val="clear" w:color="auto" w:fill="auto"/>
            <w:vAlign w:val="center"/>
          </w:tcPr>
          <w:p w14:paraId="75DCF525">
            <w:pPr>
              <w:autoSpaceDE w:val="0"/>
              <w:autoSpaceDN w:val="0"/>
              <w:ind w:left="105" w:leftChars="50" w:right="105" w:rightChars="50"/>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造粒工序</w:t>
            </w:r>
          </w:p>
        </w:tc>
        <w:tc>
          <w:tcPr>
            <w:tcW w:w="981" w:type="pct"/>
            <w:shd w:val="clear" w:color="auto" w:fill="auto"/>
            <w:vAlign w:val="center"/>
          </w:tcPr>
          <w:p w14:paraId="47BAB977">
            <w:pPr>
              <w:autoSpaceDE w:val="0"/>
              <w:autoSpaceDN w:val="0"/>
              <w:ind w:left="105" w:leftChars="50" w:right="105" w:rightChars="50"/>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颗粒物</w:t>
            </w:r>
          </w:p>
        </w:tc>
        <w:tc>
          <w:tcPr>
            <w:tcW w:w="1112" w:type="pct"/>
            <w:shd w:val="clear" w:color="auto" w:fill="auto"/>
            <w:vAlign w:val="center"/>
          </w:tcPr>
          <w:p w14:paraId="778155AC">
            <w:pPr>
              <w:autoSpaceDE w:val="0"/>
              <w:autoSpaceDN w:val="0"/>
              <w:ind w:left="105" w:leftChars="50" w:right="105" w:rightChars="50"/>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 xml:space="preserve">0.78 </w:t>
            </w:r>
          </w:p>
        </w:tc>
        <w:tc>
          <w:tcPr>
            <w:tcW w:w="1112" w:type="pct"/>
            <w:shd w:val="clear" w:color="auto" w:fill="auto"/>
            <w:vAlign w:val="center"/>
          </w:tcPr>
          <w:p w14:paraId="5FF88A29">
            <w:pPr>
              <w:autoSpaceDE w:val="0"/>
              <w:autoSpaceDN w:val="0"/>
              <w:ind w:left="105" w:leftChars="50" w:right="105" w:rightChars="50"/>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 xml:space="preserve">0.0047 </w:t>
            </w:r>
          </w:p>
        </w:tc>
        <w:tc>
          <w:tcPr>
            <w:tcW w:w="1110" w:type="pct"/>
            <w:shd w:val="clear" w:color="auto" w:fill="auto"/>
            <w:vAlign w:val="center"/>
          </w:tcPr>
          <w:p w14:paraId="3FCC12E1">
            <w:pPr>
              <w:autoSpaceDE w:val="0"/>
              <w:autoSpaceDN w:val="0"/>
              <w:ind w:left="105" w:leftChars="50" w:right="105" w:rightChars="50"/>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 xml:space="preserve">0.0113 </w:t>
            </w:r>
          </w:p>
        </w:tc>
      </w:tr>
      <w:tr w14:paraId="2FAED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5" w:type="pct"/>
            <w:vMerge w:val="continue"/>
            <w:shd w:val="clear" w:color="auto" w:fill="auto"/>
            <w:vAlign w:val="center"/>
          </w:tcPr>
          <w:p w14:paraId="77932E29">
            <w:pPr>
              <w:autoSpaceDE w:val="0"/>
              <w:autoSpaceDN w:val="0"/>
              <w:ind w:left="105" w:leftChars="50" w:right="105" w:rightChars="50"/>
              <w:jc w:val="center"/>
              <w:rPr>
                <w:rFonts w:ascii="Times New Roman" w:hAnsi="Times New Roman"/>
                <w:color w:val="000000" w:themeColor="text1"/>
                <w:kern w:val="0"/>
                <w:szCs w:val="21"/>
                <w:lang w:eastAsia="en-US"/>
                <w14:textFill>
                  <w14:solidFill>
                    <w14:schemeClr w14:val="tx1"/>
                  </w14:solidFill>
                </w14:textFill>
              </w:rPr>
            </w:pPr>
          </w:p>
        </w:tc>
        <w:tc>
          <w:tcPr>
            <w:tcW w:w="981" w:type="pct"/>
            <w:shd w:val="clear" w:color="auto" w:fill="auto"/>
            <w:vAlign w:val="center"/>
          </w:tcPr>
          <w:p w14:paraId="3ED5F8C2">
            <w:pPr>
              <w:autoSpaceDE w:val="0"/>
              <w:autoSpaceDN w:val="0"/>
              <w:ind w:left="105" w:leftChars="50" w:right="105" w:rightChars="50"/>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非甲烷总烃</w:t>
            </w:r>
          </w:p>
        </w:tc>
        <w:tc>
          <w:tcPr>
            <w:tcW w:w="1112" w:type="pct"/>
            <w:shd w:val="clear" w:color="auto" w:fill="auto"/>
            <w:vAlign w:val="center"/>
          </w:tcPr>
          <w:p w14:paraId="05167CE8">
            <w:pPr>
              <w:autoSpaceDE w:val="0"/>
              <w:autoSpaceDN w:val="0"/>
              <w:ind w:left="105" w:leftChars="50" w:right="105" w:rightChars="50"/>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 xml:space="preserve">16.41 </w:t>
            </w:r>
          </w:p>
        </w:tc>
        <w:tc>
          <w:tcPr>
            <w:tcW w:w="1112" w:type="pct"/>
            <w:shd w:val="clear" w:color="auto" w:fill="auto"/>
            <w:vAlign w:val="center"/>
          </w:tcPr>
          <w:p w14:paraId="4772EA93">
            <w:pPr>
              <w:autoSpaceDE w:val="0"/>
              <w:autoSpaceDN w:val="0"/>
              <w:ind w:left="105" w:leftChars="50" w:right="105" w:rightChars="50"/>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 xml:space="preserve">0.0984 </w:t>
            </w:r>
          </w:p>
        </w:tc>
        <w:tc>
          <w:tcPr>
            <w:tcW w:w="1110" w:type="pct"/>
            <w:shd w:val="clear" w:color="auto" w:fill="auto"/>
            <w:vAlign w:val="center"/>
          </w:tcPr>
          <w:p w14:paraId="3A547399">
            <w:pPr>
              <w:autoSpaceDE w:val="0"/>
              <w:autoSpaceDN w:val="0"/>
              <w:ind w:left="105" w:leftChars="50" w:right="105" w:rightChars="50"/>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 xml:space="preserve">0.2363 </w:t>
            </w:r>
          </w:p>
        </w:tc>
      </w:tr>
    </w:tbl>
    <w:p w14:paraId="43BFEBC9">
      <w:pPr>
        <w:autoSpaceDE w:val="0"/>
        <w:autoSpaceDN w:val="0"/>
        <w:adjustRightInd w:val="0"/>
        <w:spacing w:line="360" w:lineRule="auto"/>
        <w:ind w:firstLine="48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2、无组织排放量核算</w:t>
      </w:r>
    </w:p>
    <w:p w14:paraId="43AE59CB">
      <w:pPr>
        <w:autoSpaceDE w:val="0"/>
        <w:autoSpaceDN w:val="0"/>
        <w:adjustRightInd w:val="0"/>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根据工程分析，项目污染物无组织排放量核算见表 6.1-11。</w:t>
      </w:r>
    </w:p>
    <w:p w14:paraId="19334907">
      <w:pPr>
        <w:tabs>
          <w:tab w:val="left" w:pos="3267"/>
        </w:tabs>
        <w:autoSpaceDE w:val="0"/>
        <w:autoSpaceDN w:val="0"/>
        <w:jc w:val="center"/>
        <w:rPr>
          <w:rFonts w:eastAsiaTheme="minorEastAsia"/>
          <w:b/>
          <w:color w:val="000000" w:themeColor="text1"/>
          <w:w w:val="95"/>
          <w:kern w:val="0"/>
          <w:sz w:val="24"/>
          <w:szCs w:val="22"/>
          <w14:textFill>
            <w14:solidFill>
              <w14:schemeClr w14:val="tx1"/>
            </w14:solidFill>
          </w14:textFill>
        </w:rPr>
      </w:pPr>
      <w:r>
        <w:rPr>
          <w:rFonts w:eastAsiaTheme="minorEastAsia"/>
          <w:b/>
          <w:color w:val="000000" w:themeColor="text1"/>
          <w:w w:val="95"/>
          <w:kern w:val="0"/>
          <w:sz w:val="24"/>
          <w:szCs w:val="22"/>
          <w14:textFill>
            <w14:solidFill>
              <w14:schemeClr w14:val="tx1"/>
            </w14:solidFill>
          </w14:textFill>
        </w:rPr>
        <w:t>表 6.1-11  项目大气污染物无组织排放量核算表</w:t>
      </w:r>
    </w:p>
    <w:tbl>
      <w:tblPr>
        <w:tblStyle w:val="29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54"/>
        <w:gridCol w:w="2563"/>
        <w:gridCol w:w="2999"/>
      </w:tblGrid>
      <w:tr w14:paraId="6D7FE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56" w:type="pct"/>
            <w:shd w:val="clear" w:color="auto" w:fill="auto"/>
            <w:vAlign w:val="center"/>
          </w:tcPr>
          <w:p w14:paraId="133007D6">
            <w:pPr>
              <w:autoSpaceDE w:val="0"/>
              <w:autoSpaceDN w:val="0"/>
              <w:ind w:left="105" w:leftChars="50" w:right="105" w:rightChars="5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污染源</w:t>
            </w:r>
          </w:p>
        </w:tc>
        <w:tc>
          <w:tcPr>
            <w:tcW w:w="1541" w:type="pct"/>
            <w:shd w:val="clear" w:color="auto" w:fill="auto"/>
            <w:vAlign w:val="center"/>
          </w:tcPr>
          <w:p w14:paraId="34327093">
            <w:pPr>
              <w:autoSpaceDE w:val="0"/>
              <w:autoSpaceDN w:val="0"/>
              <w:ind w:left="105" w:leftChars="50" w:right="105" w:rightChars="5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污染物</w:t>
            </w:r>
          </w:p>
        </w:tc>
        <w:tc>
          <w:tcPr>
            <w:tcW w:w="1803" w:type="pct"/>
            <w:shd w:val="clear" w:color="auto" w:fill="auto"/>
            <w:vAlign w:val="center"/>
          </w:tcPr>
          <w:p w14:paraId="5C282DCF">
            <w:pPr>
              <w:autoSpaceDE w:val="0"/>
              <w:autoSpaceDN w:val="0"/>
              <w:ind w:left="105" w:leftChars="50" w:right="105" w:rightChars="5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核算年排放量（t/a）</w:t>
            </w:r>
          </w:p>
        </w:tc>
      </w:tr>
      <w:tr w14:paraId="2ED8F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56" w:type="pct"/>
            <w:vMerge w:val="restart"/>
            <w:shd w:val="clear" w:color="auto" w:fill="auto"/>
            <w:vAlign w:val="center"/>
          </w:tcPr>
          <w:p w14:paraId="7E510E15">
            <w:pPr>
              <w:autoSpaceDE w:val="0"/>
              <w:autoSpaceDN w:val="0"/>
              <w:ind w:left="105" w:leftChars="50" w:right="105" w:rightChars="50"/>
              <w:jc w:val="center"/>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造粒工序</w:t>
            </w:r>
          </w:p>
        </w:tc>
        <w:tc>
          <w:tcPr>
            <w:tcW w:w="1541" w:type="pct"/>
            <w:shd w:val="clear" w:color="auto" w:fill="auto"/>
            <w:vAlign w:val="center"/>
          </w:tcPr>
          <w:p w14:paraId="0D5F0088">
            <w:pPr>
              <w:autoSpaceDE w:val="0"/>
              <w:autoSpaceDN w:val="0"/>
              <w:ind w:left="105" w:leftChars="50" w:right="105" w:rightChars="5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颗粒物</w:t>
            </w:r>
          </w:p>
        </w:tc>
        <w:tc>
          <w:tcPr>
            <w:tcW w:w="1803" w:type="pct"/>
            <w:shd w:val="clear" w:color="auto" w:fill="auto"/>
            <w:vAlign w:val="center"/>
          </w:tcPr>
          <w:p w14:paraId="51229EE8">
            <w:pPr>
              <w:autoSpaceDE w:val="0"/>
              <w:autoSpaceDN w:val="0"/>
              <w:ind w:left="105" w:leftChars="50" w:right="105" w:rightChars="5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 w:val="18"/>
                <w:szCs w:val="18"/>
                <w:lang w:eastAsia="en-US"/>
                <w14:textFill>
                  <w14:solidFill>
                    <w14:schemeClr w14:val="tx1"/>
                  </w14:solidFill>
                </w14:textFill>
              </w:rPr>
              <w:t>0.025</w:t>
            </w:r>
          </w:p>
        </w:tc>
      </w:tr>
      <w:tr w14:paraId="3F29F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56" w:type="pct"/>
            <w:vMerge w:val="continue"/>
            <w:shd w:val="clear" w:color="auto" w:fill="auto"/>
            <w:vAlign w:val="center"/>
          </w:tcPr>
          <w:p w14:paraId="7E77A9A3">
            <w:pPr>
              <w:autoSpaceDE w:val="0"/>
              <w:autoSpaceDN w:val="0"/>
              <w:ind w:left="105" w:leftChars="50" w:right="105" w:rightChars="50"/>
              <w:jc w:val="center"/>
              <w:rPr>
                <w:rFonts w:ascii="Times New Roman" w:hAnsi="Times New Roman"/>
                <w:color w:val="000000" w:themeColor="text1"/>
                <w:szCs w:val="21"/>
                <w:lang w:eastAsia="en-US"/>
                <w14:textFill>
                  <w14:solidFill>
                    <w14:schemeClr w14:val="tx1"/>
                  </w14:solidFill>
                </w14:textFill>
              </w:rPr>
            </w:pPr>
          </w:p>
        </w:tc>
        <w:tc>
          <w:tcPr>
            <w:tcW w:w="1541" w:type="pct"/>
            <w:shd w:val="clear" w:color="auto" w:fill="auto"/>
            <w:vAlign w:val="center"/>
          </w:tcPr>
          <w:p w14:paraId="74A5EFAF">
            <w:pPr>
              <w:autoSpaceDE w:val="0"/>
              <w:autoSpaceDN w:val="0"/>
              <w:ind w:left="105" w:leftChars="50" w:right="105" w:rightChars="5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非甲烷总烃</w:t>
            </w:r>
          </w:p>
        </w:tc>
        <w:tc>
          <w:tcPr>
            <w:tcW w:w="1803" w:type="pct"/>
            <w:shd w:val="clear" w:color="auto" w:fill="auto"/>
            <w:vAlign w:val="center"/>
          </w:tcPr>
          <w:p w14:paraId="6E1A6142">
            <w:pPr>
              <w:autoSpaceDE w:val="0"/>
              <w:autoSpaceDN w:val="0"/>
              <w:ind w:left="105" w:leftChars="50" w:right="105" w:rightChars="5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 w:val="18"/>
                <w:szCs w:val="18"/>
                <w:lang w:eastAsia="en-US"/>
                <w14:textFill>
                  <w14:solidFill>
                    <w14:schemeClr w14:val="tx1"/>
                  </w14:solidFill>
                </w14:textFill>
              </w:rPr>
              <w:t>0.175</w:t>
            </w:r>
          </w:p>
        </w:tc>
      </w:tr>
    </w:tbl>
    <w:p w14:paraId="3B2D1B2A">
      <w:pPr>
        <w:autoSpaceDE w:val="0"/>
        <w:autoSpaceDN w:val="0"/>
        <w:adjustRightInd w:val="0"/>
        <w:spacing w:line="360" w:lineRule="auto"/>
        <w:ind w:firstLine="48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3、项目大气污染物年排放量核算</w:t>
      </w:r>
    </w:p>
    <w:p w14:paraId="1FBAF37C">
      <w:pPr>
        <w:autoSpaceDE w:val="0"/>
        <w:autoSpaceDN w:val="0"/>
        <w:spacing w:before="135"/>
        <w:ind w:left="699"/>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根据工程分析，项目污染物年排放量核算见表 </w:t>
      </w:r>
      <w:r>
        <w:rPr>
          <w:rFonts w:eastAsia="Times New Roman"/>
          <w:color w:val="000000" w:themeColor="text1"/>
          <w:kern w:val="0"/>
          <w:sz w:val="24"/>
          <w14:textFill>
            <w14:solidFill>
              <w14:schemeClr w14:val="tx1"/>
            </w14:solidFill>
          </w14:textFill>
        </w:rPr>
        <w:t>6.2-12</w:t>
      </w:r>
      <w:r>
        <w:rPr>
          <w:color w:val="000000" w:themeColor="text1"/>
          <w:kern w:val="0"/>
          <w:sz w:val="24"/>
          <w14:textFill>
            <w14:solidFill>
              <w14:schemeClr w14:val="tx1"/>
            </w14:solidFill>
          </w14:textFill>
        </w:rPr>
        <w:t>。</w:t>
      </w:r>
    </w:p>
    <w:p w14:paraId="63CAFA58">
      <w:pPr>
        <w:tabs>
          <w:tab w:val="left" w:pos="3267"/>
        </w:tabs>
        <w:autoSpaceDE w:val="0"/>
        <w:autoSpaceDN w:val="0"/>
        <w:jc w:val="center"/>
        <w:rPr>
          <w:rFonts w:eastAsiaTheme="minorEastAsia"/>
          <w:b/>
          <w:color w:val="000000" w:themeColor="text1"/>
          <w:w w:val="95"/>
          <w:kern w:val="0"/>
          <w:sz w:val="24"/>
          <w:szCs w:val="22"/>
          <w14:textFill>
            <w14:solidFill>
              <w14:schemeClr w14:val="tx1"/>
            </w14:solidFill>
          </w14:textFill>
        </w:rPr>
      </w:pPr>
      <w:r>
        <w:rPr>
          <w:rFonts w:eastAsiaTheme="minorEastAsia"/>
          <w:b/>
          <w:color w:val="000000" w:themeColor="text1"/>
          <w:w w:val="95"/>
          <w:kern w:val="0"/>
          <w:sz w:val="24"/>
          <w:szCs w:val="22"/>
          <w14:textFill>
            <w14:solidFill>
              <w14:schemeClr w14:val="tx1"/>
            </w14:solidFill>
          </w14:textFill>
        </w:rPr>
        <w:t>表 6.2-12  项目大气污染物年排放量核算表</w:t>
      </w:r>
    </w:p>
    <w:tbl>
      <w:tblPr>
        <w:tblStyle w:val="29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32"/>
        <w:gridCol w:w="4484"/>
      </w:tblGrid>
      <w:tr w14:paraId="539A5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304" w:type="pct"/>
            <w:shd w:val="clear" w:color="auto" w:fill="auto"/>
            <w:vAlign w:val="center"/>
          </w:tcPr>
          <w:p w14:paraId="6FF84829">
            <w:pPr>
              <w:autoSpaceDE w:val="0"/>
              <w:autoSpaceDN w:val="0"/>
              <w:ind w:left="65" w:right="65"/>
              <w:jc w:val="center"/>
              <w:rPr>
                <w:rFonts w:ascii="Times New Roman" w:hAnsi="Times New Roman"/>
                <w:b/>
                <w:color w:val="000000" w:themeColor="text1"/>
                <w:kern w:val="0"/>
                <w:szCs w:val="21"/>
                <w:lang w:eastAsia="en-US"/>
                <w14:textFill>
                  <w14:solidFill>
                    <w14:schemeClr w14:val="tx1"/>
                  </w14:solidFill>
                </w14:textFill>
              </w:rPr>
            </w:pPr>
            <w:r>
              <w:rPr>
                <w:rFonts w:ascii="Times New Roman" w:hAnsi="Times New Roman"/>
                <w:b/>
                <w:color w:val="000000" w:themeColor="text1"/>
                <w:kern w:val="0"/>
                <w:szCs w:val="21"/>
                <w:lang w:eastAsia="en-US"/>
                <w14:textFill>
                  <w14:solidFill>
                    <w14:schemeClr w14:val="tx1"/>
                  </w14:solidFill>
                </w14:textFill>
              </w:rPr>
              <w:t>污染物</w:t>
            </w:r>
          </w:p>
        </w:tc>
        <w:tc>
          <w:tcPr>
            <w:tcW w:w="2696" w:type="pct"/>
            <w:shd w:val="clear" w:color="auto" w:fill="auto"/>
            <w:vAlign w:val="center"/>
          </w:tcPr>
          <w:p w14:paraId="1CBF6B6E">
            <w:pPr>
              <w:autoSpaceDE w:val="0"/>
              <w:autoSpaceDN w:val="0"/>
              <w:ind w:left="552" w:right="552"/>
              <w:jc w:val="center"/>
              <w:rPr>
                <w:rFonts w:ascii="Times New Roman" w:hAnsi="Times New Roman"/>
                <w:b/>
                <w:color w:val="000000" w:themeColor="text1"/>
                <w:kern w:val="0"/>
                <w:szCs w:val="21"/>
                <w:lang w:eastAsia="en-US"/>
                <w14:textFill>
                  <w14:solidFill>
                    <w14:schemeClr w14:val="tx1"/>
                  </w14:solidFill>
                </w14:textFill>
              </w:rPr>
            </w:pPr>
            <w:r>
              <w:rPr>
                <w:rFonts w:ascii="Times New Roman" w:hAnsi="Times New Roman"/>
                <w:b/>
                <w:color w:val="000000" w:themeColor="text1"/>
                <w:kern w:val="0"/>
                <w:szCs w:val="21"/>
                <w:lang w:eastAsia="en-US"/>
                <w14:textFill>
                  <w14:solidFill>
                    <w14:schemeClr w14:val="tx1"/>
                  </w14:solidFill>
                </w14:textFill>
              </w:rPr>
              <w:t>核算年排放量（</w:t>
            </w:r>
            <w:r>
              <w:rPr>
                <w:rFonts w:ascii="Times New Roman" w:hAnsi="Times New Roman" w:eastAsia="Times New Roman"/>
                <w:b/>
                <w:color w:val="000000" w:themeColor="text1"/>
                <w:kern w:val="0"/>
                <w:szCs w:val="21"/>
                <w:lang w:eastAsia="en-US"/>
                <w14:textFill>
                  <w14:solidFill>
                    <w14:schemeClr w14:val="tx1"/>
                  </w14:solidFill>
                </w14:textFill>
              </w:rPr>
              <w:t>t/a</w:t>
            </w:r>
            <w:r>
              <w:rPr>
                <w:rFonts w:ascii="Times New Roman" w:hAnsi="Times New Roman"/>
                <w:b/>
                <w:color w:val="000000" w:themeColor="text1"/>
                <w:kern w:val="0"/>
                <w:szCs w:val="21"/>
                <w:lang w:eastAsia="en-US"/>
                <w14:textFill>
                  <w14:solidFill>
                    <w14:schemeClr w14:val="tx1"/>
                  </w14:solidFill>
                </w14:textFill>
              </w:rPr>
              <w:t>）</w:t>
            </w:r>
          </w:p>
        </w:tc>
      </w:tr>
      <w:tr w14:paraId="3306E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304" w:type="pct"/>
            <w:shd w:val="clear" w:color="auto" w:fill="auto"/>
            <w:vAlign w:val="center"/>
          </w:tcPr>
          <w:p w14:paraId="374C7DED">
            <w:pPr>
              <w:autoSpaceDE w:val="0"/>
              <w:autoSpaceDN w:val="0"/>
              <w:spacing w:before="27"/>
              <w:ind w:left="65" w:right="65"/>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颗粒物</w:t>
            </w:r>
          </w:p>
        </w:tc>
        <w:tc>
          <w:tcPr>
            <w:tcW w:w="2696" w:type="pct"/>
            <w:shd w:val="clear" w:color="auto" w:fill="auto"/>
            <w:vAlign w:val="center"/>
          </w:tcPr>
          <w:p w14:paraId="7AFF3EB7">
            <w:pPr>
              <w:autoSpaceDE w:val="0"/>
              <w:autoSpaceDN w:val="0"/>
              <w:spacing w:before="27"/>
              <w:ind w:left="552" w:right="552"/>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0.0363</w:t>
            </w:r>
          </w:p>
        </w:tc>
      </w:tr>
      <w:tr w14:paraId="08902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304" w:type="pct"/>
            <w:shd w:val="clear" w:color="auto" w:fill="auto"/>
            <w:vAlign w:val="center"/>
          </w:tcPr>
          <w:p w14:paraId="07714944">
            <w:pPr>
              <w:autoSpaceDE w:val="0"/>
              <w:autoSpaceDN w:val="0"/>
              <w:spacing w:before="27"/>
              <w:ind w:left="65" w:right="65"/>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非甲烷总烃</w:t>
            </w:r>
          </w:p>
        </w:tc>
        <w:tc>
          <w:tcPr>
            <w:tcW w:w="2696" w:type="pct"/>
            <w:shd w:val="clear" w:color="auto" w:fill="auto"/>
            <w:vAlign w:val="center"/>
          </w:tcPr>
          <w:p w14:paraId="7E12C860">
            <w:pPr>
              <w:autoSpaceDE w:val="0"/>
              <w:autoSpaceDN w:val="0"/>
              <w:spacing w:before="27"/>
              <w:ind w:left="552" w:right="552"/>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0.4113</w:t>
            </w:r>
          </w:p>
        </w:tc>
      </w:tr>
    </w:tbl>
    <w:p w14:paraId="19485C73">
      <w:pPr>
        <w:jc w:val="center"/>
        <w:rPr>
          <w:bCs/>
          <w:color w:val="000000" w:themeColor="text1"/>
          <w:szCs w:val="21"/>
          <w14:textFill>
            <w14:solidFill>
              <w14:schemeClr w14:val="tx1"/>
            </w14:solidFill>
          </w14:textFill>
        </w:rPr>
      </w:pPr>
    </w:p>
    <w:p w14:paraId="221E4341">
      <w:pPr>
        <w:pStyle w:val="4"/>
        <w:rPr>
          <w:rFonts w:ascii="Times New Roman" w:hAnsi="Times New Roman"/>
          <w:color w:val="000000" w:themeColor="text1"/>
          <w14:textFill>
            <w14:solidFill>
              <w14:schemeClr w14:val="tx1"/>
            </w14:solidFill>
          </w14:textFill>
        </w:rPr>
      </w:pPr>
      <w:bookmarkStart w:id="397" w:name="_Toc2773765"/>
      <w:r>
        <w:rPr>
          <w:rFonts w:ascii="Times New Roman" w:hAnsi="Times New Roman"/>
          <w:color w:val="000000" w:themeColor="text1"/>
          <w14:textFill>
            <w14:solidFill>
              <w14:schemeClr w14:val="tx1"/>
            </w14:solidFill>
          </w14:textFill>
        </w:rPr>
        <w:t>6.2地表水环境影响预测及评价</w:t>
      </w:r>
      <w:bookmarkEnd w:id="397"/>
    </w:p>
    <w:p w14:paraId="59F9E538">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6.2.1废水产排情况</w:t>
      </w:r>
    </w:p>
    <w:p w14:paraId="3227384F">
      <w:pPr>
        <w:pStyle w:val="15"/>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项目采用雨污分流的排水方式，</w:t>
      </w:r>
      <w:r>
        <w:rPr>
          <w:color w:val="000000" w:themeColor="text1"/>
          <w:sz w:val="24"/>
          <w14:textFill>
            <w14:solidFill>
              <w14:schemeClr w14:val="tx1"/>
            </w14:solidFill>
          </w14:textFill>
        </w:rPr>
        <w:t>收集前1h的雨水进入本项目</w:t>
      </w:r>
      <w:r>
        <w:rPr>
          <w:bCs/>
          <w:color w:val="000000" w:themeColor="text1"/>
          <w:sz w:val="24"/>
          <w14:textFill>
            <w14:solidFill>
              <w14:schemeClr w14:val="tx1"/>
            </w14:solidFill>
          </w14:textFill>
        </w:rPr>
        <w:t>雨水沉淀池</w:t>
      </w:r>
      <w:r>
        <w:rPr>
          <w:color w:val="000000" w:themeColor="text1"/>
          <w:sz w:val="24"/>
          <w14:textFill>
            <w14:solidFill>
              <w14:schemeClr w14:val="tx1"/>
            </w14:solidFill>
          </w14:textFill>
        </w:rPr>
        <w:t>进行处理，回用于生产，其余经沉淀后外排</w:t>
      </w:r>
      <w:r>
        <w:rPr>
          <w:color w:val="000000" w:themeColor="text1"/>
          <w:kern w:val="0"/>
          <w:sz w:val="24"/>
          <w14:textFill>
            <w14:solidFill>
              <w14:schemeClr w14:val="tx1"/>
            </w14:solidFill>
          </w14:textFill>
        </w:rPr>
        <w:t>。</w:t>
      </w:r>
    </w:p>
    <w:p w14:paraId="05CFD121">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根据第3章用排水核算，本项目总废水产生量为38.32m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p>
    <w:p w14:paraId="6DAFCE5C">
      <w:pPr>
        <w:adjustRightInd w:val="0"/>
        <w:spacing w:line="360" w:lineRule="auto"/>
        <w:ind w:firstLine="480" w:firstLineChars="200"/>
        <w:jc w:val="left"/>
        <w:rPr>
          <w:snapToGrid w:val="0"/>
          <w:color w:val="000000" w:themeColor="text1"/>
          <w:kern w:val="0"/>
          <w:sz w:val="24"/>
          <w:szCs w:val="20"/>
          <w14:textFill>
            <w14:solidFill>
              <w14:schemeClr w14:val="tx1"/>
            </w14:solidFill>
          </w14:textFill>
        </w:rPr>
      </w:pPr>
      <w:r>
        <w:rPr>
          <w:b/>
          <w:color w:val="000000" w:themeColor="text1"/>
          <w:sz w:val="24"/>
          <w14:textFill>
            <w14:solidFill>
              <w14:schemeClr w14:val="tx1"/>
            </w14:solidFill>
          </w14:textFill>
        </w:rPr>
        <w:t>生产废水</w:t>
      </w:r>
      <w:r>
        <w:rPr>
          <w:color w:val="000000" w:themeColor="text1"/>
          <w:sz w:val="24"/>
          <w14:textFill>
            <w14:solidFill>
              <w14:schemeClr w14:val="tx1"/>
            </w14:solidFill>
          </w14:textFill>
        </w:rPr>
        <w:t>：产生量为37m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snapToGrid w:val="0"/>
          <w:color w:val="000000" w:themeColor="text1"/>
          <w:kern w:val="0"/>
          <w:sz w:val="24"/>
          <w:szCs w:val="20"/>
          <w14:textFill>
            <w14:solidFill>
              <w14:schemeClr w14:val="tx1"/>
            </w14:solidFill>
          </w14:textFill>
        </w:rPr>
        <w:t>经自建隔油池+沉淀池处理后，回用于生产。</w:t>
      </w:r>
    </w:p>
    <w:p w14:paraId="4243777B">
      <w:pPr>
        <w:spacing w:line="360" w:lineRule="auto"/>
        <w:ind w:firstLine="480" w:firstLineChars="20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生活废水</w:t>
      </w:r>
      <w:r>
        <w:rPr>
          <w:color w:val="000000" w:themeColor="text1"/>
          <w:sz w:val="24"/>
          <w14:textFill>
            <w14:solidFill>
              <w14:schemeClr w14:val="tx1"/>
            </w14:solidFill>
          </w14:textFill>
        </w:rPr>
        <w:t>：产生量为1.32m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snapToGrid w:val="0"/>
          <w:color w:val="000000" w:themeColor="text1"/>
          <w:kern w:val="0"/>
          <w:sz w:val="24"/>
          <w:szCs w:val="20"/>
          <w14:textFill>
            <w14:solidFill>
              <w14:schemeClr w14:val="tx1"/>
            </w14:solidFill>
          </w14:textFill>
        </w:rPr>
        <w:t>经化粪池、隔油池处理后，定期委托周边村民清掏，用于农作物施肥。</w:t>
      </w:r>
    </w:p>
    <w:p w14:paraId="2EC0953A">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6.2.2废水处置措施规模及可行性分析</w:t>
      </w:r>
    </w:p>
    <w:p w14:paraId="6E8828EE">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项目采用雨污分流的排水方式，收集前1h的雨水进入本项目雨水沉淀池进行处理，回用于生产，其余经沉淀后外排。</w:t>
      </w:r>
    </w:p>
    <w:p w14:paraId="1B5EA50A">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本项目废水主要为生产废水和生活废水。</w:t>
      </w:r>
    </w:p>
    <w:p w14:paraId="13D39156">
      <w:pPr>
        <w:spacing w:line="360" w:lineRule="auto"/>
        <w:ind w:firstLine="48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1、雨水处置措施规模及可行性</w:t>
      </w:r>
    </w:p>
    <w:p w14:paraId="4A3015BF">
      <w:pPr>
        <w:adjustRightInd w:val="0"/>
        <w:snapToGrid w:val="0"/>
        <w:spacing w:line="360" w:lineRule="auto"/>
        <w:ind w:right="-12" w:rightChars="-6"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本项目厂区地面全部硬化处理，在生产及原料储存过程中，当下雨形成地表径流，污染物粉尘（沉降项目区）会随径流带入周边的水体（主要为SS、少量油类等），如无序排放，造成一定的环境污染。</w:t>
      </w:r>
    </w:p>
    <w:p w14:paraId="3705B936">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根据3.3.2章节分析，收集前1h的雨水进入本项目雨水沉淀池进行处理，回用于生产，其余经沉淀后外排，1h的雨水量为0.912</w:t>
      </w:r>
      <w:r>
        <w:rPr>
          <w:rFonts w:eastAsia="??"/>
          <w:color w:val="000000" w:themeColor="text1"/>
          <w:sz w:val="24"/>
          <w14:textFill>
            <w14:solidFill>
              <w14:schemeClr w14:val="tx1"/>
            </w14:solidFill>
          </w14:textFill>
        </w:rPr>
        <w:t>m</w:t>
      </w:r>
      <w:r>
        <w:rPr>
          <w:rFonts w:eastAsia="??"/>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6C600711">
      <w:pPr>
        <w:pStyle w:val="174"/>
        <w:ind w:left="0"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因此，本环评要求在项目区西侧场地最低处设置一个雨水收集池（1m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），用于收集前1h的雨水，此部分雨水因含SS、油类等，为防止对周边环境造成影响，此部分废水进入沉淀池处理后，回用于生产清洗用水。</w:t>
      </w:r>
    </w:p>
    <w:p w14:paraId="073E735C">
      <w:pPr>
        <w:pStyle w:val="174"/>
        <w:ind w:left="0"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同时为防止原料塑料瓶中的剩余废油、废饮料等泄漏，雨天冲刷进入地表水体，本环评要求按照《废塑料综合利用行业规范条件》要求，建设</w:t>
      </w:r>
      <w:r>
        <w:rPr>
          <w:rFonts w:ascii="Times New Roman" w:hAnsi="Times New Roman" w:cs="Times New Roman"/>
          <w:color w:val="000000" w:themeColor="text1"/>
          <w:szCs w:val="21"/>
          <w14:textFill>
            <w14:solidFill>
              <w14:schemeClr w14:val="tx1"/>
            </w14:solidFill>
          </w14:textFill>
        </w:rPr>
        <w:t>具有防雨、防风、防渗等功能的厂房或加盖雨棚的原料仓库，尽量避免露天堆放。</w:t>
      </w:r>
    </w:p>
    <w:p w14:paraId="3DDAC048">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2、生产废水处置措施</w:t>
      </w:r>
    </w:p>
    <w:p w14:paraId="560D1EE1">
      <w:pPr>
        <w:adjustRightInd w:val="0"/>
        <w:snapToGrid w:val="0"/>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（1）破碎清洗废水治理措施及不外排可行性</w:t>
      </w:r>
    </w:p>
    <w:p w14:paraId="441A7A65">
      <w:pPr>
        <w:adjustRightInd w:val="0"/>
        <w:snapToGrid w:val="0"/>
        <w:spacing w:line="360" w:lineRule="auto"/>
        <w:ind w:firstLine="480" w:firstLineChars="200"/>
        <w:rPr>
          <w:color w:val="000000" w:themeColor="text1"/>
          <w:kern w:val="0"/>
          <w:sz w:val="24"/>
          <w14:textFill>
            <w14:solidFill>
              <w14:schemeClr w14:val="tx1"/>
            </w14:solidFill>
          </w14:textFill>
        </w:rPr>
      </w:pPr>
      <w:r>
        <w:rPr>
          <w:b/>
          <w:color w:val="000000" w:themeColor="text1"/>
          <w:sz w:val="24"/>
          <w14:textFill>
            <w14:solidFill>
              <w14:schemeClr w14:val="tx1"/>
            </w14:solidFill>
          </w14:textFill>
        </w:rPr>
        <w:t>破碎清洗废水治理措施可行性分析：</w:t>
      </w:r>
      <w:r>
        <w:rPr>
          <w:color w:val="000000" w:themeColor="text1"/>
          <w:sz w:val="24"/>
          <w14:textFill>
            <w14:solidFill>
              <w14:schemeClr w14:val="tx1"/>
            </w14:solidFill>
          </w14:textFill>
        </w:rPr>
        <w:t>本项目生产废水通过自建的隔油池+沉淀池处理后，回用于生产，本项目</w:t>
      </w:r>
      <w:r>
        <w:rPr>
          <w:color w:val="000000" w:themeColor="text1"/>
          <w:kern w:val="0"/>
          <w:sz w:val="24"/>
          <w14:textFill>
            <w14:solidFill>
              <w14:schemeClr w14:val="tx1"/>
            </w14:solidFill>
          </w14:textFill>
        </w:rPr>
        <w:t>主要清洗对象为塑料瓶，编织袋等，本项目只进行简单的清洗、破碎，主要污染物为SS等；</w:t>
      </w:r>
    </w:p>
    <w:p w14:paraId="4AD0E20C">
      <w:pPr>
        <w:adjustRightInd w:val="0"/>
        <w:snapToGrid w:val="0"/>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破碎清洗废水不外排可行性分析：</w:t>
      </w:r>
      <w:r>
        <w:rPr>
          <w:snapToGrid w:val="0"/>
          <w:color w:val="000000" w:themeColor="text1"/>
          <w:kern w:val="0"/>
          <w:sz w:val="24"/>
          <w:szCs w:val="20"/>
          <w14:textFill>
            <w14:solidFill>
              <w14:schemeClr w14:val="tx1"/>
            </w14:solidFill>
          </w14:textFill>
        </w:rPr>
        <w:t>本项目废水产生量为37m</w:t>
      </w:r>
      <w:r>
        <w:rPr>
          <w:snapToGrid w:val="0"/>
          <w:color w:val="000000" w:themeColor="text1"/>
          <w:kern w:val="0"/>
          <w:sz w:val="24"/>
          <w:szCs w:val="20"/>
          <w:vertAlign w:val="superscript"/>
          <w14:textFill>
            <w14:solidFill>
              <w14:schemeClr w14:val="tx1"/>
            </w14:solidFill>
          </w14:textFill>
        </w:rPr>
        <w:t>3</w:t>
      </w:r>
      <w:r>
        <w:rPr>
          <w:snapToGrid w:val="0"/>
          <w:color w:val="000000" w:themeColor="text1"/>
          <w:kern w:val="0"/>
          <w:sz w:val="24"/>
          <w:szCs w:val="20"/>
          <w14:textFill>
            <w14:solidFill>
              <w14:schemeClr w14:val="tx1"/>
            </w14:solidFill>
          </w14:textFill>
        </w:rPr>
        <w:t>/d，</w:t>
      </w:r>
      <w:r>
        <w:rPr>
          <w:color w:val="000000" w:themeColor="text1"/>
          <w:sz w:val="24"/>
          <w14:textFill>
            <w14:solidFill>
              <w14:schemeClr w14:val="tx1"/>
            </w14:solidFill>
          </w14:textFill>
        </w:rPr>
        <w:t>本项目生产过程中清洗、破碎用水量为40</w:t>
      </w:r>
      <w:r>
        <w:rPr>
          <w:snapToGrid w:val="0"/>
          <w:color w:val="000000" w:themeColor="text1"/>
          <w:kern w:val="0"/>
          <w:sz w:val="24"/>
          <w:szCs w:val="20"/>
          <w14:textFill>
            <w14:solidFill>
              <w14:schemeClr w14:val="tx1"/>
            </w14:solidFill>
          </w14:textFill>
        </w:rPr>
        <w:t>m</w:t>
      </w:r>
      <w:r>
        <w:rPr>
          <w:snapToGrid w:val="0"/>
          <w:color w:val="000000" w:themeColor="text1"/>
          <w:kern w:val="0"/>
          <w:sz w:val="24"/>
          <w:szCs w:val="20"/>
          <w:vertAlign w:val="superscript"/>
          <w14:textFill>
            <w14:solidFill>
              <w14:schemeClr w14:val="tx1"/>
            </w14:solidFill>
          </w14:textFill>
        </w:rPr>
        <w:t>3</w:t>
      </w:r>
      <w:r>
        <w:rPr>
          <w:snapToGrid w:val="0"/>
          <w:color w:val="000000" w:themeColor="text1"/>
          <w:kern w:val="0"/>
          <w:sz w:val="24"/>
          <w:szCs w:val="20"/>
          <w14:textFill>
            <w14:solidFill>
              <w14:schemeClr w14:val="tx1"/>
            </w14:solidFill>
          </w14:textFill>
        </w:rPr>
        <w:t>/d，因此，经处理后，能全部回用至生产过程中，不外排。</w:t>
      </w:r>
    </w:p>
    <w:p w14:paraId="4CD49541">
      <w:pPr>
        <w:adjustRightInd w:val="0"/>
        <w:snapToGrid w:val="0"/>
        <w:spacing w:line="360" w:lineRule="auto"/>
        <w:ind w:firstLine="480" w:firstLineChars="200"/>
        <w:rPr>
          <w:color w:val="000000" w:themeColor="text1"/>
          <w:kern w:val="0"/>
          <w:sz w:val="24"/>
          <w14:textFill>
            <w14:solidFill>
              <w14:schemeClr w14:val="tx1"/>
            </w14:solidFill>
          </w14:textFill>
        </w:rPr>
      </w:pPr>
    </w:p>
    <w:p w14:paraId="5DB8161D">
      <w:pPr>
        <w:adjustRightInd w:val="0"/>
        <w:snapToGrid w:val="0"/>
        <w:spacing w:line="360" w:lineRule="auto"/>
        <w:ind w:firstLine="480"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②</w:t>
      </w:r>
      <w:r>
        <w:rPr>
          <w:b/>
          <w:color w:val="000000" w:themeColor="text1"/>
          <w:sz w:val="24"/>
          <w14:textFill>
            <w14:solidFill>
              <w14:schemeClr w14:val="tx1"/>
            </w14:solidFill>
          </w14:textFill>
        </w:rPr>
        <w:t>破碎清洗废水隔油池、沉淀池规模</w:t>
      </w:r>
    </w:p>
    <w:p w14:paraId="083551E1">
      <w:pPr>
        <w:adjustRightInd w:val="0"/>
        <w:snapToGrid w:val="0"/>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A、隔油池处理规模</w:t>
      </w:r>
    </w:p>
    <w:p w14:paraId="2DDFB993">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drawing>
          <wp:inline distT="0" distB="0" distL="0" distR="0">
            <wp:extent cx="4318635" cy="2604770"/>
            <wp:effectExtent l="0" t="0" r="5715" b="5080"/>
            <wp:docPr id="23" name="图片 23" descr="QQ截图2013102814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310281433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18635" cy="2604770"/>
                    </a:xfrm>
                    <a:prstGeom prst="rect">
                      <a:avLst/>
                    </a:prstGeom>
                    <a:noFill/>
                    <a:ln w="9525">
                      <a:noFill/>
                      <a:miter lim="800000"/>
                      <a:headEnd/>
                      <a:tailEnd/>
                    </a:ln>
                  </pic:spPr>
                </pic:pic>
              </a:graphicData>
            </a:graphic>
          </wp:inline>
        </w:drawing>
      </w:r>
    </w:p>
    <w:p w14:paraId="3D648A3F">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表6.2-1  项目隔油池示意图</w:t>
      </w:r>
    </w:p>
    <w:p w14:paraId="0A66EE0A">
      <w:pPr>
        <w:spacing w:line="360" w:lineRule="auto"/>
        <w:ind w:left="50" w:right="50"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隔油池原理：</w:t>
      </w:r>
      <w:r>
        <w:rPr>
          <w:color w:val="000000" w:themeColor="text1"/>
          <w:sz w:val="24"/>
          <w14:textFill>
            <w14:solidFill>
              <w14:schemeClr w14:val="tx1"/>
            </w14:solidFill>
          </w14:textFill>
        </w:rPr>
        <w:t>水流沿进水区进入斜管沉淀墙，水中的颗粒悬浮物下沉到斜管下壁后滑落到进水区下部的集泥区，水中的油上浮进入集油区，后一级斜管沉淀墙主要是除油，水流沿斜管向下流的同时，水中的油会上浮，聚集到中间的集油区，最后经过沉淀除油的水进入项目区的隔油池。</w:t>
      </w:r>
    </w:p>
    <w:p w14:paraId="410A26DD">
      <w:pPr>
        <w:widowControl/>
        <w:spacing w:line="360" w:lineRule="auto"/>
        <w:ind w:firstLine="480" w:firstLineChars="20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处理规模：</w:t>
      </w:r>
      <w:r>
        <w:rPr>
          <w:color w:val="000000" w:themeColor="text1"/>
          <w:sz w:val="24"/>
          <w14:textFill>
            <w14:solidFill>
              <w14:schemeClr w14:val="tx1"/>
            </w14:solidFill>
          </w14:textFill>
        </w:rPr>
        <w:t>停留时间不宜小于0.5h，本项目清洗废水按每日产生时间8小时计，则每小时废水量为4.625m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/h，污水在池内的停留时间均为30min，则应设置不小于2.5m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的隔油池；</w:t>
      </w:r>
    </w:p>
    <w:p w14:paraId="5B099E8A">
      <w:pPr>
        <w:adjustRightInd w:val="0"/>
        <w:snapToGrid w:val="0"/>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B、破碎清洗废水三级沉淀池规模</w:t>
      </w:r>
    </w:p>
    <w:p w14:paraId="29A65AC9">
      <w:pPr>
        <w:adjustRightInd w:val="0"/>
        <w:snapToGrid w:val="0"/>
        <w:rPr>
          <w:b/>
          <w:color w:val="000000" w:themeColor="text1"/>
          <w:sz w:val="24"/>
          <w14:textFill>
            <w14:solidFill>
              <w14:schemeClr w14:val="tx1"/>
            </w14:solidFill>
          </w14:textFill>
        </w:rPr>
      </w:pPr>
      <w:r>
        <w:rPr>
          <w:b/>
          <w:color w:val="000000" w:themeColor="text1"/>
          <w:sz w:val="24"/>
          <w14:textFill>
            <w14:solidFill>
              <w14:schemeClr w14:val="tx1"/>
            </w14:solidFill>
          </w14:textFill>
        </w:rPr>
        <w:drawing>
          <wp:inline distT="0" distB="0" distL="0" distR="0">
            <wp:extent cx="5271770" cy="1155700"/>
            <wp:effectExtent l="0" t="0" r="5080" b="6350"/>
            <wp:docPr id="21" name="图片 21" descr="C:\Users\ASUS\Deskto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SUS\Desktop\1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81905" cy="1157867"/>
                    </a:xfrm>
                    <a:prstGeom prst="rect">
                      <a:avLst/>
                    </a:prstGeom>
                    <a:noFill/>
                    <a:ln>
                      <a:noFill/>
                    </a:ln>
                  </pic:spPr>
                </pic:pic>
              </a:graphicData>
            </a:graphic>
          </wp:inline>
        </w:drawing>
      </w:r>
    </w:p>
    <w:p w14:paraId="39BEB4C3">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表6.2-2  项目</w:t>
      </w:r>
      <w:r>
        <w:rPr>
          <w:rFonts w:hint="eastAsia"/>
          <w:b/>
          <w:color w:val="000000" w:themeColor="text1"/>
          <w:sz w:val="24"/>
          <w14:textFill>
            <w14:solidFill>
              <w14:schemeClr w14:val="tx1"/>
            </w14:solidFill>
          </w14:textFill>
        </w:rPr>
        <w:t>废水处理</w:t>
      </w:r>
      <w:r>
        <w:rPr>
          <w:b/>
          <w:color w:val="000000" w:themeColor="text1"/>
          <w:sz w:val="24"/>
          <w14:textFill>
            <w14:solidFill>
              <w14:schemeClr w14:val="tx1"/>
            </w14:solidFill>
          </w14:textFill>
        </w:rPr>
        <w:t>示意图</w:t>
      </w:r>
    </w:p>
    <w:p w14:paraId="36F914C4">
      <w:pPr>
        <w:adjustRightInd w:val="0"/>
        <w:snapToGrid w:val="0"/>
        <w:spacing w:line="360" w:lineRule="auto"/>
        <w:ind w:firstLine="480" w:firstLineChars="200"/>
        <w:jc w:val="left"/>
        <w:rPr>
          <w:snapToGrid w:val="0"/>
          <w:color w:val="FF0000"/>
          <w:kern w:val="0"/>
          <w:sz w:val="24"/>
          <w:szCs w:val="20"/>
        </w:rPr>
      </w:pPr>
      <w:r>
        <w:rPr>
          <w:snapToGrid w:val="0"/>
          <w:color w:val="FF0000"/>
          <w:kern w:val="0"/>
          <w:sz w:val="24"/>
          <w:szCs w:val="20"/>
        </w:rPr>
        <w:t>清洗废水通过格栅和筛网果过滤后进入初沉池，格栅和筛网将粒径较大的</w:t>
      </w:r>
      <w:r>
        <w:rPr>
          <w:rFonts w:hint="eastAsia"/>
          <w:snapToGrid w:val="0"/>
          <w:color w:val="FF0000"/>
          <w:kern w:val="0"/>
          <w:sz w:val="24"/>
          <w:szCs w:val="20"/>
        </w:rPr>
        <w:t>废物</w:t>
      </w:r>
      <w:r>
        <w:rPr>
          <w:snapToGrid w:val="0"/>
          <w:color w:val="FF0000"/>
          <w:kern w:val="0"/>
          <w:sz w:val="24"/>
          <w:szCs w:val="20"/>
        </w:rPr>
        <w:t>隔离出来，</w:t>
      </w:r>
      <w:r>
        <w:rPr>
          <w:rFonts w:hint="eastAsia"/>
          <w:snapToGrid w:val="0"/>
          <w:color w:val="FF0000"/>
          <w:kern w:val="0"/>
          <w:sz w:val="24"/>
          <w:szCs w:val="20"/>
        </w:rPr>
        <w:t>然后通过隔油池</w:t>
      </w:r>
      <w:r>
        <w:rPr>
          <w:snapToGrid w:val="0"/>
          <w:color w:val="FF0000"/>
          <w:kern w:val="0"/>
          <w:sz w:val="24"/>
          <w:szCs w:val="20"/>
        </w:rPr>
        <w:t>；</w:t>
      </w:r>
    </w:p>
    <w:p w14:paraId="38B4DF77">
      <w:pPr>
        <w:adjustRightInd w:val="0"/>
        <w:snapToGrid w:val="0"/>
        <w:spacing w:line="360" w:lineRule="auto"/>
        <w:ind w:firstLine="480" w:firstLineChars="200"/>
        <w:jc w:val="left"/>
        <w:rPr>
          <w:snapToGrid w:val="0"/>
          <w:color w:val="FF0000"/>
          <w:kern w:val="0"/>
          <w:sz w:val="24"/>
          <w:szCs w:val="20"/>
        </w:rPr>
      </w:pPr>
      <w:r>
        <w:rPr>
          <w:snapToGrid w:val="0"/>
          <w:color w:val="FF0000"/>
          <w:kern w:val="0"/>
          <w:sz w:val="24"/>
          <w:szCs w:val="20"/>
        </w:rPr>
        <w:t>项目设置2个隔断初沉池，使用1个时，另外1个进行沉淀处理，增加污泥水力停留时间，加快污泥的沉降速率，保证沉降效果；初步沉淀后进入折流沉淀池，经过折流沉淀池沉淀后，项目的污泥基本沉淀完成，废水在清水池由水泵抽取至清洗池作为清洗用水。</w:t>
      </w:r>
    </w:p>
    <w:p w14:paraId="1B5566DE">
      <w:pPr>
        <w:adjustRightInd w:val="0"/>
        <w:snapToGrid w:val="0"/>
        <w:spacing w:line="360" w:lineRule="auto"/>
        <w:ind w:firstLine="480" w:firstLineChars="200"/>
        <w:jc w:val="left"/>
        <w:rPr>
          <w:snapToGrid w:val="0"/>
          <w:color w:val="FF0000"/>
          <w:kern w:val="0"/>
          <w:sz w:val="24"/>
          <w:szCs w:val="20"/>
        </w:rPr>
      </w:pPr>
      <w:r>
        <w:rPr>
          <w:snapToGrid w:val="0"/>
          <w:color w:val="FF0000"/>
          <w:kern w:val="0"/>
          <w:sz w:val="24"/>
          <w:szCs w:val="20"/>
        </w:rPr>
        <w:t>建设单位拟建三级沉淀池总容积为90m</w:t>
      </w:r>
      <w:r>
        <w:rPr>
          <w:snapToGrid w:val="0"/>
          <w:color w:val="FF0000"/>
          <w:kern w:val="0"/>
          <w:sz w:val="24"/>
          <w:szCs w:val="20"/>
          <w:vertAlign w:val="superscript"/>
        </w:rPr>
        <w:t>3</w:t>
      </w:r>
      <w:r>
        <w:rPr>
          <w:rFonts w:hint="eastAsia"/>
          <w:snapToGrid w:val="0"/>
          <w:color w:val="FF0000"/>
          <w:kern w:val="0"/>
          <w:sz w:val="24"/>
          <w:szCs w:val="20"/>
        </w:rPr>
        <w:t>（2个初沉池+</w:t>
      </w:r>
      <w:r>
        <w:rPr>
          <w:snapToGrid w:val="0"/>
          <w:color w:val="FF0000"/>
          <w:kern w:val="0"/>
          <w:sz w:val="24"/>
          <w:szCs w:val="20"/>
        </w:rPr>
        <w:t>1</w:t>
      </w:r>
      <w:r>
        <w:rPr>
          <w:rFonts w:hint="eastAsia"/>
          <w:snapToGrid w:val="0"/>
          <w:color w:val="FF0000"/>
          <w:kern w:val="0"/>
          <w:sz w:val="24"/>
          <w:szCs w:val="20"/>
        </w:rPr>
        <w:t>个折流沉淀池+</w:t>
      </w:r>
      <w:r>
        <w:rPr>
          <w:snapToGrid w:val="0"/>
          <w:color w:val="FF0000"/>
          <w:kern w:val="0"/>
          <w:sz w:val="24"/>
          <w:szCs w:val="20"/>
        </w:rPr>
        <w:t>1</w:t>
      </w:r>
      <w:r>
        <w:rPr>
          <w:rFonts w:hint="eastAsia"/>
          <w:snapToGrid w:val="0"/>
          <w:color w:val="FF0000"/>
          <w:kern w:val="0"/>
          <w:sz w:val="24"/>
          <w:szCs w:val="20"/>
        </w:rPr>
        <w:t>个清水池</w:t>
      </w:r>
      <w:r>
        <w:rPr>
          <w:snapToGrid w:val="0"/>
          <w:color w:val="FF0000"/>
          <w:kern w:val="0"/>
          <w:sz w:val="24"/>
          <w:szCs w:val="20"/>
        </w:rPr>
        <w:t>），每天进入沉淀池的废水37m</w:t>
      </w:r>
      <w:r>
        <w:rPr>
          <w:snapToGrid w:val="0"/>
          <w:color w:val="FF0000"/>
          <w:kern w:val="0"/>
          <w:sz w:val="24"/>
          <w:szCs w:val="20"/>
          <w:vertAlign w:val="superscript"/>
        </w:rPr>
        <w:t>3</w:t>
      </w:r>
      <w:r>
        <w:rPr>
          <w:snapToGrid w:val="0"/>
          <w:color w:val="FF0000"/>
          <w:kern w:val="0"/>
          <w:sz w:val="24"/>
          <w:szCs w:val="20"/>
        </w:rPr>
        <w:t>/d，沉淀池能确保每天产生的生产废水得到全部收集</w:t>
      </w:r>
      <w:r>
        <w:rPr>
          <w:rFonts w:hint="eastAsia"/>
          <w:snapToGrid w:val="0"/>
          <w:color w:val="FF0000"/>
          <w:kern w:val="0"/>
          <w:sz w:val="24"/>
          <w:szCs w:val="20"/>
        </w:rPr>
        <w:t>；</w:t>
      </w:r>
    </w:p>
    <w:p w14:paraId="5C0DF922">
      <w:pPr>
        <w:adjustRightInd w:val="0"/>
        <w:snapToGrid w:val="0"/>
        <w:spacing w:line="360" w:lineRule="auto"/>
        <w:ind w:firstLine="480" w:firstLineChars="200"/>
        <w:jc w:val="left"/>
        <w:rPr>
          <w:snapToGrid w:val="0"/>
          <w:color w:val="FF0000"/>
          <w:kern w:val="0"/>
          <w:sz w:val="24"/>
          <w:szCs w:val="20"/>
        </w:rPr>
      </w:pPr>
      <w:r>
        <w:rPr>
          <w:snapToGrid w:val="0"/>
          <w:color w:val="FF0000"/>
          <w:kern w:val="0"/>
          <w:sz w:val="24"/>
          <w:szCs w:val="20"/>
        </w:rPr>
        <w:t>清洗原料废水在沉淀池水力停留时间约2.5天，根据陈振坤发表在《绿色科技》2012 年第七期中《废塑料再生利用过程中对环境影响分析》的论文中</w:t>
      </w:r>
      <w:r>
        <w:rPr>
          <w:rFonts w:hint="eastAsia"/>
          <w:snapToGrid w:val="0"/>
          <w:color w:val="FF0000"/>
          <w:kern w:val="0"/>
          <w:sz w:val="24"/>
          <w:szCs w:val="20"/>
        </w:rPr>
        <w:t>及</w:t>
      </w:r>
      <w:r>
        <w:rPr>
          <w:snapToGrid w:val="0"/>
          <w:color w:val="FF0000"/>
          <w:kern w:val="0"/>
          <w:sz w:val="24"/>
          <w:szCs w:val="20"/>
        </w:rPr>
        <w:t>类比《临沂鸿泰塑业有限公司废旧塑料回收综合利用项目环保竣工验收报告》，可知</w:t>
      </w:r>
      <w:r>
        <w:rPr>
          <w:rFonts w:hint="eastAsia"/>
          <w:snapToGrid w:val="0"/>
          <w:color w:val="FF0000"/>
          <w:kern w:val="0"/>
          <w:sz w:val="24"/>
          <w:szCs w:val="20"/>
        </w:rPr>
        <w:t>，</w:t>
      </w:r>
      <w:r>
        <w:rPr>
          <w:snapToGrid w:val="0"/>
          <w:color w:val="FF0000"/>
          <w:kern w:val="0"/>
          <w:sz w:val="24"/>
          <w:szCs w:val="20"/>
        </w:rPr>
        <w:t>清洗废水经过</w:t>
      </w:r>
      <w:r>
        <w:rPr>
          <w:rFonts w:hint="eastAsia"/>
          <w:snapToGrid w:val="0"/>
          <w:color w:val="FF0000"/>
          <w:kern w:val="0"/>
          <w:sz w:val="24"/>
          <w:szCs w:val="20"/>
        </w:rPr>
        <w:t>多级</w:t>
      </w:r>
      <w:r>
        <w:rPr>
          <w:snapToGrid w:val="0"/>
          <w:color w:val="FF0000"/>
          <w:kern w:val="0"/>
          <w:sz w:val="24"/>
          <w:szCs w:val="20"/>
        </w:rPr>
        <w:t>沉淀池处理后</w:t>
      </w:r>
      <w:r>
        <w:rPr>
          <w:rFonts w:hint="eastAsia"/>
          <w:snapToGrid w:val="0"/>
          <w:color w:val="FF0000"/>
          <w:kern w:val="0"/>
          <w:sz w:val="24"/>
          <w:szCs w:val="20"/>
        </w:rPr>
        <w:t>，</w:t>
      </w:r>
      <w:r>
        <w:rPr>
          <w:snapToGrid w:val="0"/>
          <w:color w:val="FF0000"/>
          <w:kern w:val="0"/>
          <w:sz w:val="24"/>
          <w:szCs w:val="20"/>
        </w:rPr>
        <w:t>沉淀池对 SS 的去除效率达到 90%以上，可有效的去除废水中的 SS</w:t>
      </w:r>
      <w:r>
        <w:rPr>
          <w:rFonts w:hint="eastAsia"/>
          <w:snapToGrid w:val="0"/>
          <w:color w:val="FF0000"/>
          <w:kern w:val="0"/>
          <w:sz w:val="24"/>
          <w:szCs w:val="20"/>
        </w:rPr>
        <w:t>；</w:t>
      </w:r>
    </w:p>
    <w:p w14:paraId="7FA88ECF">
      <w:pPr>
        <w:adjustRightInd w:val="0"/>
        <w:snapToGrid w:val="0"/>
        <w:spacing w:line="360" w:lineRule="auto"/>
        <w:ind w:firstLine="480" w:firstLineChars="200"/>
        <w:jc w:val="left"/>
        <w:rPr>
          <w:snapToGrid w:val="0"/>
          <w:color w:val="FF0000"/>
          <w:kern w:val="0"/>
          <w:sz w:val="24"/>
          <w:szCs w:val="20"/>
        </w:rPr>
      </w:pPr>
      <w:r>
        <w:rPr>
          <w:rFonts w:hint="eastAsia"/>
          <w:snapToGrid w:val="0"/>
          <w:color w:val="FF0000"/>
          <w:kern w:val="0"/>
          <w:sz w:val="24"/>
          <w:szCs w:val="20"/>
        </w:rPr>
        <w:t>同时</w:t>
      </w:r>
      <w:r>
        <w:rPr>
          <w:snapToGrid w:val="0"/>
          <w:color w:val="FF0000"/>
          <w:kern w:val="0"/>
          <w:sz w:val="24"/>
          <w:szCs w:val="20"/>
        </w:rPr>
        <w:t>添加新鲜水可有效的降低废水浓度，使回用清洗水污染物浓度降低，可以满足废旧</w:t>
      </w:r>
      <w:r>
        <w:rPr>
          <w:rFonts w:hint="eastAsia"/>
          <w:snapToGrid w:val="0"/>
          <w:color w:val="FF0000"/>
          <w:kern w:val="0"/>
          <w:sz w:val="24"/>
          <w:szCs w:val="20"/>
        </w:rPr>
        <w:t>塑料</w:t>
      </w:r>
      <w:r>
        <w:rPr>
          <w:snapToGrid w:val="0"/>
          <w:color w:val="FF0000"/>
          <w:kern w:val="0"/>
          <w:sz w:val="24"/>
          <w:szCs w:val="20"/>
        </w:rPr>
        <w:t>回用清洗水的要求。</w:t>
      </w:r>
    </w:p>
    <w:p w14:paraId="6DEA5887">
      <w:pPr>
        <w:adjustRightInd w:val="0"/>
        <w:snapToGrid w:val="0"/>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（2）造粒冷却水循环可行性</w:t>
      </w:r>
    </w:p>
    <w:p w14:paraId="7DE2BA9D">
      <w:pPr>
        <w:adjustRightInd w:val="0"/>
        <w:snapToGrid w:val="0"/>
        <w:spacing w:line="360" w:lineRule="auto"/>
        <w:ind w:firstLine="480" w:firstLineChars="200"/>
        <w:rPr>
          <w:b/>
          <w:color w:val="000000" w:themeColor="text1"/>
          <w:sz w:val="24"/>
          <w14:textFill>
            <w14:solidFill>
              <w14:schemeClr w14:val="tx1"/>
            </w14:solidFill>
          </w14:textFill>
        </w:rPr>
      </w:pPr>
      <w:r>
        <w:rPr>
          <w:bCs/>
          <w:color w:val="000000" w:themeColor="text1"/>
          <w:sz w:val="24"/>
          <w14:textFill>
            <w14:solidFill>
              <w14:schemeClr w14:val="tx1"/>
            </w14:solidFill>
          </w14:textFill>
        </w:rPr>
        <w:t>根据建设方提供的设计资料，本项目设置两台造粒机，各配套一个冷却水槽，共用一个冷却水循环系统（循环冷却水池1m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），本项目冷却水主要污染物为少量的SS</w:t>
      </w:r>
      <w:r>
        <w:rPr>
          <w:rFonts w:eastAsiaTheme="minorEastAsia"/>
          <w:bCs/>
          <w:color w:val="000000" w:themeColor="text1"/>
          <w:sz w:val="24"/>
          <w:szCs w:val="28"/>
          <w14:textFill>
            <w14:solidFill>
              <w14:schemeClr w14:val="tx1"/>
            </w14:solidFill>
          </w14:textFill>
        </w:rPr>
        <w:t>，此部分废水经冷却循环池冷却及沉淀后，可用于生产中。</w:t>
      </w:r>
    </w:p>
    <w:p w14:paraId="5EC902B2">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3、生活废水处置措施</w:t>
      </w:r>
    </w:p>
    <w:p w14:paraId="46A2554A">
      <w:pPr>
        <w:adjustRightInd w:val="0"/>
        <w:snapToGrid w:val="0"/>
        <w:spacing w:line="360" w:lineRule="auto"/>
        <w:ind w:firstLine="480"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①</w:t>
      </w:r>
      <w:r>
        <w:rPr>
          <w:b/>
          <w:color w:val="000000" w:themeColor="text1"/>
          <w:sz w:val="24"/>
          <w14:textFill>
            <w14:solidFill>
              <w14:schemeClr w14:val="tx1"/>
            </w14:solidFill>
          </w14:textFill>
        </w:rPr>
        <w:t>隔油池设置合理性分析</w:t>
      </w:r>
    </w:p>
    <w:p w14:paraId="44AC87F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根据上述废水处置措施，食堂废水量为0.24m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p>
    <w:p w14:paraId="4CF906D2">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根据中华人民共和国国家环境保护标准HJ554-2010《饮食业环境保护技术规范》，隔油池设计符合下列规定：</w:t>
      </w:r>
    </w:p>
    <w:p w14:paraId="029C7690">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含油污水的水力停留时间不宜小于0.5h</w:t>
      </w:r>
      <w:r>
        <w:rPr>
          <w:rFonts w:hint="eastAsia"/>
          <w:color w:val="000000" w:themeColor="text1"/>
          <w:sz w:val="24"/>
          <w14:textFill>
            <w14:solidFill>
              <w14:schemeClr w14:val="tx1"/>
            </w14:solidFill>
          </w14:textFill>
        </w:rPr>
        <w:t>；</w:t>
      </w:r>
    </w:p>
    <w:p w14:paraId="23345585">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池内水流流速不宜大于0.005m/s；</w:t>
      </w:r>
    </w:p>
    <w:p w14:paraId="2C64D36D">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池内分格宜取两档三格；</w:t>
      </w:r>
    </w:p>
    <w:p w14:paraId="4473DC70">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人工除油的隔油池内存油部分的容积不得小于该池有效容积的25％，隔油池出水管管底至池底的深度，不得小于0.6m。</w:t>
      </w:r>
    </w:p>
    <w:p w14:paraId="12264F8E">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本项目食堂废水按每日产生时间2小时计，含油污水在池内的停留时间均为30min，则食堂应设置不小于0.2m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的隔油池。</w:t>
      </w:r>
    </w:p>
    <w:p w14:paraId="2EDC1D4F">
      <w:pPr>
        <w:adjustRightInd w:val="0"/>
        <w:snapToGrid w:val="0"/>
        <w:spacing w:line="360" w:lineRule="auto"/>
        <w:ind w:firstLine="480"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②</w:t>
      </w:r>
      <w:r>
        <w:rPr>
          <w:b/>
          <w:color w:val="000000" w:themeColor="text1"/>
          <w:sz w:val="24"/>
          <w14:textFill>
            <w14:solidFill>
              <w14:schemeClr w14:val="tx1"/>
            </w14:solidFill>
          </w14:textFill>
        </w:rPr>
        <w:t>化粪池容积合理性分析</w:t>
      </w:r>
    </w:p>
    <w:p w14:paraId="77BCDB8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本项目生活废水量为</w:t>
      </w:r>
      <w:r>
        <w:rPr>
          <w:snapToGrid w:val="0"/>
          <w:color w:val="000000" w:themeColor="text1"/>
          <w:kern w:val="0"/>
          <w:sz w:val="24"/>
          <w:szCs w:val="20"/>
          <w14:textFill>
            <w14:solidFill>
              <w14:schemeClr w14:val="tx1"/>
            </w14:solidFill>
          </w14:textFill>
        </w:rPr>
        <w:t>1.32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/d，满足半个月左右废水储存量，应设置不小于15m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的化粪池，定期委托周边村民清运，用于农作物施肥，是可行的。</w:t>
      </w:r>
    </w:p>
    <w:p w14:paraId="0346F0DB">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6.2.5地表水环境影响分析</w:t>
      </w:r>
    </w:p>
    <w:p w14:paraId="332E7EDF">
      <w:pPr>
        <w:spacing w:line="360" w:lineRule="auto"/>
        <w:ind w:firstLine="480" w:firstLineChars="200"/>
        <w:rPr>
          <w:color w:val="000000" w:themeColor="text1"/>
          <w:sz w:val="24"/>
          <w14:textFill>
            <w14:solidFill>
              <w14:schemeClr w14:val="tx1"/>
            </w14:solidFill>
          </w14:textFill>
        </w:rPr>
      </w:pPr>
      <w:r>
        <w:rPr>
          <w:snapToGrid w:val="0"/>
          <w:color w:val="000000" w:themeColor="text1"/>
          <w:kern w:val="0"/>
          <w:sz w:val="24"/>
          <w:szCs w:val="20"/>
          <w14:textFill>
            <w14:solidFill>
              <w14:schemeClr w14:val="tx1"/>
            </w14:solidFill>
          </w14:textFill>
        </w:rPr>
        <w:t>本项目排水方案为雨污分流，</w:t>
      </w:r>
      <w:r>
        <w:rPr>
          <w:color w:val="000000" w:themeColor="text1"/>
          <w:sz w:val="24"/>
          <w14:textFill>
            <w14:solidFill>
              <w14:schemeClr w14:val="tx1"/>
            </w14:solidFill>
          </w14:textFill>
        </w:rPr>
        <w:t>本项目厂区设置雨水沟，收集前1h的雨水进入本项目雨水沉淀池（1m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）处理，回用于生产，其余经沉淀后外排。</w:t>
      </w:r>
      <w:r>
        <w:rPr>
          <w:rFonts w:eastAsia="??"/>
          <w:color w:val="000000" w:themeColor="text1"/>
          <w:sz w:val="24"/>
          <w14:textFill>
            <w14:solidFill>
              <w14:schemeClr w14:val="tx1"/>
            </w14:solidFill>
          </w14:textFill>
        </w:rPr>
        <w:t xml:space="preserve"> </w:t>
      </w:r>
    </w:p>
    <w:p w14:paraId="0DB31A94">
      <w:pPr>
        <w:spacing w:line="360" w:lineRule="auto"/>
        <w:ind w:firstLine="480" w:firstLineChars="200"/>
        <w:rPr>
          <w:bCs/>
          <w:color w:val="000000" w:themeColor="text1"/>
          <w:sz w:val="24"/>
          <w14:textFill>
            <w14:solidFill>
              <w14:schemeClr w14:val="tx1"/>
            </w14:solidFill>
          </w14:textFill>
        </w:rPr>
      </w:pPr>
      <w:r>
        <w:rPr>
          <w:snapToGrid w:val="0"/>
          <w:color w:val="000000" w:themeColor="text1"/>
          <w:kern w:val="0"/>
          <w:sz w:val="24"/>
          <w:szCs w:val="20"/>
          <w14:textFill>
            <w14:solidFill>
              <w14:schemeClr w14:val="tx1"/>
            </w14:solidFill>
          </w14:textFill>
        </w:rPr>
        <w:t>生活污水中</w:t>
      </w:r>
      <w:r>
        <w:rPr>
          <w:bCs/>
          <w:color w:val="000000" w:themeColor="text1"/>
          <w:sz w:val="24"/>
          <w14:textFill>
            <w14:solidFill>
              <w14:schemeClr w14:val="tx1"/>
            </w14:solidFill>
          </w14:textFill>
        </w:rPr>
        <w:t>厨房废水经1个隔油池（0.2m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）处理后，与其它生活废水排入化粪池（15m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）处理，定期委托周边村民清运，用于农作物施肥。</w:t>
      </w:r>
    </w:p>
    <w:p w14:paraId="0FE3B819">
      <w:pPr>
        <w:spacing w:line="360" w:lineRule="auto"/>
        <w:ind w:firstLine="480" w:firstLineChars="200"/>
        <w:rPr>
          <w:bCs/>
          <w:color w:val="000000" w:themeColor="text1"/>
          <w:sz w:val="24"/>
          <w:szCs w:val="32"/>
          <w14:textFill>
            <w14:solidFill>
              <w14:schemeClr w14:val="tx1"/>
            </w14:solidFill>
          </w14:textFill>
        </w:rPr>
      </w:pPr>
      <w:r>
        <w:rPr>
          <w:bCs/>
          <w:color w:val="000000" w:themeColor="text1"/>
          <w:sz w:val="24"/>
          <w:szCs w:val="32"/>
          <w14:textFill>
            <w14:solidFill>
              <w14:schemeClr w14:val="tx1"/>
            </w14:solidFill>
          </w14:textFill>
        </w:rPr>
        <w:t>生产废水中清洗、破碎废水通过自建的隔油池（2.5m</w:t>
      </w:r>
      <w:r>
        <w:rPr>
          <w:bCs/>
          <w:color w:val="000000" w:themeColor="text1"/>
          <w:sz w:val="24"/>
          <w:szCs w:val="32"/>
          <w:vertAlign w:val="superscript"/>
          <w14:textFill>
            <w14:solidFill>
              <w14:schemeClr w14:val="tx1"/>
            </w14:solidFill>
          </w14:textFill>
        </w:rPr>
        <w:t>3</w:t>
      </w:r>
      <w:r>
        <w:rPr>
          <w:bCs/>
          <w:color w:val="000000" w:themeColor="text1"/>
          <w:sz w:val="24"/>
          <w:szCs w:val="32"/>
          <w14:textFill>
            <w14:solidFill>
              <w14:schemeClr w14:val="tx1"/>
            </w14:solidFill>
          </w14:textFill>
        </w:rPr>
        <w:t>）+3级沉淀池（100m</w:t>
      </w:r>
      <w:r>
        <w:rPr>
          <w:bCs/>
          <w:color w:val="000000" w:themeColor="text1"/>
          <w:sz w:val="24"/>
          <w:szCs w:val="32"/>
          <w:vertAlign w:val="superscript"/>
          <w14:textFill>
            <w14:solidFill>
              <w14:schemeClr w14:val="tx1"/>
            </w14:solidFill>
          </w14:textFill>
        </w:rPr>
        <w:t>3</w:t>
      </w:r>
      <w:r>
        <w:rPr>
          <w:bCs/>
          <w:color w:val="000000" w:themeColor="text1"/>
          <w:sz w:val="24"/>
          <w:szCs w:val="32"/>
          <w14:textFill>
            <w14:solidFill>
              <w14:schemeClr w14:val="tx1"/>
            </w14:solidFill>
          </w14:textFill>
        </w:rPr>
        <w:t>）处理达后，储存于蓄水池回用于生产，不外排；</w:t>
      </w:r>
      <w:r>
        <w:rPr>
          <w:bCs/>
          <w:color w:val="000000" w:themeColor="text1"/>
          <w:sz w:val="24"/>
          <w14:textFill>
            <w14:solidFill>
              <w14:schemeClr w14:val="tx1"/>
            </w14:solidFill>
          </w14:textFill>
        </w:rPr>
        <w:t>造粒工序设置两台造粒机，各配套一个冷却水槽，共用一个冷却水循环系统（循环冷却水池1m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w:t>
      </w:r>
      <w:r>
        <w:rPr>
          <w:rFonts w:eastAsiaTheme="minorEastAsia"/>
          <w:bCs/>
          <w:color w:val="000000" w:themeColor="text1"/>
          <w:sz w:val="24"/>
          <w:szCs w:val="28"/>
          <w14:textFill>
            <w14:solidFill>
              <w14:schemeClr w14:val="tx1"/>
            </w14:solidFill>
          </w14:textFill>
        </w:rPr>
        <w:t>此部分废水经冷却循环池冷却及沉淀后，回用于生产中。</w:t>
      </w:r>
    </w:p>
    <w:p w14:paraId="3A9E6D32">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综上本项目废水不外排，对地表水（</w:t>
      </w:r>
      <w:r>
        <w:rPr>
          <w:snapToGrid w:val="0"/>
          <w:color w:val="000000" w:themeColor="text1"/>
          <w:kern w:val="0"/>
          <w:sz w:val="24"/>
          <w:szCs w:val="20"/>
          <w14:textFill>
            <w14:solidFill>
              <w14:schemeClr w14:val="tx1"/>
            </w14:solidFill>
          </w14:textFill>
        </w:rPr>
        <w:t>南侧65m瑞丽江</w:t>
      </w:r>
      <w:r>
        <w:rPr>
          <w:color w:val="000000" w:themeColor="text1"/>
          <w:sz w:val="24"/>
          <w14:textFill>
            <w14:solidFill>
              <w14:schemeClr w14:val="tx1"/>
            </w14:solidFill>
          </w14:textFill>
        </w:rPr>
        <w:t>）影响较小。</w:t>
      </w:r>
    </w:p>
    <w:p w14:paraId="057018E8">
      <w:pPr>
        <w:pStyle w:val="4"/>
        <w:rPr>
          <w:rFonts w:ascii="Times New Roman" w:hAnsi="Times New Roman"/>
          <w:color w:val="000000" w:themeColor="text1"/>
          <w14:textFill>
            <w14:solidFill>
              <w14:schemeClr w14:val="tx1"/>
            </w14:solidFill>
          </w14:textFill>
        </w:rPr>
      </w:pPr>
      <w:bookmarkStart w:id="398" w:name="_Toc2773766"/>
      <w:r>
        <w:rPr>
          <w:rFonts w:ascii="Times New Roman" w:hAnsi="Times New Roman"/>
          <w:color w:val="000000" w:themeColor="text1"/>
          <w14:textFill>
            <w14:solidFill>
              <w14:schemeClr w14:val="tx1"/>
            </w14:solidFill>
          </w14:textFill>
        </w:rPr>
        <w:t>6.3地下水环境影响分析</w:t>
      </w:r>
      <w:bookmarkEnd w:id="398"/>
    </w:p>
    <w:p w14:paraId="692C4DA4">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6.3.1评价区水文地质条件</w:t>
      </w:r>
    </w:p>
    <w:p w14:paraId="48F7DF12">
      <w:pPr>
        <w:pStyle w:val="295"/>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评价区内主要为碎屑岩类组成的基岩山区，岩性以大理岩、石英砂岩为主，少量花岗岩、灰岩等，褶皱强烈，断裂发育，地下水的赋存条件与分布规律明显的受岩性和构造控制，同时与地形地貌条件也有密切关系。根据地下水赋存条件、水理性质和水力特征，可分为第四系松散岩类孔隙水、基岩裂隙水、碳酸岩溶水。</w:t>
      </w:r>
    </w:p>
    <w:p w14:paraId="06D133EF">
      <w:pPr>
        <w:pStyle w:val="295"/>
        <w:ind w:firstLine="482"/>
        <w:rPr>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第四系松散岩类孔隙水：</w:t>
      </w:r>
      <w:r>
        <w:rPr>
          <w:snapToGrid w:val="0"/>
          <w:color w:val="000000" w:themeColor="text1"/>
          <w14:textFill>
            <w14:solidFill>
              <w14:schemeClr w14:val="tx1"/>
            </w14:solidFill>
          </w14:textFill>
        </w:rPr>
        <w:t>主要赋存于第四系残破积层（Q</w:t>
      </w:r>
      <w:r>
        <w:rPr>
          <w:snapToGrid w:val="0"/>
          <w:color w:val="000000" w:themeColor="text1"/>
          <w:vertAlign w:val="subscript"/>
          <w14:textFill>
            <w14:solidFill>
              <w14:schemeClr w14:val="tx1"/>
            </w14:solidFill>
          </w14:textFill>
        </w:rPr>
        <w:t>h</w:t>
      </w:r>
      <w:r>
        <w:rPr>
          <w:snapToGrid w:val="0"/>
          <w:color w:val="000000" w:themeColor="text1"/>
          <w:vertAlign w:val="superscript"/>
          <w14:textFill>
            <w14:solidFill>
              <w14:schemeClr w14:val="tx1"/>
            </w14:solidFill>
          </w14:textFill>
        </w:rPr>
        <w:t>al</w:t>
      </w:r>
      <w:r>
        <w:rPr>
          <w:snapToGrid w:val="0"/>
          <w:color w:val="000000" w:themeColor="text1"/>
          <w14:textFill>
            <w14:solidFill>
              <w14:schemeClr w14:val="tx1"/>
            </w14:solidFill>
          </w14:textFill>
        </w:rPr>
        <w:t>），区内分布较少。主要分布于评价区西南侧，瑞丽江附近，结构松散，孔隙度大，地下水水位一般埋藏浅，含水层厚度差异大，透水性、富水性差异较大，受岩性控制明显。</w:t>
      </w:r>
    </w:p>
    <w:p w14:paraId="5154E390">
      <w:pPr>
        <w:pStyle w:val="295"/>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区内第四系松散岩类孔隙水含水层厚度一般小于10m，水位一般0.5~4m，单井涌水量小于100t/d。水化学类型为HCO</w:t>
      </w:r>
      <w:r>
        <w:rPr>
          <w:snapToGrid w:val="0"/>
          <w:color w:val="000000" w:themeColor="text1"/>
          <w:vertAlign w:val="superscript"/>
          <w14:textFill>
            <w14:solidFill>
              <w14:schemeClr w14:val="tx1"/>
            </w14:solidFill>
          </w14:textFill>
        </w:rPr>
        <w:t>3-</w:t>
      </w:r>
      <w:r>
        <w:rPr>
          <w:snapToGrid w:val="0"/>
          <w:color w:val="000000" w:themeColor="text1"/>
          <w14:textFill>
            <w14:solidFill>
              <w14:schemeClr w14:val="tx1"/>
            </w14:solidFill>
          </w14:textFill>
        </w:rPr>
        <w:t>Ca·Mg、HCO</w:t>
      </w:r>
      <w:r>
        <w:rPr>
          <w:snapToGrid w:val="0"/>
          <w:color w:val="000000" w:themeColor="text1"/>
          <w:vertAlign w:val="superscript"/>
          <w14:textFill>
            <w14:solidFill>
              <w14:schemeClr w14:val="tx1"/>
            </w14:solidFill>
          </w14:textFill>
        </w:rPr>
        <w:t>3-</w:t>
      </w:r>
      <w:r>
        <w:rPr>
          <w:snapToGrid w:val="0"/>
          <w:color w:val="000000" w:themeColor="text1"/>
          <w14:textFill>
            <w14:solidFill>
              <w14:schemeClr w14:val="tx1"/>
            </w14:solidFill>
          </w14:textFill>
        </w:rPr>
        <w:t>Ca·Na，矿化度小于0.3g/L。</w:t>
      </w:r>
    </w:p>
    <w:p w14:paraId="6701F763">
      <w:pPr>
        <w:pStyle w:val="295"/>
        <w:ind w:firstLine="482"/>
        <w:rPr>
          <w:color w:val="000000" w:themeColor="text1"/>
          <w:szCs w:val="24"/>
          <w14:textFill>
            <w14:solidFill>
              <w14:schemeClr w14:val="tx1"/>
            </w14:solidFill>
          </w14:textFill>
        </w:rPr>
      </w:pPr>
      <w:r>
        <w:rPr>
          <w:b/>
          <w:color w:val="000000" w:themeColor="text1"/>
          <w:szCs w:val="24"/>
          <w14:textFill>
            <w14:solidFill>
              <w14:schemeClr w14:val="tx1"/>
            </w14:solidFill>
          </w14:textFill>
        </w:rPr>
        <w:t>碎屑岩类裂隙孔隙水：</w:t>
      </w:r>
      <w:r>
        <w:rPr>
          <w:color w:val="000000" w:themeColor="text1"/>
          <w:szCs w:val="24"/>
          <w14:textFill>
            <w14:solidFill>
              <w14:schemeClr w14:val="tx1"/>
            </w14:solidFill>
          </w14:textFill>
        </w:rPr>
        <w:t>主要赋存于</w:t>
      </w:r>
      <w:r>
        <w:rPr>
          <w:snapToGrid w:val="0"/>
          <w:color w:val="000000" w:themeColor="text1"/>
          <w14:textFill>
            <w14:solidFill>
              <w14:schemeClr w14:val="tx1"/>
            </w14:solidFill>
          </w14:textFill>
        </w:rPr>
        <w:t>上第三系（N），岩性为半胶结砾岩，砂砾岩、砂岩，粘土岩夹褐煤，评价区内分布较广，分布于评价区中部，</w:t>
      </w:r>
      <w:r>
        <w:rPr>
          <w:color w:val="000000" w:themeColor="text1"/>
          <w14:textFill>
            <w14:solidFill>
              <w14:schemeClr w14:val="tx1"/>
            </w14:solidFill>
          </w14:textFill>
        </w:rPr>
        <w:t>地下水赋存于一般构造裂隙中，地下水径流模数1.2~1.4L/s·km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，泉水流量一般在0.3～0.5L/s，水化学类型为HCO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-Na型，矿化度小于0.3g/L</w:t>
      </w:r>
      <w:r>
        <w:rPr>
          <w:color w:val="000000" w:themeColor="text1"/>
          <w:szCs w:val="24"/>
          <w14:textFill>
            <w14:solidFill>
              <w14:schemeClr w14:val="tx1"/>
            </w14:solidFill>
          </w14:textFill>
        </w:rPr>
        <w:t>。</w:t>
      </w:r>
    </w:p>
    <w:p w14:paraId="6459F0BC">
      <w:pPr>
        <w:pStyle w:val="295"/>
        <w:ind w:firstLine="482"/>
        <w:rPr>
          <w:color w:val="000000" w:themeColor="text1"/>
          <w14:textFill>
            <w14:solidFill>
              <w14:schemeClr w14:val="tx1"/>
            </w14:solidFill>
          </w14:textFill>
        </w:rPr>
      </w:pPr>
      <w:r>
        <w:rPr>
          <w:b/>
          <w:color w:val="000000" w:themeColor="text1"/>
          <w14:textFill>
            <w14:solidFill>
              <w14:schemeClr w14:val="tx1"/>
            </w14:solidFill>
          </w14:textFill>
        </w:rPr>
        <w:t>碳酸盐类岩溶水：</w:t>
      </w:r>
      <w:r>
        <w:rPr>
          <w:color w:val="000000" w:themeColor="text1"/>
          <w14:textFill>
            <w14:solidFill>
              <w14:schemeClr w14:val="tx1"/>
            </w14:solidFill>
          </w14:textFill>
        </w:rPr>
        <w:t>主要赋存于二叠系上统沙子坡组（P1S），岩性为灰色薄-中厚层状灰岩、白云岩，白云质灰岩及泥质岩，主要分布于评价区北部，岩溶率20~30%，大泉、暗河流量为131.25-145.6L/s，最大233.61L/秒，水化学类型为HCO3-Ca.Mg型，矿化度0.3g/L。</w:t>
      </w:r>
    </w:p>
    <w:p w14:paraId="598B2271">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6.3.2地下水补、径、排特征</w:t>
      </w:r>
    </w:p>
    <w:p w14:paraId="0D2C4EA1">
      <w:pPr>
        <w:pStyle w:val="295"/>
        <w:ind w:firstLine="480"/>
        <w:rPr>
          <w:color w:val="000000" w:themeColor="text1"/>
          <w14:textFill>
            <w14:solidFill>
              <w14:schemeClr w14:val="tx1"/>
            </w14:solidFill>
          </w14:textFill>
        </w:rPr>
      </w:pPr>
      <w:r>
        <w:rPr>
          <w:color w:val="000000" w:themeColor="text1"/>
          <w14:textFill>
            <w14:solidFill>
              <w14:schemeClr w14:val="tx1"/>
            </w14:solidFill>
          </w14:textFill>
        </w:rPr>
        <w:t>评价区裂隙含水层在露头处接受大气降水补给。大气降水大部分沿着溪沟迅速流走，部分降水顺着裂隙补给地下水，下渗到一定深度后即顺层往溪沟和区域侵蚀基准面以渗流小泉或季节性泉分散排泄。</w:t>
      </w:r>
    </w:p>
    <w:p w14:paraId="40349B93">
      <w:pPr>
        <w:pStyle w:val="295"/>
        <w:ind w:firstLine="480"/>
        <w:rPr>
          <w:color w:val="000000" w:themeColor="text1"/>
          <w14:textFill>
            <w14:solidFill>
              <w14:schemeClr w14:val="tx1"/>
            </w14:solidFill>
          </w14:textFill>
        </w:rPr>
      </w:pPr>
      <w:r>
        <w:rPr>
          <w:color w:val="000000" w:themeColor="text1"/>
          <w14:textFill>
            <w14:solidFill>
              <w14:schemeClr w14:val="tx1"/>
            </w14:solidFill>
          </w14:textFill>
        </w:rPr>
        <w:t>总体而言，矿区地下水由大气降水补给，整体自西北向东南径流，于瑞丽江排泄。</w:t>
      </w:r>
    </w:p>
    <w:p w14:paraId="5E4A12C2">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6.3.3地下水环境影响分析</w:t>
      </w:r>
    </w:p>
    <w:p w14:paraId="5206951E">
      <w:pPr>
        <w:pStyle w:val="295"/>
        <w:ind w:firstLine="482"/>
        <w:rPr>
          <w:color w:val="000000" w:themeColor="text1"/>
          <w14:textFill>
            <w14:solidFill>
              <w14:schemeClr w14:val="tx1"/>
            </w14:solidFill>
          </w14:textFill>
        </w:rPr>
      </w:pPr>
      <w:r>
        <w:rPr>
          <w:b/>
          <w:color w:val="000000" w:themeColor="text1"/>
          <w14:textFill>
            <w14:solidFill>
              <w14:schemeClr w14:val="tx1"/>
            </w14:solidFill>
          </w14:textFill>
        </w:rPr>
        <w:t>1、本项目对地下水的污染途径</w:t>
      </w:r>
    </w:p>
    <w:p w14:paraId="6F36A62B">
      <w:pPr>
        <w:pStyle w:val="15"/>
        <w:adjustRightInd w:val="0"/>
        <w:snapToGrid w:val="0"/>
        <w:spacing w:line="360" w:lineRule="auto"/>
        <w:ind w:firstLine="480"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1</w:t>
      </w:r>
      <w:r>
        <w:rPr>
          <w:b/>
          <w:color w:val="000000" w:themeColor="text1"/>
          <w:kern w:val="0"/>
          <w:sz w:val="24"/>
          <w14:textFill>
            <w14:solidFill>
              <w14:schemeClr w14:val="tx1"/>
            </w14:solidFill>
          </w14:textFill>
        </w:rPr>
        <w:t>）污染源分析</w:t>
      </w:r>
    </w:p>
    <w:p w14:paraId="4BA4269F">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根据工程分析，拟建项目为废旧塑料再生利用，项目运行期产生的废水主要为生产废水和生活污水，生产废水主要为塑料破碎清洗废水、造粒冷却水。</w:t>
      </w:r>
    </w:p>
    <w:p w14:paraId="4C8C1A5D">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固体废物主要有一般固体废物和危险废物，一般固体废物包括人工分选杂物、废标签纸、污水设施污泥及生活垃圾等；危险废物包括废过滤棉和废活性炭等。</w:t>
      </w:r>
    </w:p>
    <w:p w14:paraId="1222FE5C">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根据厂区废水、固废的收集、暂存及处理工艺可知，对地下水环境存在潜在污染风险的区域主要为危废间、污水处理设施。</w:t>
      </w:r>
    </w:p>
    <w:p w14:paraId="5074A149">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项目对地下水影响的可能途径为：生产厂区的废水下渗、污水设施及一般固废、危废收集间防渗出现问题造成的下渗。</w:t>
      </w:r>
    </w:p>
    <w:p w14:paraId="3DAA895E">
      <w:pPr>
        <w:pStyle w:val="15"/>
        <w:adjustRightInd w:val="0"/>
        <w:snapToGrid w:val="0"/>
        <w:spacing w:line="360" w:lineRule="auto"/>
        <w:ind w:firstLine="480" w:firstLineChars="200"/>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（2）地下水污染途径</w:t>
      </w:r>
    </w:p>
    <w:p w14:paraId="64E74A8F">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污染物从污染源进入地下水所经过的路径称为地下水污染途径，地下水污染途径是多种多样的。根据工程分析，拟建项目可能对地下水造成污染的途径主要有：</w:t>
      </w:r>
    </w:p>
    <w:p w14:paraId="17CDE349">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若危废间的地面防渗层发生破损或破裂，则暂存的危险废物若发生泄漏，则会对土壤和地下水造成污染。</w:t>
      </w:r>
    </w:p>
    <w:p w14:paraId="5B5B1847">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若污水处理站中的各废水池、及化粪池的防渗层发生破损或破裂，则暂存于其中的污废水会发生渗漏，对土壤和地下水造成污染。</w:t>
      </w:r>
    </w:p>
    <w:p w14:paraId="6E2EBA86">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若收集及运输污废水的管道发生破裂，则污废水会发生泄漏，对土壤和地下水造成污染。</w:t>
      </w:r>
    </w:p>
    <w:p w14:paraId="2B5B4FDC">
      <w:pPr>
        <w:pStyle w:val="295"/>
        <w:ind w:firstLine="482"/>
        <w:rPr>
          <w:color w:val="000000" w:themeColor="text1"/>
          <w14:textFill>
            <w14:solidFill>
              <w14:schemeClr w14:val="tx1"/>
            </w14:solidFill>
          </w14:textFill>
        </w:rPr>
      </w:pPr>
      <w:r>
        <w:rPr>
          <w:b/>
          <w:color w:val="000000" w:themeColor="text1"/>
          <w14:textFill>
            <w14:solidFill>
              <w14:schemeClr w14:val="tx1"/>
            </w14:solidFill>
          </w14:textFill>
        </w:rPr>
        <w:t>2、正常情况下项目生产对地下水影响分析</w:t>
      </w:r>
    </w:p>
    <w:p w14:paraId="12EE341F">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项目危险废物设置危废间暂存，避免了淋滤水产生。危废间采用6m厚压实粘土防渗、污水处理设施、原料仓库、破碎清洗生产区及造粒生产区采用1.5m厚压实粘土防渗。</w:t>
      </w:r>
    </w:p>
    <w:p w14:paraId="5C52B14D">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项目生产废水经隔油池、沉淀池处理后回用于生产，不外排，生活污水仅隔油池、化粪池处理后，委托村民清运，作为农肥使用。</w:t>
      </w:r>
    </w:p>
    <w:p w14:paraId="486BEB3E">
      <w:pPr>
        <w:pStyle w:val="297"/>
        <w:ind w:firstLine="480"/>
        <w:rPr>
          <w:color w:val="000000" w:themeColor="text1"/>
          <w14:textFill>
            <w14:solidFill>
              <w14:schemeClr w14:val="tx1"/>
            </w14:solidFill>
          </w14:textFill>
        </w:rPr>
      </w:pPr>
      <w:r>
        <w:rPr>
          <w:color w:val="000000" w:themeColor="text1"/>
          <w14:textFill>
            <w14:solidFill>
              <w14:schemeClr w14:val="tx1"/>
            </w14:solidFill>
          </w14:textFill>
        </w:rPr>
        <w:t>在做好工业场地的硬化工作，加强“三废”排放管理，格按照设计做好废水处理设施及各污水池的混凝土防渗，对污水管道进行定期检修维护，防止污废水跑冒滴漏的情况下，项目对地下水水质影响较小。</w:t>
      </w:r>
    </w:p>
    <w:p w14:paraId="60284562">
      <w:pPr>
        <w:pStyle w:val="15"/>
        <w:adjustRightInd w:val="0"/>
        <w:snapToGrid w:val="0"/>
        <w:spacing w:line="360" w:lineRule="auto"/>
        <w:ind w:firstLine="480" w:firstLineChars="200"/>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3、非正常情况下项目生产对地下水影响分析</w:t>
      </w:r>
    </w:p>
    <w:p w14:paraId="3617F244">
      <w:pPr>
        <w:pStyle w:val="296"/>
        <w:ind w:firstLine="480"/>
        <w:rPr>
          <w:rFonts w:cs="Times New Roman"/>
          <w:color w:val="000000" w:themeColor="text1"/>
          <w14:textFill>
            <w14:solidFill>
              <w14:schemeClr w14:val="tx1"/>
            </w14:solidFill>
          </w14:textFill>
        </w:rPr>
      </w:pPr>
      <w:r>
        <w:rPr>
          <w:rFonts w:hint="eastAsia" w:ascii="宋体" w:hAnsi="宋体"/>
          <w:color w:val="000000" w:themeColor="text1"/>
          <w:szCs w:val="28"/>
          <w14:textFill>
            <w14:solidFill>
              <w14:schemeClr w14:val="tx1"/>
            </w14:solidFill>
          </w14:textFill>
        </w:rPr>
        <w:t>①</w:t>
      </w:r>
      <w:r>
        <w:rPr>
          <w:rFonts w:cs="Times New Roman"/>
          <w:color w:val="000000" w:themeColor="text1"/>
          <w14:textFill>
            <w14:solidFill>
              <w14:schemeClr w14:val="tx1"/>
            </w14:solidFill>
          </w14:textFill>
        </w:rPr>
        <w:t>地下水预测情景设定</w:t>
      </w:r>
    </w:p>
    <w:p w14:paraId="0E0A33A0">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主要考虑非正常情况下防渗工程失效，渗滤液、污废水下渗。从安全角度出发，本次预测地下水污染源假定泄漏后直接进入含水层，从而对污染物在含水层中迁移转化进行模拟计算。</w:t>
      </w:r>
    </w:p>
    <w:p w14:paraId="0DFF42F2">
      <w:pPr>
        <w:pStyle w:val="296"/>
        <w:ind w:firstLine="480"/>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预测方法</w:t>
      </w:r>
    </w:p>
    <w:p w14:paraId="1F244E59">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根据野外环境水文地质调查与室内分析相结合得出，场地内水文地质条件相对较简单，地下水类型主要为碎屑岩裂隙水。本报告采用解析法对地下水环境影响进行预测。</w:t>
      </w:r>
    </w:p>
    <w:p w14:paraId="399F12FD">
      <w:pPr>
        <w:pStyle w:val="296"/>
        <w:ind w:firstLine="480"/>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预测范围</w:t>
      </w:r>
    </w:p>
    <w:p w14:paraId="3CE1B532">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考虑到项目需要预测的潜水含水层，为了说明建设项目对地下水环境的影响，预测范围设置在项目调查评价区，通过不同情境对可能产生的地下水污染进行预测分析评价。本次评价从建设项目污染源源强的设定、泄漏点的选择均是在考虑到区域环境水文地质条件上进行的。</w:t>
      </w:r>
    </w:p>
    <w:p w14:paraId="2623B47F">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模拟时间为导则规定地下水环境影响预测时段应选取可能产生地下水污染的关键时段，至少包括污染发生后100d、1000d。</w:t>
      </w:r>
    </w:p>
    <w:p w14:paraId="2217D01E">
      <w:pPr>
        <w:widowControl/>
        <w:adjustRightInd w:val="0"/>
        <w:snapToGrid w:val="0"/>
        <w:spacing w:line="360" w:lineRule="auto"/>
        <w:ind w:firstLine="480" w:firstLineChars="200"/>
        <w:rPr>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④</w:t>
      </w:r>
      <w:r>
        <w:rPr>
          <w:color w:val="000000" w:themeColor="text1"/>
          <w:sz w:val="24"/>
          <w:szCs w:val="28"/>
          <w14:textFill>
            <w14:solidFill>
              <w14:schemeClr w14:val="tx1"/>
            </w14:solidFill>
          </w14:textFill>
        </w:rPr>
        <w:t>预测因子及影响范围的选取</w:t>
      </w:r>
    </w:p>
    <w:p w14:paraId="13A9E4A4">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8"/>
          <w14:textFill>
            <w14:solidFill>
              <w14:schemeClr w14:val="tx1"/>
            </w14:solidFill>
          </w14:textFill>
        </w:rPr>
        <w:t>本次模拟计算根据评价区内地下水的水质现状</w:t>
      </w:r>
      <w:r>
        <w:rPr>
          <w:rFonts w:hint="eastAsia"/>
          <w:color w:val="000000" w:themeColor="text1"/>
          <w:sz w:val="24"/>
          <w:szCs w:val="28"/>
          <w:lang w:eastAsia="zh-CN"/>
          <w14:textFill>
            <w14:solidFill>
              <w14:schemeClr w14:val="tx1"/>
            </w14:solidFill>
          </w14:textFill>
        </w:rPr>
        <w:t>以及</w:t>
      </w:r>
      <w:r>
        <w:rPr>
          <w:color w:val="000000" w:themeColor="text1"/>
          <w:sz w:val="24"/>
          <w:szCs w:val="28"/>
          <w14:textFill>
            <w14:solidFill>
              <w14:schemeClr w14:val="tx1"/>
            </w14:solidFill>
          </w14:textFill>
        </w:rPr>
        <w:t>项目污染源的分布及类型，选取：</w:t>
      </w:r>
      <w:r>
        <w:rPr>
          <w:color w:val="000000" w:themeColor="text1"/>
          <w:sz w:val="24"/>
          <w:szCs w:val="20"/>
          <w14:textFill>
            <w14:solidFill>
              <w14:schemeClr w14:val="tx1"/>
            </w14:solidFill>
          </w14:textFill>
        </w:rPr>
        <w:t>CODcr、BOD</w:t>
      </w:r>
      <w:r>
        <w:rPr>
          <w:color w:val="000000" w:themeColor="text1"/>
          <w:sz w:val="24"/>
          <w:szCs w:val="20"/>
          <w:vertAlign w:val="subscript"/>
          <w14:textFill>
            <w14:solidFill>
              <w14:schemeClr w14:val="tx1"/>
            </w14:solidFill>
          </w14:textFill>
        </w:rPr>
        <w:t>5</w:t>
      </w:r>
      <w:r>
        <w:rPr>
          <w:color w:val="000000" w:themeColor="text1"/>
          <w:sz w:val="24"/>
          <w:szCs w:val="20"/>
          <w14:textFill>
            <w14:solidFill>
              <w14:schemeClr w14:val="tx1"/>
            </w14:solidFill>
          </w14:textFill>
        </w:rPr>
        <w:t>、NH</w:t>
      </w:r>
      <w:r>
        <w:rPr>
          <w:color w:val="000000" w:themeColor="text1"/>
          <w:sz w:val="24"/>
          <w:szCs w:val="20"/>
          <w:vertAlign w:val="subscript"/>
          <w14:textFill>
            <w14:solidFill>
              <w14:schemeClr w14:val="tx1"/>
            </w14:solidFill>
          </w14:textFill>
        </w:rPr>
        <w:t>3</w:t>
      </w:r>
      <w:r>
        <w:rPr>
          <w:color w:val="000000" w:themeColor="text1"/>
          <w:sz w:val="24"/>
          <w:szCs w:val="20"/>
          <w14:textFill>
            <w14:solidFill>
              <w14:schemeClr w14:val="tx1"/>
            </w14:solidFill>
          </w14:textFill>
        </w:rPr>
        <w:t>-N作为预测因子。</w:t>
      </w:r>
    </w:p>
    <w:p w14:paraId="12FE1AE3">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以《地下水质量标准》（GB/T14848-2017）中的</w:t>
      </w:r>
      <w:r>
        <w:rPr>
          <w:rFonts w:hint="eastAsia" w:ascii="宋体" w:hAnsi="宋体"/>
          <w:color w:val="000000" w:themeColor="text1"/>
          <w14:textFill>
            <w14:solidFill>
              <w14:schemeClr w14:val="tx1"/>
            </w14:solidFill>
          </w14:textFill>
        </w:rPr>
        <w:t>Ⅲ</w:t>
      </w:r>
      <w:r>
        <w:rPr>
          <w:rFonts w:cs="Times New Roman"/>
          <w:color w:val="000000" w:themeColor="text1"/>
          <w14:textFill>
            <w14:solidFill>
              <w14:schemeClr w14:val="tx1"/>
            </w14:solidFill>
          </w14:textFill>
        </w:rPr>
        <w:t>类标准为超标范围限值，</w:t>
      </w:r>
      <w:r>
        <w:rPr>
          <w:rFonts w:hint="eastAsia" w:ascii="宋体" w:hAnsi="宋体"/>
          <w:color w:val="000000" w:themeColor="text1"/>
          <w14:textFill>
            <w14:solidFill>
              <w14:schemeClr w14:val="tx1"/>
            </w14:solidFill>
          </w14:textFill>
        </w:rPr>
        <w:t>Ⅰ</w:t>
      </w:r>
      <w:r>
        <w:rPr>
          <w:rFonts w:cs="Times New Roman"/>
          <w:color w:val="000000" w:themeColor="text1"/>
          <w14:textFill>
            <w14:solidFill>
              <w14:schemeClr w14:val="tx1"/>
            </w14:solidFill>
          </w14:textFill>
        </w:rPr>
        <w:t>类标准作为影响限值；以预测因子的现状监测值作为背景值，在预测中进行叠加计算并预测影响，其中CODcr、BOD5因参考《地表水环境质量标准》故不考虑叠加背景值。</w:t>
      </w:r>
    </w:p>
    <w:p w14:paraId="2FE40F67">
      <w:pPr>
        <w:spacing w:line="360" w:lineRule="auto"/>
        <w:ind w:firstLine="480"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表6.3-1 非正常排放废水水质  单位：浓度mg/L</w:t>
      </w:r>
    </w:p>
    <w:tbl>
      <w:tblPr>
        <w:tblStyle w:val="42"/>
        <w:tblW w:w="8528" w:type="dxa"/>
        <w:tblInd w:w="0" w:type="dxa"/>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4"/>
        <w:gridCol w:w="1666"/>
        <w:gridCol w:w="1727"/>
        <w:gridCol w:w="881"/>
      </w:tblGrid>
      <w:tr w14:paraId="0DB855D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25C08626">
            <w:pPr>
              <w:pStyle w:val="298"/>
              <w:rPr>
                <w:color w:val="000000" w:themeColor="text1"/>
                <w14:textFill>
                  <w14:solidFill>
                    <w14:schemeClr w14:val="tx1"/>
                  </w14:solidFill>
                </w14:textFill>
              </w:rPr>
            </w:pPr>
            <w:r>
              <w:rPr>
                <w:color w:val="000000" w:themeColor="text1"/>
                <w14:textFill>
                  <w14:solidFill>
                    <w14:schemeClr w14:val="tx1"/>
                  </w14:solidFill>
                </w14:textFill>
              </w:rPr>
              <w:t>因子</w:t>
            </w:r>
          </w:p>
        </w:tc>
        <w:tc>
          <w:tcPr>
            <w:tcW w:w="1666" w:type="dxa"/>
          </w:tcPr>
          <w:p w14:paraId="41E07EF8">
            <w:pPr>
              <w:pStyle w:val="29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1727" w:type="dxa"/>
          </w:tcPr>
          <w:p w14:paraId="4CB8E16F">
            <w:pPr>
              <w:pStyle w:val="29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881" w:type="dxa"/>
          </w:tcPr>
          <w:p w14:paraId="1F4D311A">
            <w:pPr>
              <w:pStyle w:val="298"/>
              <w:rPr>
                <w:color w:val="000000" w:themeColor="text1"/>
                <w14:textFill>
                  <w14:solidFill>
                    <w14:schemeClr w14:val="tx1"/>
                  </w14:solidFill>
                </w14:textFill>
              </w:rPr>
            </w:pPr>
            <w:r>
              <w:rPr>
                <w:color w:val="000000" w:themeColor="text1"/>
                <w14:textFill>
                  <w14:solidFill>
                    <w14:schemeClr w14:val="tx1"/>
                  </w14:solidFill>
                </w14:textFill>
              </w:rPr>
              <w:t>氨氮</w:t>
            </w:r>
          </w:p>
        </w:tc>
      </w:tr>
      <w:tr w14:paraId="747003C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4FE80B57">
            <w:pPr>
              <w:pStyle w:val="298"/>
              <w:rPr>
                <w:color w:val="000000" w:themeColor="text1"/>
                <w14:textFill>
                  <w14:solidFill>
                    <w14:schemeClr w14:val="tx1"/>
                  </w14:solidFill>
                </w14:textFill>
              </w:rPr>
            </w:pPr>
            <w:r>
              <w:rPr>
                <w:color w:val="000000" w:themeColor="text1"/>
                <w14:textFill>
                  <w14:solidFill>
                    <w14:schemeClr w14:val="tx1"/>
                  </w14:solidFill>
                </w14:textFill>
              </w:rPr>
              <w:t>源强</w:t>
            </w:r>
          </w:p>
        </w:tc>
        <w:tc>
          <w:tcPr>
            <w:tcW w:w="1666" w:type="dxa"/>
          </w:tcPr>
          <w:p w14:paraId="38A32041">
            <w:pPr>
              <w:pStyle w:val="298"/>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1727" w:type="dxa"/>
          </w:tcPr>
          <w:p w14:paraId="11BCFC55">
            <w:pPr>
              <w:pStyle w:val="298"/>
              <w:rPr>
                <w:color w:val="000000" w:themeColor="text1"/>
                <w14:textFill>
                  <w14:solidFill>
                    <w14:schemeClr w14:val="tx1"/>
                  </w14:solidFill>
                </w14:textFill>
              </w:rPr>
            </w:pPr>
            <w:r>
              <w:rPr>
                <w:color w:val="000000" w:themeColor="text1"/>
                <w14:textFill>
                  <w14:solidFill>
                    <w14:schemeClr w14:val="tx1"/>
                  </w14:solidFill>
                </w14:textFill>
              </w:rPr>
              <w:t>850</w:t>
            </w:r>
          </w:p>
        </w:tc>
        <w:tc>
          <w:tcPr>
            <w:tcW w:w="881" w:type="dxa"/>
          </w:tcPr>
          <w:p w14:paraId="47B3A7B2">
            <w:pPr>
              <w:pStyle w:val="298"/>
              <w:rPr>
                <w:color w:val="000000" w:themeColor="text1"/>
                <w14:textFill>
                  <w14:solidFill>
                    <w14:schemeClr w14:val="tx1"/>
                  </w14:solidFill>
                </w14:textFill>
              </w:rPr>
            </w:pPr>
            <w:r>
              <w:rPr>
                <w:color w:val="000000" w:themeColor="text1"/>
                <w14:textFill>
                  <w14:solidFill>
                    <w14:schemeClr w14:val="tx1"/>
                  </w14:solidFill>
                </w14:textFill>
              </w:rPr>
              <w:t>40</w:t>
            </w:r>
          </w:p>
        </w:tc>
      </w:tr>
      <w:tr w14:paraId="4D71AF3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1B9730E7">
            <w:pPr>
              <w:pStyle w:val="298"/>
              <w:rPr>
                <w:color w:val="000000" w:themeColor="text1"/>
                <w14:textFill>
                  <w14:solidFill>
                    <w14:schemeClr w14:val="tx1"/>
                  </w14:solidFill>
                </w14:textFill>
              </w:rPr>
            </w:pPr>
            <w:r>
              <w:rPr>
                <w:color w:val="000000" w:themeColor="text1"/>
                <w14:textFill>
                  <w14:solidFill>
                    <w14:schemeClr w14:val="tx1"/>
                  </w14:solidFill>
                </w14:textFill>
              </w:rPr>
              <w:t>超标范围限值（</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类标准）</w:t>
            </w:r>
          </w:p>
        </w:tc>
        <w:tc>
          <w:tcPr>
            <w:tcW w:w="1666" w:type="dxa"/>
          </w:tcPr>
          <w:p w14:paraId="2AE50FEA">
            <w:pPr>
              <w:pStyle w:val="29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727" w:type="dxa"/>
          </w:tcPr>
          <w:p w14:paraId="4C050851">
            <w:pPr>
              <w:pStyle w:val="298"/>
              <w:rPr>
                <w:color w:val="000000" w:themeColor="text1"/>
                <w14:textFill>
                  <w14:solidFill>
                    <w14:schemeClr w14:val="tx1"/>
                  </w14:solidFill>
                </w14:textFill>
              </w:rPr>
            </w:pPr>
            <w:r>
              <w:rPr>
                <w:color w:val="000000" w:themeColor="text1"/>
                <w14:textFill>
                  <w14:solidFill>
                    <w14:schemeClr w14:val="tx1"/>
                  </w14:solidFill>
                </w14:textFill>
              </w:rPr>
              <w:t>4</w:t>
            </w:r>
          </w:p>
        </w:tc>
        <w:tc>
          <w:tcPr>
            <w:tcW w:w="881" w:type="dxa"/>
          </w:tcPr>
          <w:p w14:paraId="4C641799">
            <w:pPr>
              <w:pStyle w:val="298"/>
              <w:rPr>
                <w:color w:val="000000" w:themeColor="text1"/>
                <w14:textFill>
                  <w14:solidFill>
                    <w14:schemeClr w14:val="tx1"/>
                  </w14:solidFill>
                </w14:textFill>
              </w:rPr>
            </w:pPr>
            <w:r>
              <w:rPr>
                <w:color w:val="000000" w:themeColor="text1"/>
                <w14:textFill>
                  <w14:solidFill>
                    <w14:schemeClr w14:val="tx1"/>
                  </w14:solidFill>
                </w14:textFill>
              </w:rPr>
              <w:t>0.5</w:t>
            </w:r>
          </w:p>
        </w:tc>
      </w:tr>
      <w:tr w14:paraId="675E5F7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059A024E">
            <w:pPr>
              <w:pStyle w:val="298"/>
              <w:rPr>
                <w:color w:val="000000" w:themeColor="text1"/>
                <w14:textFill>
                  <w14:solidFill>
                    <w14:schemeClr w14:val="tx1"/>
                  </w14:solidFill>
                </w14:textFill>
              </w:rPr>
            </w:pPr>
            <w:r>
              <w:rPr>
                <w:color w:val="000000" w:themeColor="text1"/>
                <w14:textFill>
                  <w14:solidFill>
                    <w14:schemeClr w14:val="tx1"/>
                  </w14:solidFill>
                </w14:textFill>
              </w:rPr>
              <w:t>影响范围限值（</w:t>
            </w:r>
            <w:r>
              <w:rPr>
                <w:rFonts w:hint="eastAsia" w:ascii="宋体" w:hAnsi="宋体" w:cs="宋体"/>
                <w:color w:val="000000" w:themeColor="text1"/>
                <w14:textFill>
                  <w14:solidFill>
                    <w14:schemeClr w14:val="tx1"/>
                  </w14:solidFill>
                </w14:textFill>
              </w:rPr>
              <w:t>Ⅰ</w:t>
            </w:r>
            <w:r>
              <w:rPr>
                <w:color w:val="000000" w:themeColor="text1"/>
                <w14:textFill>
                  <w14:solidFill>
                    <w14:schemeClr w14:val="tx1"/>
                  </w14:solidFill>
                </w14:textFill>
              </w:rPr>
              <w:t>标准）</w:t>
            </w:r>
          </w:p>
        </w:tc>
        <w:tc>
          <w:tcPr>
            <w:tcW w:w="1666" w:type="dxa"/>
          </w:tcPr>
          <w:p w14:paraId="0769CA12">
            <w:pPr>
              <w:pStyle w:val="29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727" w:type="dxa"/>
          </w:tcPr>
          <w:p w14:paraId="031D764C">
            <w:pPr>
              <w:pStyle w:val="298"/>
              <w:rPr>
                <w:color w:val="000000" w:themeColor="text1"/>
                <w14:textFill>
                  <w14:solidFill>
                    <w14:schemeClr w14:val="tx1"/>
                  </w14:solidFill>
                </w14:textFill>
              </w:rPr>
            </w:pPr>
            <w:r>
              <w:rPr>
                <w:color w:val="000000" w:themeColor="text1"/>
                <w14:textFill>
                  <w14:solidFill>
                    <w14:schemeClr w14:val="tx1"/>
                  </w14:solidFill>
                </w14:textFill>
              </w:rPr>
              <w:t>3</w:t>
            </w:r>
          </w:p>
        </w:tc>
        <w:tc>
          <w:tcPr>
            <w:tcW w:w="881" w:type="dxa"/>
          </w:tcPr>
          <w:p w14:paraId="77FCD59A">
            <w:pPr>
              <w:pStyle w:val="298"/>
              <w:rPr>
                <w:color w:val="000000" w:themeColor="text1"/>
                <w14:textFill>
                  <w14:solidFill>
                    <w14:schemeClr w14:val="tx1"/>
                  </w14:solidFill>
                </w14:textFill>
              </w:rPr>
            </w:pPr>
            <w:r>
              <w:rPr>
                <w:color w:val="000000" w:themeColor="text1"/>
                <w14:textFill>
                  <w14:solidFill>
                    <w14:schemeClr w14:val="tx1"/>
                  </w14:solidFill>
                </w14:textFill>
              </w:rPr>
              <w:t>0.02</w:t>
            </w:r>
          </w:p>
        </w:tc>
      </w:tr>
      <w:tr w14:paraId="3904249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782522A7">
            <w:pPr>
              <w:pStyle w:val="298"/>
              <w:rPr>
                <w:color w:val="000000" w:themeColor="text1"/>
                <w14:textFill>
                  <w14:solidFill>
                    <w14:schemeClr w14:val="tx1"/>
                  </w14:solidFill>
                </w14:textFill>
              </w:rPr>
            </w:pPr>
            <w:r>
              <w:rPr>
                <w:color w:val="000000" w:themeColor="text1"/>
                <w14:textFill>
                  <w14:solidFill>
                    <w14:schemeClr w14:val="tx1"/>
                  </w14:solidFill>
                </w14:textFill>
              </w:rPr>
              <w:t>背景值</w:t>
            </w:r>
          </w:p>
        </w:tc>
        <w:tc>
          <w:tcPr>
            <w:tcW w:w="1666" w:type="dxa"/>
          </w:tcPr>
          <w:p w14:paraId="032D54C5">
            <w:pPr>
              <w:pStyle w:val="298"/>
              <w:rPr>
                <w:color w:val="000000" w:themeColor="text1"/>
                <w14:textFill>
                  <w14:solidFill>
                    <w14:schemeClr w14:val="tx1"/>
                  </w14:solidFill>
                </w14:textFill>
              </w:rPr>
            </w:pPr>
            <w:r>
              <w:rPr>
                <w:color w:val="000000" w:themeColor="text1"/>
                <w14:textFill>
                  <w14:solidFill>
                    <w14:schemeClr w14:val="tx1"/>
                  </w14:solidFill>
                </w14:textFill>
              </w:rPr>
              <w:t>/</w:t>
            </w:r>
          </w:p>
        </w:tc>
        <w:tc>
          <w:tcPr>
            <w:tcW w:w="1727" w:type="dxa"/>
          </w:tcPr>
          <w:p w14:paraId="71B9128E">
            <w:pPr>
              <w:pStyle w:val="298"/>
              <w:rPr>
                <w:color w:val="000000" w:themeColor="text1"/>
                <w14:textFill>
                  <w14:solidFill>
                    <w14:schemeClr w14:val="tx1"/>
                  </w14:solidFill>
                </w14:textFill>
              </w:rPr>
            </w:pPr>
            <w:r>
              <w:rPr>
                <w:color w:val="000000" w:themeColor="text1"/>
                <w14:textFill>
                  <w14:solidFill>
                    <w14:schemeClr w14:val="tx1"/>
                  </w14:solidFill>
                </w14:textFill>
              </w:rPr>
              <w:t>/</w:t>
            </w:r>
          </w:p>
        </w:tc>
        <w:tc>
          <w:tcPr>
            <w:tcW w:w="881" w:type="dxa"/>
          </w:tcPr>
          <w:p w14:paraId="1C5B3552">
            <w:pPr>
              <w:pStyle w:val="298"/>
              <w:rPr>
                <w:color w:val="000000" w:themeColor="text1"/>
                <w14:textFill>
                  <w14:solidFill>
                    <w14:schemeClr w14:val="tx1"/>
                  </w14:solidFill>
                </w14:textFill>
              </w:rPr>
            </w:pPr>
            <w:r>
              <w:rPr>
                <w:color w:val="000000" w:themeColor="text1"/>
                <w14:textFill>
                  <w14:solidFill>
                    <w14:schemeClr w14:val="tx1"/>
                  </w14:solidFill>
                </w14:textFill>
              </w:rPr>
              <w:t>0.025L</w:t>
            </w:r>
          </w:p>
        </w:tc>
      </w:tr>
      <w:tr w14:paraId="6DDE42C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8" w:type="dxa"/>
            <w:gridSpan w:val="4"/>
          </w:tcPr>
          <w:p w14:paraId="715D389B">
            <w:pPr>
              <w:pStyle w:val="298"/>
              <w:jc w:val="left"/>
              <w:rPr>
                <w:color w:val="000000" w:themeColor="text1"/>
                <w14:textFill>
                  <w14:solidFill>
                    <w14:schemeClr w14:val="tx1"/>
                  </w14:solidFill>
                </w14:textFill>
              </w:rPr>
            </w:pPr>
            <w:r>
              <w:rPr>
                <w:color w:val="000000" w:themeColor="text1"/>
                <w14:textFill>
                  <w14:solidFill>
                    <w14:schemeClr w14:val="tx1"/>
                  </w14:solidFill>
                </w14:textFill>
              </w:rPr>
              <w:t>注：1、预测浓度CODcr、BOD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选取生产废水源强、氨氮选取生活污水源强</w:t>
            </w:r>
          </w:p>
          <w:p w14:paraId="720AB636">
            <w:pPr>
              <w:pStyle w:val="298"/>
              <w:jc w:val="left"/>
              <w:rPr>
                <w:color w:val="000000" w:themeColor="text1"/>
                <w14:textFill>
                  <w14:solidFill>
                    <w14:schemeClr w14:val="tx1"/>
                  </w14:solidFill>
                </w14:textFill>
              </w:rPr>
            </w:pPr>
            <w:r>
              <w:rPr>
                <w:color w:val="000000" w:themeColor="text1"/>
                <w14:textFill>
                  <w14:solidFill>
                    <w14:schemeClr w14:val="tx1"/>
                  </w14:solidFill>
                </w14:textFill>
              </w:rPr>
              <w:t>2、由于《地下水质量标准》（GB/T14848-2017）中无CODcr、BOD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，故参考《地表水环境质量标准》（GB3838-2002）进行评价</w:t>
            </w:r>
          </w:p>
        </w:tc>
      </w:tr>
    </w:tbl>
    <w:p w14:paraId="18D8C5A2">
      <w:pPr>
        <w:pStyle w:val="296"/>
        <w:ind w:firstLine="480"/>
        <w:rPr>
          <w:rFonts w:cs="Times New Roman"/>
          <w:b/>
          <w:color w:val="000000" w:themeColor="text1"/>
          <w14:textFill>
            <w14:solidFill>
              <w14:schemeClr w14:val="tx1"/>
            </w14:solidFill>
          </w14:textFill>
        </w:rPr>
      </w:pPr>
      <w:r>
        <w:rPr>
          <w:rFonts w:hint="eastAsia" w:ascii="宋体" w:hAnsi="宋体"/>
          <w:color w:val="000000" w:themeColor="text1"/>
          <w:szCs w:val="28"/>
          <w14:textFill>
            <w14:solidFill>
              <w14:schemeClr w14:val="tx1"/>
            </w14:solidFill>
          </w14:textFill>
        </w:rPr>
        <w:t>⑤</w:t>
      </w:r>
      <w:r>
        <w:rPr>
          <w:rFonts w:cs="Times New Roman"/>
          <w:color w:val="000000" w:themeColor="text1"/>
          <w:szCs w:val="28"/>
          <w14:textFill>
            <w14:solidFill>
              <w14:schemeClr w14:val="tx1"/>
            </w14:solidFill>
          </w14:textFill>
        </w:rPr>
        <w:t>地下水概化模型建立</w:t>
      </w:r>
    </w:p>
    <w:p w14:paraId="1F97F69F">
      <w:pPr>
        <w:pStyle w:val="296"/>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（1）非正常状况下概念模型</w:t>
      </w:r>
    </w:p>
    <w:p w14:paraId="42F4EF06">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由于地下水流向总体为西北向东南径流，发生事故污染时污染物顺地下水流向发生运移，呈线状污染。因此，本工程地下水污染源可以概化为平面点状污染源。污染源的排放规律概化为连续排放。</w:t>
      </w:r>
    </w:p>
    <w:p w14:paraId="009C7FED">
      <w:pPr>
        <w:pStyle w:val="296"/>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（2）数学模型的建立与参数的确定</w:t>
      </w:r>
    </w:p>
    <w:p w14:paraId="60E911B7">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按照《环境影响评价技术导则 地下水环境》（HJ610-2016）要求，结合区域水文地质条件和潜在污染源特征，对地下水环境影响预测采用一维半无限长多孔介质定浓度边界模型。其公式为：</w:t>
      </w:r>
    </w:p>
    <w:p w14:paraId="6A210D48">
      <w:pPr>
        <w:autoSpaceDE w:val="0"/>
        <w:spacing w:line="360" w:lineRule="auto"/>
        <w:ind w:firstLine="420" w:firstLineChars="200"/>
        <w:jc w:val="center"/>
        <w:rPr>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796030" cy="657860"/>
            <wp:effectExtent l="0" t="0" r="0" b="8890"/>
            <wp:docPr id="91" name="图片 91" descr="wps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wps3C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796030" cy="657860"/>
                    </a:xfrm>
                    <a:prstGeom prst="rect">
                      <a:avLst/>
                    </a:prstGeom>
                    <a:noFill/>
                    <a:ln>
                      <a:noFill/>
                    </a:ln>
                    <a:effectLst/>
                  </pic:spPr>
                </pic:pic>
              </a:graphicData>
            </a:graphic>
          </wp:inline>
        </w:drawing>
      </w:r>
      <w:r>
        <w:rPr>
          <w:color w:val="000000" w:themeColor="text1"/>
          <w14:textFill>
            <w14:solidFill>
              <w14:schemeClr w14:val="tx1"/>
            </w14:solidFill>
          </w14:textFill>
        </w:rPr>
        <w:t xml:space="preserve"> </w:t>
      </w:r>
    </w:p>
    <w:p w14:paraId="12707E8E">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式中：x—距注入点的距离；m；</w:t>
      </w:r>
    </w:p>
    <w:p w14:paraId="36306CBE">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 xml:space="preserve">      t—时间，d；</w:t>
      </w:r>
    </w:p>
    <w:p w14:paraId="13E86ABF">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 xml:space="preserve">      C—t 时刻 x 处的示踪剂浓度，mg/L；</w:t>
      </w:r>
    </w:p>
    <w:p w14:paraId="45355FDE">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 xml:space="preserve">      C</w:t>
      </w:r>
      <w:r>
        <w:rPr>
          <w:color w:val="000000" w:themeColor="text1"/>
          <w:sz w:val="24"/>
          <w:szCs w:val="20"/>
          <w:vertAlign w:val="subscript"/>
          <w14:textFill>
            <w14:solidFill>
              <w14:schemeClr w14:val="tx1"/>
            </w14:solidFill>
          </w14:textFill>
        </w:rPr>
        <w:t>0</w:t>
      </w:r>
      <w:r>
        <w:rPr>
          <w:color w:val="000000" w:themeColor="text1"/>
          <w:sz w:val="24"/>
          <w:szCs w:val="20"/>
          <w14:textFill>
            <w14:solidFill>
              <w14:schemeClr w14:val="tx1"/>
            </w14:solidFill>
          </w14:textFill>
        </w:rPr>
        <w:t>—注入的示踪剂浓度，mg/L；</w:t>
      </w:r>
    </w:p>
    <w:p w14:paraId="6D3A8EC3">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 xml:space="preserve">      u—水流速度，m/d； </w:t>
      </w:r>
    </w:p>
    <w:p w14:paraId="1C8B395F">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 xml:space="preserve">      D</w:t>
      </w:r>
      <w:r>
        <w:rPr>
          <w:color w:val="000000" w:themeColor="text1"/>
          <w:sz w:val="24"/>
          <w:szCs w:val="20"/>
          <w:vertAlign w:val="subscript"/>
          <w14:textFill>
            <w14:solidFill>
              <w14:schemeClr w14:val="tx1"/>
            </w14:solidFill>
          </w14:textFill>
        </w:rPr>
        <w:t>L</w:t>
      </w:r>
      <w:r>
        <w:rPr>
          <w:color w:val="000000" w:themeColor="text1"/>
          <w:sz w:val="24"/>
          <w:szCs w:val="20"/>
          <w14:textFill>
            <w14:solidFill>
              <w14:schemeClr w14:val="tx1"/>
            </w14:solidFill>
          </w14:textFill>
        </w:rPr>
        <w:t>—纵向弥散系数，m</w:t>
      </w:r>
      <w:r>
        <w:rPr>
          <w:color w:val="000000" w:themeColor="text1"/>
          <w:sz w:val="24"/>
          <w:szCs w:val="20"/>
          <w:vertAlign w:val="superscript"/>
          <w14:textFill>
            <w14:solidFill>
              <w14:schemeClr w14:val="tx1"/>
            </w14:solidFill>
          </w14:textFill>
        </w:rPr>
        <w:t>2</w:t>
      </w:r>
      <w:r>
        <w:rPr>
          <w:color w:val="000000" w:themeColor="text1"/>
          <w:sz w:val="24"/>
          <w:szCs w:val="20"/>
          <w14:textFill>
            <w14:solidFill>
              <w14:schemeClr w14:val="tx1"/>
            </w14:solidFill>
          </w14:textFill>
        </w:rPr>
        <w:t xml:space="preserve">/d； </w:t>
      </w:r>
    </w:p>
    <w:p w14:paraId="0C5A7DF2">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 xml:space="preserve">      erfc（）—余误差函数</w:t>
      </w:r>
    </w:p>
    <w:p w14:paraId="1CC1EBF2">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不考虑介质的吸附；污染源以固定的浓度不断入渗到含水层中。因此本次模拟情景为危废间、污水设施持续泄漏情况下的污染物运移情况。</w:t>
      </w:r>
    </w:p>
    <w:p w14:paraId="3C5E9F30">
      <w:pPr>
        <w:pStyle w:val="296"/>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b.地下含水层的平均有效孔隙度n</w:t>
      </w:r>
    </w:p>
    <w:p w14:paraId="6A8FFFE1">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有效孔隙度是指含水层中流体运移的孔隙体积和含水层物质总体积的比值。项目区域潜水地下含水层均以砾岩、砂岩为主，综合考虑，本项目平均有效孔隙度n取值为0.2。</w:t>
      </w:r>
    </w:p>
    <w:p w14:paraId="79E9B31A">
      <w:pPr>
        <w:pStyle w:val="296"/>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c.地下水平均流速</w:t>
      </w:r>
    </w:p>
    <w:p w14:paraId="00AE64C2">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区内地下水类型主要为第三系碎屑岩裂隙水，根据水文地质资料，含水层渗透系数取值选取为0.000799m/d，同时根据项目场地地形条件，平均水力坡度I为25.4%，因此根据地下水流速计算公式u=K×I/n，地下水流速为0.001m/d。</w:t>
      </w:r>
    </w:p>
    <w:p w14:paraId="78ED038F">
      <w:pPr>
        <w:pStyle w:val="296"/>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e.纵向弥散系数</w:t>
      </w:r>
    </w:p>
    <w:p w14:paraId="22B00BE4">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弥散度的确定地质介质中溶质运移主要受渗透系数在空间上变化的制约，即地质介质的结构影响。根据Zech等（2015）系统研究分析了最近50年全世界各地不同试验含水层和场地试验中弥散度和尺度、相关长度及非均质特征之间的关系并重新评估了弥散度与尺度关系如图6.3-1所示，从图中我们可以看出弥散度在千米尺度范围渐近于10。因此，结合本次预测工作长度约为1000m，对照图6.3-1所属于的尺度范围，弥散度取值应为2则较为合理。</w:t>
      </w:r>
    </w:p>
    <w:p w14:paraId="2EDA4728">
      <w:pPr>
        <w:pStyle w:val="296"/>
        <w:ind w:firstLine="480"/>
        <w:rPr>
          <w:rFonts w:cs="Times New Roman"/>
          <w:color w:val="000000" w:themeColor="text1"/>
          <w14:textFill>
            <w14:solidFill>
              <w14:schemeClr w14:val="tx1"/>
            </w14:solidFill>
          </w14:textFill>
        </w:rPr>
      </w:pPr>
      <w:r>
        <w:rPr>
          <w:rFonts w:eastAsia="仿宋_GB2312" w:cs="Times New Roman"/>
          <w:color w:val="000000" w:themeColor="text1"/>
          <w:kern w:val="0"/>
          <w:szCs w:val="28"/>
          <w14:textFill>
            <w14:solidFill>
              <w14:schemeClr w14:val="tx1"/>
            </w14:solidFill>
          </w14:textFill>
        </w:rPr>
        <w:drawing>
          <wp:inline distT="0" distB="0" distL="0" distR="0">
            <wp:extent cx="4114800" cy="2978785"/>
            <wp:effectExtent l="0" t="0" r="0" b="0"/>
            <wp:docPr id="24" name="图片 24" descr="说明: C:\Users\123\AppData\Roaming\Tencent\Users\290073742\QQ\WinTemp\RichOle\}4L(QTQ1S{H]$18H})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C:\Users\123\AppData\Roaming\Tencent\Users\290073742\QQ\WinTemp\RichOle\}4L(QTQ1S{H]$18H})A%}DE.png"/>
                    <pic:cNvPicPr>
                      <a:picLocks noChangeAspect="1" noChangeArrowheads="1"/>
                    </pic:cNvPicPr>
                  </pic:nvPicPr>
                  <pic:blipFill>
                    <a:blip r:embed="rId23" cstate="print">
                      <a:extLst>
                        <a:ext uri="{28A0092B-C50C-407E-A947-70E740481C1C}">
                          <a14:useLocalDpi xmlns:a14="http://schemas.microsoft.com/office/drawing/2010/main" val="0"/>
                        </a:ext>
                      </a:extLst>
                    </a:blip>
                    <a:srcRect l="3658"/>
                    <a:stretch>
                      <a:fillRect/>
                    </a:stretch>
                  </pic:blipFill>
                  <pic:spPr>
                    <a:xfrm>
                      <a:off x="0" y="0"/>
                      <a:ext cx="4114800" cy="2978785"/>
                    </a:xfrm>
                    <a:prstGeom prst="rect">
                      <a:avLst/>
                    </a:prstGeom>
                    <a:noFill/>
                    <a:ln>
                      <a:noFill/>
                    </a:ln>
                  </pic:spPr>
                </pic:pic>
              </a:graphicData>
            </a:graphic>
          </wp:inline>
        </w:drawing>
      </w:r>
    </w:p>
    <w:p w14:paraId="17E0D20C">
      <w:pPr>
        <w:pStyle w:val="296"/>
        <w:ind w:firstLine="480"/>
        <w:rPr>
          <w:rFonts w:cs="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⑥</w:t>
      </w:r>
      <w:r>
        <w:rPr>
          <w:rFonts w:cs="Times New Roman"/>
          <w:color w:val="000000" w:themeColor="text1"/>
          <w14:textFill>
            <w14:solidFill>
              <w14:schemeClr w14:val="tx1"/>
            </w14:solidFill>
          </w14:textFill>
        </w:rPr>
        <w:t>预测结果</w:t>
      </w:r>
    </w:p>
    <w:p w14:paraId="3C1867E7">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CODcr、BOD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、氨氮不同时间对下游地下水的预测值详见下表及图：</w:t>
      </w:r>
    </w:p>
    <w:p w14:paraId="7C6494A1">
      <w:pPr>
        <w:pStyle w:val="63"/>
        <w:spacing w:before="156" w:after="156"/>
        <w:rPr>
          <w:color w:val="000000" w:themeColor="text1"/>
          <w14:textFill>
            <w14:solidFill>
              <w14:schemeClr w14:val="tx1"/>
            </w14:solidFill>
          </w14:textFill>
        </w:rPr>
      </w:pPr>
      <w:r>
        <w:rPr>
          <w:color w:val="000000" w:themeColor="text1"/>
          <w14:textFill>
            <w14:solidFill>
              <w14:schemeClr w14:val="tx1"/>
            </w14:solidFill>
          </w14:textFill>
        </w:rPr>
        <w:t>表6.3-2  CODcr不同时间对下游地下水的预测值  单位mg/L</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1"/>
        <w:gridCol w:w="2454"/>
        <w:gridCol w:w="3407"/>
      </w:tblGrid>
      <w:tr w14:paraId="6492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top w:val="thinThickSmallGap" w:color="auto" w:sz="12" w:space="0"/>
              <w:left w:val="nil"/>
              <w:tl2br w:val="single" w:color="auto" w:sz="4" w:space="0"/>
            </w:tcBorders>
            <w:vAlign w:val="center"/>
          </w:tcPr>
          <w:p w14:paraId="5F371DB9">
            <w:pPr>
              <w:pStyle w:val="298"/>
              <w:rPr>
                <w:color w:val="000000" w:themeColor="text1"/>
                <w14:textFill>
                  <w14:solidFill>
                    <w14:schemeClr w14:val="tx1"/>
                  </w14:solidFill>
                </w14:textFill>
              </w:rPr>
            </w:pPr>
            <w:r>
              <w:rPr>
                <w:color w:val="000000" w:themeColor="text1"/>
                <w14:textFill>
                  <w14:solidFill>
                    <w14:schemeClr w14:val="tx1"/>
                  </w14:solidFill>
                </w14:textFill>
              </w:rPr>
              <w:t>时间</w:t>
            </w:r>
          </w:p>
          <w:p w14:paraId="3929842B">
            <w:pPr>
              <w:pStyle w:val="298"/>
              <w:rPr>
                <w:color w:val="000000" w:themeColor="text1"/>
                <w14:textFill>
                  <w14:solidFill>
                    <w14:schemeClr w14:val="tx1"/>
                  </w14:solidFill>
                </w14:textFill>
              </w:rPr>
            </w:pPr>
            <w:r>
              <w:rPr>
                <w:color w:val="000000" w:themeColor="text1"/>
                <w14:textFill>
                  <w14:solidFill>
                    <w14:schemeClr w14:val="tx1"/>
                  </w14:solidFill>
                </w14:textFill>
              </w:rPr>
              <w:t>距离</w:t>
            </w:r>
          </w:p>
        </w:tc>
        <w:tc>
          <w:tcPr>
            <w:tcW w:w="1440" w:type="pct"/>
            <w:tcBorders>
              <w:top w:val="thinThickSmallGap" w:color="auto" w:sz="12" w:space="0"/>
            </w:tcBorders>
            <w:vAlign w:val="center"/>
          </w:tcPr>
          <w:p w14:paraId="0BE819D3">
            <w:pPr>
              <w:pStyle w:val="298"/>
              <w:rPr>
                <w:color w:val="000000" w:themeColor="text1"/>
                <w14:textFill>
                  <w14:solidFill>
                    <w14:schemeClr w14:val="tx1"/>
                  </w14:solidFill>
                </w14:textFill>
              </w:rPr>
            </w:pPr>
            <w:r>
              <w:rPr>
                <w:color w:val="000000" w:themeColor="text1"/>
                <w14:textFill>
                  <w14:solidFill>
                    <w14:schemeClr w14:val="tx1"/>
                  </w14:solidFill>
                </w14:textFill>
              </w:rPr>
              <w:t>100d</w:t>
            </w:r>
          </w:p>
        </w:tc>
        <w:tc>
          <w:tcPr>
            <w:tcW w:w="1999" w:type="pct"/>
            <w:tcBorders>
              <w:top w:val="thinThickSmallGap" w:color="auto" w:sz="12" w:space="0"/>
              <w:right w:val="nil"/>
            </w:tcBorders>
            <w:vAlign w:val="center"/>
          </w:tcPr>
          <w:p w14:paraId="53550575">
            <w:pPr>
              <w:pStyle w:val="298"/>
              <w:rPr>
                <w:color w:val="000000" w:themeColor="text1"/>
                <w14:textFill>
                  <w14:solidFill>
                    <w14:schemeClr w14:val="tx1"/>
                  </w14:solidFill>
                </w14:textFill>
              </w:rPr>
            </w:pPr>
            <w:r>
              <w:rPr>
                <w:color w:val="000000" w:themeColor="text1"/>
                <w14:textFill>
                  <w14:solidFill>
                    <w14:schemeClr w14:val="tx1"/>
                  </w14:solidFill>
                </w14:textFill>
              </w:rPr>
              <w:t>1000d</w:t>
            </w:r>
          </w:p>
        </w:tc>
      </w:tr>
      <w:tr w14:paraId="0E83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2CC7FA4D">
            <w:pPr>
              <w:pStyle w:val="29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440" w:type="pct"/>
            <w:vAlign w:val="center"/>
          </w:tcPr>
          <w:p w14:paraId="0624D727">
            <w:pPr>
              <w:pStyle w:val="298"/>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1999" w:type="pct"/>
            <w:tcBorders>
              <w:right w:val="nil"/>
            </w:tcBorders>
            <w:vAlign w:val="center"/>
          </w:tcPr>
          <w:p w14:paraId="51604F71">
            <w:pPr>
              <w:pStyle w:val="298"/>
              <w:rPr>
                <w:color w:val="000000" w:themeColor="text1"/>
                <w14:textFill>
                  <w14:solidFill>
                    <w14:schemeClr w14:val="tx1"/>
                  </w14:solidFill>
                </w14:textFill>
              </w:rPr>
            </w:pPr>
            <w:r>
              <w:rPr>
                <w:color w:val="000000" w:themeColor="text1"/>
                <w14:textFill>
                  <w14:solidFill>
                    <w14:schemeClr w14:val="tx1"/>
                  </w14:solidFill>
                </w14:textFill>
              </w:rPr>
              <w:t>1200</w:t>
            </w:r>
          </w:p>
        </w:tc>
      </w:tr>
      <w:tr w14:paraId="6D33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7B1415C2">
            <w:pPr>
              <w:pStyle w:val="29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440" w:type="pct"/>
            <w:vAlign w:val="center"/>
          </w:tcPr>
          <w:p w14:paraId="22950359">
            <w:pPr>
              <w:pStyle w:val="298"/>
              <w:rPr>
                <w:color w:val="000000" w:themeColor="text1"/>
                <w14:textFill>
                  <w14:solidFill>
                    <w14:schemeClr w14:val="tx1"/>
                  </w14:solidFill>
                </w14:textFill>
              </w:rPr>
            </w:pPr>
            <w:r>
              <w:rPr>
                <w:color w:val="000000" w:themeColor="text1"/>
                <w14:textFill>
                  <w14:solidFill>
                    <w14:schemeClr w14:val="tx1"/>
                  </w14:solidFill>
                </w14:textFill>
              </w:rPr>
              <w:t>382.6787</w:t>
            </w:r>
          </w:p>
        </w:tc>
        <w:tc>
          <w:tcPr>
            <w:tcW w:w="1999" w:type="pct"/>
            <w:tcBorders>
              <w:right w:val="nil"/>
            </w:tcBorders>
            <w:vAlign w:val="center"/>
          </w:tcPr>
          <w:p w14:paraId="1C8C3C67">
            <w:pPr>
              <w:pStyle w:val="298"/>
              <w:rPr>
                <w:color w:val="000000" w:themeColor="text1"/>
                <w14:textFill>
                  <w14:solidFill>
                    <w14:schemeClr w14:val="tx1"/>
                  </w14:solidFill>
                </w14:textFill>
              </w:rPr>
            </w:pPr>
            <w:r>
              <w:rPr>
                <w:color w:val="000000" w:themeColor="text1"/>
                <w14:textFill>
                  <w14:solidFill>
                    <w14:schemeClr w14:val="tx1"/>
                  </w14:solidFill>
                </w14:textFill>
              </w:rPr>
              <w:t>906.6932</w:t>
            </w:r>
          </w:p>
        </w:tc>
      </w:tr>
      <w:tr w14:paraId="7633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3108212">
            <w:pPr>
              <w:pStyle w:val="29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440" w:type="pct"/>
            <w:vAlign w:val="center"/>
          </w:tcPr>
          <w:p w14:paraId="29DE7BC8">
            <w:pPr>
              <w:pStyle w:val="298"/>
              <w:rPr>
                <w:color w:val="000000" w:themeColor="text1"/>
                <w14:textFill>
                  <w14:solidFill>
                    <w14:schemeClr w14:val="tx1"/>
                  </w14:solidFill>
                </w14:textFill>
              </w:rPr>
            </w:pPr>
            <w:r>
              <w:rPr>
                <w:color w:val="000000" w:themeColor="text1"/>
                <w14:textFill>
                  <w14:solidFill>
                    <w14:schemeClr w14:val="tx1"/>
                  </w14:solidFill>
                </w14:textFill>
              </w:rPr>
              <w:t>55.14838</w:t>
            </w:r>
          </w:p>
        </w:tc>
        <w:tc>
          <w:tcPr>
            <w:tcW w:w="1999" w:type="pct"/>
            <w:tcBorders>
              <w:right w:val="nil"/>
            </w:tcBorders>
            <w:vAlign w:val="center"/>
          </w:tcPr>
          <w:p w14:paraId="5764A40C">
            <w:pPr>
              <w:pStyle w:val="298"/>
              <w:rPr>
                <w:color w:val="000000" w:themeColor="text1"/>
                <w14:textFill>
                  <w14:solidFill>
                    <w14:schemeClr w14:val="tx1"/>
                  </w14:solidFill>
                </w14:textFill>
              </w:rPr>
            </w:pPr>
            <w:r>
              <w:rPr>
                <w:color w:val="000000" w:themeColor="text1"/>
                <w14:textFill>
                  <w14:solidFill>
                    <w14:schemeClr w14:val="tx1"/>
                  </w14:solidFill>
                </w14:textFill>
              </w:rPr>
              <w:t>638.8331</w:t>
            </w:r>
          </w:p>
        </w:tc>
      </w:tr>
      <w:tr w14:paraId="1EB5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44059E6">
            <w:pPr>
              <w:pStyle w:val="29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440" w:type="pct"/>
            <w:vAlign w:val="center"/>
          </w:tcPr>
          <w:p w14:paraId="34E752CF">
            <w:pPr>
              <w:pStyle w:val="298"/>
              <w:rPr>
                <w:color w:val="000000" w:themeColor="text1"/>
                <w14:textFill>
                  <w14:solidFill>
                    <w14:schemeClr w14:val="tx1"/>
                  </w14:solidFill>
                </w14:textFill>
              </w:rPr>
            </w:pPr>
            <w:r>
              <w:rPr>
                <w:color w:val="000000" w:themeColor="text1"/>
                <w14:textFill>
                  <w14:solidFill>
                    <w14:schemeClr w14:val="tx1"/>
                  </w14:solidFill>
                </w14:textFill>
              </w:rPr>
              <w:t>3.288852</w:t>
            </w:r>
          </w:p>
        </w:tc>
        <w:tc>
          <w:tcPr>
            <w:tcW w:w="1999" w:type="pct"/>
            <w:tcBorders>
              <w:right w:val="nil"/>
            </w:tcBorders>
            <w:vAlign w:val="center"/>
          </w:tcPr>
          <w:p w14:paraId="48FB0161">
            <w:pPr>
              <w:pStyle w:val="298"/>
              <w:rPr>
                <w:color w:val="000000" w:themeColor="text1"/>
                <w14:textFill>
                  <w14:solidFill>
                    <w14:schemeClr w14:val="tx1"/>
                  </w14:solidFill>
                </w14:textFill>
              </w:rPr>
            </w:pPr>
            <w:r>
              <w:rPr>
                <w:color w:val="000000" w:themeColor="text1"/>
                <w14:textFill>
                  <w14:solidFill>
                    <w14:schemeClr w14:val="tx1"/>
                  </w14:solidFill>
                </w14:textFill>
              </w:rPr>
              <w:t>417.5281</w:t>
            </w:r>
          </w:p>
        </w:tc>
      </w:tr>
      <w:tr w14:paraId="2F84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83F3C31">
            <w:pPr>
              <w:pStyle w:val="298"/>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440" w:type="pct"/>
            <w:vAlign w:val="center"/>
          </w:tcPr>
          <w:p w14:paraId="787C7696">
            <w:pPr>
              <w:pStyle w:val="298"/>
              <w:rPr>
                <w:color w:val="000000" w:themeColor="text1"/>
                <w14:textFill>
                  <w14:solidFill>
                    <w14:schemeClr w14:val="tx1"/>
                  </w14:solidFill>
                </w14:textFill>
              </w:rPr>
            </w:pPr>
            <w:r>
              <w:rPr>
                <w:color w:val="000000" w:themeColor="text1"/>
                <w14:textFill>
                  <w14:solidFill>
                    <w14:schemeClr w14:val="tx1"/>
                  </w14:solidFill>
                </w14:textFill>
              </w:rPr>
              <w:t>0.07758185</w:t>
            </w:r>
          </w:p>
        </w:tc>
        <w:tc>
          <w:tcPr>
            <w:tcW w:w="1999" w:type="pct"/>
            <w:tcBorders>
              <w:right w:val="nil"/>
            </w:tcBorders>
            <w:vAlign w:val="center"/>
          </w:tcPr>
          <w:p w14:paraId="4CBC4D03">
            <w:pPr>
              <w:pStyle w:val="298"/>
              <w:rPr>
                <w:color w:val="000000" w:themeColor="text1"/>
                <w14:textFill>
                  <w14:solidFill>
                    <w14:schemeClr w14:val="tx1"/>
                  </w14:solidFill>
                </w14:textFill>
              </w:rPr>
            </w:pPr>
            <w:r>
              <w:rPr>
                <w:color w:val="000000" w:themeColor="text1"/>
                <w14:textFill>
                  <w14:solidFill>
                    <w14:schemeClr w14:val="tx1"/>
                  </w14:solidFill>
                </w14:textFill>
              </w:rPr>
              <w:t>252.0565</w:t>
            </w:r>
          </w:p>
        </w:tc>
      </w:tr>
      <w:tr w14:paraId="307D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071BAED">
            <w:pPr>
              <w:pStyle w:val="29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440" w:type="pct"/>
            <w:vAlign w:val="center"/>
          </w:tcPr>
          <w:p w14:paraId="64DADA33">
            <w:pPr>
              <w:pStyle w:val="298"/>
              <w:rPr>
                <w:color w:val="000000" w:themeColor="text1"/>
                <w14:textFill>
                  <w14:solidFill>
                    <w14:schemeClr w14:val="tx1"/>
                  </w14:solidFill>
                </w14:textFill>
              </w:rPr>
            </w:pPr>
            <w:r>
              <w:rPr>
                <w:color w:val="000000" w:themeColor="text1"/>
                <w14:textFill>
                  <w14:solidFill>
                    <w14:schemeClr w14:val="tx1"/>
                  </w14:solidFill>
                </w14:textFill>
              </w:rPr>
              <w:t>0.0007064872</w:t>
            </w:r>
          </w:p>
        </w:tc>
        <w:tc>
          <w:tcPr>
            <w:tcW w:w="1999" w:type="pct"/>
            <w:tcBorders>
              <w:right w:val="nil"/>
            </w:tcBorders>
            <w:vAlign w:val="center"/>
          </w:tcPr>
          <w:p w14:paraId="7861E1E0">
            <w:pPr>
              <w:pStyle w:val="298"/>
              <w:rPr>
                <w:color w:val="000000" w:themeColor="text1"/>
                <w14:textFill>
                  <w14:solidFill>
                    <w14:schemeClr w14:val="tx1"/>
                  </w14:solidFill>
                </w14:textFill>
              </w:rPr>
            </w:pPr>
            <w:r>
              <w:rPr>
                <w:color w:val="000000" w:themeColor="text1"/>
                <w14:textFill>
                  <w14:solidFill>
                    <w14:schemeClr w14:val="tx1"/>
                  </w14:solidFill>
                </w14:textFill>
              </w:rPr>
              <w:t>140.0622</w:t>
            </w:r>
          </w:p>
        </w:tc>
      </w:tr>
      <w:tr w14:paraId="1174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665B65C">
            <w:pPr>
              <w:pStyle w:val="298"/>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440" w:type="pct"/>
            <w:vAlign w:val="center"/>
          </w:tcPr>
          <w:p w14:paraId="02DE3886">
            <w:pPr>
              <w:pStyle w:val="298"/>
              <w:rPr>
                <w:color w:val="000000" w:themeColor="text1"/>
                <w14:textFill>
                  <w14:solidFill>
                    <w14:schemeClr w14:val="tx1"/>
                  </w14:solidFill>
                </w14:textFill>
              </w:rPr>
            </w:pPr>
            <w:r>
              <w:rPr>
                <w:color w:val="000000" w:themeColor="text1"/>
                <w14:textFill>
                  <w14:solidFill>
                    <w14:schemeClr w14:val="tx1"/>
                  </w14:solidFill>
                </w14:textFill>
              </w:rPr>
              <w:t>2.448632E-06</w:t>
            </w:r>
          </w:p>
        </w:tc>
        <w:tc>
          <w:tcPr>
            <w:tcW w:w="1999" w:type="pct"/>
            <w:tcBorders>
              <w:right w:val="nil"/>
            </w:tcBorders>
            <w:vAlign w:val="center"/>
          </w:tcPr>
          <w:p w14:paraId="126C455F">
            <w:pPr>
              <w:pStyle w:val="298"/>
              <w:rPr>
                <w:color w:val="000000" w:themeColor="text1"/>
                <w14:textFill>
                  <w14:solidFill>
                    <w14:schemeClr w14:val="tx1"/>
                  </w14:solidFill>
                </w14:textFill>
              </w:rPr>
            </w:pPr>
            <w:r>
              <w:rPr>
                <w:color w:val="000000" w:themeColor="text1"/>
                <w14:textFill>
                  <w14:solidFill>
                    <w14:schemeClr w14:val="tx1"/>
                  </w14:solidFill>
                </w14:textFill>
              </w:rPr>
              <w:t>71.44038</w:t>
            </w:r>
          </w:p>
        </w:tc>
      </w:tr>
      <w:tr w14:paraId="4F74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24644DAA">
            <w:pPr>
              <w:pStyle w:val="298"/>
              <w:rPr>
                <w:color w:val="000000" w:themeColor="text1"/>
                <w14:textFill>
                  <w14:solidFill>
                    <w14:schemeClr w14:val="tx1"/>
                  </w14:solidFill>
                </w14:textFill>
              </w:rPr>
            </w:pPr>
            <w:r>
              <w:rPr>
                <w:color w:val="000000" w:themeColor="text1"/>
                <w14:textFill>
                  <w14:solidFill>
                    <w14:schemeClr w14:val="tx1"/>
                  </w14:solidFill>
                </w14:textFill>
              </w:rPr>
              <w:t>140</w:t>
            </w:r>
          </w:p>
        </w:tc>
        <w:tc>
          <w:tcPr>
            <w:tcW w:w="1440" w:type="pct"/>
            <w:vAlign w:val="center"/>
          </w:tcPr>
          <w:p w14:paraId="373AB42E">
            <w:pPr>
              <w:pStyle w:val="298"/>
              <w:rPr>
                <w:color w:val="000000" w:themeColor="text1"/>
                <w14:textFill>
                  <w14:solidFill>
                    <w14:schemeClr w14:val="tx1"/>
                  </w14:solidFill>
                </w14:textFill>
              </w:rPr>
            </w:pPr>
            <w:r>
              <w:rPr>
                <w:color w:val="000000" w:themeColor="text1"/>
                <w14:textFill>
                  <w14:solidFill>
                    <w14:schemeClr w14:val="tx1"/>
                  </w14:solidFill>
                </w14:textFill>
              </w:rPr>
              <w:t>3.201541E-09</w:t>
            </w:r>
          </w:p>
        </w:tc>
        <w:tc>
          <w:tcPr>
            <w:tcW w:w="1999" w:type="pct"/>
            <w:tcBorders>
              <w:right w:val="nil"/>
            </w:tcBorders>
            <w:vAlign w:val="center"/>
          </w:tcPr>
          <w:p w14:paraId="75E84209">
            <w:pPr>
              <w:pStyle w:val="298"/>
              <w:rPr>
                <w:color w:val="000000" w:themeColor="text1"/>
                <w14:textFill>
                  <w14:solidFill>
                    <w14:schemeClr w14:val="tx1"/>
                  </w14:solidFill>
                </w14:textFill>
              </w:rPr>
            </w:pPr>
            <w:r>
              <w:rPr>
                <w:color w:val="000000" w:themeColor="text1"/>
                <w14:textFill>
                  <w14:solidFill>
                    <w14:schemeClr w14:val="tx1"/>
                  </w14:solidFill>
                </w14:textFill>
              </w:rPr>
              <w:t>33.37264</w:t>
            </w:r>
          </w:p>
        </w:tc>
      </w:tr>
      <w:tr w14:paraId="66CA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27F1DB72">
            <w:pPr>
              <w:pStyle w:val="298"/>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1440" w:type="pct"/>
            <w:vAlign w:val="center"/>
          </w:tcPr>
          <w:p w14:paraId="4B0824BC">
            <w:pPr>
              <w:pStyle w:val="298"/>
              <w:rPr>
                <w:color w:val="000000" w:themeColor="text1"/>
                <w14:textFill>
                  <w14:solidFill>
                    <w14:schemeClr w14:val="tx1"/>
                  </w14:solidFill>
                </w14:textFill>
              </w:rPr>
            </w:pPr>
            <w:r>
              <w:rPr>
                <w:color w:val="000000" w:themeColor="text1"/>
                <w14:textFill>
                  <w14:solidFill>
                    <w14:schemeClr w14:val="tx1"/>
                  </w14:solidFill>
                </w14:textFill>
              </w:rPr>
              <w:t>1.593136E-12</w:t>
            </w:r>
          </w:p>
        </w:tc>
        <w:tc>
          <w:tcPr>
            <w:tcW w:w="1999" w:type="pct"/>
            <w:tcBorders>
              <w:right w:val="nil"/>
            </w:tcBorders>
            <w:vAlign w:val="center"/>
          </w:tcPr>
          <w:p w14:paraId="16B31D68">
            <w:pPr>
              <w:pStyle w:val="298"/>
              <w:rPr>
                <w:color w:val="000000" w:themeColor="text1"/>
                <w14:textFill>
                  <w14:solidFill>
                    <w14:schemeClr w14:val="tx1"/>
                  </w14:solidFill>
                </w14:textFill>
              </w:rPr>
            </w:pPr>
            <w:r>
              <w:rPr>
                <w:color w:val="000000" w:themeColor="text1"/>
                <w14:textFill>
                  <w14:solidFill>
                    <w14:schemeClr w14:val="tx1"/>
                  </w14:solidFill>
                </w14:textFill>
              </w:rPr>
              <w:t>14.25193</w:t>
            </w:r>
          </w:p>
        </w:tc>
      </w:tr>
      <w:tr w14:paraId="6199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7A000BCD">
            <w:pPr>
              <w:pStyle w:val="298"/>
              <w:rPr>
                <w:color w:val="000000" w:themeColor="text1"/>
                <w14:textFill>
                  <w14:solidFill>
                    <w14:schemeClr w14:val="tx1"/>
                  </w14:solidFill>
                </w14:textFill>
              </w:rPr>
            </w:pPr>
            <w:r>
              <w:rPr>
                <w:color w:val="000000" w:themeColor="text1"/>
                <w14:textFill>
                  <w14:solidFill>
                    <w14:schemeClr w14:val="tx1"/>
                  </w14:solidFill>
                </w14:textFill>
              </w:rPr>
              <w:t>180</w:t>
            </w:r>
          </w:p>
        </w:tc>
        <w:tc>
          <w:tcPr>
            <w:tcW w:w="1440" w:type="pct"/>
            <w:vAlign w:val="center"/>
          </w:tcPr>
          <w:p w14:paraId="7F34FF87">
            <w:pPr>
              <w:pStyle w:val="29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999" w:type="pct"/>
            <w:tcBorders>
              <w:right w:val="nil"/>
            </w:tcBorders>
            <w:vAlign w:val="center"/>
          </w:tcPr>
          <w:p w14:paraId="4A7ADA70">
            <w:pPr>
              <w:pStyle w:val="298"/>
              <w:rPr>
                <w:color w:val="000000" w:themeColor="text1"/>
                <w14:textFill>
                  <w14:solidFill>
                    <w14:schemeClr w14:val="tx1"/>
                  </w14:solidFill>
                </w14:textFill>
              </w:rPr>
            </w:pPr>
            <w:r>
              <w:rPr>
                <w:color w:val="000000" w:themeColor="text1"/>
                <w14:textFill>
                  <w14:solidFill>
                    <w14:schemeClr w14:val="tx1"/>
                  </w14:solidFill>
                </w14:textFill>
              </w:rPr>
              <w:t>5.555902</w:t>
            </w:r>
          </w:p>
        </w:tc>
      </w:tr>
      <w:tr w14:paraId="1C25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9595BF0">
            <w:pPr>
              <w:pStyle w:val="29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440" w:type="pct"/>
            <w:vAlign w:val="center"/>
          </w:tcPr>
          <w:p w14:paraId="66DD80BA">
            <w:pPr>
              <w:pStyle w:val="298"/>
              <w:rPr>
                <w:color w:val="000000" w:themeColor="text1"/>
                <w14:textFill>
                  <w14:solidFill>
                    <w14:schemeClr w14:val="tx1"/>
                  </w14:solidFill>
                </w14:textFill>
              </w:rPr>
            </w:pPr>
          </w:p>
        </w:tc>
        <w:tc>
          <w:tcPr>
            <w:tcW w:w="1999" w:type="pct"/>
            <w:tcBorders>
              <w:right w:val="nil"/>
            </w:tcBorders>
            <w:vAlign w:val="center"/>
          </w:tcPr>
          <w:p w14:paraId="728E7E0B">
            <w:pPr>
              <w:pStyle w:val="298"/>
              <w:rPr>
                <w:color w:val="000000" w:themeColor="text1"/>
                <w14:textFill>
                  <w14:solidFill>
                    <w14:schemeClr w14:val="tx1"/>
                  </w14:solidFill>
                </w14:textFill>
              </w:rPr>
            </w:pPr>
            <w:r>
              <w:rPr>
                <w:color w:val="000000" w:themeColor="text1"/>
                <w14:textFill>
                  <w14:solidFill>
                    <w14:schemeClr w14:val="tx1"/>
                  </w14:solidFill>
                </w14:textFill>
              </w:rPr>
              <w:t>1.974749</w:t>
            </w:r>
          </w:p>
        </w:tc>
      </w:tr>
      <w:tr w14:paraId="1BA6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2CD17A02">
            <w:pPr>
              <w:pStyle w:val="298"/>
              <w:rPr>
                <w:color w:val="000000" w:themeColor="text1"/>
                <w14:textFill>
                  <w14:solidFill>
                    <w14:schemeClr w14:val="tx1"/>
                  </w14:solidFill>
                </w14:textFill>
              </w:rPr>
            </w:pPr>
            <w:r>
              <w:rPr>
                <w:color w:val="000000" w:themeColor="text1"/>
                <w14:textFill>
                  <w14:solidFill>
                    <w14:schemeClr w14:val="tx1"/>
                  </w14:solidFill>
                </w14:textFill>
              </w:rPr>
              <w:t>220</w:t>
            </w:r>
          </w:p>
        </w:tc>
        <w:tc>
          <w:tcPr>
            <w:tcW w:w="1440" w:type="pct"/>
            <w:vAlign w:val="center"/>
          </w:tcPr>
          <w:p w14:paraId="4D64E51B">
            <w:pPr>
              <w:pStyle w:val="298"/>
              <w:rPr>
                <w:color w:val="000000" w:themeColor="text1"/>
                <w14:textFill>
                  <w14:solidFill>
                    <w14:schemeClr w14:val="tx1"/>
                  </w14:solidFill>
                </w14:textFill>
              </w:rPr>
            </w:pPr>
          </w:p>
        </w:tc>
        <w:tc>
          <w:tcPr>
            <w:tcW w:w="1999" w:type="pct"/>
            <w:tcBorders>
              <w:right w:val="nil"/>
            </w:tcBorders>
            <w:vAlign w:val="center"/>
          </w:tcPr>
          <w:p w14:paraId="05AAC0A7">
            <w:pPr>
              <w:pStyle w:val="298"/>
              <w:rPr>
                <w:color w:val="000000" w:themeColor="text1"/>
                <w14:textFill>
                  <w14:solidFill>
                    <w14:schemeClr w14:val="tx1"/>
                  </w14:solidFill>
                </w14:textFill>
              </w:rPr>
            </w:pPr>
            <w:r>
              <w:rPr>
                <w:color w:val="000000" w:themeColor="text1"/>
                <w14:textFill>
                  <w14:solidFill>
                    <w14:schemeClr w14:val="tx1"/>
                  </w14:solidFill>
                </w14:textFill>
              </w:rPr>
              <w:t>0.6393186</w:t>
            </w:r>
          </w:p>
        </w:tc>
      </w:tr>
      <w:tr w14:paraId="504D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CAA9BE0">
            <w:pPr>
              <w:pStyle w:val="298"/>
              <w:rPr>
                <w:color w:val="000000" w:themeColor="text1"/>
                <w14:textFill>
                  <w14:solidFill>
                    <w14:schemeClr w14:val="tx1"/>
                  </w14:solidFill>
                </w14:textFill>
              </w:rPr>
            </w:pPr>
            <w:r>
              <w:rPr>
                <w:color w:val="000000" w:themeColor="text1"/>
                <w14:textFill>
                  <w14:solidFill>
                    <w14:schemeClr w14:val="tx1"/>
                  </w14:solidFill>
                </w14:textFill>
              </w:rPr>
              <w:t>240</w:t>
            </w:r>
          </w:p>
        </w:tc>
        <w:tc>
          <w:tcPr>
            <w:tcW w:w="1440" w:type="pct"/>
            <w:vAlign w:val="center"/>
          </w:tcPr>
          <w:p w14:paraId="58255358">
            <w:pPr>
              <w:pStyle w:val="298"/>
              <w:rPr>
                <w:color w:val="000000" w:themeColor="text1"/>
                <w14:textFill>
                  <w14:solidFill>
                    <w14:schemeClr w14:val="tx1"/>
                  </w14:solidFill>
                </w14:textFill>
              </w:rPr>
            </w:pPr>
          </w:p>
        </w:tc>
        <w:tc>
          <w:tcPr>
            <w:tcW w:w="1999" w:type="pct"/>
            <w:tcBorders>
              <w:right w:val="nil"/>
            </w:tcBorders>
            <w:vAlign w:val="center"/>
          </w:tcPr>
          <w:p w14:paraId="306F1605">
            <w:pPr>
              <w:pStyle w:val="298"/>
              <w:rPr>
                <w:color w:val="000000" w:themeColor="text1"/>
                <w14:textFill>
                  <w14:solidFill>
                    <w14:schemeClr w14:val="tx1"/>
                  </w14:solidFill>
                </w14:textFill>
              </w:rPr>
            </w:pPr>
            <w:r>
              <w:rPr>
                <w:color w:val="000000" w:themeColor="text1"/>
                <w14:textFill>
                  <w14:solidFill>
                    <w14:schemeClr w14:val="tx1"/>
                  </w14:solidFill>
                </w14:textFill>
              </w:rPr>
              <w:t>0.1883722</w:t>
            </w:r>
          </w:p>
        </w:tc>
      </w:tr>
      <w:tr w14:paraId="249E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EE4C122">
            <w:pPr>
              <w:pStyle w:val="298"/>
              <w:rPr>
                <w:color w:val="000000" w:themeColor="text1"/>
                <w14:textFill>
                  <w14:solidFill>
                    <w14:schemeClr w14:val="tx1"/>
                  </w14:solidFill>
                </w14:textFill>
              </w:rPr>
            </w:pPr>
            <w:r>
              <w:rPr>
                <w:color w:val="000000" w:themeColor="text1"/>
                <w14:textFill>
                  <w14:solidFill>
                    <w14:schemeClr w14:val="tx1"/>
                  </w14:solidFill>
                </w14:textFill>
              </w:rPr>
              <w:t>260</w:t>
            </w:r>
          </w:p>
        </w:tc>
        <w:tc>
          <w:tcPr>
            <w:tcW w:w="1440" w:type="pct"/>
            <w:vAlign w:val="center"/>
          </w:tcPr>
          <w:p w14:paraId="26BD922D">
            <w:pPr>
              <w:pStyle w:val="298"/>
              <w:rPr>
                <w:color w:val="000000" w:themeColor="text1"/>
                <w14:textFill>
                  <w14:solidFill>
                    <w14:schemeClr w14:val="tx1"/>
                  </w14:solidFill>
                </w14:textFill>
              </w:rPr>
            </w:pPr>
          </w:p>
        </w:tc>
        <w:tc>
          <w:tcPr>
            <w:tcW w:w="1999" w:type="pct"/>
            <w:tcBorders>
              <w:right w:val="nil"/>
            </w:tcBorders>
            <w:vAlign w:val="center"/>
          </w:tcPr>
          <w:p w14:paraId="0A3A3543">
            <w:pPr>
              <w:pStyle w:val="298"/>
              <w:rPr>
                <w:color w:val="000000" w:themeColor="text1"/>
                <w14:textFill>
                  <w14:solidFill>
                    <w14:schemeClr w14:val="tx1"/>
                  </w14:solidFill>
                </w14:textFill>
              </w:rPr>
            </w:pPr>
            <w:r>
              <w:rPr>
                <w:color w:val="000000" w:themeColor="text1"/>
                <w14:textFill>
                  <w14:solidFill>
                    <w14:schemeClr w14:val="tx1"/>
                  </w14:solidFill>
                </w14:textFill>
              </w:rPr>
              <w:t>0.05047941</w:t>
            </w:r>
          </w:p>
        </w:tc>
      </w:tr>
      <w:tr w14:paraId="563A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014C427D">
            <w:pPr>
              <w:pStyle w:val="298"/>
              <w:rPr>
                <w:color w:val="000000" w:themeColor="text1"/>
                <w14:textFill>
                  <w14:solidFill>
                    <w14:schemeClr w14:val="tx1"/>
                  </w14:solidFill>
                </w14:textFill>
              </w:rPr>
            </w:pPr>
            <w:r>
              <w:rPr>
                <w:color w:val="000000" w:themeColor="text1"/>
                <w14:textFill>
                  <w14:solidFill>
                    <w14:schemeClr w14:val="tx1"/>
                  </w14:solidFill>
                </w14:textFill>
              </w:rPr>
              <w:t>280</w:t>
            </w:r>
          </w:p>
        </w:tc>
        <w:tc>
          <w:tcPr>
            <w:tcW w:w="1440" w:type="pct"/>
            <w:vAlign w:val="center"/>
          </w:tcPr>
          <w:p w14:paraId="67605395">
            <w:pPr>
              <w:pStyle w:val="298"/>
              <w:rPr>
                <w:color w:val="000000" w:themeColor="text1"/>
                <w14:textFill>
                  <w14:solidFill>
                    <w14:schemeClr w14:val="tx1"/>
                  </w14:solidFill>
                </w14:textFill>
              </w:rPr>
            </w:pPr>
          </w:p>
        </w:tc>
        <w:tc>
          <w:tcPr>
            <w:tcW w:w="1999" w:type="pct"/>
            <w:tcBorders>
              <w:right w:val="nil"/>
            </w:tcBorders>
            <w:vAlign w:val="center"/>
          </w:tcPr>
          <w:p w14:paraId="56B223C0">
            <w:pPr>
              <w:pStyle w:val="298"/>
              <w:rPr>
                <w:color w:val="000000" w:themeColor="text1"/>
                <w14:textFill>
                  <w14:solidFill>
                    <w14:schemeClr w14:val="tx1"/>
                  </w14:solidFill>
                </w14:textFill>
              </w:rPr>
            </w:pPr>
            <w:r>
              <w:rPr>
                <w:color w:val="000000" w:themeColor="text1"/>
                <w14:textFill>
                  <w14:solidFill>
                    <w14:schemeClr w14:val="tx1"/>
                  </w14:solidFill>
                </w14:textFill>
              </w:rPr>
              <w:t>0.01229593</w:t>
            </w:r>
          </w:p>
        </w:tc>
      </w:tr>
      <w:tr w14:paraId="4F5F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31D1007">
            <w:pPr>
              <w:pStyle w:val="298"/>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440" w:type="pct"/>
            <w:vAlign w:val="center"/>
          </w:tcPr>
          <w:p w14:paraId="48D7A004">
            <w:pPr>
              <w:pStyle w:val="298"/>
              <w:rPr>
                <w:color w:val="000000" w:themeColor="text1"/>
                <w14:textFill>
                  <w14:solidFill>
                    <w14:schemeClr w14:val="tx1"/>
                  </w14:solidFill>
                </w14:textFill>
              </w:rPr>
            </w:pPr>
          </w:p>
        </w:tc>
        <w:tc>
          <w:tcPr>
            <w:tcW w:w="1999" w:type="pct"/>
            <w:tcBorders>
              <w:right w:val="nil"/>
            </w:tcBorders>
            <w:vAlign w:val="center"/>
          </w:tcPr>
          <w:p w14:paraId="0E79128B">
            <w:pPr>
              <w:pStyle w:val="298"/>
              <w:rPr>
                <w:color w:val="000000" w:themeColor="text1"/>
                <w14:textFill>
                  <w14:solidFill>
                    <w14:schemeClr w14:val="tx1"/>
                  </w14:solidFill>
                </w14:textFill>
              </w:rPr>
            </w:pPr>
            <w:r>
              <w:rPr>
                <w:color w:val="000000" w:themeColor="text1"/>
                <w14:textFill>
                  <w14:solidFill>
                    <w14:schemeClr w14:val="tx1"/>
                  </w14:solidFill>
                </w14:textFill>
              </w:rPr>
              <w:t>0.01229593</w:t>
            </w:r>
          </w:p>
        </w:tc>
      </w:tr>
      <w:tr w14:paraId="5BDA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5F4C731">
            <w:pPr>
              <w:pStyle w:val="298"/>
              <w:rPr>
                <w:color w:val="000000" w:themeColor="text1"/>
                <w14:textFill>
                  <w14:solidFill>
                    <w14:schemeClr w14:val="tx1"/>
                  </w14:solidFill>
                </w14:textFill>
              </w:rPr>
            </w:pPr>
            <w:r>
              <w:rPr>
                <w:color w:val="000000" w:themeColor="text1"/>
                <w14:textFill>
                  <w14:solidFill>
                    <w14:schemeClr w14:val="tx1"/>
                  </w14:solidFill>
                </w14:textFill>
              </w:rPr>
              <w:t>320</w:t>
            </w:r>
          </w:p>
        </w:tc>
        <w:tc>
          <w:tcPr>
            <w:tcW w:w="1440" w:type="pct"/>
            <w:vAlign w:val="center"/>
          </w:tcPr>
          <w:p w14:paraId="7A5FD3ED">
            <w:pPr>
              <w:pStyle w:val="298"/>
              <w:rPr>
                <w:color w:val="000000" w:themeColor="text1"/>
                <w14:textFill>
                  <w14:solidFill>
                    <w14:schemeClr w14:val="tx1"/>
                  </w14:solidFill>
                </w14:textFill>
              </w:rPr>
            </w:pPr>
          </w:p>
        </w:tc>
        <w:tc>
          <w:tcPr>
            <w:tcW w:w="1999" w:type="pct"/>
            <w:tcBorders>
              <w:right w:val="nil"/>
            </w:tcBorders>
            <w:vAlign w:val="center"/>
          </w:tcPr>
          <w:p w14:paraId="0557A238">
            <w:pPr>
              <w:pStyle w:val="298"/>
              <w:rPr>
                <w:color w:val="000000" w:themeColor="text1"/>
                <w14:textFill>
                  <w14:solidFill>
                    <w14:schemeClr w14:val="tx1"/>
                  </w14:solidFill>
                </w14:textFill>
              </w:rPr>
            </w:pPr>
            <w:r>
              <w:rPr>
                <w:color w:val="000000" w:themeColor="text1"/>
                <w14:textFill>
                  <w14:solidFill>
                    <w14:schemeClr w14:val="tx1"/>
                  </w14:solidFill>
                </w14:textFill>
              </w:rPr>
              <w:t>0.0005468789</w:t>
            </w:r>
          </w:p>
        </w:tc>
      </w:tr>
      <w:tr w14:paraId="4254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9DB2F7D">
            <w:pPr>
              <w:pStyle w:val="298"/>
              <w:rPr>
                <w:color w:val="000000" w:themeColor="text1"/>
                <w14:textFill>
                  <w14:solidFill>
                    <w14:schemeClr w14:val="tx1"/>
                  </w14:solidFill>
                </w14:textFill>
              </w:rPr>
            </w:pPr>
            <w:r>
              <w:rPr>
                <w:color w:val="000000" w:themeColor="text1"/>
                <w14:textFill>
                  <w14:solidFill>
                    <w14:schemeClr w14:val="tx1"/>
                  </w14:solidFill>
                </w14:textFill>
              </w:rPr>
              <w:t>340</w:t>
            </w:r>
          </w:p>
        </w:tc>
        <w:tc>
          <w:tcPr>
            <w:tcW w:w="1440" w:type="pct"/>
            <w:vAlign w:val="center"/>
          </w:tcPr>
          <w:p w14:paraId="018430B7">
            <w:pPr>
              <w:pStyle w:val="298"/>
              <w:rPr>
                <w:color w:val="000000" w:themeColor="text1"/>
                <w14:textFill>
                  <w14:solidFill>
                    <w14:schemeClr w14:val="tx1"/>
                  </w14:solidFill>
                </w14:textFill>
              </w:rPr>
            </w:pPr>
          </w:p>
        </w:tc>
        <w:tc>
          <w:tcPr>
            <w:tcW w:w="1999" w:type="pct"/>
            <w:tcBorders>
              <w:right w:val="nil"/>
            </w:tcBorders>
            <w:vAlign w:val="center"/>
          </w:tcPr>
          <w:p w14:paraId="45464883">
            <w:pPr>
              <w:pStyle w:val="298"/>
              <w:rPr>
                <w:color w:val="000000" w:themeColor="text1"/>
                <w14:textFill>
                  <w14:solidFill>
                    <w14:schemeClr w14:val="tx1"/>
                  </w14:solidFill>
                </w14:textFill>
              </w:rPr>
            </w:pPr>
            <w:r>
              <w:rPr>
                <w:color w:val="000000" w:themeColor="text1"/>
                <w14:textFill>
                  <w14:solidFill>
                    <w14:schemeClr w14:val="tx1"/>
                  </w14:solidFill>
                </w14:textFill>
              </w:rPr>
              <w:t>9.977901E-05</w:t>
            </w:r>
          </w:p>
        </w:tc>
      </w:tr>
      <w:tr w14:paraId="412B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75519BA2">
            <w:pPr>
              <w:pStyle w:val="298"/>
              <w:rPr>
                <w:color w:val="000000" w:themeColor="text1"/>
                <w14:textFill>
                  <w14:solidFill>
                    <w14:schemeClr w14:val="tx1"/>
                  </w14:solidFill>
                </w14:textFill>
              </w:rPr>
            </w:pPr>
            <w:r>
              <w:rPr>
                <w:color w:val="000000" w:themeColor="text1"/>
                <w14:textFill>
                  <w14:solidFill>
                    <w14:schemeClr w14:val="tx1"/>
                  </w14:solidFill>
                </w14:textFill>
              </w:rPr>
              <w:t>360</w:t>
            </w:r>
          </w:p>
        </w:tc>
        <w:tc>
          <w:tcPr>
            <w:tcW w:w="1440" w:type="pct"/>
            <w:vAlign w:val="center"/>
          </w:tcPr>
          <w:p w14:paraId="62E16510">
            <w:pPr>
              <w:pStyle w:val="298"/>
              <w:rPr>
                <w:color w:val="000000" w:themeColor="text1"/>
                <w14:textFill>
                  <w14:solidFill>
                    <w14:schemeClr w14:val="tx1"/>
                  </w14:solidFill>
                </w14:textFill>
              </w:rPr>
            </w:pPr>
          </w:p>
        </w:tc>
        <w:tc>
          <w:tcPr>
            <w:tcW w:w="1999" w:type="pct"/>
            <w:tcBorders>
              <w:right w:val="nil"/>
            </w:tcBorders>
            <w:vAlign w:val="center"/>
          </w:tcPr>
          <w:p w14:paraId="27C7F0A8">
            <w:pPr>
              <w:pStyle w:val="298"/>
              <w:rPr>
                <w:color w:val="000000" w:themeColor="text1"/>
                <w14:textFill>
                  <w14:solidFill>
                    <w14:schemeClr w14:val="tx1"/>
                  </w14:solidFill>
                </w14:textFill>
              </w:rPr>
            </w:pPr>
            <w:r>
              <w:rPr>
                <w:color w:val="000000" w:themeColor="text1"/>
                <w14:textFill>
                  <w14:solidFill>
                    <w14:schemeClr w14:val="tx1"/>
                  </w14:solidFill>
                </w14:textFill>
              </w:rPr>
              <w:t>1.652179E-05</w:t>
            </w:r>
          </w:p>
        </w:tc>
      </w:tr>
      <w:tr w14:paraId="6919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B312FA2">
            <w:pPr>
              <w:pStyle w:val="298"/>
              <w:rPr>
                <w:color w:val="000000" w:themeColor="text1"/>
                <w14:textFill>
                  <w14:solidFill>
                    <w14:schemeClr w14:val="tx1"/>
                  </w14:solidFill>
                </w14:textFill>
              </w:rPr>
            </w:pPr>
            <w:r>
              <w:rPr>
                <w:color w:val="000000" w:themeColor="text1"/>
                <w14:textFill>
                  <w14:solidFill>
                    <w14:schemeClr w14:val="tx1"/>
                  </w14:solidFill>
                </w14:textFill>
              </w:rPr>
              <w:t>380</w:t>
            </w:r>
          </w:p>
        </w:tc>
        <w:tc>
          <w:tcPr>
            <w:tcW w:w="1440" w:type="pct"/>
            <w:vAlign w:val="center"/>
          </w:tcPr>
          <w:p w14:paraId="40B7CD8E">
            <w:pPr>
              <w:pStyle w:val="298"/>
              <w:rPr>
                <w:color w:val="000000" w:themeColor="text1"/>
                <w14:textFill>
                  <w14:solidFill>
                    <w14:schemeClr w14:val="tx1"/>
                  </w14:solidFill>
                </w14:textFill>
              </w:rPr>
            </w:pPr>
          </w:p>
        </w:tc>
        <w:tc>
          <w:tcPr>
            <w:tcW w:w="1999" w:type="pct"/>
            <w:tcBorders>
              <w:right w:val="nil"/>
            </w:tcBorders>
            <w:vAlign w:val="center"/>
          </w:tcPr>
          <w:p w14:paraId="54E7AD12">
            <w:pPr>
              <w:pStyle w:val="298"/>
              <w:rPr>
                <w:color w:val="000000" w:themeColor="text1"/>
                <w14:textFill>
                  <w14:solidFill>
                    <w14:schemeClr w14:val="tx1"/>
                  </w14:solidFill>
                </w14:textFill>
              </w:rPr>
            </w:pPr>
            <w:r>
              <w:rPr>
                <w:color w:val="000000" w:themeColor="text1"/>
                <w14:textFill>
                  <w14:solidFill>
                    <w14:schemeClr w14:val="tx1"/>
                  </w14:solidFill>
                </w14:textFill>
              </w:rPr>
              <w:t>0</w:t>
            </w:r>
          </w:p>
        </w:tc>
      </w:tr>
      <w:tr w14:paraId="5432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tcPr>
          <w:p w14:paraId="4A4D774C">
            <w:pPr>
              <w:pStyle w:val="298"/>
              <w:rPr>
                <w:color w:val="000000" w:themeColor="text1"/>
                <w14:textFill>
                  <w14:solidFill>
                    <w14:schemeClr w14:val="tx1"/>
                  </w14:solidFill>
                </w14:textFill>
              </w:rPr>
            </w:pPr>
            <w:r>
              <w:rPr>
                <w:color w:val="000000" w:themeColor="text1"/>
                <w14:textFill>
                  <w14:solidFill>
                    <w14:schemeClr w14:val="tx1"/>
                  </w14:solidFill>
                </w14:textFill>
              </w:rPr>
              <w:t>超标范围限值（</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类标准）</w:t>
            </w:r>
          </w:p>
        </w:tc>
        <w:tc>
          <w:tcPr>
            <w:tcW w:w="3439" w:type="pct"/>
            <w:gridSpan w:val="2"/>
            <w:vAlign w:val="center"/>
          </w:tcPr>
          <w:p w14:paraId="478FE847">
            <w:pPr>
              <w:pStyle w:val="298"/>
              <w:rPr>
                <w:color w:val="000000" w:themeColor="text1"/>
                <w14:textFill>
                  <w14:solidFill>
                    <w14:schemeClr w14:val="tx1"/>
                  </w14:solidFill>
                </w14:textFill>
              </w:rPr>
            </w:pPr>
            <w:r>
              <w:rPr>
                <w:color w:val="000000" w:themeColor="text1"/>
                <w:szCs w:val="21"/>
                <w14:textFill>
                  <w14:solidFill>
                    <w14:schemeClr w14:val="tx1"/>
                  </w14:solidFill>
                </w14:textFill>
              </w:rPr>
              <w:t>20</w:t>
            </w:r>
          </w:p>
        </w:tc>
      </w:tr>
      <w:tr w14:paraId="5390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bottom w:val="thinThickSmallGap" w:color="auto" w:sz="12" w:space="0"/>
            </w:tcBorders>
          </w:tcPr>
          <w:p w14:paraId="3B7A57BA">
            <w:pPr>
              <w:pStyle w:val="298"/>
              <w:rPr>
                <w:color w:val="000000" w:themeColor="text1"/>
                <w14:textFill>
                  <w14:solidFill>
                    <w14:schemeClr w14:val="tx1"/>
                  </w14:solidFill>
                </w14:textFill>
              </w:rPr>
            </w:pPr>
            <w:r>
              <w:rPr>
                <w:color w:val="000000" w:themeColor="text1"/>
                <w14:textFill>
                  <w14:solidFill>
                    <w14:schemeClr w14:val="tx1"/>
                  </w14:solidFill>
                </w14:textFill>
              </w:rPr>
              <w:t>影响范围限值（</w:t>
            </w:r>
            <w:r>
              <w:rPr>
                <w:rFonts w:hint="eastAsia" w:ascii="宋体" w:hAnsi="宋体" w:cs="宋体"/>
                <w:color w:val="000000" w:themeColor="text1"/>
                <w14:textFill>
                  <w14:solidFill>
                    <w14:schemeClr w14:val="tx1"/>
                  </w14:solidFill>
                </w14:textFill>
              </w:rPr>
              <w:t>Ⅰ</w:t>
            </w:r>
            <w:r>
              <w:rPr>
                <w:color w:val="000000" w:themeColor="text1"/>
                <w14:textFill>
                  <w14:solidFill>
                    <w14:schemeClr w14:val="tx1"/>
                  </w14:solidFill>
                </w14:textFill>
              </w:rPr>
              <w:t>标准）</w:t>
            </w:r>
          </w:p>
        </w:tc>
        <w:tc>
          <w:tcPr>
            <w:tcW w:w="3439" w:type="pct"/>
            <w:gridSpan w:val="2"/>
            <w:tcBorders>
              <w:bottom w:val="thinThickSmallGap" w:color="auto" w:sz="12" w:space="0"/>
            </w:tcBorders>
            <w:vAlign w:val="center"/>
          </w:tcPr>
          <w:p w14:paraId="2E9B259D">
            <w:pPr>
              <w:pStyle w:val="298"/>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bl>
    <w:p w14:paraId="784BCEA6">
      <w:pPr>
        <w:rPr>
          <w:color w:val="000000" w:themeColor="text1"/>
          <w14:textFill>
            <w14:solidFill>
              <w14:schemeClr w14:val="tx1"/>
            </w14:solidFill>
          </w14:textFill>
        </w:rPr>
      </w:pPr>
    </w:p>
    <w:p w14:paraId="0975CC69">
      <w:pPr>
        <w:pStyle w:val="296"/>
        <w:ind w:firstLine="0" w:firstLineChars="0"/>
        <w:rPr>
          <w:rFonts w:eastAsia="黑体" w:cs="Times New Roman"/>
          <w:b/>
          <w:bCs/>
          <w:color w:val="000000" w:themeColor="text1"/>
          <w:sz w:val="30"/>
          <w:szCs w:val="32"/>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548890" cy="1540510"/>
            <wp:effectExtent l="0" t="0" r="381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cstate="print"/>
                    <a:stretch>
                      <a:fillRect/>
                    </a:stretch>
                  </pic:blipFill>
                  <pic:spPr>
                    <a:xfrm>
                      <a:off x="0" y="0"/>
                      <a:ext cx="2562555" cy="1549034"/>
                    </a:xfrm>
                    <a:prstGeom prst="rect">
                      <a:avLst/>
                    </a:prstGeom>
                  </pic:spPr>
                </pic:pic>
              </a:graphicData>
            </a:graphic>
          </wp:inline>
        </w:drawing>
      </w:r>
      <w:r>
        <w:rPr>
          <w:rFonts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drawing>
          <wp:inline distT="0" distB="0" distL="0" distR="0">
            <wp:extent cx="2524760" cy="1524000"/>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print"/>
                    <a:stretch>
                      <a:fillRect/>
                    </a:stretch>
                  </pic:blipFill>
                  <pic:spPr>
                    <a:xfrm>
                      <a:off x="0" y="0"/>
                      <a:ext cx="2522740" cy="1522767"/>
                    </a:xfrm>
                    <a:prstGeom prst="rect">
                      <a:avLst/>
                    </a:prstGeom>
                  </pic:spPr>
                </pic:pic>
              </a:graphicData>
            </a:graphic>
          </wp:inline>
        </w:drawing>
      </w:r>
    </w:p>
    <w:p w14:paraId="4CA4813C">
      <w:pPr>
        <w:pStyle w:val="296"/>
        <w:ind w:firstLine="196" w:firstLineChars="82"/>
        <w:rPr>
          <w:rFonts w:cs="Times New Roman"/>
          <w:b/>
          <w:color w:val="000000" w:themeColor="text1"/>
          <w:sz w:val="18"/>
          <w:szCs w:val="18"/>
          <w14:textFill>
            <w14:solidFill>
              <w14:schemeClr w14:val="tx1"/>
            </w14:solidFill>
          </w14:textFill>
        </w:rPr>
      </w:pPr>
      <w:r>
        <w:rPr>
          <w:rFonts w:cs="Times New Roman"/>
          <w:b/>
          <w:color w:val="000000" w:themeColor="text1"/>
          <w14:textFill>
            <w14:solidFill>
              <w14:schemeClr w14:val="tx1"/>
            </w14:solidFill>
          </w14:textFill>
        </w:rPr>
        <w:t>100d后项目区下游COD浓度变化</w:t>
      </w:r>
      <w:r>
        <w:rPr>
          <w:rFonts w:cs="Times New Roman"/>
          <w:b/>
          <w:color w:val="000000" w:themeColor="text1"/>
          <w:sz w:val="18"/>
          <w:szCs w:val="18"/>
          <w14:textFill>
            <w14:solidFill>
              <w14:schemeClr w14:val="tx1"/>
            </w14:solidFill>
          </w14:textFill>
        </w:rPr>
        <w:t xml:space="preserve">   </w:t>
      </w:r>
      <w:r>
        <w:rPr>
          <w:rFonts w:cs="Times New Roman"/>
          <w:b/>
          <w:color w:val="000000" w:themeColor="text1"/>
          <w14:textFill>
            <w14:solidFill>
              <w14:schemeClr w14:val="tx1"/>
            </w14:solidFill>
          </w14:textFill>
        </w:rPr>
        <w:t xml:space="preserve"> 1000d后项目区下游COD浓度变化</w:t>
      </w:r>
    </w:p>
    <w:p w14:paraId="39F5D5C2">
      <w:pPr>
        <w:pStyle w:val="63"/>
        <w:spacing w:before="156" w:after="156"/>
        <w:rPr>
          <w:color w:val="000000" w:themeColor="text1"/>
          <w14:textFill>
            <w14:solidFill>
              <w14:schemeClr w14:val="tx1"/>
            </w14:solidFill>
          </w14:textFill>
        </w:rPr>
      </w:pPr>
      <w:r>
        <w:rPr>
          <w:color w:val="000000" w:themeColor="text1"/>
          <w14:textFill>
            <w14:solidFill>
              <w14:schemeClr w14:val="tx1"/>
            </w14:solidFill>
          </w14:textFill>
        </w:rPr>
        <w:t>表6.3-3  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不同时间对下游地下水的预测值  单位mg/L</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1"/>
        <w:gridCol w:w="2454"/>
        <w:gridCol w:w="3407"/>
      </w:tblGrid>
      <w:tr w14:paraId="2F26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top w:val="thinThickSmallGap" w:color="auto" w:sz="12" w:space="0"/>
              <w:left w:val="nil"/>
              <w:tl2br w:val="single" w:color="auto" w:sz="4" w:space="0"/>
            </w:tcBorders>
            <w:vAlign w:val="center"/>
          </w:tcPr>
          <w:p w14:paraId="1C257CB3">
            <w:pPr>
              <w:pStyle w:val="298"/>
              <w:rPr>
                <w:color w:val="000000" w:themeColor="text1"/>
                <w14:textFill>
                  <w14:solidFill>
                    <w14:schemeClr w14:val="tx1"/>
                  </w14:solidFill>
                </w14:textFill>
              </w:rPr>
            </w:pPr>
            <w:r>
              <w:rPr>
                <w:color w:val="000000" w:themeColor="text1"/>
                <w14:textFill>
                  <w14:solidFill>
                    <w14:schemeClr w14:val="tx1"/>
                  </w14:solidFill>
                </w14:textFill>
              </w:rPr>
              <w:t>时间</w:t>
            </w:r>
          </w:p>
          <w:p w14:paraId="21932976">
            <w:pPr>
              <w:pStyle w:val="298"/>
              <w:rPr>
                <w:color w:val="000000" w:themeColor="text1"/>
                <w14:textFill>
                  <w14:solidFill>
                    <w14:schemeClr w14:val="tx1"/>
                  </w14:solidFill>
                </w14:textFill>
              </w:rPr>
            </w:pPr>
            <w:r>
              <w:rPr>
                <w:color w:val="000000" w:themeColor="text1"/>
                <w14:textFill>
                  <w14:solidFill>
                    <w14:schemeClr w14:val="tx1"/>
                  </w14:solidFill>
                </w14:textFill>
              </w:rPr>
              <w:t>距离</w:t>
            </w:r>
          </w:p>
        </w:tc>
        <w:tc>
          <w:tcPr>
            <w:tcW w:w="1440" w:type="pct"/>
            <w:tcBorders>
              <w:top w:val="thinThickSmallGap" w:color="auto" w:sz="12" w:space="0"/>
            </w:tcBorders>
            <w:vAlign w:val="center"/>
          </w:tcPr>
          <w:p w14:paraId="4BFCD698">
            <w:pPr>
              <w:pStyle w:val="298"/>
              <w:rPr>
                <w:color w:val="000000" w:themeColor="text1"/>
                <w14:textFill>
                  <w14:solidFill>
                    <w14:schemeClr w14:val="tx1"/>
                  </w14:solidFill>
                </w14:textFill>
              </w:rPr>
            </w:pPr>
            <w:r>
              <w:rPr>
                <w:color w:val="000000" w:themeColor="text1"/>
                <w14:textFill>
                  <w14:solidFill>
                    <w14:schemeClr w14:val="tx1"/>
                  </w14:solidFill>
                </w14:textFill>
              </w:rPr>
              <w:t>100d</w:t>
            </w:r>
          </w:p>
        </w:tc>
        <w:tc>
          <w:tcPr>
            <w:tcW w:w="1999" w:type="pct"/>
            <w:tcBorders>
              <w:top w:val="thinThickSmallGap" w:color="auto" w:sz="12" w:space="0"/>
              <w:right w:val="nil"/>
            </w:tcBorders>
            <w:vAlign w:val="center"/>
          </w:tcPr>
          <w:p w14:paraId="633FDD88">
            <w:pPr>
              <w:pStyle w:val="298"/>
              <w:rPr>
                <w:color w:val="000000" w:themeColor="text1"/>
                <w14:textFill>
                  <w14:solidFill>
                    <w14:schemeClr w14:val="tx1"/>
                  </w14:solidFill>
                </w14:textFill>
              </w:rPr>
            </w:pPr>
            <w:r>
              <w:rPr>
                <w:color w:val="000000" w:themeColor="text1"/>
                <w14:textFill>
                  <w14:solidFill>
                    <w14:schemeClr w14:val="tx1"/>
                  </w14:solidFill>
                </w14:textFill>
              </w:rPr>
              <w:t>1000d</w:t>
            </w:r>
          </w:p>
        </w:tc>
      </w:tr>
      <w:tr w14:paraId="3B27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27EB958C">
            <w:pPr>
              <w:pStyle w:val="29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440" w:type="pct"/>
            <w:vAlign w:val="center"/>
          </w:tcPr>
          <w:p w14:paraId="1EB8E007">
            <w:pPr>
              <w:pStyle w:val="298"/>
              <w:rPr>
                <w:color w:val="000000" w:themeColor="text1"/>
                <w14:textFill>
                  <w14:solidFill>
                    <w14:schemeClr w14:val="tx1"/>
                  </w14:solidFill>
                </w14:textFill>
              </w:rPr>
            </w:pPr>
            <w:r>
              <w:rPr>
                <w:color w:val="000000" w:themeColor="text1"/>
                <w14:textFill>
                  <w14:solidFill>
                    <w14:schemeClr w14:val="tx1"/>
                  </w14:solidFill>
                </w14:textFill>
              </w:rPr>
              <w:t>850</w:t>
            </w:r>
          </w:p>
        </w:tc>
        <w:tc>
          <w:tcPr>
            <w:tcW w:w="1999" w:type="pct"/>
            <w:tcBorders>
              <w:right w:val="nil"/>
            </w:tcBorders>
            <w:vAlign w:val="center"/>
          </w:tcPr>
          <w:p w14:paraId="7C5340EA">
            <w:pPr>
              <w:pStyle w:val="298"/>
              <w:rPr>
                <w:color w:val="000000" w:themeColor="text1"/>
                <w14:textFill>
                  <w14:solidFill>
                    <w14:schemeClr w14:val="tx1"/>
                  </w14:solidFill>
                </w14:textFill>
              </w:rPr>
            </w:pPr>
            <w:r>
              <w:rPr>
                <w:color w:val="000000" w:themeColor="text1"/>
                <w14:textFill>
                  <w14:solidFill>
                    <w14:schemeClr w14:val="tx1"/>
                  </w14:solidFill>
                </w14:textFill>
              </w:rPr>
              <w:t>850</w:t>
            </w:r>
          </w:p>
        </w:tc>
      </w:tr>
      <w:tr w14:paraId="0113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828F072">
            <w:pPr>
              <w:pStyle w:val="29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440" w:type="pct"/>
            <w:vAlign w:val="center"/>
          </w:tcPr>
          <w:p w14:paraId="7715A38E">
            <w:pPr>
              <w:pStyle w:val="298"/>
              <w:rPr>
                <w:color w:val="000000" w:themeColor="text1"/>
                <w14:textFill>
                  <w14:solidFill>
                    <w14:schemeClr w14:val="tx1"/>
                  </w14:solidFill>
                </w14:textFill>
              </w:rPr>
            </w:pPr>
            <w:r>
              <w:rPr>
                <w:color w:val="000000" w:themeColor="text1"/>
                <w14:textFill>
                  <w14:solidFill>
                    <w14:schemeClr w14:val="tx1"/>
                  </w14:solidFill>
                </w14:textFill>
              </w:rPr>
              <w:t>271.0641</w:t>
            </w:r>
          </w:p>
        </w:tc>
        <w:tc>
          <w:tcPr>
            <w:tcW w:w="1999" w:type="pct"/>
            <w:tcBorders>
              <w:right w:val="nil"/>
            </w:tcBorders>
            <w:vAlign w:val="center"/>
          </w:tcPr>
          <w:p w14:paraId="134252BF">
            <w:pPr>
              <w:pStyle w:val="298"/>
              <w:rPr>
                <w:color w:val="000000" w:themeColor="text1"/>
                <w14:textFill>
                  <w14:solidFill>
                    <w14:schemeClr w14:val="tx1"/>
                  </w14:solidFill>
                </w14:textFill>
              </w:rPr>
            </w:pPr>
            <w:r>
              <w:rPr>
                <w:color w:val="000000" w:themeColor="text1"/>
                <w14:textFill>
                  <w14:solidFill>
                    <w14:schemeClr w14:val="tx1"/>
                  </w14:solidFill>
                </w14:textFill>
              </w:rPr>
              <w:t>642.241</w:t>
            </w:r>
          </w:p>
        </w:tc>
      </w:tr>
      <w:tr w14:paraId="11C9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17DD5A37">
            <w:pPr>
              <w:pStyle w:val="29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440" w:type="pct"/>
            <w:vAlign w:val="center"/>
          </w:tcPr>
          <w:p w14:paraId="622DD1F3">
            <w:pPr>
              <w:pStyle w:val="298"/>
              <w:rPr>
                <w:color w:val="000000" w:themeColor="text1"/>
                <w14:textFill>
                  <w14:solidFill>
                    <w14:schemeClr w14:val="tx1"/>
                  </w14:solidFill>
                </w14:textFill>
              </w:rPr>
            </w:pPr>
            <w:r>
              <w:rPr>
                <w:color w:val="000000" w:themeColor="text1"/>
                <w14:textFill>
                  <w14:solidFill>
                    <w14:schemeClr w14:val="tx1"/>
                  </w14:solidFill>
                </w14:textFill>
              </w:rPr>
              <w:t>39.06343</w:t>
            </w:r>
          </w:p>
        </w:tc>
        <w:tc>
          <w:tcPr>
            <w:tcW w:w="1999" w:type="pct"/>
            <w:tcBorders>
              <w:right w:val="nil"/>
            </w:tcBorders>
            <w:vAlign w:val="center"/>
          </w:tcPr>
          <w:p w14:paraId="0EB985CD">
            <w:pPr>
              <w:pStyle w:val="298"/>
              <w:rPr>
                <w:color w:val="000000" w:themeColor="text1"/>
                <w14:textFill>
                  <w14:solidFill>
                    <w14:schemeClr w14:val="tx1"/>
                  </w14:solidFill>
                </w14:textFill>
              </w:rPr>
            </w:pPr>
            <w:r>
              <w:rPr>
                <w:color w:val="000000" w:themeColor="text1"/>
                <w14:textFill>
                  <w14:solidFill>
                    <w14:schemeClr w14:val="tx1"/>
                  </w14:solidFill>
                </w14:textFill>
              </w:rPr>
              <w:t>452.5068</w:t>
            </w:r>
          </w:p>
        </w:tc>
      </w:tr>
      <w:tr w14:paraId="1CCE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1DA519B4">
            <w:pPr>
              <w:pStyle w:val="29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440" w:type="pct"/>
            <w:vAlign w:val="center"/>
          </w:tcPr>
          <w:p w14:paraId="2B626135">
            <w:pPr>
              <w:pStyle w:val="298"/>
              <w:rPr>
                <w:color w:val="000000" w:themeColor="text1"/>
                <w14:textFill>
                  <w14:solidFill>
                    <w14:schemeClr w14:val="tx1"/>
                  </w14:solidFill>
                </w14:textFill>
              </w:rPr>
            </w:pPr>
            <w:r>
              <w:rPr>
                <w:color w:val="000000" w:themeColor="text1"/>
                <w14:textFill>
                  <w14:solidFill>
                    <w14:schemeClr w14:val="tx1"/>
                  </w14:solidFill>
                </w14:textFill>
              </w:rPr>
              <w:t>2.329603</w:t>
            </w:r>
          </w:p>
        </w:tc>
        <w:tc>
          <w:tcPr>
            <w:tcW w:w="1999" w:type="pct"/>
            <w:tcBorders>
              <w:right w:val="nil"/>
            </w:tcBorders>
            <w:vAlign w:val="center"/>
          </w:tcPr>
          <w:p w14:paraId="3B3056B1">
            <w:pPr>
              <w:pStyle w:val="298"/>
              <w:rPr>
                <w:color w:val="000000" w:themeColor="text1"/>
                <w14:textFill>
                  <w14:solidFill>
                    <w14:schemeClr w14:val="tx1"/>
                  </w14:solidFill>
                </w14:textFill>
              </w:rPr>
            </w:pPr>
            <w:r>
              <w:rPr>
                <w:color w:val="000000" w:themeColor="text1"/>
                <w14:textFill>
                  <w14:solidFill>
                    <w14:schemeClr w14:val="tx1"/>
                  </w14:solidFill>
                </w14:textFill>
              </w:rPr>
              <w:t>295.7491</w:t>
            </w:r>
          </w:p>
        </w:tc>
      </w:tr>
      <w:tr w14:paraId="299C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0F596ED">
            <w:pPr>
              <w:pStyle w:val="298"/>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440" w:type="pct"/>
            <w:vAlign w:val="center"/>
          </w:tcPr>
          <w:p w14:paraId="10790B04">
            <w:pPr>
              <w:pStyle w:val="298"/>
              <w:rPr>
                <w:color w:val="000000" w:themeColor="text1"/>
                <w14:textFill>
                  <w14:solidFill>
                    <w14:schemeClr w14:val="tx1"/>
                  </w14:solidFill>
                </w14:textFill>
              </w:rPr>
            </w:pPr>
            <w:r>
              <w:rPr>
                <w:color w:val="000000" w:themeColor="text1"/>
                <w14:textFill>
                  <w14:solidFill>
                    <w14:schemeClr w14:val="tx1"/>
                  </w14:solidFill>
                </w14:textFill>
              </w:rPr>
              <w:t>0.05495381</w:t>
            </w:r>
          </w:p>
        </w:tc>
        <w:tc>
          <w:tcPr>
            <w:tcW w:w="1999" w:type="pct"/>
            <w:tcBorders>
              <w:right w:val="nil"/>
            </w:tcBorders>
            <w:vAlign w:val="center"/>
          </w:tcPr>
          <w:p w14:paraId="4EC69B84">
            <w:pPr>
              <w:pStyle w:val="298"/>
              <w:rPr>
                <w:color w:val="000000" w:themeColor="text1"/>
                <w14:textFill>
                  <w14:solidFill>
                    <w14:schemeClr w14:val="tx1"/>
                  </w14:solidFill>
                </w14:textFill>
              </w:rPr>
            </w:pPr>
            <w:r>
              <w:rPr>
                <w:color w:val="000000" w:themeColor="text1"/>
                <w14:textFill>
                  <w14:solidFill>
                    <w14:schemeClr w14:val="tx1"/>
                  </w14:solidFill>
                </w14:textFill>
              </w:rPr>
              <w:t>178.54</w:t>
            </w:r>
          </w:p>
        </w:tc>
      </w:tr>
      <w:tr w14:paraId="4EFF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44C4FA3">
            <w:pPr>
              <w:pStyle w:val="29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440" w:type="pct"/>
            <w:vAlign w:val="center"/>
          </w:tcPr>
          <w:p w14:paraId="584EB837">
            <w:pPr>
              <w:pStyle w:val="298"/>
              <w:rPr>
                <w:color w:val="000000" w:themeColor="text1"/>
                <w14:textFill>
                  <w14:solidFill>
                    <w14:schemeClr w14:val="tx1"/>
                  </w14:solidFill>
                </w14:textFill>
              </w:rPr>
            </w:pPr>
            <w:r>
              <w:rPr>
                <w:color w:val="000000" w:themeColor="text1"/>
                <w14:textFill>
                  <w14:solidFill>
                    <w14:schemeClr w14:val="tx1"/>
                  </w14:solidFill>
                </w14:textFill>
              </w:rPr>
              <w:t>0.0005004284</w:t>
            </w:r>
          </w:p>
        </w:tc>
        <w:tc>
          <w:tcPr>
            <w:tcW w:w="1999" w:type="pct"/>
            <w:tcBorders>
              <w:right w:val="nil"/>
            </w:tcBorders>
            <w:vAlign w:val="center"/>
          </w:tcPr>
          <w:p w14:paraId="1E6C745A">
            <w:pPr>
              <w:pStyle w:val="298"/>
              <w:rPr>
                <w:color w:val="000000" w:themeColor="text1"/>
                <w14:textFill>
                  <w14:solidFill>
                    <w14:schemeClr w14:val="tx1"/>
                  </w14:solidFill>
                </w14:textFill>
              </w:rPr>
            </w:pPr>
            <w:r>
              <w:rPr>
                <w:color w:val="000000" w:themeColor="text1"/>
                <w14:textFill>
                  <w14:solidFill>
                    <w14:schemeClr w14:val="tx1"/>
                  </w14:solidFill>
                </w14:textFill>
              </w:rPr>
              <w:t>99.21072</w:t>
            </w:r>
          </w:p>
        </w:tc>
      </w:tr>
      <w:tr w14:paraId="4FD6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EEAE2D6">
            <w:pPr>
              <w:pStyle w:val="298"/>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440" w:type="pct"/>
            <w:vAlign w:val="center"/>
          </w:tcPr>
          <w:p w14:paraId="5D392F92">
            <w:pPr>
              <w:pStyle w:val="298"/>
              <w:rPr>
                <w:color w:val="000000" w:themeColor="text1"/>
                <w14:textFill>
                  <w14:solidFill>
                    <w14:schemeClr w14:val="tx1"/>
                  </w14:solidFill>
                </w14:textFill>
              </w:rPr>
            </w:pPr>
            <w:r>
              <w:rPr>
                <w:color w:val="000000" w:themeColor="text1"/>
                <w14:textFill>
                  <w14:solidFill>
                    <w14:schemeClr w14:val="tx1"/>
                  </w14:solidFill>
                </w14:textFill>
              </w:rPr>
              <w:t>1.734448E-06</w:t>
            </w:r>
          </w:p>
        </w:tc>
        <w:tc>
          <w:tcPr>
            <w:tcW w:w="1999" w:type="pct"/>
            <w:tcBorders>
              <w:right w:val="nil"/>
            </w:tcBorders>
            <w:vAlign w:val="center"/>
          </w:tcPr>
          <w:p w14:paraId="4F25FDC4">
            <w:pPr>
              <w:pStyle w:val="298"/>
              <w:rPr>
                <w:color w:val="000000" w:themeColor="text1"/>
                <w14:textFill>
                  <w14:solidFill>
                    <w14:schemeClr w14:val="tx1"/>
                  </w14:solidFill>
                </w14:textFill>
              </w:rPr>
            </w:pPr>
            <w:r>
              <w:rPr>
                <w:color w:val="000000" w:themeColor="text1"/>
                <w14:textFill>
                  <w14:solidFill>
                    <w14:schemeClr w14:val="tx1"/>
                  </w14:solidFill>
                </w14:textFill>
              </w:rPr>
              <w:t>50.6036</w:t>
            </w:r>
          </w:p>
        </w:tc>
      </w:tr>
      <w:tr w14:paraId="551F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E44720C">
            <w:pPr>
              <w:pStyle w:val="298"/>
              <w:rPr>
                <w:color w:val="000000" w:themeColor="text1"/>
                <w14:textFill>
                  <w14:solidFill>
                    <w14:schemeClr w14:val="tx1"/>
                  </w14:solidFill>
                </w14:textFill>
              </w:rPr>
            </w:pPr>
            <w:r>
              <w:rPr>
                <w:color w:val="000000" w:themeColor="text1"/>
                <w14:textFill>
                  <w14:solidFill>
                    <w14:schemeClr w14:val="tx1"/>
                  </w14:solidFill>
                </w14:textFill>
              </w:rPr>
              <w:t>140</w:t>
            </w:r>
          </w:p>
        </w:tc>
        <w:tc>
          <w:tcPr>
            <w:tcW w:w="1440" w:type="pct"/>
            <w:vAlign w:val="center"/>
          </w:tcPr>
          <w:p w14:paraId="63FE15D0">
            <w:pPr>
              <w:pStyle w:val="298"/>
              <w:rPr>
                <w:color w:val="000000" w:themeColor="text1"/>
                <w14:textFill>
                  <w14:solidFill>
                    <w14:schemeClr w14:val="tx1"/>
                  </w14:solidFill>
                </w14:textFill>
              </w:rPr>
            </w:pPr>
            <w:r>
              <w:rPr>
                <w:color w:val="000000" w:themeColor="text1"/>
                <w14:textFill>
                  <w14:solidFill>
                    <w14:schemeClr w14:val="tx1"/>
                  </w14:solidFill>
                </w14:textFill>
              </w:rPr>
              <w:t>2.267758E-09</w:t>
            </w:r>
          </w:p>
        </w:tc>
        <w:tc>
          <w:tcPr>
            <w:tcW w:w="1999" w:type="pct"/>
            <w:tcBorders>
              <w:right w:val="nil"/>
            </w:tcBorders>
            <w:vAlign w:val="center"/>
          </w:tcPr>
          <w:p w14:paraId="1D3ADC59">
            <w:pPr>
              <w:pStyle w:val="298"/>
              <w:rPr>
                <w:color w:val="000000" w:themeColor="text1"/>
                <w14:textFill>
                  <w14:solidFill>
                    <w14:schemeClr w14:val="tx1"/>
                  </w14:solidFill>
                </w14:textFill>
              </w:rPr>
            </w:pPr>
            <w:r>
              <w:rPr>
                <w:color w:val="000000" w:themeColor="text1"/>
                <w14:textFill>
                  <w14:solidFill>
                    <w14:schemeClr w14:val="tx1"/>
                  </w14:solidFill>
                </w14:textFill>
              </w:rPr>
              <w:t>23.63895</w:t>
            </w:r>
          </w:p>
        </w:tc>
      </w:tr>
      <w:tr w14:paraId="4D4F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2E9403B1">
            <w:pPr>
              <w:pStyle w:val="298"/>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1440" w:type="pct"/>
            <w:vAlign w:val="center"/>
          </w:tcPr>
          <w:p w14:paraId="12F812E1">
            <w:pPr>
              <w:pStyle w:val="298"/>
              <w:rPr>
                <w:color w:val="000000" w:themeColor="text1"/>
                <w14:textFill>
                  <w14:solidFill>
                    <w14:schemeClr w14:val="tx1"/>
                  </w14:solidFill>
                </w14:textFill>
              </w:rPr>
            </w:pPr>
            <w:r>
              <w:rPr>
                <w:color w:val="000000" w:themeColor="text1"/>
                <w14:textFill>
                  <w14:solidFill>
                    <w14:schemeClr w14:val="tx1"/>
                  </w14:solidFill>
                </w14:textFill>
              </w:rPr>
              <w:t>1.128471E-12</w:t>
            </w:r>
          </w:p>
        </w:tc>
        <w:tc>
          <w:tcPr>
            <w:tcW w:w="1999" w:type="pct"/>
            <w:tcBorders>
              <w:right w:val="nil"/>
            </w:tcBorders>
            <w:vAlign w:val="center"/>
          </w:tcPr>
          <w:p w14:paraId="47F4FA78">
            <w:pPr>
              <w:pStyle w:val="298"/>
              <w:rPr>
                <w:color w:val="000000" w:themeColor="text1"/>
                <w14:textFill>
                  <w14:solidFill>
                    <w14:schemeClr w14:val="tx1"/>
                  </w14:solidFill>
                </w14:textFill>
              </w:rPr>
            </w:pPr>
            <w:r>
              <w:rPr>
                <w:color w:val="000000" w:themeColor="text1"/>
                <w14:textFill>
                  <w14:solidFill>
                    <w14:schemeClr w14:val="tx1"/>
                  </w14:solidFill>
                </w14:textFill>
              </w:rPr>
              <w:t>10.09512</w:t>
            </w:r>
          </w:p>
        </w:tc>
      </w:tr>
      <w:tr w14:paraId="67B1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D514B6C">
            <w:pPr>
              <w:pStyle w:val="298"/>
              <w:rPr>
                <w:color w:val="000000" w:themeColor="text1"/>
                <w14:textFill>
                  <w14:solidFill>
                    <w14:schemeClr w14:val="tx1"/>
                  </w14:solidFill>
                </w14:textFill>
              </w:rPr>
            </w:pPr>
            <w:r>
              <w:rPr>
                <w:color w:val="000000" w:themeColor="text1"/>
                <w14:textFill>
                  <w14:solidFill>
                    <w14:schemeClr w14:val="tx1"/>
                  </w14:solidFill>
                </w14:textFill>
              </w:rPr>
              <w:t>180</w:t>
            </w:r>
          </w:p>
        </w:tc>
        <w:tc>
          <w:tcPr>
            <w:tcW w:w="1440" w:type="pct"/>
            <w:vAlign w:val="center"/>
          </w:tcPr>
          <w:p w14:paraId="016BA673">
            <w:pPr>
              <w:pStyle w:val="29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999" w:type="pct"/>
            <w:tcBorders>
              <w:right w:val="nil"/>
            </w:tcBorders>
            <w:vAlign w:val="center"/>
          </w:tcPr>
          <w:p w14:paraId="4B87276F">
            <w:pPr>
              <w:pStyle w:val="298"/>
              <w:rPr>
                <w:color w:val="000000" w:themeColor="text1"/>
                <w14:textFill>
                  <w14:solidFill>
                    <w14:schemeClr w14:val="tx1"/>
                  </w14:solidFill>
                </w14:textFill>
              </w:rPr>
            </w:pPr>
            <w:r>
              <w:rPr>
                <w:color w:val="000000" w:themeColor="text1"/>
                <w14:textFill>
                  <w14:solidFill>
                    <w14:schemeClr w14:val="tx1"/>
                  </w14:solidFill>
                </w14:textFill>
              </w:rPr>
              <w:t>3.935431</w:t>
            </w:r>
          </w:p>
        </w:tc>
      </w:tr>
      <w:tr w14:paraId="7F76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07CF1705">
            <w:pPr>
              <w:pStyle w:val="29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440" w:type="pct"/>
            <w:vAlign w:val="center"/>
          </w:tcPr>
          <w:p w14:paraId="73E6A383">
            <w:pPr>
              <w:pStyle w:val="298"/>
              <w:rPr>
                <w:color w:val="000000" w:themeColor="text1"/>
                <w14:textFill>
                  <w14:solidFill>
                    <w14:schemeClr w14:val="tx1"/>
                  </w14:solidFill>
                </w14:textFill>
              </w:rPr>
            </w:pPr>
          </w:p>
        </w:tc>
        <w:tc>
          <w:tcPr>
            <w:tcW w:w="1999" w:type="pct"/>
            <w:tcBorders>
              <w:right w:val="nil"/>
            </w:tcBorders>
            <w:vAlign w:val="center"/>
          </w:tcPr>
          <w:p w14:paraId="64FB74D1">
            <w:pPr>
              <w:pStyle w:val="298"/>
              <w:rPr>
                <w:color w:val="000000" w:themeColor="text1"/>
                <w14:textFill>
                  <w14:solidFill>
                    <w14:schemeClr w14:val="tx1"/>
                  </w14:solidFill>
                </w14:textFill>
              </w:rPr>
            </w:pPr>
            <w:r>
              <w:rPr>
                <w:color w:val="000000" w:themeColor="text1"/>
                <w14:textFill>
                  <w14:solidFill>
                    <w14:schemeClr w14:val="tx1"/>
                  </w14:solidFill>
                </w14:textFill>
              </w:rPr>
              <w:t>1.39878</w:t>
            </w:r>
          </w:p>
        </w:tc>
      </w:tr>
      <w:tr w14:paraId="5A6F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F6E70EB">
            <w:pPr>
              <w:pStyle w:val="298"/>
              <w:rPr>
                <w:color w:val="000000" w:themeColor="text1"/>
                <w14:textFill>
                  <w14:solidFill>
                    <w14:schemeClr w14:val="tx1"/>
                  </w14:solidFill>
                </w14:textFill>
              </w:rPr>
            </w:pPr>
            <w:r>
              <w:rPr>
                <w:color w:val="000000" w:themeColor="text1"/>
                <w14:textFill>
                  <w14:solidFill>
                    <w14:schemeClr w14:val="tx1"/>
                  </w14:solidFill>
                </w14:textFill>
              </w:rPr>
              <w:t>220</w:t>
            </w:r>
          </w:p>
        </w:tc>
        <w:tc>
          <w:tcPr>
            <w:tcW w:w="1440" w:type="pct"/>
            <w:vAlign w:val="center"/>
          </w:tcPr>
          <w:p w14:paraId="7B54F6D8">
            <w:pPr>
              <w:pStyle w:val="298"/>
              <w:rPr>
                <w:color w:val="000000" w:themeColor="text1"/>
                <w14:textFill>
                  <w14:solidFill>
                    <w14:schemeClr w14:val="tx1"/>
                  </w14:solidFill>
                </w14:textFill>
              </w:rPr>
            </w:pPr>
          </w:p>
        </w:tc>
        <w:tc>
          <w:tcPr>
            <w:tcW w:w="1999" w:type="pct"/>
            <w:tcBorders>
              <w:right w:val="nil"/>
            </w:tcBorders>
            <w:vAlign w:val="center"/>
          </w:tcPr>
          <w:p w14:paraId="5938FD63">
            <w:pPr>
              <w:pStyle w:val="298"/>
              <w:rPr>
                <w:color w:val="000000" w:themeColor="text1"/>
                <w14:textFill>
                  <w14:solidFill>
                    <w14:schemeClr w14:val="tx1"/>
                  </w14:solidFill>
                </w14:textFill>
              </w:rPr>
            </w:pPr>
            <w:r>
              <w:rPr>
                <w:color w:val="000000" w:themeColor="text1"/>
                <w14:textFill>
                  <w14:solidFill>
                    <w14:schemeClr w14:val="tx1"/>
                  </w14:solidFill>
                </w14:textFill>
              </w:rPr>
              <w:t>0.4528506</w:t>
            </w:r>
          </w:p>
        </w:tc>
      </w:tr>
      <w:tr w14:paraId="5182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9C7D955">
            <w:pPr>
              <w:pStyle w:val="298"/>
              <w:rPr>
                <w:color w:val="000000" w:themeColor="text1"/>
                <w14:textFill>
                  <w14:solidFill>
                    <w14:schemeClr w14:val="tx1"/>
                  </w14:solidFill>
                </w14:textFill>
              </w:rPr>
            </w:pPr>
            <w:r>
              <w:rPr>
                <w:color w:val="000000" w:themeColor="text1"/>
                <w14:textFill>
                  <w14:solidFill>
                    <w14:schemeClr w14:val="tx1"/>
                  </w14:solidFill>
                </w14:textFill>
              </w:rPr>
              <w:t>240</w:t>
            </w:r>
          </w:p>
        </w:tc>
        <w:tc>
          <w:tcPr>
            <w:tcW w:w="1440" w:type="pct"/>
            <w:vAlign w:val="center"/>
          </w:tcPr>
          <w:p w14:paraId="65E0482E">
            <w:pPr>
              <w:pStyle w:val="298"/>
              <w:rPr>
                <w:color w:val="000000" w:themeColor="text1"/>
                <w14:textFill>
                  <w14:solidFill>
                    <w14:schemeClr w14:val="tx1"/>
                  </w14:solidFill>
                </w14:textFill>
              </w:rPr>
            </w:pPr>
          </w:p>
        </w:tc>
        <w:tc>
          <w:tcPr>
            <w:tcW w:w="1999" w:type="pct"/>
            <w:tcBorders>
              <w:right w:val="nil"/>
            </w:tcBorders>
            <w:vAlign w:val="center"/>
          </w:tcPr>
          <w:p w14:paraId="47BE143F">
            <w:pPr>
              <w:pStyle w:val="298"/>
              <w:rPr>
                <w:color w:val="000000" w:themeColor="text1"/>
                <w14:textFill>
                  <w14:solidFill>
                    <w14:schemeClr w14:val="tx1"/>
                  </w14:solidFill>
                </w14:textFill>
              </w:rPr>
            </w:pPr>
            <w:r>
              <w:rPr>
                <w:color w:val="000000" w:themeColor="text1"/>
                <w14:textFill>
                  <w14:solidFill>
                    <w14:schemeClr w14:val="tx1"/>
                  </w14:solidFill>
                </w14:textFill>
              </w:rPr>
              <w:t>0.1334303</w:t>
            </w:r>
          </w:p>
        </w:tc>
      </w:tr>
      <w:tr w14:paraId="44E4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7417F55C">
            <w:pPr>
              <w:pStyle w:val="298"/>
              <w:rPr>
                <w:color w:val="000000" w:themeColor="text1"/>
                <w14:textFill>
                  <w14:solidFill>
                    <w14:schemeClr w14:val="tx1"/>
                  </w14:solidFill>
                </w14:textFill>
              </w:rPr>
            </w:pPr>
            <w:r>
              <w:rPr>
                <w:color w:val="000000" w:themeColor="text1"/>
                <w14:textFill>
                  <w14:solidFill>
                    <w14:schemeClr w14:val="tx1"/>
                  </w14:solidFill>
                </w14:textFill>
              </w:rPr>
              <w:t>260</w:t>
            </w:r>
          </w:p>
        </w:tc>
        <w:tc>
          <w:tcPr>
            <w:tcW w:w="1440" w:type="pct"/>
            <w:vAlign w:val="center"/>
          </w:tcPr>
          <w:p w14:paraId="60A4FB15">
            <w:pPr>
              <w:pStyle w:val="298"/>
              <w:rPr>
                <w:color w:val="000000" w:themeColor="text1"/>
                <w14:textFill>
                  <w14:solidFill>
                    <w14:schemeClr w14:val="tx1"/>
                  </w14:solidFill>
                </w14:textFill>
              </w:rPr>
            </w:pPr>
          </w:p>
        </w:tc>
        <w:tc>
          <w:tcPr>
            <w:tcW w:w="1999" w:type="pct"/>
            <w:tcBorders>
              <w:right w:val="nil"/>
            </w:tcBorders>
            <w:vAlign w:val="center"/>
          </w:tcPr>
          <w:p w14:paraId="7037B113">
            <w:pPr>
              <w:pStyle w:val="298"/>
              <w:rPr>
                <w:color w:val="000000" w:themeColor="text1"/>
                <w14:textFill>
                  <w14:solidFill>
                    <w14:schemeClr w14:val="tx1"/>
                  </w14:solidFill>
                </w14:textFill>
              </w:rPr>
            </w:pPr>
            <w:r>
              <w:rPr>
                <w:color w:val="000000" w:themeColor="text1"/>
                <w14:textFill>
                  <w14:solidFill>
                    <w14:schemeClr w14:val="tx1"/>
                  </w14:solidFill>
                </w14:textFill>
              </w:rPr>
              <w:t>0.03575625</w:t>
            </w:r>
          </w:p>
        </w:tc>
      </w:tr>
      <w:tr w14:paraId="14B0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75DBA340">
            <w:pPr>
              <w:pStyle w:val="298"/>
              <w:rPr>
                <w:color w:val="000000" w:themeColor="text1"/>
                <w14:textFill>
                  <w14:solidFill>
                    <w14:schemeClr w14:val="tx1"/>
                  </w14:solidFill>
                </w14:textFill>
              </w:rPr>
            </w:pPr>
            <w:r>
              <w:rPr>
                <w:color w:val="000000" w:themeColor="text1"/>
                <w14:textFill>
                  <w14:solidFill>
                    <w14:schemeClr w14:val="tx1"/>
                  </w14:solidFill>
                </w14:textFill>
              </w:rPr>
              <w:t>280</w:t>
            </w:r>
          </w:p>
        </w:tc>
        <w:tc>
          <w:tcPr>
            <w:tcW w:w="1440" w:type="pct"/>
            <w:vAlign w:val="center"/>
          </w:tcPr>
          <w:p w14:paraId="7991FCCB">
            <w:pPr>
              <w:pStyle w:val="298"/>
              <w:rPr>
                <w:color w:val="000000" w:themeColor="text1"/>
                <w14:textFill>
                  <w14:solidFill>
                    <w14:schemeClr w14:val="tx1"/>
                  </w14:solidFill>
                </w14:textFill>
              </w:rPr>
            </w:pPr>
          </w:p>
        </w:tc>
        <w:tc>
          <w:tcPr>
            <w:tcW w:w="1999" w:type="pct"/>
            <w:tcBorders>
              <w:right w:val="nil"/>
            </w:tcBorders>
            <w:vAlign w:val="center"/>
          </w:tcPr>
          <w:p w14:paraId="5DC34000">
            <w:pPr>
              <w:pStyle w:val="298"/>
              <w:rPr>
                <w:color w:val="000000" w:themeColor="text1"/>
                <w14:textFill>
                  <w14:solidFill>
                    <w14:schemeClr w14:val="tx1"/>
                  </w14:solidFill>
                </w14:textFill>
              </w:rPr>
            </w:pPr>
            <w:r>
              <w:rPr>
                <w:color w:val="000000" w:themeColor="text1"/>
                <w14:textFill>
                  <w14:solidFill>
                    <w14:schemeClr w14:val="tx1"/>
                  </w14:solidFill>
                </w14:textFill>
              </w:rPr>
              <w:t>0.008709614</w:t>
            </w:r>
          </w:p>
        </w:tc>
      </w:tr>
      <w:tr w14:paraId="6518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BF96EC3">
            <w:pPr>
              <w:pStyle w:val="298"/>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440" w:type="pct"/>
            <w:vAlign w:val="center"/>
          </w:tcPr>
          <w:p w14:paraId="668FC1EA">
            <w:pPr>
              <w:pStyle w:val="298"/>
              <w:rPr>
                <w:color w:val="000000" w:themeColor="text1"/>
                <w14:textFill>
                  <w14:solidFill>
                    <w14:schemeClr w14:val="tx1"/>
                  </w14:solidFill>
                </w14:textFill>
              </w:rPr>
            </w:pPr>
          </w:p>
        </w:tc>
        <w:tc>
          <w:tcPr>
            <w:tcW w:w="1999" w:type="pct"/>
            <w:tcBorders>
              <w:right w:val="nil"/>
            </w:tcBorders>
            <w:vAlign w:val="center"/>
          </w:tcPr>
          <w:p w14:paraId="22355C22">
            <w:pPr>
              <w:pStyle w:val="298"/>
              <w:rPr>
                <w:color w:val="000000" w:themeColor="text1"/>
                <w14:textFill>
                  <w14:solidFill>
                    <w14:schemeClr w14:val="tx1"/>
                  </w14:solidFill>
                </w14:textFill>
              </w:rPr>
            </w:pPr>
            <w:r>
              <w:rPr>
                <w:color w:val="000000" w:themeColor="text1"/>
                <w14:textFill>
                  <w14:solidFill>
                    <w14:schemeClr w14:val="tx1"/>
                  </w14:solidFill>
                </w14:textFill>
              </w:rPr>
              <w:t>0.001927456</w:t>
            </w:r>
          </w:p>
        </w:tc>
      </w:tr>
      <w:tr w14:paraId="193D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2F9D945E">
            <w:pPr>
              <w:pStyle w:val="298"/>
              <w:rPr>
                <w:color w:val="000000" w:themeColor="text1"/>
                <w14:textFill>
                  <w14:solidFill>
                    <w14:schemeClr w14:val="tx1"/>
                  </w14:solidFill>
                </w14:textFill>
              </w:rPr>
            </w:pPr>
            <w:r>
              <w:rPr>
                <w:color w:val="000000" w:themeColor="text1"/>
                <w14:textFill>
                  <w14:solidFill>
                    <w14:schemeClr w14:val="tx1"/>
                  </w14:solidFill>
                </w14:textFill>
              </w:rPr>
              <w:t>320</w:t>
            </w:r>
          </w:p>
        </w:tc>
        <w:tc>
          <w:tcPr>
            <w:tcW w:w="1440" w:type="pct"/>
            <w:vAlign w:val="center"/>
          </w:tcPr>
          <w:p w14:paraId="0F5ABCA5">
            <w:pPr>
              <w:pStyle w:val="298"/>
              <w:rPr>
                <w:color w:val="000000" w:themeColor="text1"/>
                <w14:textFill>
                  <w14:solidFill>
                    <w14:schemeClr w14:val="tx1"/>
                  </w14:solidFill>
                </w14:textFill>
              </w:rPr>
            </w:pPr>
          </w:p>
        </w:tc>
        <w:tc>
          <w:tcPr>
            <w:tcW w:w="1999" w:type="pct"/>
            <w:tcBorders>
              <w:right w:val="nil"/>
            </w:tcBorders>
            <w:vAlign w:val="center"/>
          </w:tcPr>
          <w:p w14:paraId="3ED7BCBA">
            <w:pPr>
              <w:pStyle w:val="298"/>
              <w:rPr>
                <w:color w:val="000000" w:themeColor="text1"/>
                <w14:textFill>
                  <w14:solidFill>
                    <w14:schemeClr w14:val="tx1"/>
                  </w14:solidFill>
                </w14:textFill>
              </w:rPr>
            </w:pPr>
            <w:r>
              <w:rPr>
                <w:color w:val="000000" w:themeColor="text1"/>
                <w14:textFill>
                  <w14:solidFill>
                    <w14:schemeClr w14:val="tx1"/>
                  </w14:solidFill>
                </w14:textFill>
              </w:rPr>
              <w:t>0.0003873725</w:t>
            </w:r>
          </w:p>
        </w:tc>
      </w:tr>
      <w:tr w14:paraId="41BA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FE451B4">
            <w:pPr>
              <w:pStyle w:val="298"/>
              <w:rPr>
                <w:color w:val="000000" w:themeColor="text1"/>
                <w14:textFill>
                  <w14:solidFill>
                    <w14:schemeClr w14:val="tx1"/>
                  </w14:solidFill>
                </w14:textFill>
              </w:rPr>
            </w:pPr>
            <w:r>
              <w:rPr>
                <w:color w:val="000000" w:themeColor="text1"/>
                <w14:textFill>
                  <w14:solidFill>
                    <w14:schemeClr w14:val="tx1"/>
                  </w14:solidFill>
                </w14:textFill>
              </w:rPr>
              <w:t>340</w:t>
            </w:r>
          </w:p>
        </w:tc>
        <w:tc>
          <w:tcPr>
            <w:tcW w:w="1440" w:type="pct"/>
            <w:vAlign w:val="center"/>
          </w:tcPr>
          <w:p w14:paraId="7BE92AFF">
            <w:pPr>
              <w:pStyle w:val="298"/>
              <w:rPr>
                <w:color w:val="000000" w:themeColor="text1"/>
                <w14:textFill>
                  <w14:solidFill>
                    <w14:schemeClr w14:val="tx1"/>
                  </w14:solidFill>
                </w14:textFill>
              </w:rPr>
            </w:pPr>
          </w:p>
        </w:tc>
        <w:tc>
          <w:tcPr>
            <w:tcW w:w="1999" w:type="pct"/>
            <w:tcBorders>
              <w:right w:val="nil"/>
            </w:tcBorders>
            <w:vAlign w:val="center"/>
          </w:tcPr>
          <w:p w14:paraId="08F425FC">
            <w:pPr>
              <w:pStyle w:val="298"/>
              <w:rPr>
                <w:color w:val="000000" w:themeColor="text1"/>
                <w14:textFill>
                  <w14:solidFill>
                    <w14:schemeClr w14:val="tx1"/>
                  </w14:solidFill>
                </w14:textFill>
              </w:rPr>
            </w:pPr>
            <w:r>
              <w:rPr>
                <w:color w:val="000000" w:themeColor="text1"/>
                <w14:textFill>
                  <w14:solidFill>
                    <w14:schemeClr w14:val="tx1"/>
                  </w14:solidFill>
                </w14:textFill>
              </w:rPr>
              <w:t>7.06768E-05</w:t>
            </w:r>
          </w:p>
        </w:tc>
      </w:tr>
      <w:tr w14:paraId="2898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5746A2C">
            <w:pPr>
              <w:pStyle w:val="298"/>
              <w:rPr>
                <w:color w:val="000000" w:themeColor="text1"/>
                <w14:textFill>
                  <w14:solidFill>
                    <w14:schemeClr w14:val="tx1"/>
                  </w14:solidFill>
                </w14:textFill>
              </w:rPr>
            </w:pPr>
            <w:r>
              <w:rPr>
                <w:color w:val="000000" w:themeColor="text1"/>
                <w14:textFill>
                  <w14:solidFill>
                    <w14:schemeClr w14:val="tx1"/>
                  </w14:solidFill>
                </w14:textFill>
              </w:rPr>
              <w:t>360</w:t>
            </w:r>
          </w:p>
        </w:tc>
        <w:tc>
          <w:tcPr>
            <w:tcW w:w="1440" w:type="pct"/>
            <w:vAlign w:val="center"/>
          </w:tcPr>
          <w:p w14:paraId="164599F9">
            <w:pPr>
              <w:pStyle w:val="298"/>
              <w:rPr>
                <w:color w:val="000000" w:themeColor="text1"/>
                <w14:textFill>
                  <w14:solidFill>
                    <w14:schemeClr w14:val="tx1"/>
                  </w14:solidFill>
                </w14:textFill>
              </w:rPr>
            </w:pPr>
          </w:p>
        </w:tc>
        <w:tc>
          <w:tcPr>
            <w:tcW w:w="1999" w:type="pct"/>
            <w:tcBorders>
              <w:right w:val="nil"/>
            </w:tcBorders>
            <w:vAlign w:val="center"/>
          </w:tcPr>
          <w:p w14:paraId="5FF6D1A3">
            <w:pPr>
              <w:pStyle w:val="298"/>
              <w:rPr>
                <w:color w:val="000000" w:themeColor="text1"/>
                <w14:textFill>
                  <w14:solidFill>
                    <w14:schemeClr w14:val="tx1"/>
                  </w14:solidFill>
                </w14:textFill>
              </w:rPr>
            </w:pPr>
            <w:r>
              <w:rPr>
                <w:color w:val="000000" w:themeColor="text1"/>
                <w14:textFill>
                  <w14:solidFill>
                    <w14:schemeClr w14:val="tx1"/>
                  </w14:solidFill>
                </w14:textFill>
              </w:rPr>
              <w:t>1.758188E-06</w:t>
            </w:r>
          </w:p>
        </w:tc>
      </w:tr>
      <w:tr w14:paraId="7184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6FAF946">
            <w:pPr>
              <w:pStyle w:val="298"/>
              <w:rPr>
                <w:color w:val="000000" w:themeColor="text1"/>
                <w14:textFill>
                  <w14:solidFill>
                    <w14:schemeClr w14:val="tx1"/>
                  </w14:solidFill>
                </w14:textFill>
              </w:rPr>
            </w:pPr>
            <w:r>
              <w:rPr>
                <w:color w:val="000000" w:themeColor="text1"/>
                <w14:textFill>
                  <w14:solidFill>
                    <w14:schemeClr w14:val="tx1"/>
                  </w14:solidFill>
                </w14:textFill>
              </w:rPr>
              <w:t>380</w:t>
            </w:r>
          </w:p>
        </w:tc>
        <w:tc>
          <w:tcPr>
            <w:tcW w:w="1440" w:type="pct"/>
            <w:vAlign w:val="center"/>
          </w:tcPr>
          <w:p w14:paraId="7219FAB5">
            <w:pPr>
              <w:pStyle w:val="298"/>
              <w:rPr>
                <w:color w:val="000000" w:themeColor="text1"/>
                <w14:textFill>
                  <w14:solidFill>
                    <w14:schemeClr w14:val="tx1"/>
                  </w14:solidFill>
                </w14:textFill>
              </w:rPr>
            </w:pPr>
          </w:p>
        </w:tc>
        <w:tc>
          <w:tcPr>
            <w:tcW w:w="1999" w:type="pct"/>
            <w:tcBorders>
              <w:right w:val="nil"/>
            </w:tcBorders>
            <w:vAlign w:val="center"/>
          </w:tcPr>
          <w:p w14:paraId="0575C181">
            <w:pPr>
              <w:pStyle w:val="298"/>
              <w:rPr>
                <w:color w:val="000000" w:themeColor="text1"/>
                <w14:textFill>
                  <w14:solidFill>
                    <w14:schemeClr w14:val="tx1"/>
                  </w14:solidFill>
                </w14:textFill>
              </w:rPr>
            </w:pPr>
            <w:r>
              <w:rPr>
                <w:color w:val="000000" w:themeColor="text1"/>
                <w14:textFill>
                  <w14:solidFill>
                    <w14:schemeClr w14:val="tx1"/>
                  </w14:solidFill>
                </w14:textFill>
              </w:rPr>
              <w:t>0</w:t>
            </w:r>
          </w:p>
        </w:tc>
      </w:tr>
      <w:tr w14:paraId="640E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tcPr>
          <w:p w14:paraId="592A9CCA">
            <w:pPr>
              <w:pStyle w:val="298"/>
              <w:rPr>
                <w:color w:val="000000" w:themeColor="text1"/>
                <w14:textFill>
                  <w14:solidFill>
                    <w14:schemeClr w14:val="tx1"/>
                  </w14:solidFill>
                </w14:textFill>
              </w:rPr>
            </w:pPr>
            <w:r>
              <w:rPr>
                <w:color w:val="000000" w:themeColor="text1"/>
                <w14:textFill>
                  <w14:solidFill>
                    <w14:schemeClr w14:val="tx1"/>
                  </w14:solidFill>
                </w14:textFill>
              </w:rPr>
              <w:t>超标范围限值（</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类标准）</w:t>
            </w:r>
          </w:p>
        </w:tc>
        <w:tc>
          <w:tcPr>
            <w:tcW w:w="3439" w:type="pct"/>
            <w:gridSpan w:val="2"/>
            <w:vAlign w:val="center"/>
          </w:tcPr>
          <w:p w14:paraId="14BE4E30">
            <w:pPr>
              <w:pStyle w:val="298"/>
              <w:rPr>
                <w:color w:val="000000" w:themeColor="text1"/>
                <w14:textFill>
                  <w14:solidFill>
                    <w14:schemeClr w14:val="tx1"/>
                  </w14:solidFill>
                </w14:textFill>
              </w:rPr>
            </w:pPr>
            <w:r>
              <w:rPr>
                <w:color w:val="000000" w:themeColor="text1"/>
                <w:szCs w:val="21"/>
                <w14:textFill>
                  <w14:solidFill>
                    <w14:schemeClr w14:val="tx1"/>
                  </w14:solidFill>
                </w14:textFill>
              </w:rPr>
              <w:t>4</w:t>
            </w:r>
          </w:p>
        </w:tc>
      </w:tr>
      <w:tr w14:paraId="602E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bottom w:val="thinThickSmallGap" w:color="auto" w:sz="12" w:space="0"/>
            </w:tcBorders>
          </w:tcPr>
          <w:p w14:paraId="2776B822">
            <w:pPr>
              <w:pStyle w:val="298"/>
              <w:rPr>
                <w:color w:val="000000" w:themeColor="text1"/>
                <w14:textFill>
                  <w14:solidFill>
                    <w14:schemeClr w14:val="tx1"/>
                  </w14:solidFill>
                </w14:textFill>
              </w:rPr>
            </w:pPr>
            <w:r>
              <w:rPr>
                <w:color w:val="000000" w:themeColor="text1"/>
                <w14:textFill>
                  <w14:solidFill>
                    <w14:schemeClr w14:val="tx1"/>
                  </w14:solidFill>
                </w14:textFill>
              </w:rPr>
              <w:t>影响范围限值（</w:t>
            </w:r>
            <w:r>
              <w:rPr>
                <w:rFonts w:hint="eastAsia" w:ascii="宋体" w:hAnsi="宋体" w:cs="宋体"/>
                <w:color w:val="000000" w:themeColor="text1"/>
                <w14:textFill>
                  <w14:solidFill>
                    <w14:schemeClr w14:val="tx1"/>
                  </w14:solidFill>
                </w14:textFill>
              </w:rPr>
              <w:t>Ⅰ</w:t>
            </w:r>
            <w:r>
              <w:rPr>
                <w:color w:val="000000" w:themeColor="text1"/>
                <w14:textFill>
                  <w14:solidFill>
                    <w14:schemeClr w14:val="tx1"/>
                  </w14:solidFill>
                </w14:textFill>
              </w:rPr>
              <w:t>标准）</w:t>
            </w:r>
          </w:p>
        </w:tc>
        <w:tc>
          <w:tcPr>
            <w:tcW w:w="3439" w:type="pct"/>
            <w:gridSpan w:val="2"/>
            <w:tcBorders>
              <w:bottom w:val="thinThickSmallGap" w:color="auto" w:sz="12" w:space="0"/>
            </w:tcBorders>
            <w:vAlign w:val="center"/>
          </w:tcPr>
          <w:p w14:paraId="6EF73092">
            <w:pPr>
              <w:pStyle w:val="298"/>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bl>
    <w:p w14:paraId="70D11536">
      <w:pPr>
        <w:pStyle w:val="296"/>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560955" cy="15443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cstate="print"/>
                    <a:stretch>
                      <a:fillRect/>
                    </a:stretch>
                  </pic:blipFill>
                  <pic:spPr>
                    <a:xfrm>
                      <a:off x="0" y="0"/>
                      <a:ext cx="2562465" cy="1545441"/>
                    </a:xfrm>
                    <a:prstGeom prst="rect">
                      <a:avLst/>
                    </a:prstGeom>
                  </pic:spPr>
                </pic:pic>
              </a:graphicData>
            </a:graphic>
          </wp:inline>
        </w:drawing>
      </w:r>
      <w:r>
        <w:rPr>
          <w:rFonts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drawing>
          <wp:inline distT="0" distB="0" distL="0" distR="0">
            <wp:extent cx="2536825" cy="153733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cstate="print"/>
                    <a:stretch>
                      <a:fillRect/>
                    </a:stretch>
                  </pic:blipFill>
                  <pic:spPr>
                    <a:xfrm>
                      <a:off x="0" y="0"/>
                      <a:ext cx="2547278" cy="1544021"/>
                    </a:xfrm>
                    <a:prstGeom prst="rect">
                      <a:avLst/>
                    </a:prstGeom>
                  </pic:spPr>
                </pic:pic>
              </a:graphicData>
            </a:graphic>
          </wp:inline>
        </w:drawing>
      </w:r>
    </w:p>
    <w:p w14:paraId="29B433E4">
      <w:pPr>
        <w:pStyle w:val="296"/>
        <w:ind w:firstLine="196" w:firstLineChars="82"/>
        <w:rPr>
          <w:rFonts w:cs="Times New Roman"/>
          <w:b/>
          <w:color w:val="000000" w:themeColor="text1"/>
          <w:sz w:val="18"/>
          <w:szCs w:val="18"/>
          <w14:textFill>
            <w14:solidFill>
              <w14:schemeClr w14:val="tx1"/>
            </w14:solidFill>
          </w14:textFill>
        </w:rPr>
      </w:pPr>
      <w:r>
        <w:rPr>
          <w:rFonts w:cs="Times New Roman"/>
          <w:b/>
          <w:color w:val="000000" w:themeColor="text1"/>
          <w14:textFill>
            <w14:solidFill>
              <w14:schemeClr w14:val="tx1"/>
            </w14:solidFill>
          </w14:textFill>
        </w:rPr>
        <w:t>100d后项目区下游BOD</w:t>
      </w:r>
      <w:r>
        <w:rPr>
          <w:rFonts w:cs="Times New Roman"/>
          <w:b/>
          <w:color w:val="000000" w:themeColor="text1"/>
          <w:vertAlign w:val="subscript"/>
          <w14:textFill>
            <w14:solidFill>
              <w14:schemeClr w14:val="tx1"/>
            </w14:solidFill>
          </w14:textFill>
        </w:rPr>
        <w:t>5</w:t>
      </w:r>
      <w:r>
        <w:rPr>
          <w:rFonts w:cs="Times New Roman"/>
          <w:b/>
          <w:color w:val="000000" w:themeColor="text1"/>
          <w14:textFill>
            <w14:solidFill>
              <w14:schemeClr w14:val="tx1"/>
            </w14:solidFill>
          </w14:textFill>
        </w:rPr>
        <w:t>浓度变化</w:t>
      </w:r>
      <w:r>
        <w:rPr>
          <w:rFonts w:cs="Times New Roman"/>
          <w:b/>
          <w:color w:val="000000" w:themeColor="text1"/>
          <w:sz w:val="18"/>
          <w:szCs w:val="18"/>
          <w14:textFill>
            <w14:solidFill>
              <w14:schemeClr w14:val="tx1"/>
            </w14:solidFill>
          </w14:textFill>
        </w:rPr>
        <w:t xml:space="preserve">   </w:t>
      </w:r>
      <w:r>
        <w:rPr>
          <w:rFonts w:cs="Times New Roman"/>
          <w:b/>
          <w:color w:val="000000" w:themeColor="text1"/>
          <w14:textFill>
            <w14:solidFill>
              <w14:schemeClr w14:val="tx1"/>
            </w14:solidFill>
          </w14:textFill>
        </w:rPr>
        <w:t xml:space="preserve"> 1000d后项目区下游BOD</w:t>
      </w:r>
      <w:r>
        <w:rPr>
          <w:rFonts w:cs="Times New Roman"/>
          <w:b/>
          <w:color w:val="000000" w:themeColor="text1"/>
          <w:vertAlign w:val="subscript"/>
          <w14:textFill>
            <w14:solidFill>
              <w14:schemeClr w14:val="tx1"/>
            </w14:solidFill>
          </w14:textFill>
        </w:rPr>
        <w:t>5</w:t>
      </w:r>
      <w:r>
        <w:rPr>
          <w:rFonts w:cs="Times New Roman"/>
          <w:b/>
          <w:color w:val="000000" w:themeColor="text1"/>
          <w14:textFill>
            <w14:solidFill>
              <w14:schemeClr w14:val="tx1"/>
            </w14:solidFill>
          </w14:textFill>
        </w:rPr>
        <w:t>浓度变化</w:t>
      </w:r>
    </w:p>
    <w:p w14:paraId="58F72EA7">
      <w:pPr>
        <w:pStyle w:val="63"/>
        <w:spacing w:before="156" w:after="156"/>
        <w:rPr>
          <w:color w:val="000000" w:themeColor="text1"/>
          <w14:textFill>
            <w14:solidFill>
              <w14:schemeClr w14:val="tx1"/>
            </w14:solidFill>
          </w14:textFill>
        </w:rPr>
      </w:pPr>
      <w:r>
        <w:rPr>
          <w:color w:val="000000" w:themeColor="text1"/>
          <w14:textFill>
            <w14:solidFill>
              <w14:schemeClr w14:val="tx1"/>
            </w14:solidFill>
          </w14:textFill>
        </w:rPr>
        <w:t>表6.3-4  氨氮不同时间对下游地下水的预测值  单位mg/L</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7"/>
        <w:gridCol w:w="2938"/>
        <w:gridCol w:w="3407"/>
      </w:tblGrid>
      <w:tr w14:paraId="4842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277" w:type="pct"/>
            <w:tcBorders>
              <w:top w:val="thinThickSmallGap" w:color="auto" w:sz="12" w:space="0"/>
              <w:left w:val="nil"/>
              <w:tl2br w:val="single" w:color="auto" w:sz="4" w:space="0"/>
            </w:tcBorders>
            <w:vAlign w:val="center"/>
          </w:tcPr>
          <w:p w14:paraId="5D8E3749">
            <w:pPr>
              <w:pStyle w:val="298"/>
              <w:rPr>
                <w:color w:val="000000" w:themeColor="text1"/>
                <w14:textFill>
                  <w14:solidFill>
                    <w14:schemeClr w14:val="tx1"/>
                  </w14:solidFill>
                </w14:textFill>
              </w:rPr>
            </w:pPr>
            <w:r>
              <w:rPr>
                <w:color w:val="000000" w:themeColor="text1"/>
                <w14:textFill>
                  <w14:solidFill>
                    <w14:schemeClr w14:val="tx1"/>
                  </w14:solidFill>
                </w14:textFill>
              </w:rPr>
              <w:t xml:space="preserve">         时间</w:t>
            </w:r>
          </w:p>
          <w:p w14:paraId="0D3238DE">
            <w:pPr>
              <w:pStyle w:val="298"/>
              <w:ind w:firstLine="21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距离</w:t>
            </w:r>
          </w:p>
        </w:tc>
        <w:tc>
          <w:tcPr>
            <w:tcW w:w="1724" w:type="pct"/>
            <w:tcBorders>
              <w:top w:val="thinThickSmallGap" w:color="auto" w:sz="12" w:space="0"/>
            </w:tcBorders>
            <w:vAlign w:val="center"/>
          </w:tcPr>
          <w:p w14:paraId="2A8833A5">
            <w:pPr>
              <w:pStyle w:val="298"/>
              <w:rPr>
                <w:color w:val="000000" w:themeColor="text1"/>
                <w14:textFill>
                  <w14:solidFill>
                    <w14:schemeClr w14:val="tx1"/>
                  </w14:solidFill>
                </w14:textFill>
              </w:rPr>
            </w:pPr>
            <w:r>
              <w:rPr>
                <w:color w:val="000000" w:themeColor="text1"/>
                <w14:textFill>
                  <w14:solidFill>
                    <w14:schemeClr w14:val="tx1"/>
                  </w14:solidFill>
                </w14:textFill>
              </w:rPr>
              <w:t>100d</w:t>
            </w:r>
          </w:p>
        </w:tc>
        <w:tc>
          <w:tcPr>
            <w:tcW w:w="1999" w:type="pct"/>
            <w:tcBorders>
              <w:top w:val="thinThickSmallGap" w:color="auto" w:sz="12" w:space="0"/>
              <w:right w:val="nil"/>
            </w:tcBorders>
            <w:vAlign w:val="center"/>
          </w:tcPr>
          <w:p w14:paraId="464A7454">
            <w:pPr>
              <w:pStyle w:val="298"/>
              <w:rPr>
                <w:color w:val="000000" w:themeColor="text1"/>
                <w14:textFill>
                  <w14:solidFill>
                    <w14:schemeClr w14:val="tx1"/>
                  </w14:solidFill>
                </w14:textFill>
              </w:rPr>
            </w:pPr>
            <w:r>
              <w:rPr>
                <w:color w:val="000000" w:themeColor="text1"/>
                <w14:textFill>
                  <w14:solidFill>
                    <w14:schemeClr w14:val="tx1"/>
                  </w14:solidFill>
                </w14:textFill>
              </w:rPr>
              <w:t>1000d</w:t>
            </w:r>
          </w:p>
        </w:tc>
      </w:tr>
      <w:tr w14:paraId="5BED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6125DE47">
            <w:pPr>
              <w:pStyle w:val="29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724" w:type="pct"/>
            <w:vAlign w:val="center"/>
          </w:tcPr>
          <w:p w14:paraId="43883480">
            <w:pPr>
              <w:pStyle w:val="29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999" w:type="pct"/>
            <w:tcBorders>
              <w:right w:val="nil"/>
            </w:tcBorders>
            <w:vAlign w:val="center"/>
          </w:tcPr>
          <w:p w14:paraId="2C41B619">
            <w:pPr>
              <w:pStyle w:val="298"/>
              <w:rPr>
                <w:color w:val="000000" w:themeColor="text1"/>
                <w14:textFill>
                  <w14:solidFill>
                    <w14:schemeClr w14:val="tx1"/>
                  </w14:solidFill>
                </w14:textFill>
              </w:rPr>
            </w:pPr>
            <w:r>
              <w:rPr>
                <w:color w:val="000000" w:themeColor="text1"/>
                <w14:textFill>
                  <w14:solidFill>
                    <w14:schemeClr w14:val="tx1"/>
                  </w14:solidFill>
                </w14:textFill>
              </w:rPr>
              <w:t>40</w:t>
            </w:r>
          </w:p>
        </w:tc>
      </w:tr>
      <w:tr w14:paraId="72AD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0C4B495C">
            <w:pPr>
              <w:pStyle w:val="29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724" w:type="pct"/>
            <w:vAlign w:val="center"/>
          </w:tcPr>
          <w:p w14:paraId="478BD4E5">
            <w:pPr>
              <w:pStyle w:val="298"/>
              <w:rPr>
                <w:color w:val="000000" w:themeColor="text1"/>
                <w14:textFill>
                  <w14:solidFill>
                    <w14:schemeClr w14:val="tx1"/>
                  </w14:solidFill>
                </w14:textFill>
              </w:rPr>
            </w:pPr>
            <w:r>
              <w:rPr>
                <w:color w:val="000000" w:themeColor="text1"/>
                <w14:textFill>
                  <w14:solidFill>
                    <w14:schemeClr w14:val="tx1"/>
                  </w14:solidFill>
                </w14:textFill>
              </w:rPr>
              <w:t>12.75596</w:t>
            </w:r>
          </w:p>
        </w:tc>
        <w:tc>
          <w:tcPr>
            <w:tcW w:w="1999" w:type="pct"/>
            <w:tcBorders>
              <w:right w:val="nil"/>
            </w:tcBorders>
            <w:vAlign w:val="center"/>
          </w:tcPr>
          <w:p w14:paraId="2CD7A5E0">
            <w:pPr>
              <w:pStyle w:val="298"/>
              <w:rPr>
                <w:color w:val="000000" w:themeColor="text1"/>
                <w14:textFill>
                  <w14:solidFill>
                    <w14:schemeClr w14:val="tx1"/>
                  </w14:solidFill>
                </w14:textFill>
              </w:rPr>
            </w:pPr>
            <w:r>
              <w:rPr>
                <w:color w:val="000000" w:themeColor="text1"/>
                <w14:textFill>
                  <w14:solidFill>
                    <w14:schemeClr w14:val="tx1"/>
                  </w14:solidFill>
                </w14:textFill>
              </w:rPr>
              <w:t>30.2231</w:t>
            </w:r>
          </w:p>
        </w:tc>
      </w:tr>
      <w:tr w14:paraId="6FCC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1427AE42">
            <w:pPr>
              <w:pStyle w:val="29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724" w:type="pct"/>
            <w:vAlign w:val="center"/>
          </w:tcPr>
          <w:p w14:paraId="18D15AD5">
            <w:pPr>
              <w:pStyle w:val="298"/>
              <w:rPr>
                <w:color w:val="000000" w:themeColor="text1"/>
                <w14:textFill>
                  <w14:solidFill>
                    <w14:schemeClr w14:val="tx1"/>
                  </w14:solidFill>
                </w14:textFill>
              </w:rPr>
            </w:pPr>
            <w:r>
              <w:rPr>
                <w:color w:val="000000" w:themeColor="text1"/>
                <w14:textFill>
                  <w14:solidFill>
                    <w14:schemeClr w14:val="tx1"/>
                  </w14:solidFill>
                </w14:textFill>
              </w:rPr>
              <w:t>1.838279</w:t>
            </w:r>
          </w:p>
        </w:tc>
        <w:tc>
          <w:tcPr>
            <w:tcW w:w="1999" w:type="pct"/>
            <w:tcBorders>
              <w:right w:val="nil"/>
            </w:tcBorders>
            <w:vAlign w:val="center"/>
          </w:tcPr>
          <w:p w14:paraId="736A1912">
            <w:pPr>
              <w:pStyle w:val="298"/>
              <w:rPr>
                <w:color w:val="000000" w:themeColor="text1"/>
                <w14:textFill>
                  <w14:solidFill>
                    <w14:schemeClr w14:val="tx1"/>
                  </w14:solidFill>
                </w14:textFill>
              </w:rPr>
            </w:pPr>
            <w:r>
              <w:rPr>
                <w:color w:val="000000" w:themeColor="text1"/>
                <w14:textFill>
                  <w14:solidFill>
                    <w14:schemeClr w14:val="tx1"/>
                  </w14:solidFill>
                </w14:textFill>
              </w:rPr>
              <w:t>21.29444</w:t>
            </w:r>
          </w:p>
        </w:tc>
      </w:tr>
      <w:tr w14:paraId="33FE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0B3C9B9B">
            <w:pPr>
              <w:pStyle w:val="29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724" w:type="pct"/>
            <w:vAlign w:val="center"/>
          </w:tcPr>
          <w:p w14:paraId="3EFE5D74">
            <w:pPr>
              <w:pStyle w:val="298"/>
              <w:rPr>
                <w:color w:val="000000" w:themeColor="text1"/>
                <w14:textFill>
                  <w14:solidFill>
                    <w14:schemeClr w14:val="tx1"/>
                  </w14:solidFill>
                </w14:textFill>
              </w:rPr>
            </w:pPr>
            <w:r>
              <w:rPr>
                <w:color w:val="000000" w:themeColor="text1"/>
                <w14:textFill>
                  <w14:solidFill>
                    <w14:schemeClr w14:val="tx1"/>
                  </w14:solidFill>
                </w14:textFill>
              </w:rPr>
              <w:t>0.1096284</w:t>
            </w:r>
          </w:p>
        </w:tc>
        <w:tc>
          <w:tcPr>
            <w:tcW w:w="1999" w:type="pct"/>
            <w:tcBorders>
              <w:right w:val="nil"/>
            </w:tcBorders>
            <w:vAlign w:val="center"/>
          </w:tcPr>
          <w:p w14:paraId="7EDA89DD">
            <w:pPr>
              <w:pStyle w:val="298"/>
              <w:rPr>
                <w:color w:val="000000" w:themeColor="text1"/>
                <w14:textFill>
                  <w14:solidFill>
                    <w14:schemeClr w14:val="tx1"/>
                  </w14:solidFill>
                </w14:textFill>
              </w:rPr>
            </w:pPr>
            <w:r>
              <w:rPr>
                <w:color w:val="000000" w:themeColor="text1"/>
                <w14:textFill>
                  <w14:solidFill>
                    <w14:schemeClr w14:val="tx1"/>
                  </w14:solidFill>
                </w14:textFill>
              </w:rPr>
              <w:t>13.9176</w:t>
            </w:r>
          </w:p>
        </w:tc>
      </w:tr>
      <w:tr w14:paraId="03E5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7A9993A7">
            <w:pPr>
              <w:pStyle w:val="298"/>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724" w:type="pct"/>
            <w:vAlign w:val="center"/>
          </w:tcPr>
          <w:p w14:paraId="4F5AA5EE">
            <w:pPr>
              <w:pStyle w:val="298"/>
              <w:rPr>
                <w:color w:val="000000" w:themeColor="text1"/>
                <w14:textFill>
                  <w14:solidFill>
                    <w14:schemeClr w14:val="tx1"/>
                  </w14:solidFill>
                </w14:textFill>
              </w:rPr>
            </w:pPr>
            <w:r>
              <w:rPr>
                <w:color w:val="000000" w:themeColor="text1"/>
                <w14:textFill>
                  <w14:solidFill>
                    <w14:schemeClr w14:val="tx1"/>
                  </w14:solidFill>
                </w14:textFill>
              </w:rPr>
              <w:t>0.002586062</w:t>
            </w:r>
          </w:p>
        </w:tc>
        <w:tc>
          <w:tcPr>
            <w:tcW w:w="1999" w:type="pct"/>
            <w:tcBorders>
              <w:right w:val="nil"/>
            </w:tcBorders>
            <w:vAlign w:val="center"/>
          </w:tcPr>
          <w:p w14:paraId="5FF17D99">
            <w:pPr>
              <w:pStyle w:val="298"/>
              <w:rPr>
                <w:color w:val="000000" w:themeColor="text1"/>
                <w14:textFill>
                  <w14:solidFill>
                    <w14:schemeClr w14:val="tx1"/>
                  </w14:solidFill>
                </w14:textFill>
              </w:rPr>
            </w:pPr>
            <w:r>
              <w:rPr>
                <w:color w:val="000000" w:themeColor="text1"/>
                <w14:textFill>
                  <w14:solidFill>
                    <w14:schemeClr w14:val="tx1"/>
                  </w14:solidFill>
                </w14:textFill>
              </w:rPr>
              <w:t>8.401882</w:t>
            </w:r>
          </w:p>
        </w:tc>
      </w:tr>
      <w:tr w14:paraId="2928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5E4997FC">
            <w:pPr>
              <w:pStyle w:val="29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724" w:type="pct"/>
            <w:vAlign w:val="center"/>
          </w:tcPr>
          <w:p w14:paraId="6CC03FD4">
            <w:pPr>
              <w:pStyle w:val="298"/>
              <w:rPr>
                <w:color w:val="000000" w:themeColor="text1"/>
                <w14:textFill>
                  <w14:solidFill>
                    <w14:schemeClr w14:val="tx1"/>
                  </w14:solidFill>
                </w14:textFill>
              </w:rPr>
            </w:pPr>
            <w:r>
              <w:rPr>
                <w:color w:val="000000" w:themeColor="text1"/>
                <w14:textFill>
                  <w14:solidFill>
                    <w14:schemeClr w14:val="tx1"/>
                  </w14:solidFill>
                </w14:textFill>
              </w:rPr>
              <w:t>2.354958E-05</w:t>
            </w:r>
          </w:p>
        </w:tc>
        <w:tc>
          <w:tcPr>
            <w:tcW w:w="1999" w:type="pct"/>
            <w:tcBorders>
              <w:right w:val="nil"/>
            </w:tcBorders>
            <w:vAlign w:val="center"/>
          </w:tcPr>
          <w:p w14:paraId="681EAF49">
            <w:pPr>
              <w:pStyle w:val="298"/>
              <w:rPr>
                <w:color w:val="000000" w:themeColor="text1"/>
                <w14:textFill>
                  <w14:solidFill>
                    <w14:schemeClr w14:val="tx1"/>
                  </w14:solidFill>
                </w14:textFill>
              </w:rPr>
            </w:pPr>
            <w:r>
              <w:rPr>
                <w:color w:val="000000" w:themeColor="text1"/>
                <w14:textFill>
                  <w14:solidFill>
                    <w14:schemeClr w14:val="tx1"/>
                  </w14:solidFill>
                </w14:textFill>
              </w:rPr>
              <w:t>4.66874</w:t>
            </w:r>
          </w:p>
        </w:tc>
      </w:tr>
      <w:tr w14:paraId="60BF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524D10BE">
            <w:pPr>
              <w:pStyle w:val="298"/>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724" w:type="pct"/>
            <w:vAlign w:val="center"/>
          </w:tcPr>
          <w:p w14:paraId="7871C26C">
            <w:pPr>
              <w:pStyle w:val="298"/>
              <w:rPr>
                <w:color w:val="000000" w:themeColor="text1"/>
                <w14:textFill>
                  <w14:solidFill>
                    <w14:schemeClr w14:val="tx1"/>
                  </w14:solidFill>
                </w14:textFill>
              </w:rPr>
            </w:pPr>
            <w:r>
              <w:rPr>
                <w:color w:val="000000" w:themeColor="text1"/>
                <w14:textFill>
                  <w14:solidFill>
                    <w14:schemeClr w14:val="tx1"/>
                  </w14:solidFill>
                </w14:textFill>
              </w:rPr>
              <w:t>8.162108E-08</w:t>
            </w:r>
          </w:p>
        </w:tc>
        <w:tc>
          <w:tcPr>
            <w:tcW w:w="1999" w:type="pct"/>
            <w:tcBorders>
              <w:right w:val="nil"/>
            </w:tcBorders>
            <w:vAlign w:val="center"/>
          </w:tcPr>
          <w:p w14:paraId="51C9F97E">
            <w:pPr>
              <w:pStyle w:val="298"/>
              <w:rPr>
                <w:color w:val="000000" w:themeColor="text1"/>
                <w14:textFill>
                  <w14:solidFill>
                    <w14:schemeClr w14:val="tx1"/>
                  </w14:solidFill>
                </w14:textFill>
              </w:rPr>
            </w:pPr>
            <w:r>
              <w:rPr>
                <w:color w:val="000000" w:themeColor="text1"/>
                <w14:textFill>
                  <w14:solidFill>
                    <w14:schemeClr w14:val="tx1"/>
                  </w14:solidFill>
                </w14:textFill>
              </w:rPr>
              <w:t>2.381346</w:t>
            </w:r>
          </w:p>
        </w:tc>
      </w:tr>
      <w:tr w14:paraId="116F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6C10A68F">
            <w:pPr>
              <w:pStyle w:val="298"/>
              <w:rPr>
                <w:color w:val="000000" w:themeColor="text1"/>
                <w14:textFill>
                  <w14:solidFill>
                    <w14:schemeClr w14:val="tx1"/>
                  </w14:solidFill>
                </w14:textFill>
              </w:rPr>
            </w:pPr>
            <w:r>
              <w:rPr>
                <w:color w:val="000000" w:themeColor="text1"/>
                <w14:textFill>
                  <w14:solidFill>
                    <w14:schemeClr w14:val="tx1"/>
                  </w14:solidFill>
                </w14:textFill>
              </w:rPr>
              <w:t>140</w:t>
            </w:r>
          </w:p>
        </w:tc>
        <w:tc>
          <w:tcPr>
            <w:tcW w:w="1724" w:type="pct"/>
            <w:vAlign w:val="center"/>
          </w:tcPr>
          <w:p w14:paraId="2EAFDC68">
            <w:pPr>
              <w:pStyle w:val="298"/>
              <w:rPr>
                <w:color w:val="000000" w:themeColor="text1"/>
                <w14:textFill>
                  <w14:solidFill>
                    <w14:schemeClr w14:val="tx1"/>
                  </w14:solidFill>
                </w14:textFill>
              </w:rPr>
            </w:pPr>
            <w:r>
              <w:rPr>
                <w:color w:val="000000" w:themeColor="text1"/>
                <w14:textFill>
                  <w14:solidFill>
                    <w14:schemeClr w14:val="tx1"/>
                  </w14:solidFill>
                </w14:textFill>
              </w:rPr>
              <w:t>1.06718E-10</w:t>
            </w:r>
          </w:p>
        </w:tc>
        <w:tc>
          <w:tcPr>
            <w:tcW w:w="1999" w:type="pct"/>
            <w:tcBorders>
              <w:right w:val="nil"/>
            </w:tcBorders>
            <w:vAlign w:val="center"/>
          </w:tcPr>
          <w:p w14:paraId="02E33849">
            <w:pPr>
              <w:pStyle w:val="298"/>
              <w:rPr>
                <w:color w:val="000000" w:themeColor="text1"/>
                <w14:textFill>
                  <w14:solidFill>
                    <w14:schemeClr w14:val="tx1"/>
                  </w14:solidFill>
                </w14:textFill>
              </w:rPr>
            </w:pPr>
            <w:r>
              <w:rPr>
                <w:color w:val="000000" w:themeColor="text1"/>
                <w14:textFill>
                  <w14:solidFill>
                    <w14:schemeClr w14:val="tx1"/>
                  </w14:solidFill>
                </w14:textFill>
              </w:rPr>
              <w:t>1.112421</w:t>
            </w:r>
          </w:p>
        </w:tc>
      </w:tr>
      <w:tr w14:paraId="743D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4C606425">
            <w:pPr>
              <w:pStyle w:val="298"/>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1724" w:type="pct"/>
            <w:vAlign w:val="center"/>
          </w:tcPr>
          <w:p w14:paraId="4501D7D7">
            <w:pPr>
              <w:pStyle w:val="298"/>
              <w:rPr>
                <w:color w:val="000000" w:themeColor="text1"/>
                <w14:textFill>
                  <w14:solidFill>
                    <w14:schemeClr w14:val="tx1"/>
                  </w14:solidFill>
                </w14:textFill>
              </w:rPr>
            </w:pPr>
            <w:r>
              <w:rPr>
                <w:color w:val="000000" w:themeColor="text1"/>
                <w14:textFill>
                  <w14:solidFill>
                    <w14:schemeClr w14:val="tx1"/>
                  </w14:solidFill>
                </w14:textFill>
              </w:rPr>
              <w:t>5.310454E-14</w:t>
            </w:r>
          </w:p>
        </w:tc>
        <w:tc>
          <w:tcPr>
            <w:tcW w:w="1999" w:type="pct"/>
            <w:tcBorders>
              <w:right w:val="nil"/>
            </w:tcBorders>
            <w:vAlign w:val="center"/>
          </w:tcPr>
          <w:p w14:paraId="69BD41E9">
            <w:pPr>
              <w:pStyle w:val="298"/>
              <w:rPr>
                <w:color w:val="000000" w:themeColor="text1"/>
                <w14:textFill>
                  <w14:solidFill>
                    <w14:schemeClr w14:val="tx1"/>
                  </w14:solidFill>
                </w14:textFill>
              </w:rPr>
            </w:pPr>
            <w:r>
              <w:rPr>
                <w:color w:val="000000" w:themeColor="text1"/>
                <w14:textFill>
                  <w14:solidFill>
                    <w14:schemeClr w14:val="tx1"/>
                  </w14:solidFill>
                </w14:textFill>
              </w:rPr>
              <w:t>0.4750645</w:t>
            </w:r>
          </w:p>
        </w:tc>
      </w:tr>
      <w:tr w14:paraId="57E2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49D5EF26">
            <w:pPr>
              <w:pStyle w:val="298"/>
              <w:rPr>
                <w:color w:val="000000" w:themeColor="text1"/>
                <w14:textFill>
                  <w14:solidFill>
                    <w14:schemeClr w14:val="tx1"/>
                  </w14:solidFill>
                </w14:textFill>
              </w:rPr>
            </w:pPr>
            <w:r>
              <w:rPr>
                <w:color w:val="000000" w:themeColor="text1"/>
                <w14:textFill>
                  <w14:solidFill>
                    <w14:schemeClr w14:val="tx1"/>
                  </w14:solidFill>
                </w14:textFill>
              </w:rPr>
              <w:t>180</w:t>
            </w:r>
          </w:p>
        </w:tc>
        <w:tc>
          <w:tcPr>
            <w:tcW w:w="1724" w:type="pct"/>
            <w:vAlign w:val="center"/>
          </w:tcPr>
          <w:p w14:paraId="0E543990">
            <w:pPr>
              <w:pStyle w:val="29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999" w:type="pct"/>
            <w:tcBorders>
              <w:right w:val="nil"/>
            </w:tcBorders>
            <w:vAlign w:val="center"/>
          </w:tcPr>
          <w:p w14:paraId="61758D61">
            <w:pPr>
              <w:pStyle w:val="298"/>
              <w:rPr>
                <w:color w:val="000000" w:themeColor="text1"/>
                <w14:textFill>
                  <w14:solidFill>
                    <w14:schemeClr w14:val="tx1"/>
                  </w14:solidFill>
                </w14:textFill>
              </w:rPr>
            </w:pPr>
            <w:r>
              <w:rPr>
                <w:color w:val="000000" w:themeColor="text1"/>
                <w14:textFill>
                  <w14:solidFill>
                    <w14:schemeClr w14:val="tx1"/>
                  </w14:solidFill>
                </w14:textFill>
              </w:rPr>
              <w:t>0.1851967</w:t>
            </w:r>
          </w:p>
        </w:tc>
      </w:tr>
      <w:tr w14:paraId="2DC5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7DDB7AE1">
            <w:pPr>
              <w:pStyle w:val="29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724" w:type="pct"/>
            <w:vAlign w:val="center"/>
          </w:tcPr>
          <w:p w14:paraId="1C3E3EDE">
            <w:pPr>
              <w:pStyle w:val="298"/>
              <w:rPr>
                <w:color w:val="000000" w:themeColor="text1"/>
                <w14:textFill>
                  <w14:solidFill>
                    <w14:schemeClr w14:val="tx1"/>
                  </w14:solidFill>
                </w14:textFill>
              </w:rPr>
            </w:pPr>
          </w:p>
        </w:tc>
        <w:tc>
          <w:tcPr>
            <w:tcW w:w="1999" w:type="pct"/>
            <w:tcBorders>
              <w:right w:val="nil"/>
            </w:tcBorders>
            <w:vAlign w:val="center"/>
          </w:tcPr>
          <w:p w14:paraId="61A8A831">
            <w:pPr>
              <w:pStyle w:val="298"/>
              <w:rPr>
                <w:color w:val="000000" w:themeColor="text1"/>
                <w14:textFill>
                  <w14:solidFill>
                    <w14:schemeClr w14:val="tx1"/>
                  </w14:solidFill>
                </w14:textFill>
              </w:rPr>
            </w:pPr>
            <w:r>
              <w:rPr>
                <w:color w:val="000000" w:themeColor="text1"/>
                <w14:textFill>
                  <w14:solidFill>
                    <w14:schemeClr w14:val="tx1"/>
                  </w14:solidFill>
                </w14:textFill>
              </w:rPr>
              <w:t>0.06582496</w:t>
            </w:r>
          </w:p>
        </w:tc>
      </w:tr>
      <w:tr w14:paraId="59EA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7E1E7704">
            <w:pPr>
              <w:pStyle w:val="298"/>
              <w:rPr>
                <w:color w:val="000000" w:themeColor="text1"/>
                <w14:textFill>
                  <w14:solidFill>
                    <w14:schemeClr w14:val="tx1"/>
                  </w14:solidFill>
                </w14:textFill>
              </w:rPr>
            </w:pPr>
            <w:r>
              <w:rPr>
                <w:color w:val="000000" w:themeColor="text1"/>
                <w14:textFill>
                  <w14:solidFill>
                    <w14:schemeClr w14:val="tx1"/>
                  </w14:solidFill>
                </w14:textFill>
              </w:rPr>
              <w:t>220</w:t>
            </w:r>
          </w:p>
        </w:tc>
        <w:tc>
          <w:tcPr>
            <w:tcW w:w="1724" w:type="pct"/>
            <w:vAlign w:val="center"/>
          </w:tcPr>
          <w:p w14:paraId="13A870E2">
            <w:pPr>
              <w:pStyle w:val="298"/>
              <w:rPr>
                <w:color w:val="000000" w:themeColor="text1"/>
                <w14:textFill>
                  <w14:solidFill>
                    <w14:schemeClr w14:val="tx1"/>
                  </w14:solidFill>
                </w14:textFill>
              </w:rPr>
            </w:pPr>
          </w:p>
        </w:tc>
        <w:tc>
          <w:tcPr>
            <w:tcW w:w="1999" w:type="pct"/>
            <w:tcBorders>
              <w:right w:val="nil"/>
            </w:tcBorders>
            <w:vAlign w:val="center"/>
          </w:tcPr>
          <w:p w14:paraId="36BD9B84">
            <w:pPr>
              <w:pStyle w:val="298"/>
              <w:rPr>
                <w:color w:val="000000" w:themeColor="text1"/>
                <w14:textFill>
                  <w14:solidFill>
                    <w14:schemeClr w14:val="tx1"/>
                  </w14:solidFill>
                </w14:textFill>
              </w:rPr>
            </w:pPr>
            <w:r>
              <w:rPr>
                <w:color w:val="000000" w:themeColor="text1"/>
                <w14:textFill>
                  <w14:solidFill>
                    <w14:schemeClr w14:val="tx1"/>
                  </w14:solidFill>
                </w14:textFill>
              </w:rPr>
              <w:t>0.02131062</w:t>
            </w:r>
          </w:p>
        </w:tc>
      </w:tr>
      <w:tr w14:paraId="420B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2C4E53A6">
            <w:pPr>
              <w:pStyle w:val="298"/>
              <w:rPr>
                <w:color w:val="000000" w:themeColor="text1"/>
                <w14:textFill>
                  <w14:solidFill>
                    <w14:schemeClr w14:val="tx1"/>
                  </w14:solidFill>
                </w14:textFill>
              </w:rPr>
            </w:pPr>
            <w:r>
              <w:rPr>
                <w:color w:val="000000" w:themeColor="text1"/>
                <w14:textFill>
                  <w14:solidFill>
                    <w14:schemeClr w14:val="tx1"/>
                  </w14:solidFill>
                </w14:textFill>
              </w:rPr>
              <w:t>240</w:t>
            </w:r>
          </w:p>
        </w:tc>
        <w:tc>
          <w:tcPr>
            <w:tcW w:w="1724" w:type="pct"/>
            <w:vAlign w:val="center"/>
          </w:tcPr>
          <w:p w14:paraId="7151649C">
            <w:pPr>
              <w:pStyle w:val="298"/>
              <w:rPr>
                <w:color w:val="000000" w:themeColor="text1"/>
                <w14:textFill>
                  <w14:solidFill>
                    <w14:schemeClr w14:val="tx1"/>
                  </w14:solidFill>
                </w14:textFill>
              </w:rPr>
            </w:pPr>
          </w:p>
        </w:tc>
        <w:tc>
          <w:tcPr>
            <w:tcW w:w="1999" w:type="pct"/>
            <w:tcBorders>
              <w:right w:val="nil"/>
            </w:tcBorders>
            <w:vAlign w:val="center"/>
          </w:tcPr>
          <w:p w14:paraId="6B9945C1">
            <w:pPr>
              <w:pStyle w:val="298"/>
              <w:rPr>
                <w:color w:val="000000" w:themeColor="text1"/>
                <w14:textFill>
                  <w14:solidFill>
                    <w14:schemeClr w14:val="tx1"/>
                  </w14:solidFill>
                </w14:textFill>
              </w:rPr>
            </w:pPr>
            <w:r>
              <w:rPr>
                <w:color w:val="000000" w:themeColor="text1"/>
                <w14:textFill>
                  <w14:solidFill>
                    <w14:schemeClr w14:val="tx1"/>
                  </w14:solidFill>
                </w14:textFill>
              </w:rPr>
              <w:t>0.006279072</w:t>
            </w:r>
          </w:p>
        </w:tc>
      </w:tr>
      <w:tr w14:paraId="1E68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22361B87">
            <w:pPr>
              <w:pStyle w:val="298"/>
              <w:rPr>
                <w:color w:val="000000" w:themeColor="text1"/>
                <w14:textFill>
                  <w14:solidFill>
                    <w14:schemeClr w14:val="tx1"/>
                  </w14:solidFill>
                </w14:textFill>
              </w:rPr>
            </w:pPr>
            <w:r>
              <w:rPr>
                <w:color w:val="000000" w:themeColor="text1"/>
                <w14:textFill>
                  <w14:solidFill>
                    <w14:schemeClr w14:val="tx1"/>
                  </w14:solidFill>
                </w14:textFill>
              </w:rPr>
              <w:t>260</w:t>
            </w:r>
          </w:p>
        </w:tc>
        <w:tc>
          <w:tcPr>
            <w:tcW w:w="1724" w:type="pct"/>
            <w:vAlign w:val="center"/>
          </w:tcPr>
          <w:p w14:paraId="70CD1C1E">
            <w:pPr>
              <w:pStyle w:val="298"/>
              <w:rPr>
                <w:color w:val="000000" w:themeColor="text1"/>
                <w14:textFill>
                  <w14:solidFill>
                    <w14:schemeClr w14:val="tx1"/>
                  </w14:solidFill>
                </w14:textFill>
              </w:rPr>
            </w:pPr>
          </w:p>
        </w:tc>
        <w:tc>
          <w:tcPr>
            <w:tcW w:w="1999" w:type="pct"/>
            <w:tcBorders>
              <w:right w:val="nil"/>
            </w:tcBorders>
            <w:vAlign w:val="center"/>
          </w:tcPr>
          <w:p w14:paraId="736702E2">
            <w:pPr>
              <w:pStyle w:val="298"/>
              <w:rPr>
                <w:color w:val="000000" w:themeColor="text1"/>
                <w14:textFill>
                  <w14:solidFill>
                    <w14:schemeClr w14:val="tx1"/>
                  </w14:solidFill>
                </w14:textFill>
              </w:rPr>
            </w:pPr>
            <w:r>
              <w:rPr>
                <w:color w:val="000000" w:themeColor="text1"/>
                <w14:textFill>
                  <w14:solidFill>
                    <w14:schemeClr w14:val="tx1"/>
                  </w14:solidFill>
                </w14:textFill>
              </w:rPr>
              <w:t>0.001682647</w:t>
            </w:r>
          </w:p>
        </w:tc>
      </w:tr>
      <w:tr w14:paraId="011E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00F2FD79">
            <w:pPr>
              <w:pStyle w:val="298"/>
              <w:rPr>
                <w:color w:val="000000" w:themeColor="text1"/>
                <w14:textFill>
                  <w14:solidFill>
                    <w14:schemeClr w14:val="tx1"/>
                  </w14:solidFill>
                </w14:textFill>
              </w:rPr>
            </w:pPr>
            <w:r>
              <w:rPr>
                <w:color w:val="000000" w:themeColor="text1"/>
                <w14:textFill>
                  <w14:solidFill>
                    <w14:schemeClr w14:val="tx1"/>
                  </w14:solidFill>
                </w14:textFill>
              </w:rPr>
              <w:t>280</w:t>
            </w:r>
          </w:p>
        </w:tc>
        <w:tc>
          <w:tcPr>
            <w:tcW w:w="1724" w:type="pct"/>
            <w:vAlign w:val="center"/>
          </w:tcPr>
          <w:p w14:paraId="715C1913">
            <w:pPr>
              <w:pStyle w:val="298"/>
              <w:rPr>
                <w:color w:val="000000" w:themeColor="text1"/>
                <w14:textFill>
                  <w14:solidFill>
                    <w14:schemeClr w14:val="tx1"/>
                  </w14:solidFill>
                </w14:textFill>
              </w:rPr>
            </w:pPr>
          </w:p>
        </w:tc>
        <w:tc>
          <w:tcPr>
            <w:tcW w:w="1999" w:type="pct"/>
            <w:tcBorders>
              <w:right w:val="nil"/>
            </w:tcBorders>
            <w:vAlign w:val="center"/>
          </w:tcPr>
          <w:p w14:paraId="1E3A4BA4">
            <w:pPr>
              <w:pStyle w:val="298"/>
              <w:rPr>
                <w:color w:val="000000" w:themeColor="text1"/>
                <w14:textFill>
                  <w14:solidFill>
                    <w14:schemeClr w14:val="tx1"/>
                  </w14:solidFill>
                </w14:textFill>
              </w:rPr>
            </w:pPr>
            <w:r>
              <w:rPr>
                <w:color w:val="000000" w:themeColor="text1"/>
                <w14:textFill>
                  <w14:solidFill>
                    <w14:schemeClr w14:val="tx1"/>
                  </w14:solidFill>
                </w14:textFill>
              </w:rPr>
              <w:t>0.0004098642</w:t>
            </w:r>
          </w:p>
        </w:tc>
      </w:tr>
      <w:tr w14:paraId="4BB8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08C95B5A">
            <w:pPr>
              <w:pStyle w:val="298"/>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724" w:type="pct"/>
            <w:vAlign w:val="center"/>
          </w:tcPr>
          <w:p w14:paraId="3E46FC14">
            <w:pPr>
              <w:pStyle w:val="298"/>
              <w:rPr>
                <w:color w:val="000000" w:themeColor="text1"/>
                <w14:textFill>
                  <w14:solidFill>
                    <w14:schemeClr w14:val="tx1"/>
                  </w14:solidFill>
                </w14:textFill>
              </w:rPr>
            </w:pPr>
          </w:p>
        </w:tc>
        <w:tc>
          <w:tcPr>
            <w:tcW w:w="1999" w:type="pct"/>
            <w:tcBorders>
              <w:right w:val="nil"/>
            </w:tcBorders>
            <w:vAlign w:val="center"/>
          </w:tcPr>
          <w:p w14:paraId="240BD071">
            <w:pPr>
              <w:pStyle w:val="298"/>
              <w:rPr>
                <w:color w:val="000000" w:themeColor="text1"/>
                <w14:textFill>
                  <w14:solidFill>
                    <w14:schemeClr w14:val="tx1"/>
                  </w14:solidFill>
                </w14:textFill>
              </w:rPr>
            </w:pPr>
            <w:r>
              <w:rPr>
                <w:color w:val="000000" w:themeColor="text1"/>
                <w14:textFill>
                  <w14:solidFill>
                    <w14:schemeClr w14:val="tx1"/>
                  </w14:solidFill>
                </w14:textFill>
              </w:rPr>
              <w:t>0.0004098642</w:t>
            </w:r>
          </w:p>
        </w:tc>
      </w:tr>
      <w:tr w14:paraId="0422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3B1D1EA2">
            <w:pPr>
              <w:pStyle w:val="298"/>
              <w:rPr>
                <w:color w:val="000000" w:themeColor="text1"/>
                <w14:textFill>
                  <w14:solidFill>
                    <w14:schemeClr w14:val="tx1"/>
                  </w14:solidFill>
                </w14:textFill>
              </w:rPr>
            </w:pPr>
            <w:r>
              <w:rPr>
                <w:color w:val="000000" w:themeColor="text1"/>
                <w14:textFill>
                  <w14:solidFill>
                    <w14:schemeClr w14:val="tx1"/>
                  </w14:solidFill>
                </w14:textFill>
              </w:rPr>
              <w:t>320</w:t>
            </w:r>
          </w:p>
        </w:tc>
        <w:tc>
          <w:tcPr>
            <w:tcW w:w="1724" w:type="pct"/>
            <w:vAlign w:val="center"/>
          </w:tcPr>
          <w:p w14:paraId="13EE7575">
            <w:pPr>
              <w:pStyle w:val="298"/>
              <w:rPr>
                <w:color w:val="000000" w:themeColor="text1"/>
                <w14:textFill>
                  <w14:solidFill>
                    <w14:schemeClr w14:val="tx1"/>
                  </w14:solidFill>
                </w14:textFill>
              </w:rPr>
            </w:pPr>
          </w:p>
        </w:tc>
        <w:tc>
          <w:tcPr>
            <w:tcW w:w="1999" w:type="pct"/>
            <w:tcBorders>
              <w:right w:val="nil"/>
            </w:tcBorders>
            <w:vAlign w:val="center"/>
          </w:tcPr>
          <w:p w14:paraId="3E26679C">
            <w:pPr>
              <w:pStyle w:val="298"/>
              <w:rPr>
                <w:color w:val="000000" w:themeColor="text1"/>
                <w14:textFill>
                  <w14:solidFill>
                    <w14:schemeClr w14:val="tx1"/>
                  </w14:solidFill>
                </w14:textFill>
              </w:rPr>
            </w:pPr>
            <w:r>
              <w:rPr>
                <w:color w:val="000000" w:themeColor="text1"/>
                <w14:textFill>
                  <w14:solidFill>
                    <w14:schemeClr w14:val="tx1"/>
                  </w14:solidFill>
                </w14:textFill>
              </w:rPr>
              <w:t>9.070383E-05</w:t>
            </w:r>
          </w:p>
        </w:tc>
      </w:tr>
      <w:tr w14:paraId="7030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2192BF78">
            <w:pPr>
              <w:pStyle w:val="298"/>
              <w:rPr>
                <w:color w:val="000000" w:themeColor="text1"/>
                <w14:textFill>
                  <w14:solidFill>
                    <w14:schemeClr w14:val="tx1"/>
                  </w14:solidFill>
                </w14:textFill>
              </w:rPr>
            </w:pPr>
            <w:r>
              <w:rPr>
                <w:color w:val="000000" w:themeColor="text1"/>
                <w14:textFill>
                  <w14:solidFill>
                    <w14:schemeClr w14:val="tx1"/>
                  </w14:solidFill>
                </w14:textFill>
              </w:rPr>
              <w:t>340</w:t>
            </w:r>
          </w:p>
        </w:tc>
        <w:tc>
          <w:tcPr>
            <w:tcW w:w="1724" w:type="pct"/>
            <w:vAlign w:val="center"/>
          </w:tcPr>
          <w:p w14:paraId="01C83A3A">
            <w:pPr>
              <w:pStyle w:val="298"/>
              <w:rPr>
                <w:color w:val="000000" w:themeColor="text1"/>
                <w14:textFill>
                  <w14:solidFill>
                    <w14:schemeClr w14:val="tx1"/>
                  </w14:solidFill>
                </w14:textFill>
              </w:rPr>
            </w:pPr>
          </w:p>
        </w:tc>
        <w:tc>
          <w:tcPr>
            <w:tcW w:w="1999" w:type="pct"/>
            <w:tcBorders>
              <w:right w:val="nil"/>
            </w:tcBorders>
            <w:vAlign w:val="center"/>
          </w:tcPr>
          <w:p w14:paraId="0C5CDC1A">
            <w:pPr>
              <w:pStyle w:val="298"/>
              <w:rPr>
                <w:color w:val="000000" w:themeColor="text1"/>
                <w14:textFill>
                  <w14:solidFill>
                    <w14:schemeClr w14:val="tx1"/>
                  </w14:solidFill>
                </w14:textFill>
              </w:rPr>
            </w:pPr>
            <w:r>
              <w:rPr>
                <w:color w:val="000000" w:themeColor="text1"/>
                <w14:textFill>
                  <w14:solidFill>
                    <w14:schemeClr w14:val="tx1"/>
                  </w14:solidFill>
                </w14:textFill>
              </w:rPr>
              <w:t>1.82293E-05</w:t>
            </w:r>
          </w:p>
        </w:tc>
      </w:tr>
      <w:tr w14:paraId="3318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3CC311BC">
            <w:pPr>
              <w:pStyle w:val="298"/>
              <w:rPr>
                <w:color w:val="000000" w:themeColor="text1"/>
                <w14:textFill>
                  <w14:solidFill>
                    <w14:schemeClr w14:val="tx1"/>
                  </w14:solidFill>
                </w14:textFill>
              </w:rPr>
            </w:pPr>
            <w:r>
              <w:rPr>
                <w:color w:val="000000" w:themeColor="text1"/>
                <w14:textFill>
                  <w14:solidFill>
                    <w14:schemeClr w14:val="tx1"/>
                  </w14:solidFill>
                </w14:textFill>
              </w:rPr>
              <w:t>360</w:t>
            </w:r>
          </w:p>
        </w:tc>
        <w:tc>
          <w:tcPr>
            <w:tcW w:w="1724" w:type="pct"/>
            <w:vAlign w:val="center"/>
          </w:tcPr>
          <w:p w14:paraId="05BDB08C">
            <w:pPr>
              <w:pStyle w:val="298"/>
              <w:rPr>
                <w:color w:val="000000" w:themeColor="text1"/>
                <w14:textFill>
                  <w14:solidFill>
                    <w14:schemeClr w14:val="tx1"/>
                  </w14:solidFill>
                </w14:textFill>
              </w:rPr>
            </w:pPr>
          </w:p>
        </w:tc>
        <w:tc>
          <w:tcPr>
            <w:tcW w:w="1999" w:type="pct"/>
            <w:tcBorders>
              <w:right w:val="nil"/>
            </w:tcBorders>
            <w:vAlign w:val="center"/>
          </w:tcPr>
          <w:p w14:paraId="7C14DAA5">
            <w:pPr>
              <w:pStyle w:val="298"/>
              <w:rPr>
                <w:color w:val="000000" w:themeColor="text1"/>
                <w14:textFill>
                  <w14:solidFill>
                    <w14:schemeClr w14:val="tx1"/>
                  </w14:solidFill>
                </w14:textFill>
              </w:rPr>
            </w:pPr>
            <w:r>
              <w:rPr>
                <w:color w:val="000000" w:themeColor="text1"/>
                <w14:textFill>
                  <w14:solidFill>
                    <w14:schemeClr w14:val="tx1"/>
                  </w14:solidFill>
                </w14:textFill>
              </w:rPr>
              <w:t>3.325967E-06</w:t>
            </w:r>
          </w:p>
        </w:tc>
      </w:tr>
      <w:tr w14:paraId="1D59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15D2CD11">
            <w:pPr>
              <w:pStyle w:val="298"/>
              <w:rPr>
                <w:color w:val="000000" w:themeColor="text1"/>
                <w14:textFill>
                  <w14:solidFill>
                    <w14:schemeClr w14:val="tx1"/>
                  </w14:solidFill>
                </w14:textFill>
              </w:rPr>
            </w:pPr>
            <w:r>
              <w:rPr>
                <w:color w:val="000000" w:themeColor="text1"/>
                <w14:textFill>
                  <w14:solidFill>
                    <w14:schemeClr w14:val="tx1"/>
                  </w14:solidFill>
                </w14:textFill>
              </w:rPr>
              <w:t>380</w:t>
            </w:r>
          </w:p>
        </w:tc>
        <w:tc>
          <w:tcPr>
            <w:tcW w:w="1724" w:type="pct"/>
            <w:vAlign w:val="center"/>
          </w:tcPr>
          <w:p w14:paraId="3785811F">
            <w:pPr>
              <w:pStyle w:val="298"/>
              <w:rPr>
                <w:color w:val="000000" w:themeColor="text1"/>
                <w14:textFill>
                  <w14:solidFill>
                    <w14:schemeClr w14:val="tx1"/>
                  </w14:solidFill>
                </w14:textFill>
              </w:rPr>
            </w:pPr>
          </w:p>
        </w:tc>
        <w:tc>
          <w:tcPr>
            <w:tcW w:w="1999" w:type="pct"/>
            <w:tcBorders>
              <w:right w:val="nil"/>
            </w:tcBorders>
            <w:vAlign w:val="center"/>
          </w:tcPr>
          <w:p w14:paraId="12FBFD43">
            <w:pPr>
              <w:pStyle w:val="298"/>
              <w:rPr>
                <w:color w:val="000000" w:themeColor="text1"/>
                <w14:textFill>
                  <w14:solidFill>
                    <w14:schemeClr w14:val="tx1"/>
                  </w14:solidFill>
                </w14:textFill>
              </w:rPr>
            </w:pPr>
            <w:r>
              <w:rPr>
                <w:color w:val="000000" w:themeColor="text1"/>
                <w14:textFill>
                  <w14:solidFill>
                    <w14:schemeClr w14:val="tx1"/>
                  </w14:solidFill>
                </w14:textFill>
              </w:rPr>
              <w:t>0</w:t>
            </w:r>
          </w:p>
        </w:tc>
      </w:tr>
      <w:tr w14:paraId="77BE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tcPr>
          <w:p w14:paraId="2781C2D1">
            <w:pPr>
              <w:pStyle w:val="298"/>
              <w:rPr>
                <w:color w:val="000000" w:themeColor="text1"/>
                <w14:textFill>
                  <w14:solidFill>
                    <w14:schemeClr w14:val="tx1"/>
                  </w14:solidFill>
                </w14:textFill>
              </w:rPr>
            </w:pPr>
            <w:r>
              <w:rPr>
                <w:color w:val="000000" w:themeColor="text1"/>
                <w14:textFill>
                  <w14:solidFill>
                    <w14:schemeClr w14:val="tx1"/>
                  </w14:solidFill>
                </w14:textFill>
              </w:rPr>
              <w:t>超标范围限值（</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类标准）</w:t>
            </w:r>
          </w:p>
        </w:tc>
        <w:tc>
          <w:tcPr>
            <w:tcW w:w="3723" w:type="pct"/>
            <w:gridSpan w:val="2"/>
            <w:vAlign w:val="center"/>
          </w:tcPr>
          <w:p w14:paraId="7D6C2C0E">
            <w:pPr>
              <w:pStyle w:val="298"/>
              <w:rPr>
                <w:color w:val="000000" w:themeColor="text1"/>
                <w14:textFill>
                  <w14:solidFill>
                    <w14:schemeClr w14:val="tx1"/>
                  </w14:solidFill>
                </w14:textFill>
              </w:rPr>
            </w:pPr>
            <w:r>
              <w:rPr>
                <w:color w:val="000000" w:themeColor="text1"/>
                <w14:textFill>
                  <w14:solidFill>
                    <w14:schemeClr w14:val="tx1"/>
                  </w14:solidFill>
                </w14:textFill>
              </w:rPr>
              <w:t>0.5</w:t>
            </w:r>
          </w:p>
        </w:tc>
      </w:tr>
      <w:tr w14:paraId="550D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bottom w:val="thinThickSmallGap" w:color="auto" w:sz="12" w:space="0"/>
            </w:tcBorders>
          </w:tcPr>
          <w:p w14:paraId="324021C0">
            <w:pPr>
              <w:pStyle w:val="298"/>
              <w:rPr>
                <w:color w:val="000000" w:themeColor="text1"/>
                <w14:textFill>
                  <w14:solidFill>
                    <w14:schemeClr w14:val="tx1"/>
                  </w14:solidFill>
                </w14:textFill>
              </w:rPr>
            </w:pPr>
            <w:r>
              <w:rPr>
                <w:color w:val="000000" w:themeColor="text1"/>
                <w14:textFill>
                  <w14:solidFill>
                    <w14:schemeClr w14:val="tx1"/>
                  </w14:solidFill>
                </w14:textFill>
              </w:rPr>
              <w:t>影响范围限值（</w:t>
            </w:r>
            <w:r>
              <w:rPr>
                <w:rFonts w:hint="eastAsia" w:ascii="宋体" w:hAnsi="宋体" w:cs="宋体"/>
                <w:color w:val="000000" w:themeColor="text1"/>
                <w14:textFill>
                  <w14:solidFill>
                    <w14:schemeClr w14:val="tx1"/>
                  </w14:solidFill>
                </w14:textFill>
              </w:rPr>
              <w:t>Ⅰ</w:t>
            </w:r>
            <w:r>
              <w:rPr>
                <w:color w:val="000000" w:themeColor="text1"/>
                <w14:textFill>
                  <w14:solidFill>
                    <w14:schemeClr w14:val="tx1"/>
                  </w14:solidFill>
                </w14:textFill>
              </w:rPr>
              <w:t>标准）</w:t>
            </w:r>
          </w:p>
        </w:tc>
        <w:tc>
          <w:tcPr>
            <w:tcW w:w="3723" w:type="pct"/>
            <w:gridSpan w:val="2"/>
            <w:tcBorders>
              <w:bottom w:val="thinThickSmallGap" w:color="auto" w:sz="12" w:space="0"/>
            </w:tcBorders>
            <w:vAlign w:val="center"/>
          </w:tcPr>
          <w:p w14:paraId="45B6CDD7">
            <w:pPr>
              <w:pStyle w:val="298"/>
              <w:rPr>
                <w:color w:val="000000" w:themeColor="text1"/>
                <w:szCs w:val="21"/>
                <w14:textFill>
                  <w14:solidFill>
                    <w14:schemeClr w14:val="tx1"/>
                  </w14:solidFill>
                </w14:textFill>
              </w:rPr>
            </w:pPr>
            <w:r>
              <w:rPr>
                <w:color w:val="000000" w:themeColor="text1"/>
                <w:szCs w:val="21"/>
                <w14:textFill>
                  <w14:solidFill>
                    <w14:schemeClr w14:val="tx1"/>
                  </w14:solidFill>
                </w14:textFill>
              </w:rPr>
              <w:t>0.02</w:t>
            </w:r>
          </w:p>
        </w:tc>
      </w:tr>
    </w:tbl>
    <w:p w14:paraId="778CAB3E">
      <w:pPr>
        <w:rPr>
          <w:color w:val="000000" w:themeColor="text1"/>
          <w14:textFill>
            <w14:solidFill>
              <w14:schemeClr w14:val="tx1"/>
            </w14:solidFill>
          </w14:textFill>
        </w:rPr>
      </w:pPr>
    </w:p>
    <w:p w14:paraId="34589B88">
      <w:pPr>
        <w:pStyle w:val="296"/>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576830" cy="15443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cstate="print"/>
                    <a:stretch>
                      <a:fillRect/>
                    </a:stretch>
                  </pic:blipFill>
                  <pic:spPr>
                    <a:xfrm>
                      <a:off x="0" y="0"/>
                      <a:ext cx="2567560" cy="1539086"/>
                    </a:xfrm>
                    <a:prstGeom prst="rect">
                      <a:avLst/>
                    </a:prstGeom>
                  </pic:spPr>
                </pic:pic>
              </a:graphicData>
            </a:graphic>
          </wp:inline>
        </w:drawing>
      </w:r>
      <w:r>
        <w:rPr>
          <w:rFonts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drawing>
          <wp:inline distT="0" distB="0" distL="0" distR="0">
            <wp:extent cx="2618105" cy="1587500"/>
            <wp:effectExtent l="0" t="0" r="0" b="0"/>
            <wp:docPr id="7617" name="图片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 name="图片 7617"/>
                    <pic:cNvPicPr>
                      <a:picLocks noChangeAspect="1"/>
                    </pic:cNvPicPr>
                  </pic:nvPicPr>
                  <pic:blipFill>
                    <a:blip r:embed="rId29" cstate="print"/>
                    <a:stretch>
                      <a:fillRect/>
                    </a:stretch>
                  </pic:blipFill>
                  <pic:spPr>
                    <a:xfrm>
                      <a:off x="0" y="0"/>
                      <a:ext cx="2617205" cy="1587303"/>
                    </a:xfrm>
                    <a:prstGeom prst="rect">
                      <a:avLst/>
                    </a:prstGeom>
                  </pic:spPr>
                </pic:pic>
              </a:graphicData>
            </a:graphic>
          </wp:inline>
        </w:drawing>
      </w:r>
    </w:p>
    <w:p w14:paraId="0DE37D4D">
      <w:pPr>
        <w:pStyle w:val="296"/>
        <w:ind w:firstLine="196" w:firstLineChars="82"/>
        <w:rPr>
          <w:rFonts w:cs="Times New Roman"/>
          <w:b/>
          <w:color w:val="000000" w:themeColor="text1"/>
          <w:sz w:val="18"/>
          <w:szCs w:val="18"/>
          <w14:textFill>
            <w14:solidFill>
              <w14:schemeClr w14:val="tx1"/>
            </w14:solidFill>
          </w14:textFill>
        </w:rPr>
      </w:pPr>
      <w:r>
        <w:rPr>
          <w:rFonts w:cs="Times New Roman"/>
          <w:b/>
          <w:color w:val="000000" w:themeColor="text1"/>
          <w14:textFill>
            <w14:solidFill>
              <w14:schemeClr w14:val="tx1"/>
            </w14:solidFill>
          </w14:textFill>
        </w:rPr>
        <w:t>100d后项目区下游氨氮浓度变化</w:t>
      </w:r>
      <w:r>
        <w:rPr>
          <w:rFonts w:cs="Times New Roman"/>
          <w:b/>
          <w:color w:val="000000" w:themeColor="text1"/>
          <w:sz w:val="18"/>
          <w:szCs w:val="18"/>
          <w14:textFill>
            <w14:solidFill>
              <w14:schemeClr w14:val="tx1"/>
            </w14:solidFill>
          </w14:textFill>
        </w:rPr>
        <w:t xml:space="preserve">      </w:t>
      </w:r>
      <w:r>
        <w:rPr>
          <w:rFonts w:cs="Times New Roman"/>
          <w:b/>
          <w:color w:val="000000" w:themeColor="text1"/>
          <w14:textFill>
            <w14:solidFill>
              <w14:schemeClr w14:val="tx1"/>
            </w14:solidFill>
          </w14:textFill>
        </w:rPr>
        <w:t xml:space="preserve"> 1000d后项目区下游氨氮浓度变化</w:t>
      </w:r>
    </w:p>
    <w:p w14:paraId="5E92DD1D">
      <w:pPr>
        <w:pStyle w:val="63"/>
        <w:spacing w:before="156" w:after="156"/>
        <w:rPr>
          <w:color w:val="000000" w:themeColor="text1"/>
          <w:kern w:val="0"/>
          <w14:textFill>
            <w14:solidFill>
              <w14:schemeClr w14:val="tx1"/>
            </w14:solidFill>
          </w14:textFill>
        </w:rPr>
      </w:pPr>
      <w:r>
        <w:rPr>
          <w:color w:val="000000" w:themeColor="text1"/>
          <w:kern w:val="0"/>
          <w14:textFill>
            <w14:solidFill>
              <w14:schemeClr w14:val="tx1"/>
            </w14:solidFill>
          </w14:textFill>
        </w:rPr>
        <w:t>表6.3-5 各污染物预测结果统计一览表</w:t>
      </w:r>
    </w:p>
    <w:tbl>
      <w:tblPr>
        <w:tblStyle w:val="42"/>
        <w:tblW w:w="5000"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791"/>
        <w:gridCol w:w="1981"/>
        <w:gridCol w:w="1534"/>
        <w:gridCol w:w="1941"/>
      </w:tblGrid>
      <w:tr w14:paraId="5BFF83D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shd w:val="clear" w:color="auto" w:fill="auto"/>
            <w:vAlign w:val="center"/>
          </w:tcPr>
          <w:p w14:paraId="08187028">
            <w:pPr>
              <w:widowControl/>
              <w:spacing w:before="100" w:beforeAutospacing="1" w:after="100" w:afterAutospacing="1"/>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项目</w:t>
            </w:r>
          </w:p>
        </w:tc>
        <w:tc>
          <w:tcPr>
            <w:tcW w:w="2213" w:type="pct"/>
            <w:gridSpan w:val="2"/>
            <w:shd w:val="clear" w:color="auto" w:fill="auto"/>
            <w:vAlign w:val="center"/>
          </w:tcPr>
          <w:p w14:paraId="01F3CE13">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100d </w:t>
            </w:r>
          </w:p>
        </w:tc>
        <w:tc>
          <w:tcPr>
            <w:tcW w:w="2039" w:type="pct"/>
            <w:gridSpan w:val="2"/>
            <w:shd w:val="clear" w:color="auto" w:fill="auto"/>
            <w:vAlign w:val="center"/>
          </w:tcPr>
          <w:p w14:paraId="7152AAE3">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1000d</w:t>
            </w:r>
          </w:p>
        </w:tc>
      </w:tr>
      <w:tr w14:paraId="732F4BA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shd w:val="clear" w:color="auto" w:fill="auto"/>
            <w:vAlign w:val="center"/>
          </w:tcPr>
          <w:p w14:paraId="436EA31C">
            <w:pPr>
              <w:widowControl/>
              <w:spacing w:before="100" w:beforeAutospacing="1" w:after="100" w:afterAutospacing="1"/>
              <w:jc w:val="center"/>
              <w:rPr>
                <w:color w:val="000000" w:themeColor="text1"/>
                <w:szCs w:val="21"/>
                <w14:textFill>
                  <w14:solidFill>
                    <w14:schemeClr w14:val="tx1"/>
                  </w14:solidFill>
                </w14:textFill>
              </w:rPr>
            </w:pPr>
          </w:p>
        </w:tc>
        <w:tc>
          <w:tcPr>
            <w:tcW w:w="1051" w:type="pct"/>
            <w:shd w:val="clear" w:color="auto" w:fill="auto"/>
            <w:vAlign w:val="center"/>
          </w:tcPr>
          <w:p w14:paraId="3E8313F5">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达标距离</w:t>
            </w:r>
          </w:p>
        </w:tc>
        <w:tc>
          <w:tcPr>
            <w:tcW w:w="1162" w:type="pct"/>
            <w:shd w:val="clear" w:color="auto" w:fill="auto"/>
            <w:vAlign w:val="center"/>
          </w:tcPr>
          <w:p w14:paraId="7CEBD566">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影响范围</w:t>
            </w:r>
          </w:p>
        </w:tc>
        <w:tc>
          <w:tcPr>
            <w:tcW w:w="900" w:type="pct"/>
            <w:shd w:val="clear" w:color="auto" w:fill="auto"/>
            <w:vAlign w:val="center"/>
          </w:tcPr>
          <w:p w14:paraId="34461B74">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达标范围</w:t>
            </w:r>
          </w:p>
        </w:tc>
        <w:tc>
          <w:tcPr>
            <w:tcW w:w="1139" w:type="pct"/>
            <w:shd w:val="clear" w:color="auto" w:fill="auto"/>
            <w:vAlign w:val="center"/>
          </w:tcPr>
          <w:p w14:paraId="07E66D68">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影响范围</w:t>
            </w:r>
          </w:p>
        </w:tc>
      </w:tr>
      <w:tr w14:paraId="56B5C17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shd w:val="clear" w:color="auto" w:fill="auto"/>
            <w:vAlign w:val="center"/>
          </w:tcPr>
          <w:p w14:paraId="10C48ACA">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CODcr</w:t>
            </w:r>
          </w:p>
        </w:tc>
        <w:tc>
          <w:tcPr>
            <w:tcW w:w="1051" w:type="pct"/>
            <w:shd w:val="clear" w:color="auto" w:fill="auto"/>
            <w:vAlign w:val="center"/>
          </w:tcPr>
          <w:p w14:paraId="065627A1">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48m外</w:t>
            </w:r>
          </w:p>
        </w:tc>
        <w:tc>
          <w:tcPr>
            <w:tcW w:w="1162" w:type="pct"/>
            <w:shd w:val="clear" w:color="auto" w:fill="auto"/>
            <w:vAlign w:val="center"/>
          </w:tcPr>
          <w:p w14:paraId="377AE2CB">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51m</w:t>
            </w:r>
          </w:p>
        </w:tc>
        <w:tc>
          <w:tcPr>
            <w:tcW w:w="900" w:type="pct"/>
            <w:shd w:val="clear" w:color="auto" w:fill="auto"/>
            <w:vAlign w:val="center"/>
          </w:tcPr>
          <w:p w14:paraId="49DEAA7E">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153 m外</w:t>
            </w:r>
          </w:p>
        </w:tc>
        <w:tc>
          <w:tcPr>
            <w:tcW w:w="1139" w:type="pct"/>
            <w:shd w:val="clear" w:color="auto" w:fill="auto"/>
            <w:vAlign w:val="center"/>
          </w:tcPr>
          <w:p w14:paraId="7A83D476">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159m</w:t>
            </w:r>
          </w:p>
        </w:tc>
      </w:tr>
      <w:tr w14:paraId="16E40EF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shd w:val="clear" w:color="auto" w:fill="auto"/>
            <w:vAlign w:val="center"/>
          </w:tcPr>
          <w:p w14:paraId="509ADD02">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BOD5</w:t>
            </w:r>
          </w:p>
        </w:tc>
        <w:tc>
          <w:tcPr>
            <w:tcW w:w="1051" w:type="pct"/>
            <w:shd w:val="clear" w:color="auto" w:fill="auto"/>
            <w:vAlign w:val="center"/>
          </w:tcPr>
          <w:p w14:paraId="13E9BC8A">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157 m外</w:t>
            </w:r>
          </w:p>
        </w:tc>
        <w:tc>
          <w:tcPr>
            <w:tcW w:w="1162" w:type="pct"/>
            <w:shd w:val="clear" w:color="auto" w:fill="auto"/>
            <w:vAlign w:val="center"/>
          </w:tcPr>
          <w:p w14:paraId="1C54AAC5">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158 m</w:t>
            </w:r>
          </w:p>
        </w:tc>
        <w:tc>
          <w:tcPr>
            <w:tcW w:w="900" w:type="pct"/>
            <w:shd w:val="clear" w:color="auto" w:fill="auto"/>
            <w:vAlign w:val="center"/>
          </w:tcPr>
          <w:p w14:paraId="1CB251FE">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 m外</w:t>
            </w:r>
          </w:p>
        </w:tc>
        <w:tc>
          <w:tcPr>
            <w:tcW w:w="1139" w:type="pct"/>
            <w:shd w:val="clear" w:color="auto" w:fill="auto"/>
            <w:vAlign w:val="center"/>
          </w:tcPr>
          <w:p w14:paraId="02C492D1">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186 m</w:t>
            </w:r>
          </w:p>
        </w:tc>
      </w:tr>
      <w:tr w14:paraId="67EF94B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shd w:val="clear" w:color="auto" w:fill="auto"/>
            <w:vAlign w:val="center"/>
          </w:tcPr>
          <w:p w14:paraId="1D329E63">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051" w:type="pct"/>
            <w:shd w:val="clear" w:color="auto" w:fill="auto"/>
            <w:vAlign w:val="center"/>
          </w:tcPr>
          <w:p w14:paraId="69EEF932">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 m外</w:t>
            </w:r>
          </w:p>
        </w:tc>
        <w:tc>
          <w:tcPr>
            <w:tcW w:w="1162" w:type="pct"/>
            <w:shd w:val="clear" w:color="auto" w:fill="auto"/>
            <w:vAlign w:val="center"/>
          </w:tcPr>
          <w:p w14:paraId="13B202A1">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 m</w:t>
            </w:r>
          </w:p>
        </w:tc>
        <w:tc>
          <w:tcPr>
            <w:tcW w:w="900" w:type="pct"/>
            <w:shd w:val="clear" w:color="auto" w:fill="auto"/>
            <w:vAlign w:val="center"/>
          </w:tcPr>
          <w:p w14:paraId="236D66D3">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159 m外</w:t>
            </w:r>
          </w:p>
        </w:tc>
        <w:tc>
          <w:tcPr>
            <w:tcW w:w="1139" w:type="pct"/>
            <w:shd w:val="clear" w:color="auto" w:fill="auto"/>
            <w:vAlign w:val="center"/>
          </w:tcPr>
          <w:p w14:paraId="4AA6F18A">
            <w:pPr>
              <w:widowControl/>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222 m</w:t>
            </w:r>
          </w:p>
        </w:tc>
      </w:tr>
      <w:tr w14:paraId="644BB2BC">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shd w:val="clear" w:color="auto" w:fill="auto"/>
            <w:vAlign w:val="center"/>
          </w:tcPr>
          <w:p w14:paraId="2DA410E8">
            <w:pPr>
              <w:pStyle w:val="298"/>
              <w:rPr>
                <w:color w:val="000000" w:themeColor="text1"/>
                <w:szCs w:val="21"/>
                <w14:textFill>
                  <w14:solidFill>
                    <w14:schemeClr w14:val="tx1"/>
                  </w14:solidFill>
                </w14:textFill>
              </w:rPr>
            </w:pPr>
            <w:r>
              <w:rPr>
                <w:color w:val="000000" w:themeColor="text1"/>
                <w14:textFill>
                  <w14:solidFill>
                    <w14:schemeClr w14:val="tx1"/>
                  </w14:solidFill>
                </w14:textFill>
              </w:rPr>
              <w:t>注：项目区地下水由西北向东南径流，于项目区下游（南侧）60m处瑞丽江排泄</w:t>
            </w:r>
          </w:p>
        </w:tc>
      </w:tr>
    </w:tbl>
    <w:p w14:paraId="143B75B5">
      <w:pPr>
        <w:pStyle w:val="296"/>
        <w:ind w:firstLine="480"/>
        <w:rPr>
          <w:rFonts w:cs="Times New Roman"/>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t>根据以上预测可知，非正常情况下，在100d连续渗漏的情况下：COD在下游48m外可达标，最大影响范围为51m；</w:t>
      </w:r>
      <w:r>
        <w:rPr>
          <w:rFonts w:cs="Times New Roman"/>
          <w:color w:val="000000" w:themeColor="text1"/>
          <w:szCs w:val="21"/>
          <w14:textFill>
            <w14:solidFill>
              <w14:schemeClr w14:val="tx1"/>
            </w14:solidFill>
          </w14:textFill>
        </w:rPr>
        <w:t>BOD</w:t>
      </w:r>
      <w:r>
        <w:rPr>
          <w:rFonts w:cs="Times New Roman"/>
          <w:color w:val="000000" w:themeColor="text1"/>
          <w:szCs w:val="21"/>
          <w:vertAlign w:val="subscript"/>
          <w14:textFill>
            <w14:solidFill>
              <w14:schemeClr w14:val="tx1"/>
            </w14:solidFill>
          </w14:textFill>
        </w:rPr>
        <w:t>5</w:t>
      </w:r>
      <w:r>
        <w:rPr>
          <w:rFonts w:cs="Times New Roman"/>
          <w:color w:val="000000" w:themeColor="text1"/>
          <w:szCs w:val="21"/>
          <w14:textFill>
            <w14:solidFill>
              <w14:schemeClr w14:val="tx1"/>
            </w14:solidFill>
          </w14:textFill>
        </w:rPr>
        <w:t>在下游157m外可达标，最大影响范围为158m；氨氮在下游65m外可达标，最大影响范围70m。在1000d连续渗漏的情况下：</w:t>
      </w:r>
      <w:r>
        <w:rPr>
          <w:rFonts w:cs="Times New Roman"/>
          <w:color w:val="000000" w:themeColor="text1"/>
          <w14:textFill>
            <w14:solidFill>
              <w14:schemeClr w14:val="tx1"/>
            </w14:solidFill>
          </w14:textFill>
        </w:rPr>
        <w:t>COD在下游153m外可达标，最大影响范围为159m；</w:t>
      </w:r>
      <w:r>
        <w:rPr>
          <w:rFonts w:cs="Times New Roman"/>
          <w:color w:val="000000" w:themeColor="text1"/>
          <w:szCs w:val="21"/>
          <w14:textFill>
            <w14:solidFill>
              <w14:schemeClr w14:val="tx1"/>
            </w14:solidFill>
          </w14:textFill>
        </w:rPr>
        <w:t>BOD</w:t>
      </w:r>
      <w:r>
        <w:rPr>
          <w:rFonts w:cs="Times New Roman"/>
          <w:color w:val="000000" w:themeColor="text1"/>
          <w:szCs w:val="21"/>
          <w:vertAlign w:val="subscript"/>
          <w14:textFill>
            <w14:solidFill>
              <w14:schemeClr w14:val="tx1"/>
            </w14:solidFill>
          </w14:textFill>
        </w:rPr>
        <w:t>5</w:t>
      </w:r>
      <w:r>
        <w:rPr>
          <w:rFonts w:cs="Times New Roman"/>
          <w:color w:val="000000" w:themeColor="text1"/>
          <w:szCs w:val="21"/>
          <w14:textFill>
            <w14:solidFill>
              <w14:schemeClr w14:val="tx1"/>
            </w14:solidFill>
          </w14:textFill>
        </w:rPr>
        <w:t>在下游180m外可达标，最大影响范围为186m；氨氮在下游159m外可达标，最大影响范围222m。</w:t>
      </w:r>
    </w:p>
    <w:p w14:paraId="38E80A53">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项目区下游（南侧）65m为瑞丽江，区域地下水流向为西北向东南径流，于瑞丽江排泄，根据调查，项目区所在瑞丽江河段不涉及生活用水取水点。</w:t>
      </w:r>
    </w:p>
    <w:p w14:paraId="7917C289">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综上所述，非正常情况下，项目区废水下渗对地下水环境质量影响较小。</w:t>
      </w:r>
    </w:p>
    <w:p w14:paraId="4B7CDAAE">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6.3.4对居民饮用水源的影响分析</w:t>
      </w:r>
    </w:p>
    <w:p w14:paraId="53172C3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地下水评价范围村庄为四分场四队、芒捧、户焕，根据现场调查及建设单位提供资料，周边村庄生活饮用水源为山箐水，不涉及地下水取水点。</w:t>
      </w:r>
    </w:p>
    <w:p w14:paraId="2D56D66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各村庄饮用水源情况详见表：</w:t>
      </w:r>
    </w:p>
    <w:p w14:paraId="4F6C4B43">
      <w:pPr>
        <w:ind w:firstLine="4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表6.3-6 项目区周边居民饮用水源情况</w:t>
      </w:r>
    </w:p>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93"/>
        <w:gridCol w:w="3543"/>
        <w:gridCol w:w="2886"/>
      </w:tblGrid>
      <w:tr w14:paraId="3C24A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8" w:type="pct"/>
            <w:vAlign w:val="center"/>
          </w:tcPr>
          <w:p w14:paraId="0A9BAF50">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村庄</w:t>
            </w:r>
          </w:p>
        </w:tc>
        <w:tc>
          <w:tcPr>
            <w:tcW w:w="2079" w:type="pct"/>
            <w:vAlign w:val="center"/>
          </w:tcPr>
          <w:p w14:paraId="5F543AFE">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方位、距离</w:t>
            </w:r>
          </w:p>
        </w:tc>
        <w:tc>
          <w:tcPr>
            <w:tcW w:w="1693" w:type="pct"/>
            <w:vAlign w:val="center"/>
          </w:tcPr>
          <w:p w14:paraId="56D16FE9">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饮用水源</w:t>
            </w:r>
          </w:p>
        </w:tc>
      </w:tr>
      <w:tr w14:paraId="5D213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8" w:type="pct"/>
            <w:vAlign w:val="center"/>
          </w:tcPr>
          <w:p w14:paraId="4A9F5490">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四分场四队</w:t>
            </w:r>
          </w:p>
        </w:tc>
        <w:tc>
          <w:tcPr>
            <w:tcW w:w="2079" w:type="pct"/>
            <w:vAlign w:val="center"/>
          </w:tcPr>
          <w:p w14:paraId="4AF90410">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北侧130m</w:t>
            </w:r>
          </w:p>
        </w:tc>
        <w:tc>
          <w:tcPr>
            <w:tcW w:w="1693" w:type="pct"/>
            <w:vAlign w:val="center"/>
          </w:tcPr>
          <w:p w14:paraId="7BCF6C9B">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北侧800m山箐水</w:t>
            </w:r>
          </w:p>
        </w:tc>
      </w:tr>
      <w:tr w14:paraId="7FF65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8" w:type="pct"/>
            <w:vAlign w:val="center"/>
          </w:tcPr>
          <w:p w14:paraId="1F34E073">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芒捧</w:t>
            </w:r>
          </w:p>
        </w:tc>
        <w:tc>
          <w:tcPr>
            <w:tcW w:w="2079" w:type="pct"/>
            <w:vAlign w:val="center"/>
          </w:tcPr>
          <w:p w14:paraId="478A8B76">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西北侧880m</w:t>
            </w:r>
          </w:p>
        </w:tc>
        <w:tc>
          <w:tcPr>
            <w:tcW w:w="1693" w:type="pct"/>
            <w:vAlign w:val="center"/>
          </w:tcPr>
          <w:p w14:paraId="4EF46F62">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西北2.0km山箐水</w:t>
            </w:r>
          </w:p>
        </w:tc>
      </w:tr>
      <w:tr w14:paraId="4D4A3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8" w:type="pct"/>
            <w:vAlign w:val="center"/>
          </w:tcPr>
          <w:p w14:paraId="6596CD82">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户焕</w:t>
            </w:r>
          </w:p>
        </w:tc>
        <w:tc>
          <w:tcPr>
            <w:tcW w:w="2079" w:type="pct"/>
            <w:vAlign w:val="center"/>
          </w:tcPr>
          <w:p w14:paraId="7E6AF44E">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西侧480m</w:t>
            </w:r>
          </w:p>
        </w:tc>
        <w:tc>
          <w:tcPr>
            <w:tcW w:w="1693" w:type="pct"/>
            <w:vAlign w:val="center"/>
          </w:tcPr>
          <w:p w14:paraId="2FFF7ED7">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西北2.0km山箐水</w:t>
            </w:r>
          </w:p>
        </w:tc>
      </w:tr>
    </w:tbl>
    <w:p w14:paraId="15030B7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项目区评价范围内无村庄的取水，且项目区下游（南侧）65m为瑞丽江，区域地下水排泄区，项目运营期不会对居民饮用水造成影响。</w:t>
      </w:r>
    </w:p>
    <w:p w14:paraId="615CA2FD">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6.3.5地下水环境保护措施</w:t>
      </w:r>
    </w:p>
    <w:p w14:paraId="61B67D6B">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1、源头控制措施</w:t>
      </w:r>
    </w:p>
    <w:p w14:paraId="15429A0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加强对“三废”排放的管理，尤其是对生产废水、生活污水处理与处置的管理，充分提高其治理、回收和利用率，尽量把污染物的排放量及排放浓度减少或控制在排放标准以内，这样既减轻了对地表水的污染负荷，又能防止对地下水的污染。</w:t>
      </w:r>
    </w:p>
    <w:p w14:paraId="7A5501AA">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2、分区防控措施</w:t>
      </w:r>
    </w:p>
    <w:p w14:paraId="011707BA">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根据《环境影响评价技术导则 地下水环境》（HJ610-2016），将项目区分为重点防渗区、一般防渗区和简单防渗区。</w:t>
      </w:r>
    </w:p>
    <w:p w14:paraId="22B493E7">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重点防渗区：主要为危废间，基础采用6m厚压实粘土防渗，上面再用混凝土进行硬化。防渗性能应等效于厚度≥6m，渗透系数K≤1.0×10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cm/s的黏土层的防渗性能。</w:t>
      </w:r>
    </w:p>
    <w:p w14:paraId="15D7AFD9">
      <w:pPr>
        <w:pStyle w:val="295"/>
        <w:ind w:firstLine="480"/>
        <w:rPr>
          <w:color w:val="000000" w:themeColor="text1"/>
          <w14:textFill>
            <w14:solidFill>
              <w14:schemeClr w14:val="tx1"/>
            </w14:solidFill>
          </w14:textFill>
        </w:rPr>
      </w:pPr>
      <w:r>
        <w:rPr>
          <w:color w:val="000000" w:themeColor="text1"/>
          <w14:textFill>
            <w14:solidFill>
              <w14:schemeClr w14:val="tx1"/>
            </w14:solidFill>
          </w14:textFill>
        </w:rPr>
        <w:t>一般防渗区：污水处理设施（隔油池、沉淀池等）、原料仓库、破碎清洗生产区、造粒生产区等，基础采用1.5cm厚压实粘土防渗，上面再用混凝土进行硬化，防渗性能应等效于厚度≥1.5m，渗透系数K≤1.0×10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 的黏土层的防渗性能。</w:t>
      </w:r>
    </w:p>
    <w:p w14:paraId="211B9219">
      <w:pPr>
        <w:pStyle w:val="15"/>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简单防渗区：住宿及办公区、厨房等，不采取专门针对地下水污染的防治措施，地面可采用混凝土硬化。</w:t>
      </w:r>
    </w:p>
    <w:p w14:paraId="73208D10">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3、建立地下水环境跟踪监测制度</w:t>
      </w:r>
    </w:p>
    <w:p w14:paraId="2CD3D14F">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 地下水环境》（HJ610-2016），三级评价的建设项目，跟踪监测点数量一般不少于1个，至少在建设项目场地下游布置1个。</w:t>
      </w:r>
    </w:p>
    <w:p w14:paraId="2D2D8B7E">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地下水跟踪监测点位的设置原则：</w:t>
      </w:r>
    </w:p>
    <w:p w14:paraId="6473510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（1）充分利用现有水文地质钻孔及民井原则；</w:t>
      </w:r>
    </w:p>
    <w:p w14:paraId="1821C73E">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（2）充分结合建设项目厂区地下水污染源分布特征，重点关注主要污染源原则；</w:t>
      </w:r>
    </w:p>
    <w:p w14:paraId="168C7EA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（3）综合考虑当地水文地质条件，重点根据地下水流场进行监测点布置，在考虑污染源及其他条件的基础上进行优化，实现监测位置最优原则；</w:t>
      </w:r>
    </w:p>
    <w:p w14:paraId="07CDFB4D">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（4）结合区域地下水主要敏感目标，以保护主要敏感目标为原则；</w:t>
      </w:r>
    </w:p>
    <w:p w14:paraId="409F7BC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（5）将地下水监测井与事故应急处置井相结合的原则；</w:t>
      </w:r>
    </w:p>
    <w:p w14:paraId="0596F069">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根据以上原则，本项目在项目区下游30m处设置1个污染源监测井，监测因子：pH、CODcr、BOD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、氨氮，建立地下水环境跟踪监测制度。</w:t>
      </w:r>
    </w:p>
    <w:p w14:paraId="195E870F">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4、非正常情况的防范措施</w:t>
      </w:r>
    </w:p>
    <w:p w14:paraId="44D02811">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定期巡查危废间、污水处理设施，在发现防渗层破损，或监测井发生水质异常变化时，应及时查明渗漏点并采取补救措施。</w:t>
      </w:r>
    </w:p>
    <w:p w14:paraId="35A3DC46">
      <w:pPr>
        <w:pStyle w:val="4"/>
        <w:rPr>
          <w:rFonts w:ascii="Times New Roman" w:hAnsi="Times New Roman"/>
          <w:color w:val="000000" w:themeColor="text1"/>
          <w14:textFill>
            <w14:solidFill>
              <w14:schemeClr w14:val="tx1"/>
            </w14:solidFill>
          </w14:textFill>
        </w:rPr>
      </w:pPr>
      <w:bookmarkStart w:id="399" w:name="_Toc2773767"/>
      <w:r>
        <w:rPr>
          <w:rFonts w:ascii="Times New Roman" w:hAnsi="Times New Roman"/>
          <w:color w:val="000000" w:themeColor="text1"/>
          <w14:textFill>
            <w14:solidFill>
              <w14:schemeClr w14:val="tx1"/>
            </w14:solidFill>
          </w14:textFill>
        </w:rPr>
        <w:t>6.4固废环境影响预测及评价</w:t>
      </w:r>
      <w:bookmarkEnd w:id="399"/>
    </w:p>
    <w:p w14:paraId="23478165">
      <w:pPr>
        <w:pStyle w:val="15"/>
        <w:adjustRightInd w:val="0"/>
        <w:snapToGrid w:val="0"/>
        <w:spacing w:line="360" w:lineRule="auto"/>
        <w:ind w:firstLine="480" w:firstLineChars="200"/>
        <w:jc w:val="both"/>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根据第3章固废核算分析，本项目固废分为两类，生产固废（一般生产固废和危险废物）和生活固废。本环评要求项目区设置一般生产固废收集间18m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、危废废物收集间5m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w:t>
      </w:r>
    </w:p>
    <w:p w14:paraId="5FEFBAE5">
      <w:pPr>
        <w:pStyle w:val="15"/>
        <w:adjustRightInd w:val="0"/>
        <w:snapToGrid w:val="0"/>
        <w:spacing w:line="360" w:lineRule="auto"/>
        <w:ind w:firstLine="480" w:firstLineChars="200"/>
        <w:jc w:val="both"/>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1、生活固废处置方式</w:t>
      </w:r>
    </w:p>
    <w:p w14:paraId="51D9ABF4">
      <w:pPr>
        <w:spacing w:line="360" w:lineRule="auto"/>
        <w:ind w:firstLine="480" w:firstLineChars="200"/>
        <w:rPr>
          <w:color w:val="000000" w:themeColor="text1"/>
          <w:sz w:val="24"/>
          <w14:textFill>
            <w14:solidFill>
              <w14:schemeClr w14:val="tx1"/>
            </w14:solidFill>
          </w14:textFill>
        </w:rPr>
      </w:pPr>
      <w:r>
        <w:rPr>
          <w:color w:val="000000" w:themeColor="text1"/>
          <w:sz w:val="24"/>
          <w:szCs w:val="22"/>
          <w14:textFill>
            <w14:solidFill>
              <w14:schemeClr w14:val="tx1"/>
            </w14:solidFill>
          </w14:textFill>
        </w:rPr>
        <w:t>生活固废主要为</w:t>
      </w:r>
      <w:r>
        <w:rPr>
          <w:color w:val="000000" w:themeColor="text1"/>
          <w:sz w:val="24"/>
          <w14:textFill>
            <w14:solidFill>
              <w14:schemeClr w14:val="tx1"/>
            </w14:solidFill>
          </w14:textFill>
        </w:rPr>
        <w:t>生活垃圾（2.25t/a）、化粪池污泥（0.9t/a）及食堂泔水（0.087t/a），外运至最近村庄垃圾收集点处理。</w:t>
      </w:r>
    </w:p>
    <w:p w14:paraId="18C41716">
      <w:pPr>
        <w:pStyle w:val="15"/>
        <w:adjustRightInd w:val="0"/>
        <w:snapToGrid w:val="0"/>
        <w:spacing w:line="360" w:lineRule="auto"/>
        <w:ind w:firstLine="480" w:firstLineChars="200"/>
        <w:jc w:val="both"/>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2、一般生产固废处置方式</w:t>
      </w:r>
    </w:p>
    <w:p w14:paraId="78C71507">
      <w:pPr>
        <w:adjustRightInd w:val="0"/>
        <w:spacing w:line="360" w:lineRule="auto"/>
        <w:ind w:firstLine="480" w:firstLineChars="200"/>
        <w:rPr>
          <w:snapToGrid w:val="0"/>
          <w:color w:val="000000" w:themeColor="text1"/>
          <w:kern w:val="0"/>
          <w:sz w:val="24"/>
          <w:szCs w:val="20"/>
          <w14:textFill>
            <w14:solidFill>
              <w14:schemeClr w14:val="tx1"/>
            </w14:solidFill>
          </w14:textFill>
        </w:rPr>
      </w:pPr>
      <w:r>
        <w:rPr>
          <w:snapToGrid w:val="0"/>
          <w:color w:val="000000" w:themeColor="text1"/>
          <w:kern w:val="0"/>
          <w:sz w:val="24"/>
          <w:szCs w:val="20"/>
          <w14:textFill>
            <w14:solidFill>
              <w14:schemeClr w14:val="tx1"/>
            </w14:solidFill>
          </w14:textFill>
        </w:rPr>
        <w:t>项目运营期一般工业固废主要为拆包、人工分选杂物（S1）、剥离废标签纸（S2）、沉淀池污泥。</w:t>
      </w:r>
    </w:p>
    <w:p w14:paraId="78E7F47D">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拆包、人工分选杂物分类收集后，一部分外卖，其余外运至最近村庄垃圾收集点处理，禁止随意丢弃；剥离废标签纸</w:t>
      </w:r>
      <w:r>
        <w:rPr>
          <w:snapToGrid w:val="0"/>
          <w:color w:val="000000" w:themeColor="text1"/>
          <w:kern w:val="0"/>
          <w:sz w:val="24"/>
          <w:szCs w:val="20"/>
          <w14:textFill>
            <w14:solidFill>
              <w14:schemeClr w14:val="tx1"/>
            </w14:solidFill>
          </w14:textFill>
        </w:rPr>
        <w:t>、废过滤网</w:t>
      </w:r>
      <w:r>
        <w:rPr>
          <w:color w:val="000000" w:themeColor="text1"/>
          <w:sz w:val="24"/>
          <w14:textFill>
            <w14:solidFill>
              <w14:schemeClr w14:val="tx1"/>
            </w14:solidFill>
          </w14:textFill>
        </w:rPr>
        <w:t>外卖处理；</w:t>
      </w:r>
      <w:r>
        <w:rPr>
          <w:color w:val="000000" w:themeColor="text1"/>
          <w:kern w:val="0"/>
          <w:sz w:val="24"/>
          <w14:textFill>
            <w14:solidFill>
              <w14:schemeClr w14:val="tx1"/>
            </w14:solidFill>
          </w14:textFill>
        </w:rPr>
        <w:t>沉淀池污泥及隔油池废油</w:t>
      </w:r>
      <w:r>
        <w:rPr>
          <w:color w:val="000000" w:themeColor="text1"/>
          <w:sz w:val="24"/>
          <w14:textFill>
            <w14:solidFill>
              <w14:schemeClr w14:val="tx1"/>
            </w14:solidFill>
          </w14:textFill>
        </w:rPr>
        <w:t>外运至最近村庄垃圾收集点处理</w:t>
      </w:r>
      <w:r>
        <w:rPr>
          <w:color w:val="000000" w:themeColor="text1"/>
          <w:kern w:val="0"/>
          <w:sz w:val="24"/>
          <w14:textFill>
            <w14:solidFill>
              <w14:schemeClr w14:val="tx1"/>
            </w14:solidFill>
          </w14:textFill>
        </w:rPr>
        <w:t>。</w:t>
      </w:r>
    </w:p>
    <w:p w14:paraId="5BAC9843">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本环评要求在项目区原料仓库北侧设置一般固废堆放间（占地18m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w:t>
      </w:r>
    </w:p>
    <w:p w14:paraId="16804017">
      <w:pPr>
        <w:spacing w:line="360" w:lineRule="auto"/>
        <w:ind w:firstLine="480" w:firstLineChars="200"/>
        <w:rPr>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一般固废堆存间建设要求：</w:t>
      </w:r>
      <w:r>
        <w:rPr>
          <w:color w:val="000000" w:themeColor="text1"/>
          <w:kern w:val="0"/>
          <w:sz w:val="24"/>
          <w14:textFill>
            <w14:solidFill>
              <w14:schemeClr w14:val="tx1"/>
            </w14:solidFill>
          </w14:textFill>
        </w:rPr>
        <w:t>建设单位应按照《一般工业固体废物贮存、处置场污染控制标准》(GB18599-2001)的相关要求建立固体废物临时的堆放场地，不得随处堆放。临时堆放的地面与裙角要用竖固、防渗的建筑材料建造，基础必须防渗，应设计建造径流疏导系统，保证暴雨不会流到临时堆放的场所。临时堆放场所要防风、防雨、防晒，周围应设置围墙并做好密闭处理，禁止生活垃圾混入。</w:t>
      </w:r>
    </w:p>
    <w:p w14:paraId="1E67CC68">
      <w:pPr>
        <w:pStyle w:val="15"/>
        <w:adjustRightInd w:val="0"/>
        <w:snapToGrid w:val="0"/>
        <w:spacing w:line="360" w:lineRule="auto"/>
        <w:ind w:firstLine="480" w:firstLineChars="200"/>
        <w:jc w:val="both"/>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3、危险固废处置方式</w:t>
      </w:r>
    </w:p>
    <w:p w14:paraId="2877D624">
      <w:pPr>
        <w:pStyle w:val="15"/>
        <w:adjustRightInd w:val="0"/>
        <w:snapToGrid w:val="0"/>
        <w:spacing w:line="360" w:lineRule="auto"/>
        <w:ind w:firstLine="480" w:firstLineChars="200"/>
        <w:rPr>
          <w:b/>
          <w:color w:val="000000" w:themeColor="text1"/>
          <w:sz w:val="24"/>
          <w14:textFill>
            <w14:solidFill>
              <w14:schemeClr w14:val="tx1"/>
            </w14:solidFill>
          </w14:textFill>
        </w:rPr>
      </w:pPr>
      <w:r>
        <w:rPr>
          <w:color w:val="FF0000"/>
          <w:sz w:val="24"/>
        </w:rPr>
        <w:t>危险废物（废过滤棉、废活性炭</w:t>
      </w:r>
      <w:r>
        <w:rPr>
          <w:rFonts w:hint="eastAsia"/>
          <w:color w:val="FF0000"/>
          <w:sz w:val="24"/>
        </w:rPr>
        <w:t>、</w:t>
      </w:r>
      <w:r>
        <w:rPr>
          <w:snapToGrid w:val="0"/>
          <w:color w:val="FF0000"/>
          <w:kern w:val="0"/>
          <w:sz w:val="24"/>
          <w:szCs w:val="20"/>
        </w:rPr>
        <w:t>废过滤网</w:t>
      </w:r>
      <w:r>
        <w:rPr>
          <w:color w:val="FF0000"/>
          <w:sz w:val="24"/>
        </w:rPr>
        <w:t>）暂</w:t>
      </w:r>
      <w:r>
        <w:rPr>
          <w:color w:val="000000" w:themeColor="text1"/>
          <w:sz w:val="24"/>
          <w14:textFill>
            <w14:solidFill>
              <w14:schemeClr w14:val="tx1"/>
            </w14:solidFill>
          </w14:textFill>
        </w:rPr>
        <w:t>存于危废收集间，委托有资质的单位进行处置。</w:t>
      </w:r>
    </w:p>
    <w:p w14:paraId="5434D178">
      <w:pPr>
        <w:spacing w:line="360" w:lineRule="auto"/>
        <w:ind w:firstLine="480" w:firstLineChars="200"/>
        <w:rPr>
          <w:b/>
          <w:color w:val="FF0000"/>
          <w:sz w:val="24"/>
        </w:rPr>
      </w:pPr>
      <w:r>
        <w:rPr>
          <w:b/>
          <w:color w:val="FF0000"/>
          <w:sz w:val="24"/>
        </w:rPr>
        <w:t>危险废物污染防治措施分析</w:t>
      </w:r>
    </w:p>
    <w:p w14:paraId="533045A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在危废的处理处置过程中，应严格执行环保相关规定及要求，危废交由有资质的危废处理单位统一收集处置。厂区内的危险废物临时贮存应按《危险废物贮存污染控制标准》（GB18597-2001）严格执行以下措施：</w:t>
      </w:r>
    </w:p>
    <w:p w14:paraId="1339DDAA">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（1）一般措施</w:t>
      </w:r>
    </w:p>
    <w:p w14:paraId="75FE8A05">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对所有的危险废物应建造专用的危险废物贮存设施。</w:t>
      </w:r>
    </w:p>
    <w:p w14:paraId="5F98FCE3">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在常温常压下不水解、不挥发的固体危险废物可在贮存设施内分别堆放，其余的危险废物必须装入容器内。</w:t>
      </w:r>
    </w:p>
    <w:p w14:paraId="7FFDD999">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盛装危险废物的容器上必须粘贴符合本标准附录A所示的标签。</w:t>
      </w:r>
    </w:p>
    <w:p w14:paraId="4F394520">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（2）危险废物贮存容器</w:t>
      </w:r>
    </w:p>
    <w:p w14:paraId="4CBC1149">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应当使用符合标准的容器盛装危险废物。</w:t>
      </w:r>
    </w:p>
    <w:p w14:paraId="382FB3D1">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装载危险废物的容器及材质要满足相应的强度要求。</w:t>
      </w:r>
    </w:p>
    <w:p w14:paraId="66B59787">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装载危险废物的容器必须完好无损。</w:t>
      </w:r>
    </w:p>
    <w:p w14:paraId="0E48F9A6">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盛装危险废物的容器材质和衬里要与危险废物相容（不相互反应）。</w:t>
      </w:r>
    </w:p>
    <w:p w14:paraId="67A6202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项目产生的固体废物均得到科学合理的处置，处置率为100%，对环境影响不大，避免了二次污染的发生。</w:t>
      </w:r>
    </w:p>
    <w:p w14:paraId="51663BE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此外，建设单位应强化废物产生、收集、贮放各环节的管理，各种固废按照类别分类存放，杜绝固废在厂区内散失、渗漏，达到无害化的目的，避免产生二次污染。因此，采取以上措施后，本项目产生的各种固体废物均得到了有效处理，不会造成二次污染，从环保角度考虑，固体废物防治措施可行。</w:t>
      </w:r>
    </w:p>
    <w:p w14:paraId="4833552C">
      <w:pPr>
        <w:pStyle w:val="4"/>
        <w:rPr>
          <w:rFonts w:ascii="Times New Roman" w:hAnsi="Times New Roman"/>
          <w:color w:val="000000" w:themeColor="text1"/>
          <w14:textFill>
            <w14:solidFill>
              <w14:schemeClr w14:val="tx1"/>
            </w14:solidFill>
          </w14:textFill>
        </w:rPr>
      </w:pPr>
      <w:bookmarkStart w:id="400" w:name="_Toc2773768"/>
      <w:r>
        <w:rPr>
          <w:rFonts w:ascii="Times New Roman" w:hAnsi="Times New Roman"/>
          <w:color w:val="000000" w:themeColor="text1"/>
          <w14:textFill>
            <w14:solidFill>
              <w14:schemeClr w14:val="tx1"/>
            </w14:solidFill>
          </w14:textFill>
        </w:rPr>
        <w:t>6.5声环境影响预测与分析</w:t>
      </w:r>
      <w:bookmarkEnd w:id="400"/>
    </w:p>
    <w:p w14:paraId="2CA64BA3">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本项目运营期对声环境的影响主要为机械设备运行时产生的噪声。</w:t>
      </w:r>
    </w:p>
    <w:p w14:paraId="6B309177">
      <w:pPr>
        <w:keepNext/>
        <w:keepLines/>
        <w:spacing w:line="360" w:lineRule="auto"/>
        <w:jc w:val="left"/>
        <w:outlineLvl w:val="2"/>
        <w:rPr>
          <w:b/>
          <w:color w:val="000000" w:themeColor="text1"/>
          <w:sz w:val="28"/>
          <w:szCs w:val="20"/>
          <w14:textFill>
            <w14:solidFill>
              <w14:schemeClr w14:val="tx1"/>
            </w14:solidFill>
          </w14:textFill>
        </w:rPr>
      </w:pPr>
      <w:r>
        <w:rPr>
          <w:b/>
          <w:color w:val="000000" w:themeColor="text1"/>
          <w:sz w:val="28"/>
          <w:szCs w:val="20"/>
          <w14:textFill>
            <w14:solidFill>
              <w14:schemeClr w14:val="tx1"/>
            </w14:solidFill>
          </w14:textFill>
        </w:rPr>
        <w:t>6.5.1 噪声源分析</w:t>
      </w:r>
    </w:p>
    <w:p w14:paraId="25A67870">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见3.5.4章节，表3.5-6。</w:t>
      </w:r>
    </w:p>
    <w:p w14:paraId="231707B3">
      <w:pPr>
        <w:keepNext/>
        <w:keepLines/>
        <w:spacing w:line="360" w:lineRule="auto"/>
        <w:jc w:val="left"/>
        <w:outlineLvl w:val="2"/>
        <w:rPr>
          <w:b/>
          <w:color w:val="000000" w:themeColor="text1"/>
          <w:sz w:val="24"/>
          <w14:textFill>
            <w14:solidFill>
              <w14:schemeClr w14:val="tx1"/>
            </w14:solidFill>
          </w14:textFill>
        </w:rPr>
      </w:pPr>
      <w:r>
        <w:rPr>
          <w:b/>
          <w:color w:val="000000" w:themeColor="text1"/>
          <w:sz w:val="28"/>
          <w:szCs w:val="20"/>
          <w14:textFill>
            <w14:solidFill>
              <w14:schemeClr w14:val="tx1"/>
            </w14:solidFill>
          </w14:textFill>
        </w:rPr>
        <w:t>6.5.2</w:t>
      </w:r>
      <w:r>
        <w:rPr>
          <w:b/>
          <w:color w:val="000000" w:themeColor="text1"/>
          <w:sz w:val="28"/>
          <w:szCs w:val="28"/>
          <w14:textFill>
            <w14:solidFill>
              <w14:schemeClr w14:val="tx1"/>
            </w14:solidFill>
          </w14:textFill>
        </w:rPr>
        <w:t>预测内容</w:t>
      </w:r>
    </w:p>
    <w:p w14:paraId="7757C45C">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针对项目总体布置情况，对项目区厂界噪声和敏感点（四分场四队）噪声分别进行预测评价。本项目各主要产噪设备距厂界距离见表6.5-1。</w:t>
      </w:r>
    </w:p>
    <w:p w14:paraId="7B4A7781">
      <w:pPr>
        <w:pStyle w:val="63"/>
        <w:spacing w:before="156" w:after="156"/>
        <w:rPr>
          <w:color w:val="000000" w:themeColor="text1"/>
          <w:lang w:bidi="en-US"/>
          <w14:textFill>
            <w14:solidFill>
              <w14:schemeClr w14:val="tx1"/>
            </w14:solidFill>
          </w14:textFill>
        </w:rPr>
      </w:pPr>
      <w:r>
        <w:rPr>
          <w:color w:val="000000" w:themeColor="text1"/>
          <w:lang w:bidi="en-US"/>
          <w14:textFill>
            <w14:solidFill>
              <w14:schemeClr w14:val="tx1"/>
            </w14:solidFill>
          </w14:textFill>
        </w:rPr>
        <w:t>表6.5-1工业场地主要产噪设备距厂界预测点的距离  单位：m</w:t>
      </w:r>
    </w:p>
    <w:tbl>
      <w:tblPr>
        <w:tblStyle w:val="42"/>
        <w:tblW w:w="0" w:type="auto"/>
        <w:jc w:val="center"/>
        <w:tblBorders>
          <w:top w:val="thinThickSmallGap" w:color="auto" w:sz="12" w:space="0"/>
          <w:left w:val="none" w:color="auto" w:sz="0" w:space="0"/>
          <w:bottom w:val="thinThickSmallGap"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809"/>
        <w:gridCol w:w="1134"/>
        <w:gridCol w:w="1134"/>
        <w:gridCol w:w="851"/>
        <w:gridCol w:w="1276"/>
        <w:gridCol w:w="888"/>
        <w:gridCol w:w="715"/>
        <w:gridCol w:w="715"/>
      </w:tblGrid>
      <w:tr w14:paraId="38636AE1">
        <w:tblPrEx>
          <w:tblBorders>
            <w:top w:val="thinThickSmallGap" w:color="auto" w:sz="12" w:space="0"/>
            <w:left w:val="none" w:color="auto" w:sz="0" w:space="0"/>
            <w:bottom w:val="thinThickSmallGap"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09" w:type="dxa"/>
            <w:tcBorders>
              <w:top w:val="thinThickSmallGap" w:color="auto" w:sz="12" w:space="0"/>
              <w:bottom w:val="single" w:color="auto" w:sz="8" w:space="0"/>
            </w:tcBorders>
            <w:vAlign w:val="center"/>
          </w:tcPr>
          <w:p w14:paraId="074CCAD0">
            <w:pPr>
              <w:jc w:val="center"/>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1134" w:type="dxa"/>
            <w:tcBorders>
              <w:top w:val="thinThickSmallGap" w:color="auto" w:sz="12" w:space="0"/>
              <w:bottom w:val="single" w:color="auto" w:sz="8" w:space="0"/>
            </w:tcBorders>
            <w:vAlign w:val="center"/>
          </w:tcPr>
          <w:p w14:paraId="188D4DD5">
            <w:pPr>
              <w:jc w:val="center"/>
              <w:rPr>
                <w:color w:val="000000" w:themeColor="text1"/>
                <w14:textFill>
                  <w14:solidFill>
                    <w14:schemeClr w14:val="tx1"/>
                  </w14:solidFill>
                </w14:textFill>
              </w:rPr>
            </w:pPr>
            <w:r>
              <w:rPr>
                <w:color w:val="000000" w:themeColor="text1"/>
                <w14:textFill>
                  <w14:solidFill>
                    <w14:schemeClr w14:val="tx1"/>
                  </w14:solidFill>
                </w14:textFill>
              </w:rPr>
              <w:t>破碎清洗一体机1</w:t>
            </w:r>
          </w:p>
        </w:tc>
        <w:tc>
          <w:tcPr>
            <w:tcW w:w="1134" w:type="dxa"/>
            <w:tcBorders>
              <w:top w:val="thinThickSmallGap" w:color="auto" w:sz="12" w:space="0"/>
              <w:bottom w:val="single" w:color="auto" w:sz="8" w:space="0"/>
            </w:tcBorders>
            <w:vAlign w:val="center"/>
          </w:tcPr>
          <w:p w14:paraId="38706942">
            <w:pPr>
              <w:jc w:val="center"/>
              <w:rPr>
                <w:color w:val="000000" w:themeColor="text1"/>
                <w14:textFill>
                  <w14:solidFill>
                    <w14:schemeClr w14:val="tx1"/>
                  </w14:solidFill>
                </w14:textFill>
              </w:rPr>
            </w:pPr>
            <w:r>
              <w:rPr>
                <w:color w:val="000000" w:themeColor="text1"/>
                <w14:textFill>
                  <w14:solidFill>
                    <w14:schemeClr w14:val="tx1"/>
                  </w14:solidFill>
                </w14:textFill>
              </w:rPr>
              <w:t>破碎清洗一体机2</w:t>
            </w:r>
          </w:p>
        </w:tc>
        <w:tc>
          <w:tcPr>
            <w:tcW w:w="851" w:type="dxa"/>
            <w:tcBorders>
              <w:top w:val="thinThickSmallGap" w:color="auto" w:sz="12" w:space="0"/>
              <w:bottom w:val="single" w:color="auto" w:sz="8" w:space="0"/>
            </w:tcBorders>
            <w:vAlign w:val="center"/>
          </w:tcPr>
          <w:p w14:paraId="4CFFA810">
            <w:pPr>
              <w:jc w:val="center"/>
              <w:rPr>
                <w:color w:val="000000" w:themeColor="text1"/>
                <w14:textFill>
                  <w14:solidFill>
                    <w14:schemeClr w14:val="tx1"/>
                  </w14:solidFill>
                </w14:textFill>
              </w:rPr>
            </w:pPr>
            <w:r>
              <w:rPr>
                <w:color w:val="000000" w:themeColor="text1"/>
                <w14:textFill>
                  <w14:solidFill>
                    <w14:schemeClr w14:val="tx1"/>
                  </w14:solidFill>
                </w14:textFill>
              </w:rPr>
              <w:t>甩干机</w:t>
            </w:r>
          </w:p>
        </w:tc>
        <w:tc>
          <w:tcPr>
            <w:tcW w:w="1276" w:type="dxa"/>
            <w:tcBorders>
              <w:top w:val="thinThickSmallGap" w:color="auto" w:sz="12" w:space="0"/>
              <w:bottom w:val="single" w:color="auto" w:sz="8" w:space="0"/>
            </w:tcBorders>
            <w:vAlign w:val="center"/>
          </w:tcPr>
          <w:p w14:paraId="0EACDCFA">
            <w:pPr>
              <w:jc w:val="center"/>
              <w:rPr>
                <w:color w:val="000000" w:themeColor="text1"/>
                <w14:textFill>
                  <w14:solidFill>
                    <w14:schemeClr w14:val="tx1"/>
                  </w14:solidFill>
                </w14:textFill>
              </w:rPr>
            </w:pPr>
            <w:r>
              <w:rPr>
                <w:color w:val="000000" w:themeColor="text1"/>
                <w:kern w:val="0"/>
                <w14:textFill>
                  <w14:solidFill>
                    <w14:schemeClr w14:val="tx1"/>
                  </w14:solidFill>
                </w14:textFill>
              </w:rPr>
              <w:t>塑料挤出机</w:t>
            </w:r>
          </w:p>
        </w:tc>
        <w:tc>
          <w:tcPr>
            <w:tcW w:w="888" w:type="dxa"/>
            <w:tcBorders>
              <w:top w:val="thinThickSmallGap" w:color="auto" w:sz="12" w:space="0"/>
              <w:bottom w:val="single" w:color="auto" w:sz="8" w:space="0"/>
            </w:tcBorders>
            <w:vAlign w:val="center"/>
          </w:tcPr>
          <w:p w14:paraId="7C3FAD81">
            <w:pPr>
              <w:jc w:val="center"/>
              <w:rPr>
                <w:color w:val="000000" w:themeColor="text1"/>
                <w14:textFill>
                  <w14:solidFill>
                    <w14:schemeClr w14:val="tx1"/>
                  </w14:solidFill>
                </w14:textFill>
              </w:rPr>
            </w:pPr>
            <w:r>
              <w:rPr>
                <w:color w:val="000000" w:themeColor="text1"/>
                <w:kern w:val="0"/>
                <w14:textFill>
                  <w14:solidFill>
                    <w14:schemeClr w14:val="tx1"/>
                  </w14:solidFill>
                </w14:textFill>
              </w:rPr>
              <w:t>切粒机</w:t>
            </w:r>
          </w:p>
        </w:tc>
        <w:tc>
          <w:tcPr>
            <w:tcW w:w="0" w:type="auto"/>
            <w:tcBorders>
              <w:top w:val="thinThickSmallGap" w:color="auto" w:sz="12" w:space="0"/>
              <w:bottom w:val="single" w:color="auto" w:sz="8" w:space="0"/>
              <w:right w:val="single" w:color="auto" w:sz="4" w:space="0"/>
            </w:tcBorders>
            <w:vAlign w:val="center"/>
          </w:tcPr>
          <w:p w14:paraId="4C1C18B3">
            <w:pPr>
              <w:jc w:val="center"/>
              <w:rPr>
                <w:color w:val="000000" w:themeColor="text1"/>
                <w14:textFill>
                  <w14:solidFill>
                    <w14:schemeClr w14:val="tx1"/>
                  </w14:solidFill>
                </w14:textFill>
              </w:rPr>
            </w:pPr>
            <w:r>
              <w:rPr>
                <w:color w:val="000000" w:themeColor="text1"/>
                <w14:textFill>
                  <w14:solidFill>
                    <w14:schemeClr w14:val="tx1"/>
                  </w14:solidFill>
                </w14:textFill>
              </w:rPr>
              <w:t>水泵1</w:t>
            </w:r>
          </w:p>
        </w:tc>
        <w:tc>
          <w:tcPr>
            <w:tcW w:w="0" w:type="auto"/>
            <w:tcBorders>
              <w:top w:val="thinThickSmallGap" w:color="auto" w:sz="12" w:space="0"/>
              <w:left w:val="single" w:color="auto" w:sz="4" w:space="0"/>
              <w:bottom w:val="single" w:color="auto" w:sz="8" w:space="0"/>
              <w:right w:val="nil"/>
            </w:tcBorders>
            <w:vAlign w:val="center"/>
          </w:tcPr>
          <w:p w14:paraId="3C237CEF">
            <w:pPr>
              <w:jc w:val="center"/>
              <w:rPr>
                <w:color w:val="000000" w:themeColor="text1"/>
                <w14:textFill>
                  <w14:solidFill>
                    <w14:schemeClr w14:val="tx1"/>
                  </w14:solidFill>
                </w14:textFill>
              </w:rPr>
            </w:pPr>
            <w:r>
              <w:rPr>
                <w:color w:val="000000" w:themeColor="text1"/>
                <w14:textFill>
                  <w14:solidFill>
                    <w14:schemeClr w14:val="tx1"/>
                  </w14:solidFill>
                </w14:textFill>
              </w:rPr>
              <w:t>水泵2</w:t>
            </w:r>
          </w:p>
        </w:tc>
      </w:tr>
      <w:tr w14:paraId="07BD5775">
        <w:tblPrEx>
          <w:tblBorders>
            <w:top w:val="thinThickSmallGap" w:color="auto" w:sz="12" w:space="0"/>
            <w:left w:val="none" w:color="auto" w:sz="0" w:space="0"/>
            <w:bottom w:val="thinThickSmallGap"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1809" w:type="dxa"/>
            <w:tcBorders>
              <w:top w:val="single" w:color="auto" w:sz="8" w:space="0"/>
              <w:bottom w:val="single" w:color="auto" w:sz="8" w:space="0"/>
            </w:tcBorders>
            <w:vAlign w:val="center"/>
          </w:tcPr>
          <w:p w14:paraId="42D02F4B">
            <w:pPr>
              <w:jc w:val="center"/>
              <w:rPr>
                <w:color w:val="000000" w:themeColor="text1"/>
                <w14:textFill>
                  <w14:solidFill>
                    <w14:schemeClr w14:val="tx1"/>
                  </w14:solidFill>
                </w14:textFill>
              </w:rPr>
            </w:pPr>
            <w:r>
              <w:rPr>
                <w:color w:val="000000" w:themeColor="text1"/>
                <w14:textFill>
                  <w14:solidFill>
                    <w14:schemeClr w14:val="tx1"/>
                  </w14:solidFill>
                </w14:textFill>
              </w:rPr>
              <w:t>与厂界东面距离</w:t>
            </w:r>
          </w:p>
        </w:tc>
        <w:tc>
          <w:tcPr>
            <w:tcW w:w="1134" w:type="dxa"/>
            <w:tcBorders>
              <w:top w:val="single" w:color="auto" w:sz="8" w:space="0"/>
              <w:bottom w:val="single" w:color="auto" w:sz="8" w:space="0"/>
            </w:tcBorders>
            <w:vAlign w:val="center"/>
          </w:tcPr>
          <w:p w14:paraId="068283EF">
            <w:pPr>
              <w:jc w:val="center"/>
              <w:rPr>
                <w:color w:val="000000" w:themeColor="text1"/>
                <w14:textFill>
                  <w14:solidFill>
                    <w14:schemeClr w14:val="tx1"/>
                  </w14:solidFill>
                </w14:textFill>
              </w:rPr>
            </w:pPr>
            <w:r>
              <w:rPr>
                <w:color w:val="000000" w:themeColor="text1"/>
                <w14:textFill>
                  <w14:solidFill>
                    <w14:schemeClr w14:val="tx1"/>
                  </w14:solidFill>
                </w14:textFill>
              </w:rPr>
              <w:t>52</w:t>
            </w:r>
          </w:p>
        </w:tc>
        <w:tc>
          <w:tcPr>
            <w:tcW w:w="1134" w:type="dxa"/>
            <w:tcBorders>
              <w:top w:val="single" w:color="auto" w:sz="8" w:space="0"/>
              <w:bottom w:val="single" w:color="auto" w:sz="8" w:space="0"/>
            </w:tcBorders>
            <w:vAlign w:val="center"/>
          </w:tcPr>
          <w:p w14:paraId="645C7CBF">
            <w:pPr>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52</w:t>
            </w:r>
          </w:p>
        </w:tc>
        <w:tc>
          <w:tcPr>
            <w:tcW w:w="851" w:type="dxa"/>
            <w:tcBorders>
              <w:top w:val="single" w:color="auto" w:sz="8" w:space="0"/>
              <w:bottom w:val="single" w:color="auto" w:sz="8" w:space="0"/>
            </w:tcBorders>
            <w:vAlign w:val="center"/>
          </w:tcPr>
          <w:p w14:paraId="2562498C">
            <w:pPr>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52</w:t>
            </w:r>
          </w:p>
        </w:tc>
        <w:tc>
          <w:tcPr>
            <w:tcW w:w="1276" w:type="dxa"/>
            <w:tcBorders>
              <w:top w:val="single" w:color="auto" w:sz="8" w:space="0"/>
              <w:bottom w:val="single" w:color="auto" w:sz="8" w:space="0"/>
            </w:tcBorders>
            <w:vAlign w:val="center"/>
          </w:tcPr>
          <w:p w14:paraId="5F4C8113">
            <w:pPr>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48</w:t>
            </w:r>
          </w:p>
        </w:tc>
        <w:tc>
          <w:tcPr>
            <w:tcW w:w="888" w:type="dxa"/>
            <w:tcBorders>
              <w:top w:val="single" w:color="auto" w:sz="8" w:space="0"/>
              <w:bottom w:val="single" w:color="auto" w:sz="8" w:space="0"/>
            </w:tcBorders>
            <w:vAlign w:val="center"/>
          </w:tcPr>
          <w:p w14:paraId="0EF9DC76">
            <w:pPr>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50</w:t>
            </w:r>
          </w:p>
        </w:tc>
        <w:tc>
          <w:tcPr>
            <w:tcW w:w="0" w:type="auto"/>
            <w:tcBorders>
              <w:top w:val="single" w:color="auto" w:sz="8" w:space="0"/>
              <w:bottom w:val="single" w:color="auto" w:sz="8" w:space="0"/>
              <w:right w:val="single" w:color="auto" w:sz="4" w:space="0"/>
            </w:tcBorders>
            <w:vAlign w:val="center"/>
          </w:tcPr>
          <w:p w14:paraId="10982DB4">
            <w:pPr>
              <w:jc w:val="center"/>
              <w:rPr>
                <w:color w:val="000000" w:themeColor="text1"/>
                <w14:textFill>
                  <w14:solidFill>
                    <w14:schemeClr w14:val="tx1"/>
                  </w14:solidFill>
                </w14:textFill>
              </w:rPr>
            </w:pPr>
            <w:r>
              <w:rPr>
                <w:color w:val="000000" w:themeColor="text1"/>
                <w14:textFill>
                  <w14:solidFill>
                    <w14:schemeClr w14:val="tx1"/>
                  </w14:solidFill>
                </w14:textFill>
              </w:rPr>
              <w:t>55</w:t>
            </w:r>
          </w:p>
        </w:tc>
        <w:tc>
          <w:tcPr>
            <w:tcW w:w="0" w:type="auto"/>
            <w:tcBorders>
              <w:top w:val="single" w:color="auto" w:sz="8" w:space="0"/>
              <w:left w:val="single" w:color="auto" w:sz="4" w:space="0"/>
              <w:bottom w:val="single" w:color="auto" w:sz="8" w:space="0"/>
              <w:right w:val="nil"/>
            </w:tcBorders>
            <w:vAlign w:val="center"/>
          </w:tcPr>
          <w:p w14:paraId="24CF731D">
            <w:pPr>
              <w:jc w:val="center"/>
              <w:rPr>
                <w:color w:val="000000" w:themeColor="text1"/>
                <w14:textFill>
                  <w14:solidFill>
                    <w14:schemeClr w14:val="tx1"/>
                  </w14:solidFill>
                </w14:textFill>
              </w:rPr>
            </w:pPr>
            <w:r>
              <w:rPr>
                <w:color w:val="000000" w:themeColor="text1"/>
                <w14:textFill>
                  <w14:solidFill>
                    <w14:schemeClr w14:val="tx1"/>
                  </w14:solidFill>
                </w14:textFill>
              </w:rPr>
              <w:t>53</w:t>
            </w:r>
          </w:p>
        </w:tc>
      </w:tr>
      <w:tr w14:paraId="6CED2776">
        <w:tblPrEx>
          <w:tblBorders>
            <w:top w:val="thinThickSmallGap" w:color="auto" w:sz="12" w:space="0"/>
            <w:left w:val="none" w:color="auto" w:sz="0" w:space="0"/>
            <w:bottom w:val="thinThickSmallGap"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09" w:type="dxa"/>
            <w:tcBorders>
              <w:top w:val="single" w:color="auto" w:sz="8" w:space="0"/>
              <w:bottom w:val="single" w:color="auto" w:sz="8" w:space="0"/>
            </w:tcBorders>
            <w:vAlign w:val="center"/>
          </w:tcPr>
          <w:p w14:paraId="2E6205D6">
            <w:pPr>
              <w:jc w:val="center"/>
              <w:rPr>
                <w:color w:val="000000" w:themeColor="text1"/>
                <w14:textFill>
                  <w14:solidFill>
                    <w14:schemeClr w14:val="tx1"/>
                  </w14:solidFill>
                </w14:textFill>
              </w:rPr>
            </w:pPr>
            <w:r>
              <w:rPr>
                <w:color w:val="000000" w:themeColor="text1"/>
                <w14:textFill>
                  <w14:solidFill>
                    <w14:schemeClr w14:val="tx1"/>
                  </w14:solidFill>
                </w14:textFill>
              </w:rPr>
              <w:t>与厂界南面距离</w:t>
            </w:r>
          </w:p>
        </w:tc>
        <w:tc>
          <w:tcPr>
            <w:tcW w:w="1134" w:type="dxa"/>
            <w:tcBorders>
              <w:top w:val="single" w:color="auto" w:sz="8" w:space="0"/>
              <w:bottom w:val="single" w:color="auto" w:sz="8" w:space="0"/>
            </w:tcBorders>
            <w:vAlign w:val="center"/>
          </w:tcPr>
          <w:p w14:paraId="79F37514">
            <w:pPr>
              <w:jc w:val="center"/>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134" w:type="dxa"/>
            <w:tcBorders>
              <w:top w:val="single" w:color="auto" w:sz="8" w:space="0"/>
              <w:bottom w:val="single" w:color="auto" w:sz="8" w:space="0"/>
            </w:tcBorders>
            <w:vAlign w:val="center"/>
          </w:tcPr>
          <w:p w14:paraId="6D4DBFE3">
            <w:pPr>
              <w:jc w:val="center"/>
              <w:rPr>
                <w:color w:val="000000" w:themeColor="text1"/>
                <w14:textFill>
                  <w14:solidFill>
                    <w14:schemeClr w14:val="tx1"/>
                  </w14:solidFill>
                </w14:textFill>
              </w:rPr>
            </w:pPr>
            <w:r>
              <w:rPr>
                <w:color w:val="000000" w:themeColor="text1"/>
                <w14:textFill>
                  <w14:solidFill>
                    <w14:schemeClr w14:val="tx1"/>
                  </w14:solidFill>
                </w14:textFill>
              </w:rPr>
              <w:t>50</w:t>
            </w:r>
          </w:p>
        </w:tc>
        <w:tc>
          <w:tcPr>
            <w:tcW w:w="851" w:type="dxa"/>
            <w:tcBorders>
              <w:top w:val="single" w:color="auto" w:sz="8" w:space="0"/>
              <w:bottom w:val="single" w:color="auto" w:sz="8" w:space="0"/>
            </w:tcBorders>
            <w:vAlign w:val="center"/>
          </w:tcPr>
          <w:p w14:paraId="612EA783">
            <w:pPr>
              <w:jc w:val="center"/>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276" w:type="dxa"/>
            <w:tcBorders>
              <w:top w:val="single" w:color="auto" w:sz="8" w:space="0"/>
              <w:bottom w:val="single" w:color="auto" w:sz="8" w:space="0"/>
            </w:tcBorders>
            <w:vAlign w:val="center"/>
          </w:tcPr>
          <w:p w14:paraId="7D8060C3">
            <w:pPr>
              <w:jc w:val="center"/>
              <w:rPr>
                <w:color w:val="000000" w:themeColor="text1"/>
                <w14:textFill>
                  <w14:solidFill>
                    <w14:schemeClr w14:val="tx1"/>
                  </w14:solidFill>
                </w14:textFill>
              </w:rPr>
            </w:pPr>
            <w:r>
              <w:rPr>
                <w:color w:val="000000" w:themeColor="text1"/>
                <w14:textFill>
                  <w14:solidFill>
                    <w14:schemeClr w14:val="tx1"/>
                  </w14:solidFill>
                </w14:textFill>
              </w:rPr>
              <w:t>35</w:t>
            </w:r>
          </w:p>
        </w:tc>
        <w:tc>
          <w:tcPr>
            <w:tcW w:w="888" w:type="dxa"/>
            <w:tcBorders>
              <w:top w:val="single" w:color="auto" w:sz="8" w:space="0"/>
              <w:bottom w:val="single" w:color="auto" w:sz="8" w:space="0"/>
            </w:tcBorders>
            <w:vAlign w:val="center"/>
          </w:tcPr>
          <w:p w14:paraId="4265D8CA">
            <w:pPr>
              <w:jc w:val="cente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0" w:type="auto"/>
            <w:tcBorders>
              <w:top w:val="single" w:color="auto" w:sz="8" w:space="0"/>
              <w:bottom w:val="single" w:color="auto" w:sz="8" w:space="0"/>
              <w:right w:val="single" w:color="auto" w:sz="4" w:space="0"/>
            </w:tcBorders>
            <w:vAlign w:val="center"/>
          </w:tcPr>
          <w:p w14:paraId="148F9D3D">
            <w:pPr>
              <w:jc w:val="center"/>
              <w:rPr>
                <w:color w:val="000000" w:themeColor="text1"/>
                <w14:textFill>
                  <w14:solidFill>
                    <w14:schemeClr w14:val="tx1"/>
                  </w14:solidFill>
                </w14:textFill>
              </w:rPr>
            </w:pPr>
            <w:r>
              <w:rPr>
                <w:color w:val="000000" w:themeColor="text1"/>
                <w14:textFill>
                  <w14:solidFill>
                    <w14:schemeClr w14:val="tx1"/>
                  </w14:solidFill>
                </w14:textFill>
              </w:rPr>
              <w:t>23</w:t>
            </w:r>
          </w:p>
        </w:tc>
        <w:tc>
          <w:tcPr>
            <w:tcW w:w="0" w:type="auto"/>
            <w:tcBorders>
              <w:top w:val="single" w:color="auto" w:sz="8" w:space="0"/>
              <w:left w:val="single" w:color="auto" w:sz="4" w:space="0"/>
              <w:bottom w:val="single" w:color="auto" w:sz="8" w:space="0"/>
              <w:right w:val="nil"/>
            </w:tcBorders>
            <w:vAlign w:val="center"/>
          </w:tcPr>
          <w:p w14:paraId="5B07B49F">
            <w:pPr>
              <w:jc w:val="center"/>
              <w:rPr>
                <w:color w:val="000000" w:themeColor="text1"/>
                <w14:textFill>
                  <w14:solidFill>
                    <w14:schemeClr w14:val="tx1"/>
                  </w14:solidFill>
                </w14:textFill>
              </w:rPr>
            </w:pPr>
            <w:r>
              <w:rPr>
                <w:color w:val="000000" w:themeColor="text1"/>
                <w14:textFill>
                  <w14:solidFill>
                    <w14:schemeClr w14:val="tx1"/>
                  </w14:solidFill>
                </w14:textFill>
              </w:rPr>
              <w:t>57</w:t>
            </w:r>
          </w:p>
        </w:tc>
      </w:tr>
      <w:tr w14:paraId="2FAEBD69">
        <w:tblPrEx>
          <w:tblBorders>
            <w:top w:val="thinThickSmallGap" w:color="auto" w:sz="12" w:space="0"/>
            <w:left w:val="none" w:color="auto" w:sz="0" w:space="0"/>
            <w:bottom w:val="thinThickSmallGap"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09" w:type="dxa"/>
            <w:tcBorders>
              <w:top w:val="single" w:color="auto" w:sz="8" w:space="0"/>
              <w:bottom w:val="single" w:color="auto" w:sz="8" w:space="0"/>
            </w:tcBorders>
            <w:vAlign w:val="center"/>
          </w:tcPr>
          <w:p w14:paraId="338711AB">
            <w:pPr>
              <w:jc w:val="center"/>
              <w:rPr>
                <w:color w:val="000000" w:themeColor="text1"/>
                <w14:textFill>
                  <w14:solidFill>
                    <w14:schemeClr w14:val="tx1"/>
                  </w14:solidFill>
                </w14:textFill>
              </w:rPr>
            </w:pPr>
            <w:r>
              <w:rPr>
                <w:color w:val="000000" w:themeColor="text1"/>
                <w14:textFill>
                  <w14:solidFill>
                    <w14:schemeClr w14:val="tx1"/>
                  </w14:solidFill>
                </w14:textFill>
              </w:rPr>
              <w:t>与厂界西面距离</w:t>
            </w:r>
          </w:p>
        </w:tc>
        <w:tc>
          <w:tcPr>
            <w:tcW w:w="1134" w:type="dxa"/>
            <w:tcBorders>
              <w:top w:val="single" w:color="auto" w:sz="8" w:space="0"/>
              <w:bottom w:val="single" w:color="auto" w:sz="8" w:space="0"/>
            </w:tcBorders>
            <w:vAlign w:val="center"/>
          </w:tcPr>
          <w:p w14:paraId="7FB4CA3A">
            <w:pPr>
              <w:jc w:val="center"/>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134" w:type="dxa"/>
            <w:tcBorders>
              <w:top w:val="single" w:color="auto" w:sz="8" w:space="0"/>
              <w:bottom w:val="single" w:color="auto" w:sz="8" w:space="0"/>
            </w:tcBorders>
            <w:vAlign w:val="center"/>
          </w:tcPr>
          <w:p w14:paraId="7E73C6D4">
            <w:pPr>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851" w:type="dxa"/>
            <w:tcBorders>
              <w:top w:val="single" w:color="auto" w:sz="8" w:space="0"/>
              <w:bottom w:val="single" w:color="auto" w:sz="8" w:space="0"/>
            </w:tcBorders>
            <w:vAlign w:val="center"/>
          </w:tcPr>
          <w:p w14:paraId="587B514D">
            <w:pPr>
              <w:jc w:val="center"/>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276" w:type="dxa"/>
            <w:tcBorders>
              <w:top w:val="single" w:color="auto" w:sz="8" w:space="0"/>
              <w:bottom w:val="single" w:color="auto" w:sz="8" w:space="0"/>
            </w:tcBorders>
            <w:vAlign w:val="center"/>
          </w:tcPr>
          <w:p w14:paraId="5A27031E">
            <w:pPr>
              <w:jc w:val="center"/>
              <w:rPr>
                <w:color w:val="000000" w:themeColor="text1"/>
                <w14:textFill>
                  <w14:solidFill>
                    <w14:schemeClr w14:val="tx1"/>
                  </w14:solidFill>
                </w14:textFill>
              </w:rPr>
            </w:pPr>
            <w:r>
              <w:rPr>
                <w:color w:val="000000" w:themeColor="text1"/>
                <w14:textFill>
                  <w14:solidFill>
                    <w14:schemeClr w14:val="tx1"/>
                  </w14:solidFill>
                </w14:textFill>
              </w:rPr>
              <w:t>18</w:t>
            </w:r>
          </w:p>
        </w:tc>
        <w:tc>
          <w:tcPr>
            <w:tcW w:w="888" w:type="dxa"/>
            <w:tcBorders>
              <w:top w:val="single" w:color="auto" w:sz="8" w:space="0"/>
              <w:bottom w:val="single" w:color="auto" w:sz="8" w:space="0"/>
            </w:tcBorders>
            <w:vAlign w:val="center"/>
          </w:tcPr>
          <w:p w14:paraId="7AFF7FF3">
            <w:pPr>
              <w:jc w:val="cente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0" w:type="auto"/>
            <w:tcBorders>
              <w:top w:val="single" w:color="auto" w:sz="8" w:space="0"/>
              <w:bottom w:val="single" w:color="auto" w:sz="8" w:space="0"/>
              <w:right w:val="single" w:color="auto" w:sz="4" w:space="0"/>
            </w:tcBorders>
            <w:vAlign w:val="center"/>
          </w:tcPr>
          <w:p w14:paraId="0C059D4E">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0" w:type="auto"/>
            <w:tcBorders>
              <w:top w:val="single" w:color="auto" w:sz="8" w:space="0"/>
              <w:left w:val="single" w:color="auto" w:sz="4" w:space="0"/>
              <w:bottom w:val="single" w:color="auto" w:sz="8" w:space="0"/>
              <w:right w:val="nil"/>
            </w:tcBorders>
            <w:vAlign w:val="center"/>
          </w:tcPr>
          <w:p w14:paraId="7DA39D01">
            <w:pPr>
              <w:jc w:val="center"/>
              <w:rPr>
                <w:color w:val="000000" w:themeColor="text1"/>
                <w14:textFill>
                  <w14:solidFill>
                    <w14:schemeClr w14:val="tx1"/>
                  </w14:solidFill>
                </w14:textFill>
              </w:rPr>
            </w:pPr>
            <w:r>
              <w:rPr>
                <w:color w:val="000000" w:themeColor="text1"/>
                <w14:textFill>
                  <w14:solidFill>
                    <w14:schemeClr w14:val="tx1"/>
                  </w14:solidFill>
                </w14:textFill>
              </w:rPr>
              <w:t>9</w:t>
            </w:r>
          </w:p>
        </w:tc>
      </w:tr>
      <w:tr w14:paraId="3BE53E63">
        <w:tblPrEx>
          <w:tblBorders>
            <w:top w:val="thinThickSmallGap" w:color="auto" w:sz="12" w:space="0"/>
            <w:left w:val="none" w:color="auto" w:sz="0" w:space="0"/>
            <w:bottom w:val="thinThickSmallGap"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09" w:type="dxa"/>
            <w:tcBorders>
              <w:top w:val="single" w:color="auto" w:sz="8" w:space="0"/>
              <w:bottom w:val="single" w:color="auto" w:sz="8" w:space="0"/>
            </w:tcBorders>
            <w:vAlign w:val="center"/>
          </w:tcPr>
          <w:p w14:paraId="2D85AAF2">
            <w:pPr>
              <w:jc w:val="center"/>
              <w:rPr>
                <w:color w:val="000000" w:themeColor="text1"/>
                <w14:textFill>
                  <w14:solidFill>
                    <w14:schemeClr w14:val="tx1"/>
                  </w14:solidFill>
                </w14:textFill>
              </w:rPr>
            </w:pPr>
            <w:r>
              <w:rPr>
                <w:color w:val="000000" w:themeColor="text1"/>
                <w14:textFill>
                  <w14:solidFill>
                    <w14:schemeClr w14:val="tx1"/>
                  </w14:solidFill>
                </w14:textFill>
              </w:rPr>
              <w:t>与厂界北面距离</w:t>
            </w:r>
          </w:p>
        </w:tc>
        <w:tc>
          <w:tcPr>
            <w:tcW w:w="1134" w:type="dxa"/>
            <w:tcBorders>
              <w:top w:val="single" w:color="auto" w:sz="8" w:space="0"/>
              <w:bottom w:val="single" w:color="auto" w:sz="8" w:space="0"/>
            </w:tcBorders>
            <w:vAlign w:val="center"/>
          </w:tcPr>
          <w:p w14:paraId="089FA4D5">
            <w:pPr>
              <w:jc w:val="center"/>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134" w:type="dxa"/>
            <w:tcBorders>
              <w:top w:val="single" w:color="auto" w:sz="8" w:space="0"/>
              <w:bottom w:val="single" w:color="auto" w:sz="8" w:space="0"/>
            </w:tcBorders>
            <w:vAlign w:val="center"/>
          </w:tcPr>
          <w:p w14:paraId="17DA6B4C">
            <w:pPr>
              <w:jc w:val="center"/>
              <w:rPr>
                <w:color w:val="000000" w:themeColor="text1"/>
                <w14:textFill>
                  <w14:solidFill>
                    <w14:schemeClr w14:val="tx1"/>
                  </w14:solidFill>
                </w14:textFill>
              </w:rPr>
            </w:pPr>
            <w:r>
              <w:rPr>
                <w:color w:val="000000" w:themeColor="text1"/>
                <w14:textFill>
                  <w14:solidFill>
                    <w14:schemeClr w14:val="tx1"/>
                  </w14:solidFill>
                </w14:textFill>
              </w:rPr>
              <w:t>30</w:t>
            </w:r>
          </w:p>
        </w:tc>
        <w:tc>
          <w:tcPr>
            <w:tcW w:w="851" w:type="dxa"/>
            <w:tcBorders>
              <w:top w:val="single" w:color="auto" w:sz="8" w:space="0"/>
              <w:bottom w:val="single" w:color="auto" w:sz="8" w:space="0"/>
            </w:tcBorders>
            <w:vAlign w:val="center"/>
          </w:tcPr>
          <w:p w14:paraId="29D1D38E">
            <w:pPr>
              <w:jc w:val="center"/>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276" w:type="dxa"/>
            <w:tcBorders>
              <w:top w:val="single" w:color="auto" w:sz="8" w:space="0"/>
              <w:bottom w:val="single" w:color="auto" w:sz="8" w:space="0"/>
            </w:tcBorders>
            <w:vAlign w:val="center"/>
          </w:tcPr>
          <w:p w14:paraId="02A8BE40">
            <w:pPr>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888" w:type="dxa"/>
            <w:tcBorders>
              <w:top w:val="single" w:color="auto" w:sz="8" w:space="0"/>
              <w:bottom w:val="single" w:color="auto" w:sz="8" w:space="0"/>
            </w:tcBorders>
            <w:vAlign w:val="center"/>
          </w:tcPr>
          <w:p w14:paraId="480B9B5B">
            <w:pPr>
              <w:jc w:val="center"/>
              <w:rPr>
                <w:color w:val="000000" w:themeColor="text1"/>
                <w14:textFill>
                  <w14:solidFill>
                    <w14:schemeClr w14:val="tx1"/>
                  </w14:solidFill>
                </w14:textFill>
              </w:rPr>
            </w:pPr>
            <w:r>
              <w:rPr>
                <w:color w:val="000000" w:themeColor="text1"/>
                <w14:textFill>
                  <w14:solidFill>
                    <w14:schemeClr w14:val="tx1"/>
                  </w14:solidFill>
                </w14:textFill>
              </w:rPr>
              <w:t>56</w:t>
            </w:r>
          </w:p>
        </w:tc>
        <w:tc>
          <w:tcPr>
            <w:tcW w:w="0" w:type="auto"/>
            <w:tcBorders>
              <w:top w:val="single" w:color="auto" w:sz="8" w:space="0"/>
              <w:bottom w:val="single" w:color="auto" w:sz="8" w:space="0"/>
              <w:right w:val="single" w:color="auto" w:sz="4" w:space="0"/>
            </w:tcBorders>
            <w:vAlign w:val="center"/>
          </w:tcPr>
          <w:p w14:paraId="4EB80B6D">
            <w:pPr>
              <w:jc w:val="center"/>
              <w:rPr>
                <w:color w:val="000000" w:themeColor="text1"/>
                <w14:textFill>
                  <w14:solidFill>
                    <w14:schemeClr w14:val="tx1"/>
                  </w14:solidFill>
                </w14:textFill>
              </w:rPr>
            </w:pPr>
            <w:r>
              <w:rPr>
                <w:color w:val="000000" w:themeColor="text1"/>
                <w14:textFill>
                  <w14:solidFill>
                    <w14:schemeClr w14:val="tx1"/>
                  </w14:solidFill>
                </w14:textFill>
              </w:rPr>
              <w:t>55</w:t>
            </w:r>
          </w:p>
        </w:tc>
        <w:tc>
          <w:tcPr>
            <w:tcW w:w="0" w:type="auto"/>
            <w:tcBorders>
              <w:top w:val="single" w:color="auto" w:sz="8" w:space="0"/>
              <w:left w:val="single" w:color="auto" w:sz="4" w:space="0"/>
              <w:bottom w:val="single" w:color="auto" w:sz="8" w:space="0"/>
              <w:right w:val="nil"/>
            </w:tcBorders>
            <w:vAlign w:val="center"/>
          </w:tcPr>
          <w:p w14:paraId="0C1DF922">
            <w:pPr>
              <w:jc w:val="center"/>
              <w:rPr>
                <w:color w:val="000000" w:themeColor="text1"/>
                <w14:textFill>
                  <w14:solidFill>
                    <w14:schemeClr w14:val="tx1"/>
                  </w14:solidFill>
                </w14:textFill>
              </w:rPr>
            </w:pPr>
            <w:r>
              <w:rPr>
                <w:color w:val="000000" w:themeColor="text1"/>
                <w14:textFill>
                  <w14:solidFill>
                    <w14:schemeClr w14:val="tx1"/>
                  </w14:solidFill>
                </w14:textFill>
              </w:rPr>
              <w:t>22</w:t>
            </w:r>
          </w:p>
        </w:tc>
      </w:tr>
      <w:tr w14:paraId="30789300">
        <w:tblPrEx>
          <w:tblBorders>
            <w:top w:val="thinThickSmallGap" w:color="auto" w:sz="12" w:space="0"/>
            <w:left w:val="none" w:color="auto" w:sz="0" w:space="0"/>
            <w:bottom w:val="thinThickSmallGap"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09" w:type="dxa"/>
            <w:tcBorders>
              <w:top w:val="single" w:color="auto" w:sz="8" w:space="0"/>
              <w:bottom w:val="thinThickSmallGap" w:color="auto" w:sz="12" w:space="0"/>
            </w:tcBorders>
            <w:vAlign w:val="center"/>
          </w:tcPr>
          <w:p w14:paraId="0CE9F8A2">
            <w:pPr>
              <w:jc w:val="center"/>
              <w:rPr>
                <w:color w:val="000000" w:themeColor="text1"/>
                <w14:textFill>
                  <w14:solidFill>
                    <w14:schemeClr w14:val="tx1"/>
                  </w14:solidFill>
                </w14:textFill>
              </w:rPr>
            </w:pPr>
            <w:r>
              <w:rPr>
                <w:color w:val="000000" w:themeColor="text1"/>
                <w14:textFill>
                  <w14:solidFill>
                    <w14:schemeClr w14:val="tx1"/>
                  </w14:solidFill>
                </w14:textFill>
              </w:rPr>
              <w:t>四分场四队</w:t>
            </w:r>
          </w:p>
        </w:tc>
        <w:tc>
          <w:tcPr>
            <w:tcW w:w="1134" w:type="dxa"/>
            <w:tcBorders>
              <w:top w:val="single" w:color="auto" w:sz="8" w:space="0"/>
              <w:bottom w:val="thinThickSmallGap" w:color="auto" w:sz="12" w:space="0"/>
            </w:tcBorders>
            <w:vAlign w:val="center"/>
          </w:tcPr>
          <w:p w14:paraId="278CFBC4">
            <w:pPr>
              <w:jc w:val="center"/>
              <w:rPr>
                <w:color w:val="000000" w:themeColor="text1"/>
                <w14:textFill>
                  <w14:solidFill>
                    <w14:schemeClr w14:val="tx1"/>
                  </w14:solidFill>
                </w14:textFill>
              </w:rPr>
            </w:pPr>
            <w:r>
              <w:rPr>
                <w:color w:val="000000" w:themeColor="text1"/>
                <w14:textFill>
                  <w14:solidFill>
                    <w14:schemeClr w14:val="tx1"/>
                  </w14:solidFill>
                </w14:textFill>
              </w:rPr>
              <w:t>155</w:t>
            </w:r>
          </w:p>
        </w:tc>
        <w:tc>
          <w:tcPr>
            <w:tcW w:w="1134" w:type="dxa"/>
            <w:tcBorders>
              <w:top w:val="single" w:color="auto" w:sz="8" w:space="0"/>
              <w:bottom w:val="thinThickSmallGap" w:color="auto" w:sz="12" w:space="0"/>
            </w:tcBorders>
            <w:vAlign w:val="center"/>
          </w:tcPr>
          <w:p w14:paraId="2A2375DA">
            <w:pPr>
              <w:jc w:val="center"/>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851" w:type="dxa"/>
            <w:tcBorders>
              <w:top w:val="single" w:color="auto" w:sz="8" w:space="0"/>
              <w:bottom w:val="thinThickSmallGap" w:color="auto" w:sz="12" w:space="0"/>
            </w:tcBorders>
            <w:vAlign w:val="center"/>
          </w:tcPr>
          <w:p w14:paraId="6D41803C">
            <w:pPr>
              <w:jc w:val="center"/>
              <w:rPr>
                <w:color w:val="000000" w:themeColor="text1"/>
                <w14:textFill>
                  <w14:solidFill>
                    <w14:schemeClr w14:val="tx1"/>
                  </w14:solidFill>
                </w14:textFill>
              </w:rPr>
            </w:pPr>
            <w:r>
              <w:rPr>
                <w:color w:val="000000" w:themeColor="text1"/>
                <w14:textFill>
                  <w14:solidFill>
                    <w14:schemeClr w14:val="tx1"/>
                  </w14:solidFill>
                </w14:textFill>
              </w:rPr>
              <w:t>170</w:t>
            </w:r>
          </w:p>
        </w:tc>
        <w:tc>
          <w:tcPr>
            <w:tcW w:w="1276" w:type="dxa"/>
            <w:tcBorders>
              <w:top w:val="single" w:color="auto" w:sz="8" w:space="0"/>
              <w:bottom w:val="thinThickSmallGap" w:color="auto" w:sz="12" w:space="0"/>
            </w:tcBorders>
            <w:vAlign w:val="center"/>
          </w:tcPr>
          <w:p w14:paraId="7120B167">
            <w:pPr>
              <w:jc w:val="center"/>
              <w:rPr>
                <w:color w:val="000000" w:themeColor="text1"/>
                <w14:textFill>
                  <w14:solidFill>
                    <w14:schemeClr w14:val="tx1"/>
                  </w14:solidFill>
                </w14:textFill>
              </w:rPr>
            </w:pPr>
            <w:r>
              <w:rPr>
                <w:color w:val="000000" w:themeColor="text1"/>
                <w14:textFill>
                  <w14:solidFill>
                    <w14:schemeClr w14:val="tx1"/>
                  </w14:solidFill>
                </w14:textFill>
              </w:rPr>
              <w:t>178</w:t>
            </w:r>
          </w:p>
        </w:tc>
        <w:tc>
          <w:tcPr>
            <w:tcW w:w="888" w:type="dxa"/>
            <w:tcBorders>
              <w:top w:val="single" w:color="auto" w:sz="8" w:space="0"/>
              <w:bottom w:val="thinThickSmallGap" w:color="auto" w:sz="12" w:space="0"/>
            </w:tcBorders>
            <w:vAlign w:val="center"/>
          </w:tcPr>
          <w:p w14:paraId="74AFA8F4">
            <w:pPr>
              <w:jc w:val="center"/>
              <w:rPr>
                <w:color w:val="000000" w:themeColor="text1"/>
                <w14:textFill>
                  <w14:solidFill>
                    <w14:schemeClr w14:val="tx1"/>
                  </w14:solidFill>
                </w14:textFill>
              </w:rPr>
            </w:pPr>
            <w:r>
              <w:rPr>
                <w:color w:val="000000" w:themeColor="text1"/>
                <w14:textFill>
                  <w14:solidFill>
                    <w14:schemeClr w14:val="tx1"/>
                  </w14:solidFill>
                </w14:textFill>
              </w:rPr>
              <w:t>186</w:t>
            </w:r>
          </w:p>
        </w:tc>
        <w:tc>
          <w:tcPr>
            <w:tcW w:w="0" w:type="auto"/>
            <w:tcBorders>
              <w:top w:val="single" w:color="auto" w:sz="8" w:space="0"/>
              <w:bottom w:val="thinThickSmallGap" w:color="auto" w:sz="12" w:space="0"/>
              <w:right w:val="single" w:color="auto" w:sz="4" w:space="0"/>
            </w:tcBorders>
            <w:vAlign w:val="center"/>
          </w:tcPr>
          <w:p w14:paraId="42876E4A">
            <w:pPr>
              <w:jc w:val="center"/>
              <w:rPr>
                <w:color w:val="000000" w:themeColor="text1"/>
                <w14:textFill>
                  <w14:solidFill>
                    <w14:schemeClr w14:val="tx1"/>
                  </w14:solidFill>
                </w14:textFill>
              </w:rPr>
            </w:pPr>
            <w:r>
              <w:rPr>
                <w:color w:val="000000" w:themeColor="text1"/>
                <w14:textFill>
                  <w14:solidFill>
                    <w14:schemeClr w14:val="tx1"/>
                  </w14:solidFill>
                </w14:textFill>
              </w:rPr>
              <w:t>185</w:t>
            </w:r>
          </w:p>
        </w:tc>
        <w:tc>
          <w:tcPr>
            <w:tcW w:w="0" w:type="auto"/>
            <w:tcBorders>
              <w:top w:val="single" w:color="auto" w:sz="8" w:space="0"/>
              <w:left w:val="single" w:color="auto" w:sz="4" w:space="0"/>
              <w:bottom w:val="thinThickSmallGap" w:color="auto" w:sz="12" w:space="0"/>
              <w:right w:val="nil"/>
            </w:tcBorders>
            <w:vAlign w:val="center"/>
          </w:tcPr>
          <w:p w14:paraId="4D9002D5">
            <w:pPr>
              <w:jc w:val="center"/>
              <w:rPr>
                <w:color w:val="000000" w:themeColor="text1"/>
                <w14:textFill>
                  <w14:solidFill>
                    <w14:schemeClr w14:val="tx1"/>
                  </w14:solidFill>
                </w14:textFill>
              </w:rPr>
            </w:pPr>
            <w:r>
              <w:rPr>
                <w:color w:val="000000" w:themeColor="text1"/>
                <w14:textFill>
                  <w14:solidFill>
                    <w14:schemeClr w14:val="tx1"/>
                  </w14:solidFill>
                </w14:textFill>
              </w:rPr>
              <w:t>172</w:t>
            </w:r>
          </w:p>
        </w:tc>
      </w:tr>
    </w:tbl>
    <w:p w14:paraId="21EF5D4D">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6.5.3预测模式</w:t>
      </w:r>
    </w:p>
    <w:p w14:paraId="1F93F4DD">
      <w:pPr>
        <w:pStyle w:val="297"/>
        <w:ind w:firstLine="480"/>
        <w:rPr>
          <w:color w:val="000000" w:themeColor="text1"/>
          <w14:textFill>
            <w14:solidFill>
              <w14:schemeClr w14:val="tx1"/>
            </w14:solidFill>
          </w14:textFill>
        </w:rPr>
      </w:pPr>
      <w:r>
        <w:rPr>
          <w:color w:val="000000" w:themeColor="text1"/>
          <w14:textFill>
            <w14:solidFill>
              <w14:schemeClr w14:val="tx1"/>
            </w14:solidFill>
          </w14:textFill>
        </w:rPr>
        <w:t>运营期噪声源主要是设备噪声，所以按照点声源考虑，采用点声源评价模式：</w:t>
      </w:r>
    </w:p>
    <w:p w14:paraId="661C8C8D">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pict>
          <v:shape id="_x0000_s1187" o:spid="_x0000_s1187" o:spt="75" type="#_x0000_t75" style="position:absolute;left:0pt;margin-left:117.3pt;margin-top:21.45pt;height:43.15pt;width:119.1pt;mso-position-horizontal-relative:page;mso-wrap-distance-bottom:0pt;mso-wrap-distance-top:0pt;z-index:251663360;mso-width-relative:page;mso-height-relative:page;" o:ole="t" filled="f" o:preferrelative="t" stroked="f" coordsize="21600,21600">
            <v:path/>
            <v:fill on="f" focussize="0,0"/>
            <v:stroke on="f" joinstyle="miter"/>
            <v:imagedata r:id="rId31" o:title=""/>
            <o:lock v:ext="edit" aspectratio="t"/>
            <w10:wrap type="topAndBottom"/>
          </v:shape>
          <o:OLEObject Type="Embed" ProgID="Equation.3" ShapeID="_x0000_s1187" DrawAspect="Content" ObjectID="_1468075728" r:id="rId30">
            <o:LockedField>false</o:LockedField>
          </o:OLEObject>
        </w:pict>
      </w:r>
      <w:r>
        <w:rPr>
          <w:color w:val="000000" w:themeColor="text1"/>
          <w:sz w:val="24"/>
          <w14:textFill>
            <w14:solidFill>
              <w14:schemeClr w14:val="tx1"/>
            </w14:solidFill>
          </w14:textFill>
        </w:rPr>
        <w:t>各点声源至预测点噪声衰减模式为：</w:t>
      </w:r>
    </w:p>
    <w:p w14:paraId="3AA74CE3">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式中：Lp：预测声级值，dB(A)</w:t>
      </w:r>
    </w:p>
    <w:p w14:paraId="0B49C216">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p0</w:t>
      </w:r>
      <w:r>
        <w:rPr>
          <w:color w:val="000000" w:themeColor="text1"/>
          <w:sz w:val="24"/>
          <w14:textFill>
            <w14:solidFill>
              <w14:schemeClr w14:val="tx1"/>
            </w14:solidFill>
          </w14:textFill>
        </w:rPr>
        <w:t>：参考位置r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处的声级值，dB(A)</w:t>
      </w:r>
    </w:p>
    <w:p w14:paraId="42A79A38">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-：预测点与声源之间的距离， m</w:t>
      </w:r>
    </w:p>
    <w:p w14:paraId="3FF248FC">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 参考声级与点声源间的距离，m</w:t>
      </w:r>
    </w:p>
    <w:p w14:paraId="09369242">
      <w:pPr>
        <w:widowControl/>
        <w:spacing w:line="360" w:lineRule="auto"/>
        <w:ind w:firstLine="480" w:firstLineChars="200"/>
        <w:jc w:val="left"/>
        <w:rPr>
          <w:color w:val="000000" w:themeColor="text1"/>
          <w:sz w:val="24"/>
          <w14:textFill>
            <w14:solidFill>
              <w14:schemeClr w14:val="tx1"/>
            </w14:solidFill>
          </w14:textFill>
        </w:rPr>
      </w:pPr>
      <w:r>
        <w:rPr>
          <w:rFonts w:ascii="Cambria Math" w:hAnsi="Cambria Math" w:cs="Cambria Math"/>
          <w:color w:val="000000" w:themeColor="text1"/>
          <w:sz w:val="24"/>
          <w14:textFill>
            <w14:solidFill>
              <w14:schemeClr w14:val="tx1"/>
            </w14:solidFill>
          </w14:textFill>
        </w:rPr>
        <w:t>△</w:t>
      </w:r>
      <w:r>
        <w:rPr>
          <w:color w:val="000000" w:themeColor="text1"/>
          <w:sz w:val="24"/>
          <w14:textFill>
            <w14:solidFill>
              <w14:schemeClr w14:val="tx1"/>
            </w14:solidFill>
          </w14:textFill>
        </w:rPr>
        <w:t>L：附加衰减量，dB(A)（本次评价取值为10）</w:t>
      </w:r>
    </w:p>
    <w:p w14:paraId="221EA548">
      <w:pPr>
        <w:pStyle w:val="297"/>
        <w:ind w:firstLine="480"/>
        <w:rPr>
          <w:color w:val="000000" w:themeColor="text1"/>
          <w14:textFill>
            <w14:solidFill>
              <w14:schemeClr w14:val="tx1"/>
            </w14:solidFill>
          </w14:textFill>
        </w:rPr>
      </w:pPr>
      <w:r>
        <w:rPr>
          <w:color w:val="000000" w:themeColor="text1"/>
          <w14:textFill>
            <w14:solidFill>
              <w14:schemeClr w14:val="tx1"/>
            </w14:solidFill>
          </w14:textFill>
        </w:rPr>
        <w:t>各受声点的声源叠加按下列公式计算：</w:t>
      </w:r>
    </w:p>
    <w:p w14:paraId="6C256BDC">
      <w:pPr>
        <w:pStyle w:val="297"/>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1247140" cy="485140"/>
            <wp:effectExtent l="0" t="0" r="0" b="0"/>
            <wp:docPr id="7618" name="图片 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 name="图片 76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47140" cy="485140"/>
                    </a:xfrm>
                    <a:prstGeom prst="rect">
                      <a:avLst/>
                    </a:prstGeom>
                    <a:noFill/>
                    <a:ln>
                      <a:noFill/>
                    </a:ln>
                  </pic:spPr>
                </pic:pic>
              </a:graphicData>
            </a:graphic>
          </wp:inline>
        </w:drawing>
      </w:r>
    </w:p>
    <w:p w14:paraId="6A3EF090">
      <w:pPr>
        <w:pStyle w:val="297"/>
        <w:ind w:firstLine="480"/>
        <w:rPr>
          <w:color w:val="000000" w:themeColor="text1"/>
          <w14:textFill>
            <w14:solidFill>
              <w14:schemeClr w14:val="tx1"/>
            </w14:solidFill>
          </w14:textFill>
        </w:rPr>
      </w:pPr>
      <w:r>
        <w:rPr>
          <w:color w:val="000000" w:themeColor="text1"/>
          <w14:textFill>
            <w14:solidFill>
              <w14:schemeClr w14:val="tx1"/>
            </w14:solidFill>
          </w14:textFill>
        </w:rPr>
        <w:t>式中：Li--- 第i个声源声值；</w:t>
      </w:r>
    </w:p>
    <w:p w14:paraId="02005570">
      <w:pPr>
        <w:pStyle w:val="297"/>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LA-- 某点噪声总叠加值；</w:t>
      </w:r>
    </w:p>
    <w:p w14:paraId="209E8C66">
      <w:pPr>
        <w:pStyle w:val="297"/>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n---声源个数；</w:t>
      </w:r>
    </w:p>
    <w:p w14:paraId="6DAC4540">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6.5.4预测方法</w:t>
      </w:r>
    </w:p>
    <w:p w14:paraId="653DB26A">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采用软件预测，版本为“环安科技 噪声环境影响评价系统”，预测时，各种机械设备产生的噪声取最大值进行预测，项目夜间不生产。预测噪声等值线图详见附图5（昼间）。</w:t>
      </w:r>
    </w:p>
    <w:p w14:paraId="0D67C05C">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6.5.5预测结果</w:t>
      </w:r>
    </w:p>
    <w:p w14:paraId="0943A06C">
      <w:pPr>
        <w:widowControl/>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（1）运营期噪声厂界影响预测结果</w:t>
      </w:r>
    </w:p>
    <w:p w14:paraId="24718EC0">
      <w:pPr>
        <w:widowControl/>
        <w:ind w:firstLine="480"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表6.5-2   运营期噪声厂界影响预测   单位：dB（A）</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84"/>
        <w:gridCol w:w="1846"/>
        <w:gridCol w:w="1842"/>
        <w:gridCol w:w="1850"/>
      </w:tblGrid>
      <w:tr w14:paraId="7523D34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Merge w:val="restart"/>
            <w:vAlign w:val="center"/>
          </w:tcPr>
          <w:p w14:paraId="528FDEC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厂界最大预测值</w:t>
            </w:r>
          </w:p>
        </w:tc>
        <w:tc>
          <w:tcPr>
            <w:tcW w:w="3249" w:type="pct"/>
            <w:gridSpan w:val="3"/>
            <w:vAlign w:val="center"/>
          </w:tcPr>
          <w:p w14:paraId="3AD5F80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p>
        </w:tc>
      </w:tr>
      <w:tr w14:paraId="6E40ED7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Merge w:val="continue"/>
            <w:vAlign w:val="center"/>
          </w:tcPr>
          <w:p w14:paraId="2FD4E6D4">
            <w:pPr>
              <w:widowControl/>
              <w:jc w:val="center"/>
              <w:rPr>
                <w:color w:val="000000" w:themeColor="text1"/>
                <w:kern w:val="0"/>
                <w:szCs w:val="21"/>
                <w14:textFill>
                  <w14:solidFill>
                    <w14:schemeClr w14:val="tx1"/>
                  </w14:solidFill>
                </w14:textFill>
              </w:rPr>
            </w:pPr>
          </w:p>
        </w:tc>
        <w:tc>
          <w:tcPr>
            <w:tcW w:w="1083" w:type="pct"/>
            <w:vAlign w:val="center"/>
          </w:tcPr>
          <w:p w14:paraId="7303294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贡献值</w:t>
            </w:r>
          </w:p>
        </w:tc>
        <w:tc>
          <w:tcPr>
            <w:tcW w:w="1081" w:type="pct"/>
            <w:vAlign w:val="center"/>
          </w:tcPr>
          <w:p w14:paraId="109AB80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标准值</w:t>
            </w:r>
          </w:p>
        </w:tc>
        <w:tc>
          <w:tcPr>
            <w:tcW w:w="1085" w:type="pct"/>
            <w:vAlign w:val="center"/>
          </w:tcPr>
          <w:p w14:paraId="29876A1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达标情况</w:t>
            </w:r>
          </w:p>
        </w:tc>
      </w:tr>
      <w:tr w14:paraId="5E859CC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Align w:val="center"/>
          </w:tcPr>
          <w:p w14:paraId="033DCA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东厂界最大预测值</w:t>
            </w:r>
          </w:p>
        </w:tc>
        <w:tc>
          <w:tcPr>
            <w:tcW w:w="1083" w:type="pct"/>
            <w:vAlign w:val="center"/>
          </w:tcPr>
          <w:p w14:paraId="473830A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47.99</w:t>
            </w:r>
          </w:p>
        </w:tc>
        <w:tc>
          <w:tcPr>
            <w:tcW w:w="1081" w:type="pct"/>
            <w:vAlign w:val="center"/>
          </w:tcPr>
          <w:p w14:paraId="5DA0595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c>
          <w:tcPr>
            <w:tcW w:w="1085" w:type="pct"/>
            <w:vAlign w:val="center"/>
          </w:tcPr>
          <w:p w14:paraId="6C97C78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5F5B18E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Align w:val="center"/>
          </w:tcPr>
          <w:p w14:paraId="28B960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南厂界最大预测值</w:t>
            </w:r>
          </w:p>
        </w:tc>
        <w:tc>
          <w:tcPr>
            <w:tcW w:w="1083" w:type="pct"/>
            <w:vAlign w:val="center"/>
          </w:tcPr>
          <w:p w14:paraId="64190A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49.21</w:t>
            </w:r>
          </w:p>
        </w:tc>
        <w:tc>
          <w:tcPr>
            <w:tcW w:w="1081" w:type="pct"/>
            <w:vAlign w:val="center"/>
          </w:tcPr>
          <w:p w14:paraId="27A8D2A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c>
          <w:tcPr>
            <w:tcW w:w="1085" w:type="pct"/>
            <w:vAlign w:val="center"/>
          </w:tcPr>
          <w:p w14:paraId="5792DA3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2F65B88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Align w:val="center"/>
          </w:tcPr>
          <w:p w14:paraId="0AB61C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西厂界最大预测值</w:t>
            </w:r>
          </w:p>
        </w:tc>
        <w:tc>
          <w:tcPr>
            <w:tcW w:w="1083" w:type="pct"/>
            <w:vAlign w:val="center"/>
          </w:tcPr>
          <w:p w14:paraId="12D492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58.27</w:t>
            </w:r>
          </w:p>
        </w:tc>
        <w:tc>
          <w:tcPr>
            <w:tcW w:w="1081" w:type="pct"/>
            <w:vAlign w:val="center"/>
          </w:tcPr>
          <w:p w14:paraId="31BDADE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c>
          <w:tcPr>
            <w:tcW w:w="1085" w:type="pct"/>
            <w:vAlign w:val="center"/>
          </w:tcPr>
          <w:p w14:paraId="27DBD9A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7B5D925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Align w:val="center"/>
          </w:tcPr>
          <w:p w14:paraId="78DB51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北厂界最大预测值</w:t>
            </w:r>
          </w:p>
        </w:tc>
        <w:tc>
          <w:tcPr>
            <w:tcW w:w="1083" w:type="pct"/>
            <w:vAlign w:val="center"/>
          </w:tcPr>
          <w:p w14:paraId="46CCAF4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51.46</w:t>
            </w:r>
          </w:p>
        </w:tc>
        <w:tc>
          <w:tcPr>
            <w:tcW w:w="1081" w:type="pct"/>
            <w:vAlign w:val="center"/>
          </w:tcPr>
          <w:p w14:paraId="4B317D4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c>
          <w:tcPr>
            <w:tcW w:w="1085" w:type="pct"/>
            <w:vAlign w:val="center"/>
          </w:tcPr>
          <w:p w14:paraId="43D783F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bl>
    <w:p w14:paraId="5EB1B045">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根据上表计算结果可知，项目运营期间厂界噪声昼间（夜间不生产）可满足GB12348-2008《工业企业厂界环境噪声排放标准》2类标准。</w:t>
      </w:r>
    </w:p>
    <w:p w14:paraId="054174B0">
      <w:pPr>
        <w:widowControl/>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（2）对敏感点的影响</w:t>
      </w:r>
    </w:p>
    <w:p w14:paraId="0C7633D5">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距离项目区最近的保护目标位于北侧130m的四分场四队，预测结果如下：</w:t>
      </w:r>
    </w:p>
    <w:p w14:paraId="13651013">
      <w:pPr>
        <w:widowControl/>
        <w:ind w:firstLine="480"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表6.5-3   运营期保护目标声影响预测   单位：dB（A）</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1285"/>
        <w:gridCol w:w="1283"/>
        <w:gridCol w:w="1287"/>
        <w:gridCol w:w="1287"/>
        <w:gridCol w:w="1302"/>
      </w:tblGrid>
      <w:tr w14:paraId="19CABBE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19" w:type="pct"/>
            <w:vMerge w:val="restart"/>
            <w:vAlign w:val="center"/>
          </w:tcPr>
          <w:p w14:paraId="009A96C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位置</w:t>
            </w:r>
          </w:p>
        </w:tc>
        <w:tc>
          <w:tcPr>
            <w:tcW w:w="3781" w:type="pct"/>
            <w:gridSpan w:val="5"/>
            <w:vAlign w:val="center"/>
          </w:tcPr>
          <w:p w14:paraId="5383BCD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p>
        </w:tc>
      </w:tr>
      <w:tr w14:paraId="77E96EE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19" w:type="pct"/>
            <w:vMerge w:val="continue"/>
            <w:vAlign w:val="center"/>
          </w:tcPr>
          <w:p w14:paraId="4CFB60B3">
            <w:pPr>
              <w:widowControl/>
              <w:jc w:val="center"/>
              <w:rPr>
                <w:color w:val="000000" w:themeColor="text1"/>
                <w:kern w:val="0"/>
                <w:szCs w:val="21"/>
                <w14:textFill>
                  <w14:solidFill>
                    <w14:schemeClr w14:val="tx1"/>
                  </w14:solidFill>
                </w14:textFill>
              </w:rPr>
            </w:pPr>
          </w:p>
        </w:tc>
        <w:tc>
          <w:tcPr>
            <w:tcW w:w="754" w:type="pct"/>
            <w:vAlign w:val="center"/>
          </w:tcPr>
          <w:p w14:paraId="71BA29A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贡献值</w:t>
            </w:r>
          </w:p>
        </w:tc>
        <w:tc>
          <w:tcPr>
            <w:tcW w:w="753" w:type="pct"/>
            <w:vAlign w:val="center"/>
          </w:tcPr>
          <w:p w14:paraId="7F840FA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背景值</w:t>
            </w:r>
          </w:p>
        </w:tc>
        <w:tc>
          <w:tcPr>
            <w:tcW w:w="755" w:type="pct"/>
            <w:vAlign w:val="center"/>
          </w:tcPr>
          <w:p w14:paraId="3BB2378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叠加值</w:t>
            </w:r>
          </w:p>
        </w:tc>
        <w:tc>
          <w:tcPr>
            <w:tcW w:w="755" w:type="pct"/>
            <w:vAlign w:val="center"/>
          </w:tcPr>
          <w:p w14:paraId="5B1C906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标准值</w:t>
            </w:r>
          </w:p>
        </w:tc>
        <w:tc>
          <w:tcPr>
            <w:tcW w:w="764" w:type="pct"/>
            <w:vAlign w:val="center"/>
          </w:tcPr>
          <w:p w14:paraId="4176F6B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达标情况</w:t>
            </w:r>
          </w:p>
        </w:tc>
      </w:tr>
      <w:tr w14:paraId="767C1EB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19" w:type="pct"/>
            <w:vAlign w:val="center"/>
          </w:tcPr>
          <w:p w14:paraId="55839E3A">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四分场四队</w:t>
            </w:r>
          </w:p>
        </w:tc>
        <w:tc>
          <w:tcPr>
            <w:tcW w:w="754" w:type="pct"/>
            <w:vAlign w:val="center"/>
          </w:tcPr>
          <w:p w14:paraId="13C8C4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35.51</w:t>
            </w:r>
          </w:p>
        </w:tc>
        <w:tc>
          <w:tcPr>
            <w:tcW w:w="753" w:type="pct"/>
            <w:vAlign w:val="center"/>
          </w:tcPr>
          <w:p w14:paraId="500711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755" w:type="pct"/>
            <w:vAlign w:val="center"/>
          </w:tcPr>
          <w:p w14:paraId="7133CD3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42.08</w:t>
            </w:r>
          </w:p>
        </w:tc>
        <w:tc>
          <w:tcPr>
            <w:tcW w:w="755" w:type="pct"/>
            <w:vAlign w:val="center"/>
          </w:tcPr>
          <w:p w14:paraId="62B0108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c>
          <w:tcPr>
            <w:tcW w:w="764" w:type="pct"/>
            <w:vAlign w:val="center"/>
          </w:tcPr>
          <w:p w14:paraId="0332E07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6E22AD0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6"/>
            <w:vAlign w:val="center"/>
          </w:tcPr>
          <w:p w14:paraId="2141724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注：背景值选取现状噪声最大值进行评价</w:t>
            </w:r>
          </w:p>
        </w:tc>
      </w:tr>
    </w:tbl>
    <w:p w14:paraId="7FC247B3">
      <w:pPr>
        <w:widowControl/>
        <w:spacing w:line="360" w:lineRule="auto"/>
        <w:ind w:firstLine="480" w:firstLineChars="200"/>
        <w:jc w:val="left"/>
        <w:rPr>
          <w:snapToGrid w:val="0"/>
          <w:color w:val="000000" w:themeColor="text1"/>
          <w:kern w:val="0"/>
          <w:sz w:val="24"/>
          <w:szCs w:val="28"/>
          <w14:textFill>
            <w14:solidFill>
              <w14:schemeClr w14:val="tx1"/>
            </w14:solidFill>
          </w14:textFill>
        </w:rPr>
      </w:pPr>
      <w:r>
        <w:rPr>
          <w:color w:val="000000" w:themeColor="text1"/>
          <w:sz w:val="24"/>
          <w14:textFill>
            <w14:solidFill>
              <w14:schemeClr w14:val="tx1"/>
            </w14:solidFill>
          </w14:textFill>
        </w:rPr>
        <w:t>项目产生的噪声经过</w:t>
      </w:r>
      <w:r>
        <w:rPr>
          <w:snapToGrid w:val="0"/>
          <w:color w:val="000000" w:themeColor="text1"/>
          <w:kern w:val="0"/>
          <w:sz w:val="24"/>
          <w:szCs w:val="28"/>
          <w14:textFill>
            <w14:solidFill>
              <w14:schemeClr w14:val="tx1"/>
            </w14:solidFill>
          </w14:textFill>
        </w:rPr>
        <w:t>距离衰减后，</w:t>
      </w:r>
      <w:r>
        <w:rPr>
          <w:color w:val="000000" w:themeColor="text1"/>
          <w:sz w:val="24"/>
          <w14:textFill>
            <w14:solidFill>
              <w14:schemeClr w14:val="tx1"/>
            </w14:solidFill>
          </w14:textFill>
        </w:rPr>
        <w:t>四分场四队的噪声值能满足《声环境质量标准》（GB3096-2008）中的2类标准，</w:t>
      </w:r>
      <w:r>
        <w:rPr>
          <w:snapToGrid w:val="0"/>
          <w:color w:val="000000" w:themeColor="text1"/>
          <w:kern w:val="0"/>
          <w:sz w:val="24"/>
          <w:szCs w:val="28"/>
          <w14:textFill>
            <w14:solidFill>
              <w14:schemeClr w14:val="tx1"/>
            </w14:solidFill>
          </w14:textFill>
        </w:rPr>
        <w:t>对周边环境造成的影响在可接受范围内。</w:t>
      </w:r>
    </w:p>
    <w:p w14:paraId="614B2D0C">
      <w:pPr>
        <w:pStyle w:val="105"/>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6.5.6噪声污染环保措施</w:t>
      </w:r>
    </w:p>
    <w:p w14:paraId="4BFE6368">
      <w:pPr>
        <w:spacing w:line="360" w:lineRule="auto"/>
        <w:ind w:firstLine="360" w:firstLineChars="150"/>
        <w:jc w:val="left"/>
        <w:rPr>
          <w:snapToGrid w:val="0"/>
          <w:color w:val="000000" w:themeColor="text1"/>
          <w:kern w:val="0"/>
          <w:sz w:val="24"/>
          <w:szCs w:val="28"/>
          <w14:textFill>
            <w14:solidFill>
              <w14:schemeClr w14:val="tx1"/>
            </w14:solidFill>
          </w14:textFill>
        </w:rPr>
      </w:pPr>
      <w:r>
        <w:rPr>
          <w:snapToGrid w:val="0"/>
          <w:color w:val="000000" w:themeColor="text1"/>
          <w:kern w:val="0"/>
          <w:sz w:val="24"/>
          <w:szCs w:val="28"/>
          <w14:textFill>
            <w14:solidFill>
              <w14:schemeClr w14:val="tx1"/>
            </w14:solidFill>
          </w14:textFill>
        </w:rPr>
        <w:t>（1）泵类噪声主要来源于泵电机冷却风扇产生的噪声为最强，电机的噪声频带比较宽，一般以中低频为主，因此采用内衬有吸声材料的电机罩和泵基础减振垫。</w:t>
      </w:r>
    </w:p>
    <w:p w14:paraId="288FA9EC">
      <w:pPr>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 xml:space="preserve"> （2）对于破碎清洗机、甩干机、挤出机等不易治理的声源设备，应采用减振垫，以减少设备声源对车间外的影响，同时还应对生产车间的工人采取配备防噪声耳塞或耳罩的个人防护措施。</w:t>
      </w:r>
    </w:p>
    <w:p w14:paraId="498591A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（3）通过墙体阻隔、距离衰减及绿化减噪等措施，厂界可达到GB12348-2008《工业企业厂界环境噪声排放标准》2类要求。</w:t>
      </w:r>
    </w:p>
    <w:p w14:paraId="55F8CC93">
      <w:pPr>
        <w:pStyle w:val="4"/>
        <w:rPr>
          <w:rFonts w:ascii="Times New Roman" w:hAnsi="Times New Roman"/>
          <w:color w:val="000000" w:themeColor="text1"/>
          <w14:textFill>
            <w14:solidFill>
              <w14:schemeClr w14:val="tx1"/>
            </w14:solidFill>
          </w14:textFill>
        </w:rPr>
      </w:pPr>
      <w:bookmarkStart w:id="401" w:name="_Toc2773769"/>
      <w:r>
        <w:rPr>
          <w:rFonts w:ascii="Times New Roman" w:hAnsi="Times New Roman"/>
          <w:color w:val="000000" w:themeColor="text1"/>
          <w14:textFill>
            <w14:solidFill>
              <w14:schemeClr w14:val="tx1"/>
            </w14:solidFill>
          </w14:textFill>
        </w:rPr>
        <w:t>6.6生态环境影响分析</w:t>
      </w:r>
      <w:bookmarkEnd w:id="401"/>
    </w:p>
    <w:p w14:paraId="4578B65E">
      <w:pPr>
        <w:pStyle w:val="57"/>
        <w:ind w:firstLine="480" w:firstLineChars="200"/>
        <w:rPr>
          <w:color w:val="000000" w:themeColor="text1"/>
          <w14:textFill>
            <w14:solidFill>
              <w14:schemeClr w14:val="tx1"/>
            </w14:solidFill>
          </w14:textFill>
        </w:rPr>
      </w:pPr>
      <w:bookmarkStart w:id="402" w:name="_Toc79481684"/>
      <w:bookmarkStart w:id="403" w:name="_Toc142735927"/>
      <w:bookmarkStart w:id="404" w:name="_Toc108595583"/>
      <w:bookmarkStart w:id="405" w:name="_Toc241370899"/>
      <w:bookmarkStart w:id="406" w:name="_Toc103649474"/>
      <w:bookmarkStart w:id="407" w:name="_Toc205265923"/>
      <w:r>
        <w:rPr>
          <w:color w:val="000000" w:themeColor="text1"/>
          <w14:textFill>
            <w14:solidFill>
              <w14:schemeClr w14:val="tx1"/>
            </w14:solidFill>
          </w14:textFill>
        </w:rPr>
        <w:t>项目占地面积为0.25hm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。本项目</w:t>
      </w:r>
      <w:r>
        <w:rPr>
          <w:rFonts w:eastAsiaTheme="minorEastAsia"/>
          <w:color w:val="000000" w:themeColor="text1"/>
          <w14:textFill>
            <w14:solidFill>
              <w14:schemeClr w14:val="tx1"/>
            </w14:solidFill>
          </w14:textFill>
        </w:rPr>
        <w:t>租用</w:t>
      </w:r>
      <w:r>
        <w:rPr>
          <w:bCs/>
          <w:color w:val="000000" w:themeColor="text1"/>
          <w14:textFill>
            <w14:solidFill>
              <w14:schemeClr w14:val="tx1"/>
            </w14:solidFill>
          </w14:textFill>
        </w:rPr>
        <w:t>村民李进的土地和已建厂房，不新增用地，</w:t>
      </w:r>
      <w:r>
        <w:rPr>
          <w:color w:val="000000" w:themeColor="text1"/>
          <w14:textFill>
            <w14:solidFill>
              <w14:schemeClr w14:val="tx1"/>
            </w14:solidFill>
          </w14:textFill>
        </w:rPr>
        <w:t>不会导致土地利用格局改变和植被损耗。</w:t>
      </w:r>
    </w:p>
    <w:p w14:paraId="26198043">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同时项目建成后对厂区实施绿化，在绿化方案中注意了绿化植物品种的多样性，乔、灌、草结合，花、叶观赏，色、香、源植物相互搭配，形成了丰富的景观层次，并根据各种植物的生态关系营建稳定的植物群落，提高了生态含量，对该区生态环境产生有利影响。</w:t>
      </w:r>
    </w:p>
    <w:p w14:paraId="682CA31A">
      <w:pPr>
        <w:pStyle w:val="57"/>
        <w:ind w:firstLine="480" w:firstLineChars="200"/>
        <w:rPr>
          <w:color w:val="000000" w:themeColor="text1"/>
          <w:szCs w:val="24"/>
          <w14:textFill>
            <w14:solidFill>
              <w14:schemeClr w14:val="tx1"/>
            </w14:solidFill>
          </w14:textFill>
        </w:rPr>
      </w:pPr>
      <w:r>
        <w:rPr>
          <w:color w:val="000000" w:themeColor="text1"/>
          <w14:textFill>
            <w14:solidFill>
              <w14:schemeClr w14:val="tx1"/>
            </w14:solidFill>
          </w14:textFill>
        </w:rPr>
        <w:t>总之，整个项目实施后对生态环境影响在可接受范围内，运营期</w:t>
      </w:r>
      <w:bookmarkEnd w:id="402"/>
      <w:bookmarkEnd w:id="403"/>
      <w:bookmarkEnd w:id="404"/>
      <w:bookmarkEnd w:id="405"/>
      <w:bookmarkEnd w:id="406"/>
      <w:bookmarkEnd w:id="407"/>
      <w:r>
        <w:rPr>
          <w:color w:val="000000" w:themeColor="text1"/>
          <w:szCs w:val="24"/>
          <w14:textFill>
            <w14:solidFill>
              <w14:schemeClr w14:val="tx1"/>
            </w14:solidFill>
          </w14:textFill>
        </w:rPr>
        <w:t>绿化工程使生态环境得到补偿和恢复。</w:t>
      </w:r>
    </w:p>
    <w:p w14:paraId="353BB1CD">
      <w:pPr>
        <w:pStyle w:val="4"/>
        <w:rPr>
          <w:rFonts w:ascii="Times New Roman" w:hAnsi="Times New Roman"/>
          <w:color w:val="000000" w:themeColor="text1"/>
          <w14:textFill>
            <w14:solidFill>
              <w14:schemeClr w14:val="tx1"/>
            </w14:solidFill>
          </w14:textFill>
        </w:rPr>
      </w:pPr>
      <w:bookmarkStart w:id="408" w:name="_Toc2773770"/>
      <w:r>
        <w:rPr>
          <w:rFonts w:ascii="Times New Roman" w:hAnsi="Times New Roman"/>
          <w:color w:val="000000" w:themeColor="text1"/>
          <w14:textFill>
            <w14:solidFill>
              <w14:schemeClr w14:val="tx1"/>
            </w14:solidFill>
          </w14:textFill>
        </w:rPr>
        <w:t>6.7项目与周围环境相容性分析</w:t>
      </w:r>
      <w:bookmarkEnd w:id="408"/>
    </w:p>
    <w:p w14:paraId="7473023A">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1、项目运营对外环境的影响</w:t>
      </w:r>
    </w:p>
    <w:p w14:paraId="27054D4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根据本项目污染物排放特性，对周围环境有可能产生影响的主要是造粒过程产生的颗粒物及非甲烷总烃，而项目设计及建设中已考虑采用清洁能源（电）、安装过滤棉+活性炭处置废气，同时降噪、分类处置固废等污染防治措施，确保达标排放，对周围的影响不大； </w:t>
      </w:r>
    </w:p>
    <w:p w14:paraId="0B5BB728">
      <w:pPr>
        <w:spacing w:line="360" w:lineRule="auto"/>
        <w:ind w:firstLine="420" w:firstLineChars="200"/>
        <w:rPr>
          <w:bCs/>
          <w:color w:val="000000" w:themeColor="text1"/>
          <w:sz w:val="24"/>
          <w14:textFill>
            <w14:solidFill>
              <w14:schemeClr w14:val="tx1"/>
            </w14:solidFill>
          </w14:textFill>
        </w:rPr>
      </w:pPr>
      <w:r>
        <w:rPr>
          <w:color w:val="000000" w:themeColor="text1"/>
          <w14:textFill>
            <w14:solidFill>
              <w14:schemeClr w14:val="tx1"/>
            </w14:solidFill>
          </w14:textFill>
        </w:rPr>
        <w:t xml:space="preserve"> </w:t>
      </w:r>
      <w:r>
        <w:rPr>
          <w:color w:val="000000" w:themeColor="text1"/>
          <w:sz w:val="24"/>
          <w14:textFill>
            <w14:solidFill>
              <w14:schemeClr w14:val="tx1"/>
            </w14:solidFill>
          </w14:textFill>
        </w:rPr>
        <w:t>从项目位置上看，从预测结果分析对保护目标影响很小，叠加现状背景值后，关心点预测颗粒物及非甲烷总烃污染物预测值能达GB3095－2012《环境空气质量标准》二级标准，从估算结果可以看出废气对保护目标的影响可接受</w:t>
      </w:r>
      <w:r>
        <w:rPr>
          <w:bCs/>
          <w:color w:val="000000" w:themeColor="text1"/>
          <w:sz w:val="24"/>
          <w14:textFill>
            <w14:solidFill>
              <w14:schemeClr w14:val="tx1"/>
            </w14:solidFill>
          </w14:textFill>
        </w:rPr>
        <w:t>。</w:t>
      </w:r>
    </w:p>
    <w:p w14:paraId="1196B08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项目设备均为小型精密设备，噪声源不大，最大为破碎噪声，根据预测，项目建设对周围环境声环境的影响可接受。</w:t>
      </w:r>
    </w:p>
    <w:p w14:paraId="41FA5B08">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2、外环境对项目运营的影响</w:t>
      </w:r>
    </w:p>
    <w:p w14:paraId="0373870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根据现场勘察，项目周边基本无工况企业，大多为居民区，对本项目生产无影响。</w:t>
      </w:r>
    </w:p>
    <w:p w14:paraId="0A6F156C">
      <w:pPr>
        <w:widowControl/>
        <w:jc w:val="left"/>
        <w:rPr>
          <w:rFonts w:eastAsia="黑体"/>
          <w:b/>
          <w:bCs/>
          <w:color w:val="000000" w:themeColor="text1"/>
          <w:kern w:val="44"/>
          <w:sz w:val="36"/>
          <w:szCs w:val="36"/>
          <w14:textFill>
            <w14:solidFill>
              <w14:schemeClr w14:val="tx1"/>
            </w14:solidFill>
          </w14:textFill>
        </w:rPr>
      </w:pPr>
      <w:r>
        <w:rPr>
          <w:color w:val="000000" w:themeColor="text1"/>
          <w14:textFill>
            <w14:solidFill>
              <w14:schemeClr w14:val="tx1"/>
            </w14:solidFill>
          </w14:textFill>
        </w:rPr>
        <w:br w:type="page"/>
      </w:r>
    </w:p>
    <w:p w14:paraId="26FD4602">
      <w:pPr>
        <w:pStyle w:val="3"/>
        <w:rPr>
          <w:color w:val="000000" w:themeColor="text1"/>
          <w14:textFill>
            <w14:solidFill>
              <w14:schemeClr w14:val="tx1"/>
            </w14:solidFill>
          </w14:textFill>
        </w:rPr>
      </w:pPr>
      <w:bookmarkStart w:id="409" w:name="_Toc2773771"/>
      <w:r>
        <w:rPr>
          <w:color w:val="000000" w:themeColor="text1"/>
          <w14:textFill>
            <w14:solidFill>
              <w14:schemeClr w14:val="tx1"/>
            </w14:solidFill>
          </w14:textFill>
        </w:rPr>
        <w:t>7环境风险分析</w:t>
      </w:r>
      <w:bookmarkEnd w:id="409"/>
    </w:p>
    <w:p w14:paraId="3367A77A">
      <w:pPr>
        <w:pStyle w:val="4"/>
        <w:rPr>
          <w:rFonts w:ascii="Times New Roman" w:hAnsi="Times New Roman"/>
          <w:color w:val="000000" w:themeColor="text1"/>
          <w14:textFill>
            <w14:solidFill>
              <w14:schemeClr w14:val="tx1"/>
            </w14:solidFill>
          </w14:textFill>
        </w:rPr>
      </w:pPr>
      <w:bookmarkStart w:id="410" w:name="_Toc2773772"/>
      <w:r>
        <w:rPr>
          <w:rFonts w:ascii="Times New Roman" w:hAnsi="Times New Roman"/>
          <w:color w:val="000000" w:themeColor="text1"/>
          <w14:textFill>
            <w14:solidFill>
              <w14:schemeClr w14:val="tx1"/>
            </w14:solidFill>
          </w14:textFill>
        </w:rPr>
        <w:t>7.1环境风险评价的目的和重点</w:t>
      </w:r>
      <w:bookmarkEnd w:id="410"/>
    </w:p>
    <w:p w14:paraId="1E5B408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75F40DD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环境风险评价关注点是事故对单位外环境的影响。环境风险评价应把事故引起厂（场）界外人群的伤害、环境质量的恶化及对生态系统影响的预测，以及提出相对应的防范、减少、消除措施作为评价工作重点。</w:t>
      </w:r>
    </w:p>
    <w:p w14:paraId="3081402F">
      <w:pPr>
        <w:pStyle w:val="4"/>
        <w:rPr>
          <w:rFonts w:ascii="Times New Roman" w:hAnsi="Times New Roman"/>
          <w:color w:val="000000" w:themeColor="text1"/>
          <w14:textFill>
            <w14:solidFill>
              <w14:schemeClr w14:val="tx1"/>
            </w14:solidFill>
          </w14:textFill>
        </w:rPr>
      </w:pPr>
      <w:bookmarkStart w:id="411" w:name="_Toc2773773"/>
      <w:r>
        <w:rPr>
          <w:rFonts w:ascii="Times New Roman" w:hAnsi="Times New Roman"/>
          <w:color w:val="000000" w:themeColor="text1"/>
          <w14:textFill>
            <w14:solidFill>
              <w14:schemeClr w14:val="tx1"/>
            </w14:solidFill>
          </w14:textFill>
        </w:rPr>
        <w:t>7.2风险识别</w:t>
      </w:r>
      <w:bookmarkEnd w:id="411"/>
    </w:p>
    <w:p w14:paraId="36A88BD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物质风险识别范围包括主要原材料及辅助材料、燃料、中间产品、最终产品以及生产过程排放的“三废”污染物等。</w:t>
      </w:r>
    </w:p>
    <w:p w14:paraId="3570720C">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确定风险物质的依据为</w:t>
      </w:r>
      <w:r>
        <w:rPr>
          <w:color w:val="000000" w:themeColor="text1"/>
          <w:sz w:val="24"/>
          <w14:textFill>
            <w14:solidFill>
              <w14:schemeClr w14:val="tx1"/>
            </w14:solidFill>
          </w14:textFill>
        </w:rPr>
        <w:t>HJ/T169-2018《建设项目环境风险评价技术导则》</w:t>
      </w:r>
      <w:r>
        <w:rPr>
          <w:rFonts w:eastAsia="新宋体"/>
          <w:color w:val="000000" w:themeColor="text1"/>
          <w:sz w:val="24"/>
          <w:szCs w:val="21"/>
          <w14:textFill>
            <w14:solidFill>
              <w14:schemeClr w14:val="tx1"/>
            </w14:solidFill>
          </w14:textFill>
        </w:rPr>
        <w:t>附录B。</w:t>
      </w:r>
    </w:p>
    <w:p w14:paraId="3DE7150D">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表7.2-1  项目原辅料、废物、产品等统计表</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020"/>
        <w:gridCol w:w="1631"/>
        <w:gridCol w:w="1965"/>
        <w:gridCol w:w="1962"/>
      </w:tblGrid>
      <w:tr w14:paraId="3C912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54" w:type="pct"/>
            <w:vAlign w:val="center"/>
          </w:tcPr>
          <w:p w14:paraId="0F64E9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185" w:type="pct"/>
            <w:vAlign w:val="center"/>
          </w:tcPr>
          <w:p w14:paraId="09D19F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957" w:type="pct"/>
            <w:vAlign w:val="center"/>
          </w:tcPr>
          <w:p w14:paraId="45A799E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用量（t/a)</w:t>
            </w:r>
          </w:p>
        </w:tc>
        <w:tc>
          <w:tcPr>
            <w:tcW w:w="1153" w:type="pct"/>
            <w:vAlign w:val="center"/>
          </w:tcPr>
          <w:p w14:paraId="2FD157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最大储存量（t）</w:t>
            </w:r>
          </w:p>
        </w:tc>
        <w:tc>
          <w:tcPr>
            <w:tcW w:w="1151" w:type="pct"/>
            <w:vAlign w:val="center"/>
          </w:tcPr>
          <w:p w14:paraId="479AD8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判定</w:t>
            </w:r>
          </w:p>
        </w:tc>
      </w:tr>
      <w:tr w14:paraId="3E6A5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54" w:type="pct"/>
            <w:vAlign w:val="center"/>
          </w:tcPr>
          <w:p w14:paraId="4F1D16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85" w:type="pct"/>
            <w:vAlign w:val="center"/>
          </w:tcPr>
          <w:p w14:paraId="3E83D7C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废塑料</w:t>
            </w:r>
          </w:p>
        </w:tc>
        <w:tc>
          <w:tcPr>
            <w:tcW w:w="957" w:type="pct"/>
            <w:vAlign w:val="center"/>
          </w:tcPr>
          <w:p w14:paraId="4F6ED1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5005.3</w:t>
            </w:r>
          </w:p>
        </w:tc>
        <w:tc>
          <w:tcPr>
            <w:tcW w:w="1153" w:type="pct"/>
            <w:vAlign w:val="center"/>
          </w:tcPr>
          <w:p w14:paraId="5BACFF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151" w:type="pct"/>
            <w:vMerge w:val="restart"/>
            <w:vAlign w:val="center"/>
          </w:tcPr>
          <w:p w14:paraId="2A4ED60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不属于</w:t>
            </w:r>
            <w:r>
              <w:rPr>
                <w:color w:val="000000" w:themeColor="text1"/>
                <w:sz w:val="24"/>
                <w14:textFill>
                  <w14:solidFill>
                    <w14:schemeClr w14:val="tx1"/>
                  </w14:solidFill>
                </w14:textFill>
              </w:rPr>
              <w:t>附录B中风险物质</w:t>
            </w:r>
          </w:p>
        </w:tc>
      </w:tr>
      <w:tr w14:paraId="062D1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54" w:type="pct"/>
            <w:vAlign w:val="center"/>
          </w:tcPr>
          <w:p w14:paraId="2C8208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185" w:type="pct"/>
            <w:vAlign w:val="center"/>
          </w:tcPr>
          <w:p w14:paraId="7F7724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再生塑料颗粒</w:t>
            </w:r>
          </w:p>
        </w:tc>
        <w:tc>
          <w:tcPr>
            <w:tcW w:w="957" w:type="pct"/>
            <w:vAlign w:val="center"/>
          </w:tcPr>
          <w:p w14:paraId="423BCD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53" w:type="pct"/>
            <w:vAlign w:val="center"/>
          </w:tcPr>
          <w:p w14:paraId="7A1FB0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151" w:type="pct"/>
            <w:vMerge w:val="continue"/>
            <w:vAlign w:val="center"/>
          </w:tcPr>
          <w:p w14:paraId="15B9B630">
            <w:pPr>
              <w:jc w:val="center"/>
              <w:rPr>
                <w:color w:val="000000" w:themeColor="text1"/>
                <w:szCs w:val="21"/>
                <w14:textFill>
                  <w14:solidFill>
                    <w14:schemeClr w14:val="tx1"/>
                  </w14:solidFill>
                </w14:textFill>
              </w:rPr>
            </w:pPr>
          </w:p>
        </w:tc>
      </w:tr>
    </w:tbl>
    <w:p w14:paraId="66C8757E">
      <w:pPr>
        <w:adjustRightInd w:val="0"/>
        <w:snapToGrid w:val="0"/>
        <w:spacing w:line="360" w:lineRule="auto"/>
        <w:ind w:firstLine="480" w:firstLineChars="200"/>
        <w:rPr>
          <w:b/>
          <w:color w:val="000000" w:themeColor="text1"/>
          <w:sz w:val="24"/>
          <w14:textFill>
            <w14:solidFill>
              <w14:schemeClr w14:val="tx1"/>
            </w14:solidFill>
          </w14:textFill>
        </w:rPr>
      </w:pPr>
    </w:p>
    <w:p w14:paraId="2D11EFC4">
      <w:pPr>
        <w:pStyle w:val="4"/>
        <w:rPr>
          <w:rFonts w:ascii="Times New Roman" w:hAnsi="Times New Roman"/>
          <w:color w:val="000000" w:themeColor="text1"/>
          <w14:textFill>
            <w14:solidFill>
              <w14:schemeClr w14:val="tx1"/>
            </w14:solidFill>
          </w14:textFill>
        </w:rPr>
      </w:pPr>
      <w:bookmarkStart w:id="412" w:name="_Toc2773774"/>
      <w:r>
        <w:rPr>
          <w:rFonts w:ascii="Times New Roman" w:hAnsi="Times New Roman"/>
          <w:color w:val="000000" w:themeColor="text1"/>
          <w14:textFill>
            <w14:solidFill>
              <w14:schemeClr w14:val="tx1"/>
            </w14:solidFill>
          </w14:textFill>
        </w:rPr>
        <w:t>7.3环境风险评价等级</w:t>
      </w:r>
      <w:bookmarkEnd w:id="412"/>
    </w:p>
    <w:p w14:paraId="6436D4B7">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7.3.1 环境风险潜势划分</w:t>
      </w:r>
    </w:p>
    <w:p w14:paraId="4B2C61F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根据HJ/T169-2018《建设项目环境风险评价技术导则》，建设项目环境风险潜势划分为</w:t>
      </w:r>
      <w:r>
        <w:rPr>
          <w:rFonts w:hint="eastAsia" w:ascii="宋体" w:hAnsi="宋体" w:cs="宋体"/>
          <w:color w:val="000000" w:themeColor="text1"/>
          <w:sz w:val="24"/>
          <w14:textFill>
            <w14:solidFill>
              <w14:schemeClr w14:val="tx1"/>
            </w14:solidFill>
          </w14:textFill>
        </w:rPr>
        <w:t>Ⅰ</w:t>
      </w:r>
      <w:r>
        <w:rPr>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Ⅱ</w:t>
      </w:r>
      <w:r>
        <w:rPr>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Ⅲ</w:t>
      </w:r>
      <w:r>
        <w:rPr>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Ⅳ</w:t>
      </w:r>
      <w:r>
        <w:rPr>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Ⅳ</w:t>
      </w:r>
      <w:r>
        <w:rPr>
          <w:color w:val="000000" w:themeColor="text1"/>
          <w:sz w:val="24"/>
          <w14:textFill>
            <w14:solidFill>
              <w14:schemeClr w14:val="tx1"/>
            </w14:solidFill>
          </w14:textFill>
        </w:rPr>
        <w:t>+级。</w:t>
      </w:r>
    </w:p>
    <w:p w14:paraId="54B2F074">
      <w:pPr>
        <w:adjustRightInd w:val="0"/>
        <w:snapToGrid w:val="0"/>
        <w:spacing w:line="360" w:lineRule="auto"/>
        <w:ind w:firstLine="480" w:firstLineChars="200"/>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b/>
          <w:bCs/>
          <w:color w:val="000000" w:themeColor="text1"/>
          <w:sz w:val="24"/>
          <w14:textFill>
            <w14:solidFill>
              <w14:schemeClr w14:val="tx1"/>
            </w14:solidFill>
          </w14:textFill>
        </w:rPr>
        <w:t>危险物质数量与临界量比值（</w:t>
      </w:r>
      <w:r>
        <w:rPr>
          <w:b/>
          <w:bCs/>
          <w:i/>
          <w:color w:val="000000" w:themeColor="text1"/>
          <w:sz w:val="24"/>
          <w14:textFill>
            <w14:solidFill>
              <w14:schemeClr w14:val="tx1"/>
            </w14:solidFill>
          </w14:textFill>
        </w:rPr>
        <w:t>Q</w:t>
      </w:r>
      <w:r>
        <w:rPr>
          <w:b/>
          <w:bCs/>
          <w:color w:val="000000" w:themeColor="text1"/>
          <w:sz w:val="24"/>
          <w14:textFill>
            <w14:solidFill>
              <w14:schemeClr w14:val="tx1"/>
            </w14:solidFill>
          </w14:textFill>
        </w:rPr>
        <w:t>）</w:t>
      </w:r>
    </w:p>
    <w:p w14:paraId="01135E0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根据HJ/T169-2018《建设项目环境风险评价技术导则》中附录B，关于物质危险性判定标准，见表7.3-1。</w:t>
      </w:r>
    </w:p>
    <w:p w14:paraId="28B6EBAE">
      <w:pPr>
        <w:adjustRightInd w:val="0"/>
        <w:snapToGrid w:val="0"/>
        <w:spacing w:before="156"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单元内存在的危险化学品的数量根据处理危险化学品种类的多少区分为以下两种情况：</w:t>
      </w:r>
    </w:p>
    <w:p w14:paraId="3735D115">
      <w:pPr>
        <w:adjustRightInd w:val="0"/>
        <w:snapToGrid w:val="0"/>
        <w:spacing w:line="360" w:lineRule="auto"/>
        <w:ind w:firstLine="480" w:firstLineChars="200"/>
        <w:jc w:val="left"/>
        <w:rPr>
          <w:color w:val="000000" w:themeColor="text1"/>
          <w:sz w:val="24"/>
          <w14:textFill>
            <w14:solidFill>
              <w14:schemeClr w14:val="tx1"/>
            </w14:solidFill>
          </w14:textFill>
        </w:rPr>
      </w:pPr>
      <w:bookmarkStart w:id="413" w:name="_Toc362618174"/>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单元内存在的危险物质为单一品种，该物质的数量即为单元内危险物质的总量，若等于或超过相应的临界量，则定为重大危险源，本项目重大危险源的辨识为此项情况。</w:t>
      </w:r>
      <w:bookmarkEnd w:id="413"/>
    </w:p>
    <w:p w14:paraId="2A77C0F8">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pict>
          <v:shape id="_x0000_s1182" o:spid="_x0000_s1182" o:spt="75" type="#_x0000_t75" style="position:absolute;left:0pt;margin-left:155.8pt;margin-top:50.7pt;height:33.75pt;width:110.25pt;mso-wrap-distance-bottom:0pt;mso-wrap-distance-top:0pt;z-index:251662336;mso-width-relative:page;mso-height-relative:page;" o:ole="t" filled="f" o:preferrelative="t" stroked="f" coordsize="21600,21600">
            <v:path/>
            <v:fill on="f" focussize="0,0"/>
            <v:stroke on="f" joinstyle="miter"/>
            <v:imagedata r:id="rId34" o:title=""/>
            <o:lock v:ext="edit" aspectratio="t"/>
            <w10:wrap type="topAndBottom"/>
          </v:shape>
          <o:OLEObject Type="Embed" ProgID="Equation.3" ShapeID="_x0000_s1182" DrawAspect="Content" ObjectID="_1468075729" r:id="rId33">
            <o:LockedField>false</o:LockedField>
          </o:OLEObject>
        </w:pict>
      </w:r>
      <w:bookmarkStart w:id="414" w:name="_Toc362618175"/>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单元内存在的危险物质为多品种时，则按下式计算，若满足下式，则定为重大危险源。</w:t>
      </w:r>
      <w:bookmarkEnd w:id="414"/>
    </w:p>
    <w:p w14:paraId="32E9A2D0">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式中：q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 xml:space="preserve">n </w:t>
      </w:r>
      <w:r>
        <w:rPr>
          <w:color w:val="000000" w:themeColor="text1"/>
          <w:sz w:val="24"/>
          <w14:textFill>
            <w14:solidFill>
              <w14:schemeClr w14:val="tx1"/>
            </w14:solidFill>
          </w14:textFill>
        </w:rPr>
        <w:t>为每种危险物质实际存在量，t。</w:t>
      </w:r>
    </w:p>
    <w:p w14:paraId="588FA5B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 xml:space="preserve">n </w:t>
      </w:r>
      <w:r>
        <w:rPr>
          <w:color w:val="000000" w:themeColor="text1"/>
          <w:sz w:val="24"/>
          <w14:textFill>
            <w14:solidFill>
              <w14:schemeClr w14:val="tx1"/>
            </w14:solidFill>
          </w14:textFill>
        </w:rPr>
        <w:t>为与各危险物质相对应的生产场所或贮存区的临界量，t。</w:t>
      </w:r>
    </w:p>
    <w:p w14:paraId="493D7348">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物质风险识别范围包括主要原材料及辅助材料、燃料、中间产品、最终产品以及生产过程排放的“三废”污染物等。</w:t>
      </w:r>
    </w:p>
    <w:p w14:paraId="52C13D5D">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确定重大危险源辨识的依据为国家标准《危险化学品重大危险源辨识》（GB18218-2014）、</w:t>
      </w:r>
      <w:r>
        <w:rPr>
          <w:color w:val="000000" w:themeColor="text1"/>
          <w:sz w:val="24"/>
          <w14:textFill>
            <w14:solidFill>
              <w14:schemeClr w14:val="tx1"/>
            </w14:solidFill>
          </w14:textFill>
        </w:rPr>
        <w:t>HJ/T169-2018《建设项目环境风险评价技术导则》附录B</w:t>
      </w:r>
      <w:r>
        <w:rPr>
          <w:rFonts w:eastAsia="新宋体"/>
          <w:color w:val="000000" w:themeColor="text1"/>
          <w:sz w:val="24"/>
          <w:szCs w:val="21"/>
          <w14:textFill>
            <w14:solidFill>
              <w14:schemeClr w14:val="tx1"/>
            </w14:solidFill>
          </w14:textFill>
        </w:rPr>
        <w:t>相关文件中规定的重大危险源辨识的依据和管理办法，本项目在生产过程中使用的主要原材料为废塑料（主要成分PP、PE），产品为塑料颗粒，未被列入HJ/T169-2018《建设项目环境风险评价技术导则》</w:t>
      </w:r>
      <w:r>
        <w:rPr>
          <w:color w:val="000000" w:themeColor="text1"/>
          <w:sz w:val="24"/>
          <w14:textFill>
            <w14:solidFill>
              <w14:schemeClr w14:val="tx1"/>
            </w14:solidFill>
          </w14:textFill>
        </w:rPr>
        <w:t>附录B</w:t>
      </w:r>
      <w:r>
        <w:rPr>
          <w:rFonts w:eastAsia="新宋体"/>
          <w:color w:val="000000" w:themeColor="text1"/>
          <w:sz w:val="24"/>
          <w:szCs w:val="21"/>
          <w14:textFill>
            <w14:solidFill>
              <w14:schemeClr w14:val="tx1"/>
            </w14:solidFill>
          </w14:textFill>
        </w:rPr>
        <w:t>。</w:t>
      </w:r>
    </w:p>
    <w:p w14:paraId="5363639D">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表7.3-1  危险物质数量与临界量</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493"/>
        <w:gridCol w:w="1418"/>
        <w:gridCol w:w="1133"/>
        <w:gridCol w:w="1418"/>
        <w:gridCol w:w="992"/>
        <w:gridCol w:w="1327"/>
      </w:tblGrid>
      <w:tr w14:paraId="67487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5" w:type="pct"/>
            <w:vAlign w:val="center"/>
          </w:tcPr>
          <w:p w14:paraId="708359A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876" w:type="pct"/>
            <w:vAlign w:val="center"/>
          </w:tcPr>
          <w:p w14:paraId="48BF76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832" w:type="pct"/>
            <w:vAlign w:val="center"/>
          </w:tcPr>
          <w:p w14:paraId="0125D8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用量（t/a)</w:t>
            </w:r>
          </w:p>
        </w:tc>
        <w:tc>
          <w:tcPr>
            <w:tcW w:w="665" w:type="pct"/>
            <w:vAlign w:val="center"/>
          </w:tcPr>
          <w:p w14:paraId="7BAEE1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最大储存量（t）</w:t>
            </w:r>
          </w:p>
        </w:tc>
        <w:tc>
          <w:tcPr>
            <w:tcW w:w="832" w:type="pct"/>
            <w:vAlign w:val="center"/>
          </w:tcPr>
          <w:p w14:paraId="636B84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CAS 号</w:t>
            </w:r>
          </w:p>
        </w:tc>
        <w:tc>
          <w:tcPr>
            <w:tcW w:w="582" w:type="pct"/>
            <w:vAlign w:val="center"/>
          </w:tcPr>
          <w:p w14:paraId="7AA27D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临界量（t）</w:t>
            </w:r>
          </w:p>
        </w:tc>
        <w:tc>
          <w:tcPr>
            <w:tcW w:w="778" w:type="pct"/>
            <w:vAlign w:val="center"/>
          </w:tcPr>
          <w:p w14:paraId="557795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该种危险物质 </w:t>
            </w:r>
            <w:r>
              <w:rPr>
                <w:i/>
                <w:color w:val="000000" w:themeColor="text1"/>
                <w:szCs w:val="21"/>
                <w14:textFill>
                  <w14:solidFill>
                    <w14:schemeClr w14:val="tx1"/>
                  </w14:solidFill>
                </w14:textFill>
              </w:rPr>
              <w:t xml:space="preserve">Q </w:t>
            </w:r>
            <w:r>
              <w:rPr>
                <w:color w:val="000000" w:themeColor="text1"/>
                <w:szCs w:val="21"/>
                <w14:textFill>
                  <w14:solidFill>
                    <w14:schemeClr w14:val="tx1"/>
                  </w14:solidFill>
                </w14:textFill>
              </w:rPr>
              <w:t>值</w:t>
            </w:r>
          </w:p>
        </w:tc>
      </w:tr>
      <w:tr w14:paraId="5E60F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5" w:type="pct"/>
            <w:vAlign w:val="center"/>
          </w:tcPr>
          <w:p w14:paraId="51BD4E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76" w:type="pct"/>
            <w:vAlign w:val="center"/>
          </w:tcPr>
          <w:p w14:paraId="6BF164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废塑料</w:t>
            </w:r>
          </w:p>
        </w:tc>
        <w:tc>
          <w:tcPr>
            <w:tcW w:w="832" w:type="pct"/>
            <w:vAlign w:val="center"/>
          </w:tcPr>
          <w:p w14:paraId="38AC4C5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5005.3</w:t>
            </w:r>
          </w:p>
        </w:tc>
        <w:tc>
          <w:tcPr>
            <w:tcW w:w="665" w:type="pct"/>
            <w:vAlign w:val="center"/>
          </w:tcPr>
          <w:p w14:paraId="7B25D6E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832" w:type="pct"/>
            <w:vMerge w:val="restart"/>
            <w:vAlign w:val="center"/>
          </w:tcPr>
          <w:p w14:paraId="3F0177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不属于</w:t>
            </w:r>
            <w:r>
              <w:rPr>
                <w:color w:val="000000" w:themeColor="text1"/>
                <w:sz w:val="24"/>
                <w14:textFill>
                  <w14:solidFill>
                    <w14:schemeClr w14:val="tx1"/>
                  </w14:solidFill>
                </w14:textFill>
              </w:rPr>
              <w:t>附录B</w:t>
            </w:r>
          </w:p>
        </w:tc>
        <w:tc>
          <w:tcPr>
            <w:tcW w:w="582" w:type="pct"/>
            <w:tcBorders>
              <w:bottom w:val="single" w:color="auto" w:sz="4" w:space="0"/>
            </w:tcBorders>
            <w:vAlign w:val="center"/>
          </w:tcPr>
          <w:p w14:paraId="38DEB6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78" w:type="pct"/>
            <w:vAlign w:val="center"/>
          </w:tcPr>
          <w:p w14:paraId="757C56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577D4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5" w:type="pct"/>
            <w:vAlign w:val="center"/>
          </w:tcPr>
          <w:p w14:paraId="4E30D0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76" w:type="pct"/>
            <w:vAlign w:val="center"/>
          </w:tcPr>
          <w:p w14:paraId="262B40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再生塑料颗粒</w:t>
            </w:r>
          </w:p>
        </w:tc>
        <w:tc>
          <w:tcPr>
            <w:tcW w:w="832" w:type="pct"/>
            <w:vAlign w:val="center"/>
          </w:tcPr>
          <w:p w14:paraId="3E0338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65" w:type="pct"/>
            <w:vAlign w:val="center"/>
          </w:tcPr>
          <w:p w14:paraId="1CABEB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832" w:type="pct"/>
            <w:vMerge w:val="continue"/>
            <w:vAlign w:val="center"/>
          </w:tcPr>
          <w:p w14:paraId="63DE80ED">
            <w:pPr>
              <w:jc w:val="center"/>
              <w:rPr>
                <w:color w:val="000000" w:themeColor="text1"/>
                <w:szCs w:val="21"/>
                <w14:textFill>
                  <w14:solidFill>
                    <w14:schemeClr w14:val="tx1"/>
                  </w14:solidFill>
                </w14:textFill>
              </w:rPr>
            </w:pPr>
          </w:p>
        </w:tc>
        <w:tc>
          <w:tcPr>
            <w:tcW w:w="582" w:type="pct"/>
            <w:tcBorders>
              <w:top w:val="single" w:color="auto" w:sz="4" w:space="0"/>
              <w:bottom w:val="single" w:color="auto" w:sz="4" w:space="0"/>
            </w:tcBorders>
            <w:vAlign w:val="center"/>
          </w:tcPr>
          <w:p w14:paraId="15AAC8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78" w:type="pct"/>
            <w:vAlign w:val="center"/>
          </w:tcPr>
          <w:p w14:paraId="20B00ED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45CE9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5" w:type="pct"/>
            <w:vAlign w:val="center"/>
          </w:tcPr>
          <w:p w14:paraId="25A44E9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876" w:type="pct"/>
            <w:vAlign w:val="center"/>
          </w:tcPr>
          <w:p w14:paraId="46A996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832" w:type="pct"/>
            <w:vAlign w:val="center"/>
          </w:tcPr>
          <w:p w14:paraId="6F856B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65" w:type="pct"/>
            <w:vAlign w:val="center"/>
          </w:tcPr>
          <w:p w14:paraId="37625B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32" w:type="pct"/>
            <w:tcBorders>
              <w:bottom w:val="single" w:color="auto" w:sz="4" w:space="0"/>
            </w:tcBorders>
            <w:vAlign w:val="center"/>
          </w:tcPr>
          <w:p w14:paraId="3B6A02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82" w:type="pct"/>
            <w:tcBorders>
              <w:top w:val="single" w:color="auto" w:sz="4" w:space="0"/>
              <w:bottom w:val="single" w:color="auto" w:sz="4" w:space="0"/>
            </w:tcBorders>
            <w:vAlign w:val="center"/>
          </w:tcPr>
          <w:p w14:paraId="5CE4711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78" w:type="pct"/>
            <w:vAlign w:val="center"/>
          </w:tcPr>
          <w:p w14:paraId="70C4939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bl>
    <w:p w14:paraId="0A3B9ABB">
      <w:pPr>
        <w:pStyle w:val="11"/>
        <w:adjustRightInd w:val="0"/>
        <w:snapToGrid w:val="0"/>
        <w:spacing w:line="360" w:lineRule="auto"/>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2、项目环境风险潜势判定</w:t>
      </w:r>
    </w:p>
    <w:p w14:paraId="71534AF1">
      <w:pPr>
        <w:pStyle w:val="11"/>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根据HJ/T169-2018《建设项目环境风险评价技术导则》，当 </w:t>
      </w:r>
      <w:r>
        <w:rPr>
          <w:i/>
          <w:color w:val="000000" w:themeColor="text1"/>
          <w:sz w:val="24"/>
          <w14:textFill>
            <w14:solidFill>
              <w14:schemeClr w14:val="tx1"/>
            </w14:solidFill>
          </w14:textFill>
        </w:rPr>
        <w:t>Q</w:t>
      </w:r>
      <w:r>
        <w:rPr>
          <w:color w:val="000000" w:themeColor="text1"/>
          <w:sz w:val="24"/>
          <w14:textFill>
            <w14:solidFill>
              <w14:schemeClr w14:val="tx1"/>
            </w14:solidFill>
          </w14:textFill>
        </w:rPr>
        <w:t>＜1 时，该项目环境风险潜势为</w:t>
      </w:r>
      <w:r>
        <w:rPr>
          <w:rFonts w:hint="eastAsia" w:ascii="宋体" w:hAnsi="宋体" w:cs="宋体"/>
          <w:color w:val="000000" w:themeColor="text1"/>
          <w:sz w:val="24"/>
          <w14:textFill>
            <w14:solidFill>
              <w14:schemeClr w14:val="tx1"/>
            </w14:solidFill>
          </w14:textFill>
        </w:rPr>
        <w:t>Ⅰ</w:t>
      </w:r>
      <w:r>
        <w:rPr>
          <w:color w:val="000000" w:themeColor="text1"/>
          <w:sz w:val="24"/>
          <w14:textFill>
            <w14:solidFill>
              <w14:schemeClr w14:val="tx1"/>
            </w14:solidFill>
          </w14:textFill>
        </w:rPr>
        <w:t>。</w:t>
      </w:r>
    </w:p>
    <w:p w14:paraId="1F818434">
      <w:pPr>
        <w:pStyle w:val="11"/>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本项目不涉及危险物质，</w:t>
      </w:r>
      <w:r>
        <w:rPr>
          <w:i/>
          <w:color w:val="000000" w:themeColor="text1"/>
          <w:sz w:val="24"/>
          <w14:textFill>
            <w14:solidFill>
              <w14:schemeClr w14:val="tx1"/>
            </w14:solidFill>
          </w14:textFill>
        </w:rPr>
        <w:t>Q</w:t>
      </w:r>
      <w:r>
        <w:rPr>
          <w:color w:val="000000" w:themeColor="text1"/>
          <w:sz w:val="24"/>
          <w14:textFill>
            <w14:solidFill>
              <w14:schemeClr w14:val="tx1"/>
            </w14:solidFill>
          </w14:textFill>
        </w:rPr>
        <w:t>＜1，因此判定本项目环境风险潜势为I。</w:t>
      </w:r>
    </w:p>
    <w:p w14:paraId="7588FE14">
      <w:pPr>
        <w:pStyle w:val="105"/>
        <w:rPr>
          <w:rFonts w:cs="Times New Roman"/>
          <w:b w:val="0"/>
          <w:color w:val="000000" w:themeColor="text1"/>
          <w:sz w:val="24"/>
          <w14:textFill>
            <w14:solidFill>
              <w14:schemeClr w14:val="tx1"/>
            </w14:solidFill>
          </w14:textFill>
        </w:rPr>
      </w:pPr>
      <w:bookmarkStart w:id="415" w:name="_Toc362794295"/>
      <w:bookmarkStart w:id="416" w:name="_Toc362618177"/>
      <w:bookmarkStart w:id="417" w:name="_Toc363823341"/>
      <w:bookmarkStart w:id="418" w:name="_Toc362882209"/>
      <w:r>
        <w:rPr>
          <w:rFonts w:cs="Times New Roman"/>
          <w:color w:val="000000" w:themeColor="text1"/>
          <w14:textFill>
            <w14:solidFill>
              <w14:schemeClr w14:val="tx1"/>
            </w14:solidFill>
          </w14:textFill>
        </w:rPr>
        <w:t>7.3.2 环境风险评价等级</w:t>
      </w:r>
      <w:bookmarkEnd w:id="415"/>
      <w:bookmarkEnd w:id="416"/>
      <w:bookmarkEnd w:id="417"/>
      <w:bookmarkEnd w:id="418"/>
      <w:r>
        <w:rPr>
          <w:rFonts w:cs="Times New Roman"/>
          <w:color w:val="000000" w:themeColor="text1"/>
          <w14:textFill>
            <w14:solidFill>
              <w14:schemeClr w14:val="tx1"/>
            </w14:solidFill>
          </w14:textFill>
        </w:rPr>
        <w:t>及范围</w:t>
      </w:r>
    </w:p>
    <w:p w14:paraId="49542910">
      <w:pPr>
        <w:pStyle w:val="11"/>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根据HJ/T169-2018《建设项目环境风险评价技术导则》，具体等级划分依据见表7.3-3。</w:t>
      </w:r>
    </w:p>
    <w:p w14:paraId="47471ADF">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表7.3-2  环境风险评价工作等级</w:t>
      </w:r>
    </w:p>
    <w:tbl>
      <w:tblPr>
        <w:tblStyle w:val="280"/>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56"/>
        <w:gridCol w:w="1467"/>
        <w:gridCol w:w="1688"/>
        <w:gridCol w:w="1688"/>
        <w:gridCol w:w="1907"/>
      </w:tblGrid>
      <w:tr w14:paraId="25252F6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37" w:type="pct"/>
            <w:vAlign w:val="center"/>
          </w:tcPr>
          <w:p w14:paraId="0DBDEF91">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环境风险潜势</w:t>
            </w:r>
          </w:p>
        </w:tc>
        <w:tc>
          <w:tcPr>
            <w:tcW w:w="883" w:type="pct"/>
            <w:vAlign w:val="center"/>
          </w:tcPr>
          <w:p w14:paraId="36996469">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Ⅳ</w:t>
            </w:r>
            <w:r>
              <w:rPr>
                <w:rFonts w:ascii="Times New Roman" w:hAnsi="Times New Roman" w:eastAsia="宋体" w:cs="Times New Roman"/>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eastAsia="zh-CN"/>
                <w14:textFill>
                  <w14:solidFill>
                    <w14:schemeClr w14:val="tx1"/>
                  </w14:solidFill>
                </w14:textFill>
              </w:rPr>
              <w:t>Ⅳ</w:t>
            </w:r>
          </w:p>
        </w:tc>
        <w:tc>
          <w:tcPr>
            <w:tcW w:w="1016" w:type="pct"/>
            <w:vAlign w:val="center"/>
          </w:tcPr>
          <w:p w14:paraId="7F595550">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Ⅲ</w:t>
            </w:r>
          </w:p>
        </w:tc>
        <w:tc>
          <w:tcPr>
            <w:tcW w:w="1016" w:type="pct"/>
            <w:vAlign w:val="center"/>
          </w:tcPr>
          <w:p w14:paraId="2BA07952">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Ⅱ</w:t>
            </w:r>
          </w:p>
        </w:tc>
        <w:tc>
          <w:tcPr>
            <w:tcW w:w="1148" w:type="pct"/>
            <w:vAlign w:val="center"/>
          </w:tcPr>
          <w:p w14:paraId="460E09EF">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Ⅰ</w:t>
            </w:r>
          </w:p>
        </w:tc>
      </w:tr>
      <w:tr w14:paraId="6500F07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37" w:type="pct"/>
            <w:vAlign w:val="center"/>
          </w:tcPr>
          <w:p w14:paraId="52721C81">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评价工作等级</w:t>
            </w:r>
          </w:p>
        </w:tc>
        <w:tc>
          <w:tcPr>
            <w:tcW w:w="883" w:type="pct"/>
            <w:vAlign w:val="center"/>
          </w:tcPr>
          <w:p w14:paraId="3D2EB427">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一</w:t>
            </w:r>
          </w:p>
        </w:tc>
        <w:tc>
          <w:tcPr>
            <w:tcW w:w="1016" w:type="pct"/>
            <w:vAlign w:val="center"/>
          </w:tcPr>
          <w:p w14:paraId="3A237767">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二</w:t>
            </w:r>
          </w:p>
        </w:tc>
        <w:tc>
          <w:tcPr>
            <w:tcW w:w="1016" w:type="pct"/>
            <w:vAlign w:val="center"/>
          </w:tcPr>
          <w:p w14:paraId="5B78B93B">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三</w:t>
            </w:r>
          </w:p>
        </w:tc>
        <w:tc>
          <w:tcPr>
            <w:tcW w:w="1148" w:type="pct"/>
            <w:vAlign w:val="center"/>
          </w:tcPr>
          <w:p w14:paraId="304C3FF5">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简单分析</w:t>
            </w:r>
          </w:p>
        </w:tc>
      </w:tr>
      <w:tr w14:paraId="34FDA58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20" w:hRule="atLeast"/>
          <w:jc w:val="center"/>
        </w:trPr>
        <w:tc>
          <w:tcPr>
            <w:tcW w:w="5000" w:type="pct"/>
            <w:gridSpan w:val="5"/>
            <w:vAlign w:val="center"/>
          </w:tcPr>
          <w:p w14:paraId="247082B7">
            <w:pPr>
              <w:adjustRightInd w:val="0"/>
              <w:snapToGrid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a 是相对于详细评价工作内容而言，在描述危险物质、环境影响途径、环境危害后果、风险防范措施等方面给出定性的说明。见附录A。</w:t>
            </w:r>
          </w:p>
        </w:tc>
      </w:tr>
    </w:tbl>
    <w:p w14:paraId="64A532F9">
      <w:pPr>
        <w:adjustRightInd w:val="0"/>
        <w:snapToGrid w:val="0"/>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评价等级：</w:t>
      </w:r>
      <w:r>
        <w:rPr>
          <w:color w:val="000000" w:themeColor="text1"/>
          <w:sz w:val="24"/>
          <w14:textFill>
            <w14:solidFill>
              <w14:schemeClr w14:val="tx1"/>
            </w14:solidFill>
          </w14:textFill>
        </w:rPr>
        <w:t>本项目在生产过程中使用的主要原材料为废PE、PP塑料，产品为PE、PP再生颗粒，未被列入</w:t>
      </w:r>
      <w:r>
        <w:rPr>
          <w:rFonts w:eastAsia="新宋体"/>
          <w:color w:val="000000" w:themeColor="text1"/>
          <w:sz w:val="24"/>
          <w:szCs w:val="21"/>
          <w14:textFill>
            <w14:solidFill>
              <w14:schemeClr w14:val="tx1"/>
            </w14:solidFill>
          </w14:textFill>
        </w:rPr>
        <w:t>HJ/T169-2018《建设项目环境风险评价技术导则》</w:t>
      </w:r>
      <w:r>
        <w:rPr>
          <w:color w:val="000000" w:themeColor="text1"/>
          <w:sz w:val="24"/>
          <w14:textFill>
            <w14:solidFill>
              <w14:schemeClr w14:val="tx1"/>
            </w14:solidFill>
          </w14:textFill>
        </w:rPr>
        <w:t>附录B，本项目不涉及危险物质，</w:t>
      </w:r>
      <w:r>
        <w:rPr>
          <w:i/>
          <w:color w:val="000000" w:themeColor="text1"/>
          <w:sz w:val="24"/>
          <w14:textFill>
            <w14:solidFill>
              <w14:schemeClr w14:val="tx1"/>
            </w14:solidFill>
          </w14:textFill>
        </w:rPr>
        <w:t>Q</w:t>
      </w:r>
      <w:r>
        <w:rPr>
          <w:color w:val="000000" w:themeColor="text1"/>
          <w:sz w:val="24"/>
          <w14:textFill>
            <w14:solidFill>
              <w14:schemeClr w14:val="tx1"/>
            </w14:solidFill>
          </w14:textFill>
        </w:rPr>
        <w:t>＜1，因此判定本项目环境风险潜势为I。因此，环境风险评价工作等级为简单分析。</w:t>
      </w:r>
    </w:p>
    <w:p w14:paraId="6E78F2ED">
      <w:pPr>
        <w:adjustRightInd w:val="0"/>
        <w:snapToGrid w:val="0"/>
        <w:spacing w:line="360" w:lineRule="auto"/>
        <w:ind w:firstLine="480"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评价范围：</w:t>
      </w:r>
      <w:r>
        <w:rPr>
          <w:color w:val="000000" w:themeColor="text1"/>
          <w:sz w:val="24"/>
          <w14:textFill>
            <w14:solidFill>
              <w14:schemeClr w14:val="tx1"/>
            </w14:solidFill>
          </w14:textFill>
        </w:rPr>
        <w:t>本项目环境风险评价工作等级为简单分析，不设评价范围；按照风险评价技术导则进行风险识别、源项分析和对事故影响进行简要分析，提出防范、减缓和应急措施。</w:t>
      </w:r>
    </w:p>
    <w:p w14:paraId="1966BA46">
      <w:pPr>
        <w:pStyle w:val="4"/>
        <w:rPr>
          <w:rFonts w:ascii="Times New Roman" w:hAnsi="Times New Roman"/>
          <w:color w:val="000000" w:themeColor="text1"/>
          <w14:textFill>
            <w14:solidFill>
              <w14:schemeClr w14:val="tx1"/>
            </w14:solidFill>
          </w14:textFill>
        </w:rPr>
      </w:pPr>
      <w:bookmarkStart w:id="419" w:name="_Toc2773775"/>
      <w:r>
        <w:rPr>
          <w:rFonts w:ascii="Times New Roman" w:hAnsi="Times New Roman"/>
          <w:color w:val="000000" w:themeColor="text1"/>
          <w14:textFill>
            <w14:solidFill>
              <w14:schemeClr w14:val="tx1"/>
            </w14:solidFill>
          </w14:textFill>
        </w:rPr>
        <w:t>7.4环境风险识别</w:t>
      </w:r>
      <w:bookmarkEnd w:id="419"/>
    </w:p>
    <w:p w14:paraId="755A8636">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7.4.1物质危险性识别</w:t>
      </w:r>
    </w:p>
    <w:p w14:paraId="65FD8264">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危险化学品的危害特性主要包括火灾爆炸危险性、人体健康危险性以及反应危险性。本项目生产过程中并未使用有毒物质，原材料为废水泥袋（主要成份PP）、废大棚塑料（主要成分PE），属于可燃物质，其危险性见表3.5-3。</w:t>
      </w:r>
    </w:p>
    <w:p w14:paraId="2E327CDE">
      <w:pPr>
        <w:pStyle w:val="105"/>
        <w:rPr>
          <w:rFonts w:eastAsia="新宋体" w:cs="Times New Roman"/>
          <w:bCs/>
          <w:color w:val="000000" w:themeColor="text1"/>
          <w:kern w:val="0"/>
          <w:sz w:val="24"/>
          <w14:textFill>
            <w14:solidFill>
              <w14:schemeClr w14:val="tx1"/>
            </w14:solidFill>
          </w14:textFill>
        </w:rPr>
      </w:pPr>
      <w:r>
        <w:rPr>
          <w:rFonts w:cs="Times New Roman"/>
          <w:color w:val="000000" w:themeColor="text1"/>
          <w14:textFill>
            <w14:solidFill>
              <w14:schemeClr w14:val="tx1"/>
            </w14:solidFill>
          </w14:textFill>
        </w:rPr>
        <w:t>7.4.2 生产过程中潜在风险识别</w:t>
      </w:r>
    </w:p>
    <w:p w14:paraId="1CECE178">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本项目不负责原料及产品的运输，本次风险系统识别主要从生产装置和贮存系统进行识别。</w:t>
      </w:r>
    </w:p>
    <w:p w14:paraId="7FDB2B96">
      <w:pPr>
        <w:spacing w:line="360" w:lineRule="auto"/>
        <w:ind w:firstLine="480" w:firstLineChars="200"/>
        <w:rPr>
          <w:rFonts w:eastAsia="新宋体"/>
          <w:b/>
          <w:bCs/>
          <w:color w:val="000000" w:themeColor="text1"/>
          <w:sz w:val="24"/>
          <w:szCs w:val="21"/>
          <w14:textFill>
            <w14:solidFill>
              <w14:schemeClr w14:val="tx1"/>
            </w14:solidFill>
          </w14:textFill>
        </w:rPr>
      </w:pPr>
      <w:r>
        <w:rPr>
          <w:rFonts w:eastAsia="新宋体"/>
          <w:b/>
          <w:bCs/>
          <w:color w:val="000000" w:themeColor="text1"/>
          <w:sz w:val="24"/>
          <w:szCs w:val="21"/>
          <w14:textFill>
            <w14:solidFill>
              <w14:schemeClr w14:val="tx1"/>
            </w14:solidFill>
          </w14:textFill>
        </w:rPr>
        <w:t>1、风险识别</w:t>
      </w:r>
    </w:p>
    <w:p w14:paraId="51422E78">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（1）生产装置风险识别</w:t>
      </w:r>
    </w:p>
    <w:p w14:paraId="0E773089">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生产操作过程中必须加强安全管理，提高事故防范措施。突发性污染事故，特别是废气处理设施发生故障将对事故现场人员的生命和健康造成严重危害，此外还将造成巨大的经济损失，以及社会不安定因素，同时对生态环境也会造成严重的破坏。因此，做好突发性环境污染事故的预防，提高对突发性污染事故的应急处理和处置能力，对企业具有重要的意义。发生突发性污染事故的诱发因素很多，其中被认为重要的因素有：</w:t>
      </w:r>
    </w:p>
    <w:p w14:paraId="2E69B7BF">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a设计上存在缺陷；</w:t>
      </w:r>
    </w:p>
    <w:p w14:paraId="4A70B591">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b设备质量差，或过度超时、超负荷运转；</w:t>
      </w:r>
    </w:p>
    <w:p w14:paraId="23CF75ED">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c管理或指挥失误；</w:t>
      </w:r>
    </w:p>
    <w:p w14:paraId="1A658743">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d违章操作；</w:t>
      </w:r>
    </w:p>
    <w:p w14:paraId="79673D93">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e废气处理设施出现故障或是长时间没有经过整修清理。</w:t>
      </w:r>
    </w:p>
    <w:p w14:paraId="78DA9720">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因此，对突发性污染事故的防治对策，应从以上几点严格控制和管理，加强事故措施和事故应急处理单技能，懂得紧急救援的知识。将预防为主，安全第一的理念作为减少事故发生、降低污染事故损害的主要保障。</w:t>
      </w:r>
    </w:p>
    <w:p w14:paraId="07B85100">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（2）贮存系统风险识别</w:t>
      </w:r>
    </w:p>
    <w:p w14:paraId="7F16C02B">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废塑料的储存过程在正常情况下的环境风险很小，但堆存时遇热源，废塑料会因受到外来的热量且相互传热，而分解出可燃性有机气体，对周围大气环境造成一定程度的污染。如果贮存过程管理不善，与空气中的氧气相混合而着火，有可能发生火灾事故。</w:t>
      </w:r>
    </w:p>
    <w:p w14:paraId="2AA84150">
      <w:pPr>
        <w:spacing w:line="360" w:lineRule="auto"/>
        <w:ind w:firstLine="480" w:firstLineChars="200"/>
        <w:rPr>
          <w:rFonts w:eastAsia="新宋体"/>
          <w:b/>
          <w:bCs/>
          <w:color w:val="000000" w:themeColor="text1"/>
          <w:sz w:val="24"/>
          <w:szCs w:val="21"/>
          <w14:textFill>
            <w14:solidFill>
              <w14:schemeClr w14:val="tx1"/>
            </w14:solidFill>
          </w14:textFill>
        </w:rPr>
      </w:pPr>
      <w:r>
        <w:rPr>
          <w:rFonts w:eastAsia="新宋体"/>
          <w:b/>
          <w:bCs/>
          <w:color w:val="000000" w:themeColor="text1"/>
          <w:sz w:val="24"/>
          <w:szCs w:val="21"/>
          <w14:textFill>
            <w14:solidFill>
              <w14:schemeClr w14:val="tx1"/>
            </w14:solidFill>
          </w14:textFill>
        </w:rPr>
        <w:t>2、风险单元识别</w:t>
      </w:r>
    </w:p>
    <w:p w14:paraId="7F040F37">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本项目不负责原料及产品的运输，根据对环境风险物质的筛选和工艺流程确定本评价的生产设施风险单元主要为储存单元（储存原料和成品的库房）和生产车间。</w:t>
      </w:r>
    </w:p>
    <w:p w14:paraId="47C1B938">
      <w:pPr>
        <w:pStyle w:val="4"/>
        <w:rPr>
          <w:rFonts w:ascii="Times New Roman" w:hAnsi="Times New Roman"/>
          <w:color w:val="000000" w:themeColor="text1"/>
          <w14:textFill>
            <w14:solidFill>
              <w14:schemeClr w14:val="tx1"/>
            </w14:solidFill>
          </w14:textFill>
        </w:rPr>
      </w:pPr>
      <w:bookmarkStart w:id="420" w:name="_Toc2773776"/>
      <w:r>
        <w:rPr>
          <w:rFonts w:ascii="Times New Roman" w:hAnsi="Times New Roman"/>
          <w:color w:val="000000" w:themeColor="text1"/>
          <w14:textFill>
            <w14:solidFill>
              <w14:schemeClr w14:val="tx1"/>
            </w14:solidFill>
          </w14:textFill>
        </w:rPr>
        <w:t>7.5源项分析</w:t>
      </w:r>
      <w:bookmarkEnd w:id="420"/>
    </w:p>
    <w:p w14:paraId="3C20368C">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7.5.1最大可信事故分析</w:t>
      </w:r>
    </w:p>
    <w:p w14:paraId="757AFED2">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塑料厂火灾事故是屡见不鲜的，主要是因为塑料厂生产车间、仓库等设施内存放有大量可燃塑料制品，如果遇到火源就容易发生火灾事故。发生火灾事故主要原因是可燃原辅料贮运和施工过程中管理不严、人员操作不当所致。如果发生火灾事故，部分原辅料在火灾过程中会产生有毒有害的气体，造成次生污染，从而对周围环境空气造成污染以及人员健康造成伤害。</w:t>
      </w:r>
    </w:p>
    <w:p w14:paraId="0B439A9F">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本项目主要风险事故为废塑料、成品等在贮运和使用过程中操作不当引起火灾事故。</w:t>
      </w:r>
    </w:p>
    <w:p w14:paraId="56A489B8">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本项目营运过程中，厂区堆放存储的废塑料量较大，同时聚乙烯（PE）塑料为可燃物质。因此本次评价火灾事故的假定上述废塑料原料和塑料粒子成品遇热燃烧造成火灾事故。</w:t>
      </w:r>
    </w:p>
    <w:p w14:paraId="3F8B7313">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7.5.2事故概率</w:t>
      </w:r>
    </w:p>
    <w:p w14:paraId="4FD28EE1">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事故概率可以通过事故树分析，确定事件后用概率计算法求得，也可以通过类比法求得。本项目通过类比确定最大可信事故概率。</w:t>
      </w:r>
    </w:p>
    <w:p w14:paraId="74014510">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根据对全世界700多个化工企业的统计，30年共发生100起大事故，其中对环境造成重大影响的有7起，事故造成重大环境影响的概率为3.3×10</w:t>
      </w:r>
      <w:r>
        <w:rPr>
          <w:rFonts w:eastAsia="新宋体"/>
          <w:color w:val="000000" w:themeColor="text1"/>
          <w:sz w:val="24"/>
          <w:szCs w:val="21"/>
          <w:vertAlign w:val="superscript"/>
          <w14:textFill>
            <w14:solidFill>
              <w14:schemeClr w14:val="tx1"/>
            </w14:solidFill>
          </w14:textFill>
        </w:rPr>
        <w:t>-4</w:t>
      </w:r>
      <w:r>
        <w:rPr>
          <w:rFonts w:eastAsia="新宋体"/>
          <w:color w:val="000000" w:themeColor="text1"/>
          <w:sz w:val="24"/>
          <w:szCs w:val="21"/>
          <w14:textFill>
            <w14:solidFill>
              <w14:schemeClr w14:val="tx1"/>
            </w14:solidFill>
          </w14:textFill>
        </w:rPr>
        <w:t>/年；根据国内35个化工企业40年来统计数据，上报的70起事故中，经济损失超过100万元事故的7起，其中对环境造成重大影响的有1起，事故造成重大环境影响的概率为7.1×10</w:t>
      </w:r>
      <w:r>
        <w:rPr>
          <w:rFonts w:eastAsia="新宋体"/>
          <w:color w:val="000000" w:themeColor="text1"/>
          <w:sz w:val="24"/>
          <w:szCs w:val="21"/>
          <w:vertAlign w:val="superscript"/>
          <w14:textFill>
            <w14:solidFill>
              <w14:schemeClr w14:val="tx1"/>
            </w14:solidFill>
          </w14:textFill>
        </w:rPr>
        <w:t>-4</w:t>
      </w:r>
      <w:r>
        <w:rPr>
          <w:rFonts w:eastAsia="新宋体"/>
          <w:color w:val="000000" w:themeColor="text1"/>
          <w:sz w:val="24"/>
          <w:szCs w:val="21"/>
          <w14:textFill>
            <w14:solidFill>
              <w14:schemeClr w14:val="tx1"/>
            </w14:solidFill>
          </w14:textFill>
        </w:rPr>
        <w:t>/年。</w:t>
      </w:r>
    </w:p>
    <w:p w14:paraId="039477E4">
      <w:pPr>
        <w:pStyle w:val="4"/>
        <w:rPr>
          <w:rFonts w:ascii="Times New Roman" w:hAnsi="Times New Roman"/>
          <w:color w:val="000000" w:themeColor="text1"/>
          <w14:textFill>
            <w14:solidFill>
              <w14:schemeClr w14:val="tx1"/>
            </w14:solidFill>
          </w14:textFill>
        </w:rPr>
      </w:pPr>
      <w:bookmarkStart w:id="421" w:name="_Toc2773777"/>
      <w:r>
        <w:rPr>
          <w:rFonts w:ascii="Times New Roman" w:hAnsi="Times New Roman"/>
          <w:color w:val="000000" w:themeColor="text1"/>
          <w14:textFill>
            <w14:solidFill>
              <w14:schemeClr w14:val="tx1"/>
            </w14:solidFill>
          </w14:textFill>
        </w:rPr>
        <w:t>7.6风险事故防范措施</w:t>
      </w:r>
      <w:bookmarkEnd w:id="421"/>
    </w:p>
    <w:p w14:paraId="424149F3">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针对本项目可能产生的火灾风险事故隐患，本项目应考虑采取必要的防范措施同时为进一步减少风险事故可能产生的环境影响，在采取预防措施基础上应加强以下风险防范和管理措施。</w:t>
      </w:r>
    </w:p>
    <w:p w14:paraId="4842692C">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1、储存过程的环境风险防范措施</w:t>
      </w:r>
    </w:p>
    <w:p w14:paraId="1D067C11">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（1）旧塑料贮放设置明显标志；</w:t>
      </w:r>
    </w:p>
    <w:p w14:paraId="68076E21">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（2）对塑料按计划采购、分期分批入库，严格控制贮存量；</w:t>
      </w:r>
    </w:p>
    <w:p w14:paraId="301CAE62">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（3）对各类火种、火源和有散发火花危险的机械设备、作业活动，以及可燃、易燃物品的控制和管理；</w:t>
      </w:r>
    </w:p>
    <w:p w14:paraId="6E3671B5">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（4）实行安全检查制度，各类安全设施、消防器材，进行各种日常的、定期的、专业的防火安全检查，并将发现的问题定人、限期落实整改；</w:t>
      </w:r>
    </w:p>
    <w:p w14:paraId="1350D5A1">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（5）制定各种操作规范，加强监督管理，严格看管检查制度，避免事故的发生。</w:t>
      </w:r>
    </w:p>
    <w:p w14:paraId="22FFBFE9">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2、储存过程的环境风险管理事故防范措施</w:t>
      </w:r>
    </w:p>
    <w:p w14:paraId="25C25813">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（1）加强废旧水泥袋、农用地膜和遮阳网的储存管理，储存过程须严格遵守安全防火规定、仓库和堆场配备防火器材，严禁与易燃易爆品混存；</w:t>
      </w:r>
    </w:p>
    <w:p w14:paraId="72BDB0AF">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（2）落实责任制，生产车间、仓库应分设负责人看管，确保车间、仓库消防隐患时刻监控，不可利用废物定期清理。</w:t>
      </w:r>
    </w:p>
    <w:p w14:paraId="2790B36A">
      <w:pPr>
        <w:pStyle w:val="4"/>
        <w:rPr>
          <w:rFonts w:ascii="Times New Roman" w:hAnsi="Times New Roman"/>
          <w:color w:val="000000" w:themeColor="text1"/>
          <w14:textFill>
            <w14:solidFill>
              <w14:schemeClr w14:val="tx1"/>
            </w14:solidFill>
          </w14:textFill>
        </w:rPr>
      </w:pPr>
      <w:bookmarkStart w:id="422" w:name="_Toc2773778"/>
      <w:bookmarkStart w:id="423" w:name="_Toc411838269"/>
      <w:r>
        <w:rPr>
          <w:rFonts w:ascii="Times New Roman" w:hAnsi="Times New Roman"/>
          <w:color w:val="000000" w:themeColor="text1"/>
          <w14:textFill>
            <w14:solidFill>
              <w14:schemeClr w14:val="tx1"/>
            </w14:solidFill>
          </w14:textFill>
        </w:rPr>
        <w:t>7.7风险评价结论</w:t>
      </w:r>
      <w:bookmarkEnd w:id="422"/>
      <w:bookmarkEnd w:id="423"/>
    </w:p>
    <w:p w14:paraId="61AAFFF6">
      <w:pPr>
        <w:jc w:val="center"/>
        <w:rPr>
          <w:b/>
          <w:color w:val="000000" w:themeColor="text1"/>
          <w:sz w:val="24"/>
          <w14:textFill>
            <w14:solidFill>
              <w14:schemeClr w14:val="tx1"/>
            </w14:solidFill>
          </w14:textFill>
        </w:rPr>
      </w:pPr>
    </w:p>
    <w:p w14:paraId="615B921E">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表7.6-1  建设项目环境风险简单分析内容表</w:t>
      </w:r>
    </w:p>
    <w:tbl>
      <w:tblPr>
        <w:tblStyle w:val="280"/>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144"/>
        <w:gridCol w:w="2130"/>
        <w:gridCol w:w="1134"/>
        <w:gridCol w:w="1132"/>
        <w:gridCol w:w="1134"/>
        <w:gridCol w:w="1652"/>
      </w:tblGrid>
      <w:tr w14:paraId="6E5F36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bottom w:val="single" w:color="000000" w:sz="4" w:space="0"/>
              <w:right w:val="single" w:color="000000" w:sz="4" w:space="0"/>
            </w:tcBorders>
            <w:vAlign w:val="center"/>
          </w:tcPr>
          <w:p w14:paraId="52D1F956">
            <w:pPr>
              <w:pStyle w:val="281"/>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建设项目名称</w:t>
            </w:r>
          </w:p>
        </w:tc>
        <w:tc>
          <w:tcPr>
            <w:tcW w:w="4313" w:type="pct"/>
            <w:gridSpan w:val="5"/>
            <w:tcBorders>
              <w:left w:val="single" w:color="000000" w:sz="4" w:space="0"/>
              <w:bottom w:val="single" w:color="000000" w:sz="4" w:space="0"/>
            </w:tcBorders>
            <w:vAlign w:val="center"/>
          </w:tcPr>
          <w:p w14:paraId="01D3173E">
            <w:pPr>
              <w:adjustRightInd w:val="0"/>
              <w:ind w:left="105" w:leftChars="50" w:right="105" w:rightChars="50"/>
              <w:jc w:val="center"/>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芒市创亿塑料加工项目</w:t>
            </w:r>
          </w:p>
        </w:tc>
      </w:tr>
      <w:tr w14:paraId="1789B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109CFA00">
            <w:pPr>
              <w:pStyle w:val="281"/>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建设地点</w:t>
            </w:r>
          </w:p>
        </w:tc>
        <w:tc>
          <w:tcPr>
            <w:tcW w:w="1279" w:type="pct"/>
            <w:tcBorders>
              <w:top w:val="single" w:color="000000" w:sz="4" w:space="0"/>
              <w:left w:val="single" w:color="000000" w:sz="4" w:space="0"/>
              <w:bottom w:val="single" w:color="000000" w:sz="4" w:space="0"/>
              <w:right w:val="single" w:color="000000" w:sz="4" w:space="0"/>
            </w:tcBorders>
            <w:vAlign w:val="center"/>
          </w:tcPr>
          <w:p w14:paraId="4A80903E">
            <w:pPr>
              <w:pStyle w:val="281"/>
              <w:tabs>
                <w:tab w:val="left" w:pos="449"/>
              </w:tabs>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云南</w:t>
            </w:r>
            <w:r>
              <w:rPr>
                <w:rFonts w:ascii="Times New Roman" w:hAnsi="Times New Roman" w:eastAsia="宋体" w:cs="Times New Roman"/>
                <w:color w:val="000000" w:themeColor="text1"/>
                <w:sz w:val="21"/>
                <w:szCs w:val="21"/>
                <w14:textFill>
                  <w14:solidFill>
                    <w14:schemeClr w14:val="tx1"/>
                  </w14:solidFill>
                </w14:textFill>
              </w:rPr>
              <w:t>省</w:t>
            </w:r>
          </w:p>
        </w:tc>
        <w:tc>
          <w:tcPr>
            <w:tcW w:w="681" w:type="pct"/>
            <w:tcBorders>
              <w:top w:val="single" w:color="000000" w:sz="4" w:space="0"/>
              <w:left w:val="single" w:color="000000" w:sz="4" w:space="0"/>
              <w:bottom w:val="single" w:color="000000" w:sz="4" w:space="0"/>
              <w:right w:val="single" w:color="000000" w:sz="4" w:space="0"/>
            </w:tcBorders>
            <w:vAlign w:val="center"/>
          </w:tcPr>
          <w:p w14:paraId="587857AE">
            <w:pPr>
              <w:pStyle w:val="281"/>
              <w:tabs>
                <w:tab w:val="left" w:pos="657"/>
              </w:tabs>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德宏州</w:t>
            </w:r>
          </w:p>
        </w:tc>
        <w:tc>
          <w:tcPr>
            <w:tcW w:w="680" w:type="pct"/>
            <w:tcBorders>
              <w:top w:val="single" w:color="000000" w:sz="4" w:space="0"/>
              <w:left w:val="single" w:color="000000" w:sz="4" w:space="0"/>
              <w:bottom w:val="single" w:color="000000" w:sz="4" w:space="0"/>
              <w:right w:val="single" w:color="000000" w:sz="4" w:space="0"/>
            </w:tcBorders>
            <w:vAlign w:val="center"/>
          </w:tcPr>
          <w:p w14:paraId="3E90B5F4">
            <w:pPr>
              <w:pStyle w:val="281"/>
              <w:tabs>
                <w:tab w:val="left" w:pos="449"/>
              </w:tabs>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芒</w:t>
            </w:r>
            <w:r>
              <w:rPr>
                <w:rFonts w:ascii="Times New Roman" w:hAnsi="Times New Roman" w:eastAsia="宋体" w:cs="Times New Roman"/>
                <w:color w:val="000000" w:themeColor="text1"/>
                <w:sz w:val="21"/>
                <w:szCs w:val="21"/>
                <w14:textFill>
                  <w14:solidFill>
                    <w14:schemeClr w14:val="tx1"/>
                  </w14:solidFill>
                </w14:textFill>
              </w:rPr>
              <w:t>市</w:t>
            </w:r>
          </w:p>
        </w:tc>
        <w:tc>
          <w:tcPr>
            <w:tcW w:w="681" w:type="pct"/>
            <w:tcBorders>
              <w:top w:val="single" w:color="000000" w:sz="4" w:space="0"/>
              <w:left w:val="single" w:color="000000" w:sz="4" w:space="0"/>
              <w:bottom w:val="single" w:color="000000" w:sz="4" w:space="0"/>
              <w:right w:val="single" w:color="000000" w:sz="4" w:space="0"/>
            </w:tcBorders>
            <w:vAlign w:val="center"/>
          </w:tcPr>
          <w:p w14:paraId="535257E7">
            <w:pPr>
              <w:pStyle w:val="281"/>
              <w:tabs>
                <w:tab w:val="left" w:pos="632"/>
              </w:tabs>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遮放镇</w:t>
            </w:r>
          </w:p>
        </w:tc>
        <w:tc>
          <w:tcPr>
            <w:tcW w:w="992" w:type="pct"/>
            <w:tcBorders>
              <w:top w:val="single" w:color="000000" w:sz="4" w:space="0"/>
              <w:left w:val="single" w:color="000000" w:sz="4" w:space="0"/>
              <w:bottom w:val="single" w:color="000000" w:sz="4" w:space="0"/>
            </w:tcBorders>
            <w:vAlign w:val="center"/>
          </w:tcPr>
          <w:p w14:paraId="3969EC94">
            <w:pPr>
              <w:pStyle w:val="281"/>
              <w:tabs>
                <w:tab w:val="left" w:pos="647"/>
              </w:tabs>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弄坎村芒捧村民小组</w:t>
            </w:r>
          </w:p>
        </w:tc>
      </w:tr>
      <w:tr w14:paraId="0704F7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2B8702C3">
            <w:pPr>
              <w:pStyle w:val="281"/>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地理坐标</w:t>
            </w:r>
          </w:p>
        </w:tc>
        <w:tc>
          <w:tcPr>
            <w:tcW w:w="1279" w:type="pct"/>
            <w:tcBorders>
              <w:top w:val="single" w:color="000000" w:sz="4" w:space="0"/>
              <w:left w:val="single" w:color="000000" w:sz="4" w:space="0"/>
              <w:bottom w:val="single" w:color="000000" w:sz="4" w:space="0"/>
              <w:right w:val="single" w:color="000000" w:sz="4" w:space="0"/>
            </w:tcBorders>
            <w:vAlign w:val="center"/>
          </w:tcPr>
          <w:p w14:paraId="3B7734F6">
            <w:pPr>
              <w:pStyle w:val="281"/>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经度</w:t>
            </w:r>
          </w:p>
        </w:tc>
        <w:tc>
          <w:tcPr>
            <w:tcW w:w="681" w:type="pct"/>
            <w:tcBorders>
              <w:top w:val="single" w:color="000000" w:sz="4" w:space="0"/>
              <w:left w:val="single" w:color="000000" w:sz="4" w:space="0"/>
              <w:bottom w:val="single" w:color="000000" w:sz="4" w:space="0"/>
              <w:right w:val="single" w:color="000000" w:sz="4" w:space="0"/>
            </w:tcBorders>
            <w:vAlign w:val="center"/>
          </w:tcPr>
          <w:p w14:paraId="68C358E5">
            <w:pPr>
              <w:adjustRightInd w:val="0"/>
              <w:ind w:left="105" w:leftChars="50" w:right="105" w:rightChars="50"/>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98.579107</w:t>
            </w:r>
          </w:p>
        </w:tc>
        <w:tc>
          <w:tcPr>
            <w:tcW w:w="680" w:type="pct"/>
            <w:tcBorders>
              <w:top w:val="single" w:color="000000" w:sz="4" w:space="0"/>
              <w:left w:val="single" w:color="000000" w:sz="4" w:space="0"/>
              <w:bottom w:val="single" w:color="000000" w:sz="4" w:space="0"/>
              <w:right w:val="single" w:color="000000" w:sz="4" w:space="0"/>
            </w:tcBorders>
            <w:vAlign w:val="center"/>
          </w:tcPr>
          <w:p w14:paraId="3888A5D6">
            <w:pPr>
              <w:pStyle w:val="281"/>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纬度</w:t>
            </w:r>
          </w:p>
        </w:tc>
        <w:tc>
          <w:tcPr>
            <w:tcW w:w="1673" w:type="pct"/>
            <w:gridSpan w:val="2"/>
            <w:tcBorders>
              <w:top w:val="single" w:color="000000" w:sz="4" w:space="0"/>
              <w:left w:val="single" w:color="000000" w:sz="4" w:space="0"/>
              <w:bottom w:val="single" w:color="000000" w:sz="4" w:space="0"/>
            </w:tcBorders>
            <w:vAlign w:val="center"/>
          </w:tcPr>
          <w:p w14:paraId="540134C8">
            <w:pPr>
              <w:adjustRightInd w:val="0"/>
              <w:ind w:left="105" w:leftChars="50" w:right="105" w:rightChars="50"/>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24.406063</w:t>
            </w:r>
          </w:p>
        </w:tc>
      </w:tr>
      <w:tr w14:paraId="38CC05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74A6478B">
            <w:pPr>
              <w:pStyle w:val="281"/>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主要危险物质及分布</w:t>
            </w:r>
          </w:p>
        </w:tc>
        <w:tc>
          <w:tcPr>
            <w:tcW w:w="4313" w:type="pct"/>
            <w:gridSpan w:val="5"/>
            <w:tcBorders>
              <w:top w:val="single" w:color="000000" w:sz="4" w:space="0"/>
              <w:left w:val="single" w:color="000000" w:sz="4" w:space="0"/>
              <w:bottom w:val="single" w:color="000000" w:sz="4" w:space="0"/>
            </w:tcBorders>
            <w:vAlign w:val="center"/>
          </w:tcPr>
          <w:p w14:paraId="2125627C">
            <w:pPr>
              <w:adjustRightInd w:val="0"/>
              <w:ind w:left="105" w:leftChars="50" w:right="105" w:rightChars="50" w:firstLine="420" w:firstLineChars="20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本项目在生产过程中使用的主要原材料为废塑料（主要成分PP、PE），产品为塑料颗粒，根据HJ/T169-2018《建设项目环境风险评价技术导则》附录B，项目生产过程中不涉及环境风险物质。</w:t>
            </w:r>
          </w:p>
        </w:tc>
      </w:tr>
      <w:tr w14:paraId="5C0C0E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02DB9BDC">
            <w:pPr>
              <w:pStyle w:val="281"/>
              <w:adjustRightInd w:val="0"/>
              <w:ind w:left="105" w:leftChars="50" w:right="105" w:rightChars="5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环境影响途径及危害后果</w:t>
            </w:r>
          </w:p>
        </w:tc>
        <w:tc>
          <w:tcPr>
            <w:tcW w:w="4313" w:type="pct"/>
            <w:gridSpan w:val="5"/>
            <w:tcBorders>
              <w:top w:val="single" w:color="000000" w:sz="4" w:space="0"/>
              <w:left w:val="single" w:color="000000" w:sz="4" w:space="0"/>
              <w:bottom w:val="single" w:color="000000" w:sz="4" w:space="0"/>
            </w:tcBorders>
            <w:vAlign w:val="center"/>
          </w:tcPr>
          <w:p w14:paraId="721AB182">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主要环境风险为火灾造成财产损失、环境污染等风险事故。</w:t>
            </w:r>
          </w:p>
        </w:tc>
      </w:tr>
      <w:tr w14:paraId="02D069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3E58B64B">
            <w:pPr>
              <w:pStyle w:val="281"/>
              <w:adjustRightInd w:val="0"/>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风险防范措施要求</w:t>
            </w:r>
          </w:p>
        </w:tc>
        <w:tc>
          <w:tcPr>
            <w:tcW w:w="4313" w:type="pct"/>
            <w:gridSpan w:val="5"/>
            <w:tcBorders>
              <w:top w:val="single" w:color="000000" w:sz="4" w:space="0"/>
              <w:left w:val="single" w:color="000000" w:sz="4" w:space="0"/>
              <w:bottom w:val="single" w:color="000000" w:sz="4" w:space="0"/>
            </w:tcBorders>
            <w:vAlign w:val="center"/>
          </w:tcPr>
          <w:p w14:paraId="00373F08">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1、储存过程的环境风险防范措施</w:t>
            </w:r>
          </w:p>
          <w:p w14:paraId="4A02A87D">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（1）旧塑料贮放设置明显标志；</w:t>
            </w:r>
          </w:p>
          <w:p w14:paraId="348E1D0E">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（2）对塑料按计划采购、分期分批入库，严格控制贮存量；</w:t>
            </w:r>
          </w:p>
          <w:p w14:paraId="63E7E15A">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（3）对各类火种、火源和有散发火花危险的机械设备、作业活动，以及可燃、易燃物品的控制和管理；</w:t>
            </w:r>
          </w:p>
          <w:p w14:paraId="2E2856AD">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（4）实行安全检查制度，各类安全设施、消防器材，进行各种日常的、定期的、专业的防火安全检查，并将发现的问题定人、限期落实整改；</w:t>
            </w:r>
          </w:p>
          <w:p w14:paraId="5F1BCF9D">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（5）制定各种操作规范，加强监督管理，严格看管检查制度，避免事故的发生。</w:t>
            </w:r>
          </w:p>
          <w:p w14:paraId="69AA3FFD">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2、储存过程的环境风险管理事故防范措施</w:t>
            </w:r>
          </w:p>
          <w:p w14:paraId="0B96C3E4">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（1）加强废旧水泥袋、农用地膜和遮阳网的储存管理，储存过程须严格遵守安全防火规定、仓库和堆场配备防火器材，严禁与易燃易爆品混存；</w:t>
            </w:r>
          </w:p>
          <w:p w14:paraId="78D169C9">
            <w:pPr>
              <w:adjustRightInd w:val="0"/>
              <w:ind w:left="105" w:leftChars="50" w:right="105" w:rightChars="50"/>
              <w:rPr>
                <w:rFonts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eastAsiaTheme="minorEastAsia"/>
                <w:color w:val="000000" w:themeColor="text1"/>
                <w:szCs w:val="21"/>
                <w:lang w:eastAsia="zh-CN"/>
                <w14:textFill>
                  <w14:solidFill>
                    <w14:schemeClr w14:val="tx1"/>
                  </w14:solidFill>
                </w14:textFill>
              </w:rPr>
              <w:t>（2）落实责任制，生产车间、仓库应分设负责人看管，确保车间、仓库消防隐患时刻监控，不可利用废物定期清理。</w:t>
            </w:r>
          </w:p>
        </w:tc>
      </w:tr>
      <w:tr w14:paraId="3804B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5000" w:type="pct"/>
            <w:gridSpan w:val="6"/>
            <w:tcBorders>
              <w:top w:val="single" w:color="000000" w:sz="4" w:space="0"/>
            </w:tcBorders>
            <w:vAlign w:val="center"/>
          </w:tcPr>
          <w:p w14:paraId="6B8A7B69">
            <w:pPr>
              <w:pStyle w:val="281"/>
              <w:adjustRightInd w:val="0"/>
              <w:ind w:left="105" w:leftChars="50" w:right="105" w:rightChars="50"/>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填表说明（列出项目相关信息及评价说明</w:t>
            </w:r>
            <w:r>
              <w:rPr>
                <w:rFonts w:ascii="Times New Roman" w:hAnsi="Times New Roman" w:eastAsia="宋体" w:cs="Times New Roman"/>
                <w:color w:val="000000" w:themeColor="text1"/>
                <w:spacing w:val="-90"/>
                <w:sz w:val="21"/>
                <w:szCs w:val="21"/>
                <w:lang w:eastAsia="zh-CN"/>
                <w14:textFill>
                  <w14:solidFill>
                    <w14:schemeClr w14:val="tx1"/>
                  </w14:solidFill>
                </w14:textFill>
              </w:rPr>
              <w:t>）</w:t>
            </w:r>
            <w:r>
              <w:rPr>
                <w:rFonts w:ascii="Times New Roman" w:hAnsi="Times New Roman" w:eastAsia="宋体" w:cs="Times New Roman"/>
                <w:color w:val="000000" w:themeColor="text1"/>
                <w:sz w:val="21"/>
                <w:szCs w:val="21"/>
                <w:lang w:eastAsia="zh-CN"/>
                <w14:textFill>
                  <w14:solidFill>
                    <w14:schemeClr w14:val="tx1"/>
                  </w14:solidFill>
                </w14:textFill>
              </w:rPr>
              <w:t>：本项目在生产过程中使用的主要原材料为废塑料（主要成分PP、PE），产品为塑料颗粒，根据HJ/T169-2018《建设项目环境风险评价技术导则》附录B，项目生产过程中不涉及环境风险物质。</w:t>
            </w:r>
          </w:p>
        </w:tc>
      </w:tr>
    </w:tbl>
    <w:p w14:paraId="163D8D68">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本项目在生产过程中使用的主要原材料为废塑料（主要成分PP、PE），产品为塑料颗粒，根据HJ/T169-2018《建设项目环境风险评价技术导则》附录B，项目生产过程中不涉及环境风险物质。主要环境风险为火灾造成财产损失、环境污染等风险事故。项目在工程设计及生产运行过程中，严格落实环境风险事故防控措施，制定环境风险应急预案，并加强施工及生产人员的管理，可有效减少运行风险，降低事故危害和环境污染，将环境风险控制到最小程度。在落实风险防范措施、做好应急预案的前提下，本项目的风险处于可接受水平。</w:t>
      </w:r>
    </w:p>
    <w:p w14:paraId="75E07584">
      <w:pPr>
        <w:adjustRightInd w:val="0"/>
        <w:snapToGrid w:val="0"/>
        <w:spacing w:line="360" w:lineRule="auto"/>
        <w:ind w:firstLine="480" w:firstLineChars="200"/>
        <w:rPr>
          <w:color w:val="000000" w:themeColor="text1"/>
          <w:sz w:val="24"/>
          <w14:textFill>
            <w14:solidFill>
              <w14:schemeClr w14:val="tx1"/>
            </w14:solidFill>
          </w14:textFill>
        </w:rPr>
      </w:pPr>
    </w:p>
    <w:p w14:paraId="67EA1E94">
      <w:pPr>
        <w:adjustRightInd w:val="0"/>
        <w:snapToGrid w:val="0"/>
        <w:spacing w:line="360" w:lineRule="auto"/>
        <w:ind w:firstLine="480" w:firstLineChars="200"/>
        <w:rPr>
          <w:color w:val="000000" w:themeColor="text1"/>
          <w:sz w:val="24"/>
          <w14:textFill>
            <w14:solidFill>
              <w14:schemeClr w14:val="tx1"/>
            </w14:solidFill>
          </w14:textFill>
        </w:rPr>
      </w:pPr>
    </w:p>
    <w:p w14:paraId="0226E040">
      <w:pPr>
        <w:pStyle w:val="38"/>
        <w:rPr>
          <w:rFonts w:ascii="Times New Roman" w:hAnsi="Times New Roman"/>
          <w:color w:val="000000" w:themeColor="text1"/>
          <w14:textFill>
            <w14:solidFill>
              <w14:schemeClr w14:val="tx1"/>
            </w14:solidFill>
          </w14:textFill>
        </w:rPr>
      </w:pPr>
      <w:bookmarkStart w:id="424" w:name="_Toc374151572"/>
      <w:bookmarkStart w:id="425" w:name="_Toc331412280"/>
      <w:r>
        <w:rPr>
          <w:rFonts w:ascii="Times New Roman" w:hAnsi="Times New Roman"/>
          <w:color w:val="000000" w:themeColor="text1"/>
          <w14:textFill>
            <w14:solidFill>
              <w14:schemeClr w14:val="tx1"/>
            </w14:solidFill>
          </w14:textFill>
        </w:rPr>
        <w:br w:type="page"/>
      </w:r>
      <w:bookmarkStart w:id="426" w:name="_Toc2773779"/>
      <w:r>
        <w:rPr>
          <w:rFonts w:ascii="Times New Roman" w:hAnsi="Times New Roman"/>
          <w:color w:val="000000" w:themeColor="text1"/>
          <w14:textFill>
            <w14:solidFill>
              <w14:schemeClr w14:val="tx1"/>
            </w14:solidFill>
          </w14:textFill>
        </w:rPr>
        <w:t>8产业政策及相关规划符合性分析</w:t>
      </w:r>
      <w:bookmarkEnd w:id="426"/>
    </w:p>
    <w:p w14:paraId="48E7A4E6">
      <w:pPr>
        <w:pStyle w:val="4"/>
        <w:rPr>
          <w:rFonts w:ascii="Times New Roman" w:hAnsi="Times New Roman"/>
          <w:color w:val="000000" w:themeColor="text1"/>
          <w14:textFill>
            <w14:solidFill>
              <w14:schemeClr w14:val="tx1"/>
            </w14:solidFill>
          </w14:textFill>
        </w:rPr>
      </w:pPr>
      <w:bookmarkStart w:id="427" w:name="_Toc2773780"/>
      <w:r>
        <w:rPr>
          <w:rFonts w:ascii="Times New Roman" w:hAnsi="Times New Roman"/>
          <w:color w:val="000000" w:themeColor="text1"/>
          <w14:textFill>
            <w14:solidFill>
              <w14:schemeClr w14:val="tx1"/>
            </w14:solidFill>
          </w14:textFill>
        </w:rPr>
        <w:t>8.1产业政策符合性分析</w:t>
      </w:r>
      <w:bookmarkEnd w:id="427"/>
    </w:p>
    <w:p w14:paraId="020184A2">
      <w:pPr>
        <w:pStyle w:val="114"/>
        <w:rPr>
          <w:color w:val="000000" w:themeColor="text1"/>
          <w14:textFill>
            <w14:solidFill>
              <w14:schemeClr w14:val="tx1"/>
            </w14:solidFill>
          </w14:textFill>
        </w:rPr>
      </w:pPr>
      <w:r>
        <w:rPr>
          <w:color w:val="000000" w:themeColor="text1"/>
          <w14:textFill>
            <w14:solidFill>
              <w14:schemeClr w14:val="tx1"/>
            </w14:solidFill>
          </w14:textFill>
        </w:rPr>
        <w:t>根据国家发展改革委《国家产业结构调整指导目录（2011年本）》（2013年修正），本项目属于国家鼓励类第三十八类“环境保护与资源节约综合利用”中的第28条“再生资源回收利用产业化”。</w:t>
      </w:r>
    </w:p>
    <w:p w14:paraId="3D9E8F65">
      <w:pPr>
        <w:pStyle w:val="114"/>
        <w:rPr>
          <w:color w:val="000000" w:themeColor="text1"/>
          <w14:textFill>
            <w14:solidFill>
              <w14:schemeClr w14:val="tx1"/>
            </w14:solidFill>
          </w14:textFill>
        </w:rPr>
      </w:pPr>
      <w:r>
        <w:rPr>
          <w:color w:val="000000" w:themeColor="text1"/>
          <w14:textFill>
            <w14:solidFill>
              <w14:schemeClr w14:val="tx1"/>
            </w14:solidFill>
          </w14:textFill>
        </w:rPr>
        <w:t>本项目生产过程中使用装置及生产设备、生产工艺及产品类别均不属于《国家产业结构调整指导目录（2011年本）》（2013年修正）限制类及落后生产工艺装备中的类别。</w:t>
      </w:r>
    </w:p>
    <w:p w14:paraId="10C513D3">
      <w:pPr>
        <w:pStyle w:val="114"/>
        <w:rPr>
          <w:color w:val="000000" w:themeColor="text1"/>
          <w14:textFill>
            <w14:solidFill>
              <w14:schemeClr w14:val="tx1"/>
            </w14:solidFill>
          </w14:textFill>
        </w:rPr>
      </w:pPr>
      <w:r>
        <w:rPr>
          <w:color w:val="000000" w:themeColor="text1"/>
          <w14:textFill>
            <w14:solidFill>
              <w14:schemeClr w14:val="tx1"/>
            </w14:solidFill>
          </w14:textFill>
        </w:rPr>
        <w:t>因此，项目符合国家产业政策。</w:t>
      </w:r>
    </w:p>
    <w:p w14:paraId="2997232F">
      <w:pPr>
        <w:pStyle w:val="4"/>
        <w:rPr>
          <w:rFonts w:ascii="Times New Roman" w:hAnsi="Times New Roman"/>
          <w:color w:val="000000" w:themeColor="text1"/>
          <w14:textFill>
            <w14:solidFill>
              <w14:schemeClr w14:val="tx1"/>
            </w14:solidFill>
          </w14:textFill>
        </w:rPr>
      </w:pPr>
      <w:bookmarkStart w:id="428" w:name="_Toc2773781"/>
      <w:r>
        <w:rPr>
          <w:rFonts w:ascii="Times New Roman" w:hAnsi="Times New Roman"/>
          <w:color w:val="000000" w:themeColor="text1"/>
          <w14:textFill>
            <w14:solidFill>
              <w14:schemeClr w14:val="tx1"/>
            </w14:solidFill>
          </w14:textFill>
        </w:rPr>
        <w:t>8.2与相关规划符合性分析、选址符合性分析</w:t>
      </w:r>
      <w:bookmarkEnd w:id="428"/>
    </w:p>
    <w:p w14:paraId="0453F1BF">
      <w:pPr>
        <w:adjustRightInd w:val="0"/>
        <w:snapToGrid w:val="0"/>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1、与相关规划符合性分析</w:t>
      </w:r>
    </w:p>
    <w:p w14:paraId="3D3E7565">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本项目位于芒市遮放镇弄坎村芒捧村民小组，根据</w:t>
      </w:r>
      <w:r>
        <w:rPr>
          <w:bCs/>
          <w:color w:val="000000" w:themeColor="text1"/>
          <w:sz w:val="24"/>
          <w14:textFill>
            <w14:solidFill>
              <w14:schemeClr w14:val="tx1"/>
            </w14:solidFill>
          </w14:textFill>
        </w:rPr>
        <w:t>土地证明，本项目选址不属于农业用地和林业用地，为</w:t>
      </w:r>
      <w:r>
        <w:rPr>
          <w:rFonts w:eastAsiaTheme="minorEastAsia"/>
          <w:color w:val="000000" w:themeColor="text1"/>
          <w:sz w:val="24"/>
          <w14:textFill>
            <w14:solidFill>
              <w14:schemeClr w14:val="tx1"/>
            </w14:solidFill>
          </w14:textFill>
        </w:rPr>
        <w:t>租用</w:t>
      </w:r>
      <w:r>
        <w:rPr>
          <w:bCs/>
          <w:color w:val="000000" w:themeColor="text1"/>
          <w:sz w:val="24"/>
          <w14:textFill>
            <w14:solidFill>
              <w14:schemeClr w14:val="tx1"/>
            </w14:solidFill>
          </w14:textFill>
        </w:rPr>
        <w:t>村民李进的土地和已建厂房，本项目不新增用地，不涉及生态红线。</w:t>
      </w:r>
    </w:p>
    <w:p w14:paraId="48AC3CE0">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同时</w:t>
      </w:r>
      <w:r>
        <w:rPr>
          <w:color w:val="000000" w:themeColor="text1"/>
          <w:sz w:val="24"/>
          <w14:textFill>
            <w14:solidFill>
              <w14:schemeClr w14:val="tx1"/>
            </w14:solidFill>
          </w14:textFill>
        </w:rPr>
        <w:t>选址不属于《德宏州域城镇体系规划（2011—2030）》用地范围，</w:t>
      </w:r>
      <w:r>
        <w:rPr>
          <w:bCs/>
          <w:color w:val="000000" w:themeColor="text1"/>
          <w:sz w:val="24"/>
          <w14:textFill>
            <w14:solidFill>
              <w14:schemeClr w14:val="tx1"/>
            </w14:solidFill>
          </w14:textFill>
        </w:rPr>
        <w:t xml:space="preserve">建设项目与《德宏州域城镇体系规划（2011—2030）》的总体规划定位分析不冲突； </w:t>
      </w:r>
    </w:p>
    <w:p w14:paraId="4F46D63B">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综上，建设项目符合相关规划要求。</w:t>
      </w:r>
    </w:p>
    <w:p w14:paraId="21DCA331">
      <w:pPr>
        <w:adjustRightInd w:val="0"/>
        <w:snapToGrid w:val="0"/>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2、选址合理性分析</w:t>
      </w:r>
    </w:p>
    <w:p w14:paraId="5956A518">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本项目选址于</w:t>
      </w:r>
      <w:r>
        <w:rPr>
          <w:bCs/>
          <w:color w:val="000000" w:themeColor="text1"/>
          <w:sz w:val="24"/>
          <w14:textFill>
            <w14:solidFill>
              <w14:schemeClr w14:val="tx1"/>
            </w14:solidFill>
          </w14:textFill>
        </w:rPr>
        <w:t>德宏傣族景颇族自治州芒市遮放镇弄坎村芒捧村</w:t>
      </w:r>
      <w:r>
        <w:rPr>
          <w:color w:val="000000" w:themeColor="text1"/>
          <w:sz w:val="24"/>
          <w14:textFill>
            <w14:solidFill>
              <w14:schemeClr w14:val="tx1"/>
            </w14:solidFill>
          </w14:textFill>
        </w:rPr>
        <w:t>，租用</w:t>
      </w:r>
      <w:r>
        <w:rPr>
          <w:bCs/>
          <w:color w:val="000000" w:themeColor="text1"/>
          <w:sz w:val="24"/>
          <w14:textFill>
            <w14:solidFill>
              <w14:schemeClr w14:val="tx1"/>
            </w14:solidFill>
          </w14:textFill>
        </w:rPr>
        <w:t>村民李进的土地和已建厂房</w:t>
      </w:r>
      <w:r>
        <w:rPr>
          <w:color w:val="000000" w:themeColor="text1"/>
          <w:sz w:val="24"/>
          <w14:textFill>
            <w14:solidFill>
              <w14:schemeClr w14:val="tx1"/>
            </w14:solidFill>
          </w14:textFill>
        </w:rPr>
        <w:t>。与项目拟建厂址最近的敏感目标为北侧130m的四分场四队，根据预测关心点预测颗粒物及非甲烷总烃污染物预测值能达GB3095－2012《环境空气质量标准》二级标准，项目设备均为小型精密设备，噪声源不大，最大为破碎噪声，根据预测，项目建设对周围环境声环境的影响可接受。</w:t>
      </w:r>
    </w:p>
    <w:p w14:paraId="597F7489">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拟建地貌单一，地质构造稳定，无影响地质的大断裂和不良地质现象，适宜建筑，满足项目建设需要。项目不占用基本农田，评价范围内无国家、省、市级自然保护区、风景名胜区、饮用水源保护区、重要人文设施、旅游景观等敏感目标，符合《废塑料综合利用行业规范条件》选址要求。</w:t>
      </w:r>
    </w:p>
    <w:p w14:paraId="69D5A79E">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本项目以电为主要能源，主要污染物为废水、废气、固废，采取相应的措施后对环境影响对环境的影响程度和范围可为周围环境所接受，从环境保护角度分析，本项目选址是可行的。</w:t>
      </w:r>
    </w:p>
    <w:p w14:paraId="080DCA87">
      <w:pPr>
        <w:pStyle w:val="4"/>
        <w:rPr>
          <w:rFonts w:ascii="Times New Roman" w:hAnsi="Times New Roman"/>
          <w:color w:val="000000" w:themeColor="text1"/>
          <w14:textFill>
            <w14:solidFill>
              <w14:schemeClr w14:val="tx1"/>
            </w14:solidFill>
          </w14:textFill>
        </w:rPr>
      </w:pPr>
      <w:bookmarkStart w:id="429" w:name="_Toc2773782"/>
      <w:r>
        <w:rPr>
          <w:rFonts w:ascii="Times New Roman" w:hAnsi="Times New Roman"/>
          <w:color w:val="000000" w:themeColor="text1"/>
          <w14:textFill>
            <w14:solidFill>
              <w14:schemeClr w14:val="tx1"/>
            </w14:solidFill>
          </w14:textFill>
        </w:rPr>
        <w:t>8.3平面布置合理性分析</w:t>
      </w:r>
      <w:bookmarkEnd w:id="429"/>
    </w:p>
    <w:p w14:paraId="7E64A53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废塑料回收与再生利用污染控制技术规范》HJ/T364-2007中规定，再生利用项目必须建有围墙并按功能划分厂区，本项目产区呈矩形，将厂区划分为生产区、成品仓库、原料仓库及办公区，各功能区有明显的界限和标志。</w:t>
      </w:r>
    </w:p>
    <w:p w14:paraId="10B3F3C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生产区：本项目设一座生产车间，位于厂区中西部，利用原有厂房建设。</w:t>
      </w:r>
    </w:p>
    <w:p w14:paraId="05C0A79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成品贮存区：本项目成品库位于生产车间南侧，便于产品运输。</w:t>
      </w:r>
    </w:p>
    <w:p w14:paraId="2612B57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原料区：本项目设1座原料库房，不同原料分区储存。原料库位于生产车间北侧，便于原料使用。</w:t>
      </w:r>
    </w:p>
    <w:p w14:paraId="796BB04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办公生活区：设办公室（含员工休息室），位于生产区东侧，全年主导风向的侧风向，可有效减小生产车间废气对办公室的影响。</w:t>
      </w:r>
    </w:p>
    <w:p w14:paraId="7802049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本项目按功能区划分厂区，总图布局符合《废塑料回收与再生利用污染控制技术规范》HJ/T364-2007中相关要求，总图布置合理。</w:t>
      </w:r>
    </w:p>
    <w:p w14:paraId="5309DFB2">
      <w:pPr>
        <w:pStyle w:val="4"/>
        <w:rPr>
          <w:rFonts w:ascii="Times New Roman" w:hAnsi="Times New Roman"/>
          <w:color w:val="000000" w:themeColor="text1"/>
          <w:kern w:val="0"/>
          <w:szCs w:val="30"/>
          <w14:textFill>
            <w14:solidFill>
              <w14:schemeClr w14:val="tx1"/>
            </w14:solidFill>
          </w14:textFill>
        </w:rPr>
      </w:pPr>
      <w:bookmarkStart w:id="430" w:name="_Toc2773783"/>
      <w:r>
        <w:rPr>
          <w:rFonts w:ascii="Times New Roman" w:hAnsi="Times New Roman"/>
          <w:color w:val="000000" w:themeColor="text1"/>
          <w:kern w:val="0"/>
          <w:szCs w:val="30"/>
          <w14:textFill>
            <w14:solidFill>
              <w14:schemeClr w14:val="tx1"/>
            </w14:solidFill>
          </w14:textFill>
        </w:rPr>
        <w:t>8.4与塑料行业相关规定的分析</w:t>
      </w:r>
      <w:bookmarkEnd w:id="430"/>
    </w:p>
    <w:p w14:paraId="71B18C58">
      <w:pPr>
        <w:spacing w:line="360" w:lineRule="auto"/>
        <w:ind w:firstLine="480" w:firstLineChars="200"/>
        <w:jc w:val="left"/>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b/>
          <w:bCs/>
          <w:color w:val="000000" w:themeColor="text1"/>
          <w:sz w:val="24"/>
          <w14:textFill>
            <w14:solidFill>
              <w14:schemeClr w14:val="tx1"/>
            </w14:solidFill>
          </w14:textFill>
        </w:rPr>
        <w:t>与《废塑料综合利用行业规范条件》相符性分析</w:t>
      </w:r>
    </w:p>
    <w:p w14:paraId="678E39D7">
      <w:pPr>
        <w:snapToGrid w:val="0"/>
        <w:ind w:firstLine="480"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8.4-1  本项目与《废塑料综合利用行业规范条件》相符性分析表</w:t>
      </w:r>
    </w:p>
    <w:tbl>
      <w:tblPr>
        <w:tblStyle w:val="42"/>
        <w:tblW w:w="935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9"/>
        <w:gridCol w:w="3827"/>
      </w:tblGrid>
      <w:tr w14:paraId="5368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529" w:type="dxa"/>
            <w:vAlign w:val="center"/>
          </w:tcPr>
          <w:p w14:paraId="22008BA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废塑料综合利用行业规范条件</w:t>
            </w:r>
          </w:p>
        </w:tc>
        <w:tc>
          <w:tcPr>
            <w:tcW w:w="3827" w:type="dxa"/>
          </w:tcPr>
          <w:p w14:paraId="51B26989">
            <w:pPr>
              <w:jc w:val="center"/>
              <w:rPr>
                <w:rFonts w:eastAsia="黑体"/>
                <w:b/>
                <w:color w:val="000000" w:themeColor="text1"/>
                <w:sz w:val="28"/>
                <w:szCs w:val="28"/>
                <w14:textFill>
                  <w14:solidFill>
                    <w14:schemeClr w14:val="tx1"/>
                  </w14:solidFill>
                </w14:textFill>
              </w:rPr>
            </w:pPr>
            <w:r>
              <w:rPr>
                <w:b/>
                <w:color w:val="000000" w:themeColor="text1"/>
                <w:szCs w:val="21"/>
                <w14:textFill>
                  <w14:solidFill>
                    <w14:schemeClr w14:val="tx1"/>
                  </w14:solidFill>
                </w14:textFill>
              </w:rPr>
              <w:t>本项目情况</w:t>
            </w:r>
          </w:p>
        </w:tc>
      </w:tr>
      <w:tr w14:paraId="1FD0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529" w:type="dxa"/>
          </w:tcPr>
          <w:p w14:paraId="03E2EA88">
            <w:pPr>
              <w:ind w:firstLine="420"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企业的设立和布局</w:t>
            </w:r>
          </w:p>
          <w:p w14:paraId="0383609E">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(1)废塑料综合利用企业所涉及的热塑性废塑料原料，不包括受到危险化学品、农药等污染的废弃塑料包装物、废弃一次性医疗用塑料制品等塑料类危险废物,以及氟塑料等特种工程塑料。</w:t>
            </w:r>
          </w:p>
          <w:p w14:paraId="40FF8659">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(2)新建及改造、扩建废塑料加工企业应符合国家产业政策及所在地区土地利用总体规划、城乡建设规划、环境保护、污染防治规划。企业建设应有规范化设计要求，采用节能环保技术及生产装备。</w:t>
            </w:r>
          </w:p>
          <w:p w14:paraId="5005E80D">
            <w:pPr>
              <w:ind w:firstLine="420" w:firstLineChars="200"/>
              <w:rPr>
                <w:b/>
                <w:color w:val="000000" w:themeColor="text1"/>
                <w:szCs w:val="21"/>
                <w14:textFill>
                  <w14:solidFill>
                    <w14:schemeClr w14:val="tx1"/>
                  </w14:solidFill>
                </w14:textFill>
              </w:rPr>
            </w:pPr>
            <w:r>
              <w:rPr>
                <w:color w:val="000000" w:themeColor="text1"/>
                <w:szCs w:val="21"/>
                <w14:textFill>
                  <w14:solidFill>
                    <w14:schemeClr w14:val="tx1"/>
                  </w14:solidFill>
                </w14:textFill>
              </w:rPr>
              <w:t>(3)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3827" w:type="dxa"/>
          </w:tcPr>
          <w:p w14:paraId="707F82F4">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(1)本项目原料为废塑料瓶等，主要成分为PET、PP等，不含废汽车配件、废机油桶、危险废物等。</w:t>
            </w:r>
          </w:p>
          <w:p w14:paraId="7E1C51FD">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(2)符合产业政策，并正在办理环评手续。本项目均采用节能环保技术及生产装备进行生产。</w:t>
            </w:r>
          </w:p>
          <w:p w14:paraId="71B6252C">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(3)本项目不在国家法律、法规、规章和规划确定或县级及以上人民政府规定的自然保护区、风景名胜区、饮用水源保护区、基本农田保护区和其他需要特别保护的区域内。</w:t>
            </w:r>
          </w:p>
        </w:tc>
      </w:tr>
      <w:tr w14:paraId="3A15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529" w:type="dxa"/>
          </w:tcPr>
          <w:p w14:paraId="1740AF24">
            <w:pPr>
              <w:ind w:firstLine="420" w:firstLineChars="200"/>
              <w:jc w:val="left"/>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生产经营规模</w:t>
            </w:r>
          </w:p>
          <w:p w14:paraId="22950197">
            <w:pPr>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eastAsia="仿宋_GB2312"/>
                <w:color w:val="000000" w:themeColor="text1"/>
                <w:sz w:val="32"/>
                <w:szCs w:val="32"/>
                <w14:textFill>
                  <w14:solidFill>
                    <w14:schemeClr w14:val="tx1"/>
                  </w14:solidFill>
                </w14:textFill>
              </w:rPr>
              <w:t xml:space="preserve"> </w:t>
            </w:r>
            <w:r>
              <w:rPr>
                <w:color w:val="000000" w:themeColor="text1"/>
                <w:szCs w:val="21"/>
                <w14:textFill>
                  <w14:solidFill>
                    <w14:schemeClr w14:val="tx1"/>
                  </w14:solidFill>
                </w14:textFill>
              </w:rPr>
              <w:t>塑料再生造粒类企业：新建企业年废塑料处理能力不低于5000吨；已建企业年废塑料处理能力不低于3000吨。</w:t>
            </w:r>
          </w:p>
          <w:p w14:paraId="46771F94">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(2)企业应具有与生产能力相匹配的厂区作业场地面积。</w:t>
            </w:r>
          </w:p>
          <w:p w14:paraId="161EBE86">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(3)企业应对收集的废塑料进行充分利用，提高资源回收利用效率，不得倾倒、焚烧与填埋。</w:t>
            </w:r>
          </w:p>
        </w:tc>
        <w:tc>
          <w:tcPr>
            <w:tcW w:w="3827" w:type="dxa"/>
          </w:tcPr>
          <w:p w14:paraId="0E07D18D">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(1)本项目废塑料再生造粒处理能力为5000吨/年。</w:t>
            </w:r>
          </w:p>
          <w:p w14:paraId="28D14813">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(2)项目具有与生产能力相匹配的厂区作业场地面积。</w:t>
            </w:r>
          </w:p>
          <w:p w14:paraId="2E34CB2F">
            <w:pPr>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(3)项目将废塑料破碎、清洗、造粒后外售，提高了资源回收利用效率。</w:t>
            </w:r>
          </w:p>
        </w:tc>
      </w:tr>
      <w:tr w14:paraId="0C41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14:paraId="6538660D">
            <w:pPr>
              <w:ind w:firstLine="420"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资源综合利用及能耗</w:t>
            </w:r>
          </w:p>
          <w:p w14:paraId="50087038">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（1）企业应对收集的废塑料进行充分利用，提高资源回收利用效率，不得倾倒、焚烧与填埋。</w:t>
            </w:r>
          </w:p>
          <w:p w14:paraId="1E44CED6">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（2）塑料再生加工相关生产环节的综合电耗低于500千瓦时/吨废塑料。</w:t>
            </w:r>
          </w:p>
          <w:p w14:paraId="44EDC9D9">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（3）塑料再生造粒类企业的综合新水消耗低于0.2吨/吨废塑料。</w:t>
            </w:r>
          </w:p>
        </w:tc>
        <w:tc>
          <w:tcPr>
            <w:tcW w:w="3827" w:type="dxa"/>
          </w:tcPr>
          <w:p w14:paraId="0FAFDB32">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（1）项目将废塑料破碎、清洗、造粒后外售，提高资源回收利用效率；</w:t>
            </w:r>
          </w:p>
          <w:p w14:paraId="77236E26">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（2）本项目综合电耗低于500千瓦时/吨废塑料。</w:t>
            </w:r>
          </w:p>
          <w:p w14:paraId="164CFA7B">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（3）项目清洗新鲜水量为6900t/a，每吨废塑料的清洗水量约为0.23t/t废塑料。</w:t>
            </w:r>
          </w:p>
        </w:tc>
      </w:tr>
      <w:tr w14:paraId="5F6A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14:paraId="23EF4E8F">
            <w:pPr>
              <w:ind w:firstLine="420"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工艺与装备</w:t>
            </w:r>
          </w:p>
          <w:p w14:paraId="5E0097EE">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3827" w:type="dxa"/>
          </w:tcPr>
          <w:p w14:paraId="47A795E6">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(1)本项目破碎工序采用具有减振与降噪功能的密闭破碎设备；洗瓶机实现自动清洗，且清洗废水循环利用。</w:t>
            </w:r>
          </w:p>
        </w:tc>
      </w:tr>
      <w:tr w14:paraId="56B2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529" w:type="dxa"/>
          </w:tcPr>
          <w:p w14:paraId="67EEFC47">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环境保护</w:t>
            </w:r>
          </w:p>
          <w:p w14:paraId="49CB2A39">
            <w:pPr>
              <w:rPr>
                <w:color w:val="000000" w:themeColor="text1"/>
                <w:szCs w:val="21"/>
                <w14:textFill>
                  <w14:solidFill>
                    <w14:schemeClr w14:val="tx1"/>
                  </w14:solidFill>
                </w14:textFill>
              </w:rPr>
            </w:pPr>
            <w:r>
              <w:rPr>
                <w:color w:val="000000" w:themeColor="text1"/>
                <w:szCs w:val="21"/>
                <w14:textFill>
                  <w14:solidFill>
                    <w14:schemeClr w14:val="tx1"/>
                  </w14:solidFill>
                </w14:textFill>
              </w:rPr>
              <w:t>(1)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p w14:paraId="0A302CD4">
            <w:pPr>
              <w:rPr>
                <w:color w:val="000000" w:themeColor="text1"/>
                <w:szCs w:val="21"/>
                <w14:textFill>
                  <w14:solidFill>
                    <w14:schemeClr w14:val="tx1"/>
                  </w14:solidFill>
                </w14:textFill>
              </w:rPr>
            </w:pPr>
            <w:r>
              <w:rPr>
                <w:color w:val="000000" w:themeColor="text1"/>
                <w:szCs w:val="21"/>
                <w14:textFill>
                  <w14:solidFill>
                    <w14:schemeClr w14:val="tx1"/>
                  </w14:solidFill>
                </w14:textFill>
              </w:rPr>
              <w:t>(2)企业加工存储场地应建有围墙，在园区内的企业可为单独厂房，地面全部硬化且无明显破损现象。</w:t>
            </w:r>
          </w:p>
          <w:p w14:paraId="31D11149">
            <w:pPr>
              <w:rPr>
                <w:color w:val="000000" w:themeColor="text1"/>
                <w:szCs w:val="21"/>
                <w14:textFill>
                  <w14:solidFill>
                    <w14:schemeClr w14:val="tx1"/>
                  </w14:solidFill>
                </w14:textFill>
              </w:rPr>
            </w:pPr>
            <w:r>
              <w:rPr>
                <w:color w:val="000000" w:themeColor="text1"/>
                <w:szCs w:val="21"/>
                <w14:textFill>
                  <w14:solidFill>
                    <w14:schemeClr w14:val="tx1"/>
                  </w14:solidFill>
                </w14:textFill>
              </w:rPr>
              <w:t>(3)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p w14:paraId="0207C539">
            <w:pPr>
              <w:rPr>
                <w:color w:val="000000" w:themeColor="text1"/>
                <w:szCs w:val="21"/>
                <w14:textFill>
                  <w14:solidFill>
                    <w14:schemeClr w14:val="tx1"/>
                  </w14:solidFill>
                </w14:textFill>
              </w:rPr>
            </w:pPr>
            <w:r>
              <w:rPr>
                <w:color w:val="000000" w:themeColor="text1"/>
                <w:szCs w:val="21"/>
                <w14:textFill>
                  <w14:solidFill>
                    <w14:schemeClr w14:val="tx1"/>
                  </w14:solidFill>
                </w14:textFill>
              </w:rPr>
              <w:t>(4)企业对收集的废塑料中的金属、橡胶、纤维、渣土、油脂、添加物等夹杂物，应采取相应的处理措施。如企业不具备处理条件，应委托其他具有处理能力的企业处理，不得擅自丢弃、倾倒、焚烧与填埋。</w:t>
            </w:r>
          </w:p>
          <w:p w14:paraId="581EEFF3">
            <w:pPr>
              <w:rPr>
                <w:color w:val="000000" w:themeColor="text1"/>
                <w:szCs w:val="21"/>
                <w14:textFill>
                  <w14:solidFill>
                    <w14:schemeClr w14:val="tx1"/>
                  </w14:solidFill>
                </w14:textFill>
              </w:rPr>
            </w:pPr>
            <w:r>
              <w:rPr>
                <w:color w:val="000000" w:themeColor="text1"/>
                <w:szCs w:val="21"/>
                <w14:textFill>
                  <w14:solidFill>
                    <w14:schemeClr w14:val="tx1"/>
                  </w14:solidFill>
                </w14:textFill>
              </w:rPr>
              <w:t>(5)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除具有获批建设、验收合格的专业盐卤废水处理设施，禁止使用盐卤分选工艺。</w:t>
            </w:r>
          </w:p>
          <w:p w14:paraId="2FAA6B67">
            <w:pPr>
              <w:rPr>
                <w:color w:val="000000" w:themeColor="text1"/>
                <w:szCs w:val="21"/>
                <w14:textFill>
                  <w14:solidFill>
                    <w14:schemeClr w14:val="tx1"/>
                  </w14:solidFill>
                </w14:textFill>
              </w:rPr>
            </w:pPr>
            <w:r>
              <w:rPr>
                <w:color w:val="000000" w:themeColor="text1"/>
                <w:szCs w:val="21"/>
                <w14:textFill>
                  <w14:solidFill>
                    <w14:schemeClr w14:val="tx1"/>
                  </w14:solidFill>
                </w14:textFill>
              </w:rPr>
              <w:t>(6)再生加工过程中产生废气、粉尘的加工车间应设置废气、粉尘收集处理设施，通过净化处理，达标后排放。</w:t>
            </w:r>
          </w:p>
          <w:p w14:paraId="78773ED6">
            <w:pPr>
              <w:rPr>
                <w:color w:val="000000" w:themeColor="text1"/>
                <w:szCs w:val="21"/>
                <w14:textFill>
                  <w14:solidFill>
                    <w14:schemeClr w14:val="tx1"/>
                  </w14:solidFill>
                </w14:textFill>
              </w:rPr>
            </w:pPr>
            <w:r>
              <w:rPr>
                <w:color w:val="000000" w:themeColor="text1"/>
                <w:szCs w:val="21"/>
                <w14:textFill>
                  <w14:solidFill>
                    <w14:schemeClr w14:val="tx1"/>
                  </w14:solidFill>
                </w14:textFill>
              </w:rPr>
              <w:t>(7)对于加工过程中</w:t>
            </w:r>
            <w:r>
              <w:rPr>
                <w:rFonts w:hint="eastAsia"/>
                <w:color w:val="000000" w:themeColor="text1"/>
                <w:szCs w:val="21"/>
                <w:lang w:eastAsia="zh-CN"/>
                <w14:textFill>
                  <w14:solidFill>
                    <w14:schemeClr w14:val="tx1"/>
                  </w14:solidFill>
                </w14:textFill>
              </w:rPr>
              <w:t>噪声污染</w:t>
            </w:r>
            <w:r>
              <w:rPr>
                <w:color w:val="000000" w:themeColor="text1"/>
                <w:szCs w:val="21"/>
                <w14:textFill>
                  <w14:solidFill>
                    <w14:schemeClr w14:val="tx1"/>
                  </w14:solidFill>
                </w14:textFill>
              </w:rPr>
              <w:t>大的设备，必须采取降噪和隔音措施，企业噪声应达到《工业企业厂界环境噪声排放标准》。</w:t>
            </w:r>
          </w:p>
        </w:tc>
        <w:tc>
          <w:tcPr>
            <w:tcW w:w="3827" w:type="dxa"/>
          </w:tcPr>
          <w:p w14:paraId="2633DA38">
            <w:pPr>
              <w:rPr>
                <w:color w:val="000000" w:themeColor="text1"/>
                <w:szCs w:val="21"/>
                <w14:textFill>
                  <w14:solidFill>
                    <w14:schemeClr w14:val="tx1"/>
                  </w14:solidFill>
                </w14:textFill>
              </w:rPr>
            </w:pPr>
            <w:r>
              <w:rPr>
                <w:color w:val="000000" w:themeColor="text1"/>
                <w:szCs w:val="21"/>
                <w14:textFill>
                  <w14:solidFill>
                    <w14:schemeClr w14:val="tx1"/>
                  </w14:solidFill>
                </w14:textFill>
              </w:rPr>
              <w:t>(1)本项目正在进行环评手续。</w:t>
            </w:r>
          </w:p>
          <w:p w14:paraId="37F63EDE">
            <w:pPr>
              <w:rPr>
                <w:color w:val="000000" w:themeColor="text1"/>
                <w:szCs w:val="21"/>
                <w14:textFill>
                  <w14:solidFill>
                    <w14:schemeClr w14:val="tx1"/>
                  </w14:solidFill>
                </w14:textFill>
              </w:rPr>
            </w:pPr>
            <w:r>
              <w:rPr>
                <w:color w:val="000000" w:themeColor="text1"/>
                <w:szCs w:val="21"/>
                <w14:textFill>
                  <w14:solidFill>
                    <w14:schemeClr w14:val="tx1"/>
                  </w14:solidFill>
                </w14:textFill>
              </w:rPr>
              <w:t>(2)项目加工存储场地均建有围墙，并建设单独厂房，地面全部硬化且无明显破损现象。</w:t>
            </w:r>
          </w:p>
          <w:p w14:paraId="1054DBCC">
            <w:pPr>
              <w:rPr>
                <w:color w:val="000000" w:themeColor="text1"/>
                <w:szCs w:val="21"/>
                <w14:textFill>
                  <w14:solidFill>
                    <w14:schemeClr w14:val="tx1"/>
                  </w14:solidFill>
                </w14:textFill>
              </w:rPr>
            </w:pPr>
            <w:r>
              <w:rPr>
                <w:color w:val="000000" w:themeColor="text1"/>
                <w:szCs w:val="21"/>
                <w14:textFill>
                  <w14:solidFill>
                    <w14:schemeClr w14:val="tx1"/>
                  </w14:solidFill>
                </w14:textFill>
              </w:rPr>
              <w:t>(3)项目建设1个生产厂房将不同塑料分开处理，无露天堆放现象。项目厂区建设雨污分流管网。</w:t>
            </w:r>
          </w:p>
          <w:p w14:paraId="09589CEF">
            <w:pPr>
              <w:rPr>
                <w:color w:val="000000" w:themeColor="text1"/>
                <w:szCs w:val="21"/>
                <w14:textFill>
                  <w14:solidFill>
                    <w14:schemeClr w14:val="tx1"/>
                  </w14:solidFill>
                </w14:textFill>
              </w:rPr>
            </w:pPr>
            <w:r>
              <w:rPr>
                <w:color w:val="000000" w:themeColor="text1"/>
                <w:szCs w:val="21"/>
                <w14:textFill>
                  <w14:solidFill>
                    <w14:schemeClr w14:val="tx1"/>
                  </w14:solidFill>
                </w14:textFill>
              </w:rPr>
              <w:t>(4)本项目废塑料中的金属、橡胶、纤维、渣土、油脂等夹杂物，本环评要求外运至最近村庄垃圾收集点处理。</w:t>
            </w:r>
          </w:p>
          <w:p w14:paraId="7B6AB699">
            <w:pPr>
              <w:rPr>
                <w:color w:val="000000" w:themeColor="text1"/>
                <w:szCs w:val="21"/>
                <w14:textFill>
                  <w14:solidFill>
                    <w14:schemeClr w14:val="tx1"/>
                  </w14:solidFill>
                </w14:textFill>
              </w:rPr>
            </w:pPr>
            <w:r>
              <w:rPr>
                <w:color w:val="000000" w:themeColor="text1"/>
                <w:szCs w:val="21"/>
                <w14:textFill>
                  <w14:solidFill>
                    <w14:schemeClr w14:val="tx1"/>
                  </w14:solidFill>
                </w14:textFill>
              </w:rPr>
              <w:t>(5)项目自建隔油池+沉淀池，将清洗废水处理后回用于生产，废水处理设施处理能力与本项目加工利用能力相适应，产生的污泥均外运处理。</w:t>
            </w:r>
          </w:p>
          <w:p w14:paraId="05F1D34C">
            <w:pPr>
              <w:rPr>
                <w:color w:val="000000" w:themeColor="text1"/>
                <w:szCs w:val="21"/>
                <w14:textFill>
                  <w14:solidFill>
                    <w14:schemeClr w14:val="tx1"/>
                  </w14:solidFill>
                </w14:textFill>
              </w:rPr>
            </w:pPr>
            <w:r>
              <w:rPr>
                <w:color w:val="000000" w:themeColor="text1"/>
                <w:szCs w:val="21"/>
                <w14:textFill>
                  <w14:solidFill>
                    <w14:schemeClr w14:val="tx1"/>
                  </w14:solidFill>
                </w14:textFill>
              </w:rPr>
              <w:t>(6)本项目的废气采取相应措施后均能达标排放。</w:t>
            </w:r>
          </w:p>
          <w:p w14:paraId="4C13686F">
            <w:pPr>
              <w:rPr>
                <w:color w:val="000000" w:themeColor="text1"/>
                <w:szCs w:val="21"/>
                <w14:textFill>
                  <w14:solidFill>
                    <w14:schemeClr w14:val="tx1"/>
                  </w14:solidFill>
                </w14:textFill>
              </w:rPr>
            </w:pPr>
            <w:r>
              <w:rPr>
                <w:color w:val="000000" w:themeColor="text1"/>
                <w:szCs w:val="21"/>
                <w14:textFill>
                  <w14:solidFill>
                    <w14:schemeClr w14:val="tx1"/>
                  </w14:solidFill>
                </w14:textFill>
              </w:rPr>
              <w:t>(7)各设备产生的噪声，采取相应降噪和隔音措施后，项目厂界噪声能达到《工业企业厂界环境噪声排放标准》2类标准值。</w:t>
            </w:r>
          </w:p>
        </w:tc>
      </w:tr>
      <w:tr w14:paraId="5758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5529" w:type="dxa"/>
            <w:vAlign w:val="center"/>
          </w:tcPr>
          <w:p w14:paraId="5EF8983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结论</w:t>
            </w:r>
          </w:p>
        </w:tc>
        <w:tc>
          <w:tcPr>
            <w:tcW w:w="3827" w:type="dxa"/>
          </w:tcPr>
          <w:p w14:paraId="1910FE25">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本项目与《废塑料综合利用行业规范条件》内容相符。</w:t>
            </w:r>
          </w:p>
        </w:tc>
      </w:tr>
    </w:tbl>
    <w:p w14:paraId="18A1D46F">
      <w:pPr>
        <w:spacing w:line="360" w:lineRule="auto"/>
        <w:ind w:firstLine="480"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2、《废塑料加工利用污染防治管理规定》要求</w:t>
      </w:r>
    </w:p>
    <w:p w14:paraId="413D3FFD">
      <w:pPr>
        <w:spacing w:line="360" w:lineRule="auto"/>
        <w:ind w:firstLine="480"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（1）《废塑料加工利用污染防治管理规定》要求</w:t>
      </w:r>
    </w:p>
    <w:p w14:paraId="77BCE94B">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根据《废塑料加工利用污染防治管理规定》中第三条：废塑料加工利用必须符合国家相关产业政策规定及《</w:t>
      </w:r>
      <w:r>
        <w:fldChar w:fldCharType="begin"/>
      </w:r>
      <w:r>
        <w:instrText xml:space="preserve"> HYPERLINK "http://baike.sogou.com/lemma/ShowInnerLink.htm?lemmaId=70328627&amp;ss_c=ssc.citiao.link" \t "_blank" </w:instrText>
      </w:r>
      <w:r>
        <w:fldChar w:fldCharType="separate"/>
      </w:r>
      <w:r>
        <w:rPr>
          <w:rStyle w:val="47"/>
          <w:bCs/>
          <w:color w:val="000000" w:themeColor="text1"/>
          <w:sz w:val="24"/>
          <w:u w:val="none"/>
          <w14:textFill>
            <w14:solidFill>
              <w14:schemeClr w14:val="tx1"/>
            </w14:solidFill>
          </w14:textFill>
        </w:rPr>
        <w:t>废塑料回收与再生利用污染控制技术规范</w:t>
      </w:r>
      <w:r>
        <w:rPr>
          <w:rStyle w:val="47"/>
          <w:bCs/>
          <w:color w:val="000000" w:themeColor="text1"/>
          <w:sz w:val="24"/>
          <w:u w:val="none"/>
          <w14:textFill>
            <w14:solidFill>
              <w14:schemeClr w14:val="tx1"/>
            </w14:solidFill>
          </w14:textFill>
        </w:rPr>
        <w:fldChar w:fldCharType="end"/>
      </w:r>
      <w:r>
        <w:rPr>
          <w:bCs/>
          <w:color w:val="000000" w:themeColor="text1"/>
          <w:sz w:val="24"/>
          <w14:textFill>
            <w14:solidFill>
              <w14:schemeClr w14:val="tx1"/>
            </w14:solidFill>
          </w14:textFill>
        </w:rPr>
        <w:t>》，防止二次污染。</w:t>
      </w:r>
    </w:p>
    <w:p w14:paraId="378F340B">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禁止在居民区加工利用废塑料。禁止利用废塑料生产厚度小于0.025mm的超薄塑料购物袋和厚度小于0.015mm超薄塑料袋。禁止利用废塑料生产食品用塑料袋。禁止无</w:t>
      </w:r>
      <w:r>
        <w:fldChar w:fldCharType="begin"/>
      </w:r>
      <w:r>
        <w:instrText xml:space="preserve"> HYPERLINK "http://baike.sogou.com/lemma/ShowInnerLink.htm?lemmaId=7781605&amp;ss_c=ssc.citiao.link" \t "_blank" </w:instrText>
      </w:r>
      <w:r>
        <w:fldChar w:fldCharType="separate"/>
      </w:r>
      <w:r>
        <w:rPr>
          <w:rStyle w:val="47"/>
          <w:bCs/>
          <w:color w:val="000000" w:themeColor="text1"/>
          <w:sz w:val="24"/>
          <w:u w:val="none"/>
          <w14:textFill>
            <w14:solidFill>
              <w14:schemeClr w14:val="tx1"/>
            </w14:solidFill>
          </w14:textFill>
        </w:rPr>
        <w:t>危险废物</w:t>
      </w:r>
      <w:r>
        <w:rPr>
          <w:rStyle w:val="47"/>
          <w:bCs/>
          <w:color w:val="000000" w:themeColor="text1"/>
          <w:sz w:val="24"/>
          <w:u w:val="none"/>
          <w14:textFill>
            <w14:solidFill>
              <w14:schemeClr w14:val="tx1"/>
            </w14:solidFill>
          </w14:textFill>
        </w:rPr>
        <w:fldChar w:fldCharType="end"/>
      </w:r>
      <w:r>
        <w:rPr>
          <w:bCs/>
          <w:color w:val="000000" w:themeColor="text1"/>
          <w:sz w:val="24"/>
          <w14:textFill>
            <w14:solidFill>
              <w14:schemeClr w14:val="tx1"/>
            </w14:solidFill>
          </w14:textFill>
        </w:rPr>
        <w:t>经营许可证从事废塑料类危险废物的回收利用活动，包括被危险化学品、农药等污染的废弃塑料包装物，废弃的一次性医疗用塑料制品(如</w:t>
      </w:r>
      <w:r>
        <w:fldChar w:fldCharType="begin"/>
      </w:r>
      <w:r>
        <w:instrText xml:space="preserve"> HYPERLINK "http://baike.sogou.com/lemma/ShowInnerLink.htm?lemmaId=32931801&amp;ss_c=ssc.citiao.link" \t "_blank" </w:instrText>
      </w:r>
      <w:r>
        <w:fldChar w:fldCharType="separate"/>
      </w:r>
      <w:r>
        <w:rPr>
          <w:rStyle w:val="47"/>
          <w:bCs/>
          <w:color w:val="000000" w:themeColor="text1"/>
          <w:sz w:val="24"/>
          <w:u w:val="none"/>
          <w14:textFill>
            <w14:solidFill>
              <w14:schemeClr w14:val="tx1"/>
            </w14:solidFill>
          </w14:textFill>
        </w:rPr>
        <w:t>输液器</w:t>
      </w:r>
      <w:r>
        <w:rPr>
          <w:rStyle w:val="47"/>
          <w:bCs/>
          <w:color w:val="000000" w:themeColor="text1"/>
          <w:sz w:val="24"/>
          <w:u w:val="none"/>
          <w14:textFill>
            <w14:solidFill>
              <w14:schemeClr w14:val="tx1"/>
            </w14:solidFill>
          </w14:textFill>
        </w:rPr>
        <w:fldChar w:fldCharType="end"/>
      </w:r>
      <w:r>
        <w:rPr>
          <w:bCs/>
          <w:color w:val="000000" w:themeColor="text1"/>
          <w:sz w:val="24"/>
          <w14:textFill>
            <w14:solidFill>
              <w14:schemeClr w14:val="tx1"/>
            </w14:solidFill>
          </w14:textFill>
        </w:rPr>
        <w:t>、血袋)等。</w:t>
      </w:r>
    </w:p>
    <w:p w14:paraId="094D75E6">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无符合环保要求</w:t>
      </w:r>
      <w:r>
        <w:fldChar w:fldCharType="begin"/>
      </w:r>
      <w:r>
        <w:instrText xml:space="preserve"> HYPERLINK "http://baike.sogou.com/lemma/ShowInnerLink.htm?lemmaId=2960990&amp;ss_c=ssc.citiao.link" \t "_blank" </w:instrText>
      </w:r>
      <w:r>
        <w:fldChar w:fldCharType="separate"/>
      </w:r>
      <w:r>
        <w:rPr>
          <w:rStyle w:val="47"/>
          <w:bCs/>
          <w:color w:val="000000" w:themeColor="text1"/>
          <w:sz w:val="24"/>
          <w:u w:val="none"/>
          <w14:textFill>
            <w14:solidFill>
              <w14:schemeClr w14:val="tx1"/>
            </w14:solidFill>
          </w14:textFill>
        </w:rPr>
        <w:t>污水治理</w:t>
      </w:r>
      <w:r>
        <w:rPr>
          <w:rStyle w:val="47"/>
          <w:bCs/>
          <w:color w:val="000000" w:themeColor="text1"/>
          <w:sz w:val="24"/>
          <w:u w:val="none"/>
          <w14:textFill>
            <w14:solidFill>
              <w14:schemeClr w14:val="tx1"/>
            </w14:solidFill>
          </w14:textFill>
        </w:rPr>
        <w:fldChar w:fldCharType="end"/>
      </w:r>
      <w:r>
        <w:rPr>
          <w:bCs/>
          <w:color w:val="000000" w:themeColor="text1"/>
          <w:sz w:val="24"/>
          <w14:textFill>
            <w14:solidFill>
              <w14:schemeClr w14:val="tx1"/>
            </w14:solidFill>
          </w14:textFill>
        </w:rPr>
        <w:t>设施的，禁止从事废</w:t>
      </w:r>
      <w:r>
        <w:fldChar w:fldCharType="begin"/>
      </w:r>
      <w:r>
        <w:instrText xml:space="preserve"> HYPERLINK "http://baike.sogou.com/lemma/ShowInnerLink.htm?lemmaId=183324&amp;ss_c=ssc.citiao.link" \t "_blank" </w:instrText>
      </w:r>
      <w:r>
        <w:fldChar w:fldCharType="separate"/>
      </w:r>
      <w:r>
        <w:rPr>
          <w:rStyle w:val="47"/>
          <w:bCs/>
          <w:color w:val="000000" w:themeColor="text1"/>
          <w:sz w:val="24"/>
          <w:u w:val="none"/>
          <w14:textFill>
            <w14:solidFill>
              <w14:schemeClr w14:val="tx1"/>
            </w14:solidFill>
          </w14:textFill>
        </w:rPr>
        <w:t>编织袋</w:t>
      </w:r>
      <w:r>
        <w:rPr>
          <w:rStyle w:val="47"/>
          <w:bCs/>
          <w:color w:val="000000" w:themeColor="text1"/>
          <w:sz w:val="24"/>
          <w:u w:val="none"/>
          <w14:textFill>
            <w14:solidFill>
              <w14:schemeClr w14:val="tx1"/>
            </w14:solidFill>
          </w14:textFill>
        </w:rPr>
        <w:fldChar w:fldCharType="end"/>
      </w:r>
      <w:r>
        <w:rPr>
          <w:bCs/>
          <w:color w:val="000000" w:themeColor="text1"/>
          <w:sz w:val="24"/>
          <w14:textFill>
            <w14:solidFill>
              <w14:schemeClr w14:val="tx1"/>
            </w14:solidFill>
          </w14:textFill>
        </w:rPr>
        <w:t>造粒、缸脚料淘洗、废塑料退镀(涂)、盐卤分拣等加工活动。</w:t>
      </w:r>
    </w:p>
    <w:p w14:paraId="2647147A">
      <w:pPr>
        <w:spacing w:line="360" w:lineRule="auto"/>
        <w:ind w:firstLine="480"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（2）符合性分析</w:t>
      </w:r>
    </w:p>
    <w:p w14:paraId="1B8E56D1">
      <w:pPr>
        <w:pStyle w:val="296"/>
        <w:ind w:firstLine="480"/>
        <w:rPr>
          <w:bCs/>
          <w:color w:val="000000" w:themeColor="text1"/>
          <w14:textFill>
            <w14:solidFill>
              <w14:schemeClr w14:val="tx1"/>
            </w14:solidFill>
          </w14:textFill>
        </w:rPr>
      </w:pPr>
      <w:r>
        <w:rPr>
          <w:bCs/>
          <w:color w:val="000000" w:themeColor="text1"/>
          <w14:textFill>
            <w14:solidFill>
              <w14:schemeClr w14:val="tx1"/>
            </w14:solidFill>
          </w14:textFill>
        </w:rPr>
        <w:t>本项目所在地为芒市遮放镇弄坎村芒捧村民小组，</w:t>
      </w:r>
      <w:r>
        <w:rPr>
          <w:rFonts w:hint="eastAsia"/>
          <w:color w:val="000000" w:themeColor="text1"/>
          <w14:textFill>
            <w14:solidFill>
              <w14:schemeClr w14:val="tx1"/>
            </w14:solidFill>
          </w14:textFill>
        </w:rPr>
        <w:t>项目距离最近的居民点四分场四队，位于项目区侧风向（北侧）130m，</w:t>
      </w:r>
      <w:r>
        <w:rPr>
          <w:bCs/>
          <w:color w:val="000000" w:themeColor="text1"/>
          <w14:textFill>
            <w14:solidFill>
              <w14:schemeClr w14:val="tx1"/>
            </w14:solidFill>
          </w14:textFill>
        </w:rPr>
        <w:t>项目仅对废塑料破碎、清洗，不进行再生产，项目原料为废塑料瓶等，主要成分为PET、PP等，不含废汽车配件、废机油桶、危险废物等，同时本项目不从事废编织袋造粒、缸脚料淘洗、废塑料退镀(涂)、盐卤分拣等加工活动。</w:t>
      </w:r>
    </w:p>
    <w:p w14:paraId="1D58228A">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综上，本项目符合《废塑料加工利用污染防治管理规定》。</w:t>
      </w:r>
    </w:p>
    <w:p w14:paraId="6605A41F">
      <w:pPr>
        <w:pStyle w:val="4"/>
        <w:rPr>
          <w:rFonts w:ascii="Times New Roman" w:hAnsi="Times New Roman"/>
          <w:color w:val="000000" w:themeColor="text1"/>
          <w:kern w:val="0"/>
          <w:szCs w:val="30"/>
          <w14:textFill>
            <w14:solidFill>
              <w14:schemeClr w14:val="tx1"/>
            </w14:solidFill>
          </w14:textFill>
        </w:rPr>
      </w:pPr>
      <w:bookmarkStart w:id="431" w:name="_Toc2773784"/>
      <w:r>
        <w:rPr>
          <w:rFonts w:ascii="Times New Roman" w:hAnsi="Times New Roman"/>
          <w:color w:val="000000" w:themeColor="text1"/>
          <w14:textFill>
            <w14:solidFill>
              <w14:schemeClr w14:val="tx1"/>
            </w14:solidFill>
          </w14:textFill>
        </w:rPr>
        <w:t>8.5</w:t>
      </w:r>
      <w:r>
        <w:rPr>
          <w:rFonts w:ascii="Times New Roman" w:hAnsi="Times New Roman"/>
          <w:color w:val="000000" w:themeColor="text1"/>
          <w:kern w:val="0"/>
          <w:szCs w:val="30"/>
          <w14:textFill>
            <w14:solidFill>
              <w14:schemeClr w14:val="tx1"/>
            </w14:solidFill>
          </w14:textFill>
        </w:rPr>
        <w:t>环境可行性分析</w:t>
      </w:r>
      <w:bookmarkEnd w:id="431"/>
    </w:p>
    <w:p w14:paraId="020FEC3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根据本项目污染物排放特性，对周围环境有可能产生影响的主要是造粒过程产生的颗粒物及非甲烷总烃，而项目设计及建设中已考虑采用清洁能源（电）、安装过滤棉+活性炭处置废气，同时降噪、分类处置固废等污染防治措施，确保达标排放，对周围的影响不大； </w:t>
      </w:r>
    </w:p>
    <w:p w14:paraId="54A5E42B">
      <w:pPr>
        <w:spacing w:line="360" w:lineRule="auto"/>
        <w:ind w:firstLine="420" w:firstLineChars="200"/>
        <w:rPr>
          <w:bCs/>
          <w:color w:val="000000" w:themeColor="text1"/>
          <w:sz w:val="24"/>
          <w14:textFill>
            <w14:solidFill>
              <w14:schemeClr w14:val="tx1"/>
            </w14:solidFill>
          </w14:textFill>
        </w:rPr>
      </w:pPr>
      <w:r>
        <w:rPr>
          <w:color w:val="000000" w:themeColor="text1"/>
          <w14:textFill>
            <w14:solidFill>
              <w14:schemeClr w14:val="tx1"/>
            </w14:solidFill>
          </w14:textFill>
        </w:rPr>
        <w:t xml:space="preserve"> </w:t>
      </w:r>
      <w:r>
        <w:rPr>
          <w:color w:val="000000" w:themeColor="text1"/>
          <w:sz w:val="24"/>
          <w14:textFill>
            <w14:solidFill>
              <w14:schemeClr w14:val="tx1"/>
            </w14:solidFill>
          </w14:textFill>
        </w:rPr>
        <w:t>从项目位置上看，从预测结果分析对保护目标影响很小，叠加现状背景值后，关心点预测颗粒物及非甲烷总烃污染物预测值能达GB3095－2012《环境空气质量标准》二级标准，从估算结果可以看出废气对保护目标的影响可接受</w:t>
      </w:r>
      <w:r>
        <w:rPr>
          <w:bCs/>
          <w:color w:val="000000" w:themeColor="text1"/>
          <w:sz w:val="24"/>
          <w14:textFill>
            <w14:solidFill>
              <w14:schemeClr w14:val="tx1"/>
            </w14:solidFill>
          </w14:textFill>
        </w:rPr>
        <w:t>。</w:t>
      </w:r>
    </w:p>
    <w:p w14:paraId="1F4289B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项目设备均为小型精密设备，噪声源不大，最大为破碎噪声，根据预测，项目建设对周围环境声环境的影响可接受。</w:t>
      </w:r>
    </w:p>
    <w:p w14:paraId="3FAA4A95">
      <w:pPr>
        <w:pStyle w:val="4"/>
        <w:rPr>
          <w:rFonts w:ascii="Times New Roman" w:hAnsi="Times New Roman"/>
          <w:color w:val="000000" w:themeColor="text1"/>
          <w14:textFill>
            <w14:solidFill>
              <w14:schemeClr w14:val="tx1"/>
            </w14:solidFill>
          </w14:textFill>
        </w:rPr>
      </w:pPr>
      <w:bookmarkStart w:id="432" w:name="_Toc2773785"/>
      <w:r>
        <w:rPr>
          <w:rFonts w:ascii="Times New Roman" w:hAnsi="Times New Roman"/>
          <w:color w:val="000000" w:themeColor="text1"/>
          <w14:textFill>
            <w14:solidFill>
              <w14:schemeClr w14:val="tx1"/>
            </w14:solidFill>
          </w14:textFill>
        </w:rPr>
        <w:t>8.5小结</w:t>
      </w:r>
      <w:bookmarkEnd w:id="432"/>
    </w:p>
    <w:p w14:paraId="19B9AD7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符合国家产业政策及相关规划，评价范围内无自然保护区，无自然保护的历史文化遗迹和风景名胜等敏感目标，无珍稀动植物分布。根据环境影响分析评价结果，项目生产期对环境空气、水环境、声环境、生态环境有一定影响，但不会改变当地的环境功能。通过公众参与调查，项目场址附近居民无反对意见。</w:t>
      </w:r>
    </w:p>
    <w:p w14:paraId="07603290">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综合评价，该项目的厂址选择是可行的、合理的。</w:t>
      </w:r>
      <w:r>
        <w:rPr>
          <w:color w:val="000000" w:themeColor="text1"/>
          <w14:textFill>
            <w14:solidFill>
              <w14:schemeClr w14:val="tx1"/>
            </w14:solidFill>
          </w14:textFill>
        </w:rPr>
        <w:br w:type="page"/>
      </w:r>
    </w:p>
    <w:p w14:paraId="0F9BA5A8">
      <w:pPr>
        <w:pStyle w:val="3"/>
        <w:rPr>
          <w:color w:val="000000" w:themeColor="text1"/>
          <w14:textFill>
            <w14:solidFill>
              <w14:schemeClr w14:val="tx1"/>
            </w14:solidFill>
          </w14:textFill>
        </w:rPr>
      </w:pPr>
      <w:bookmarkStart w:id="433" w:name="_Toc2773786"/>
      <w:r>
        <w:rPr>
          <w:rStyle w:val="181"/>
          <w:b/>
          <w:bCs/>
          <w:color w:val="000000" w:themeColor="text1"/>
          <w14:textFill>
            <w14:solidFill>
              <w14:schemeClr w14:val="tx1"/>
            </w14:solidFill>
          </w14:textFill>
        </w:rPr>
        <w:t>9总量控制</w:t>
      </w:r>
      <w:bookmarkEnd w:id="433"/>
    </w:p>
    <w:p w14:paraId="6235238A">
      <w:pPr>
        <w:pStyle w:val="4"/>
        <w:rPr>
          <w:rFonts w:ascii="Times New Roman" w:hAnsi="Times New Roman"/>
          <w:color w:val="000000" w:themeColor="text1"/>
          <w14:textFill>
            <w14:solidFill>
              <w14:schemeClr w14:val="tx1"/>
            </w14:solidFill>
          </w14:textFill>
        </w:rPr>
      </w:pPr>
      <w:bookmarkStart w:id="434" w:name="_Toc198653553"/>
      <w:bookmarkStart w:id="435" w:name="_Toc379810831"/>
      <w:bookmarkStart w:id="436" w:name="_Toc198368128"/>
      <w:bookmarkStart w:id="437" w:name="_Toc198368016"/>
      <w:bookmarkStart w:id="438" w:name="_Toc226809046"/>
      <w:bookmarkStart w:id="439" w:name="_Toc303426602"/>
      <w:bookmarkStart w:id="440" w:name="_Toc198368784"/>
      <w:bookmarkStart w:id="441" w:name="_Toc2773787"/>
      <w:bookmarkStart w:id="442" w:name="_Toc198487564"/>
      <w:bookmarkStart w:id="443" w:name="_Toc320448457"/>
      <w:bookmarkStart w:id="444" w:name="_Toc340820427"/>
      <w:bookmarkStart w:id="445" w:name="_Toc237751429"/>
      <w:r>
        <w:rPr>
          <w:rFonts w:ascii="Times New Roman" w:hAnsi="Times New Roman"/>
          <w:color w:val="000000" w:themeColor="text1"/>
          <w14:textFill>
            <w14:solidFill>
              <w14:schemeClr w14:val="tx1"/>
            </w14:solidFill>
          </w14:textFill>
        </w:rPr>
        <w:t>9.1总量控制的目的</w:t>
      </w:r>
      <w:bookmarkEnd w:id="434"/>
      <w:bookmarkEnd w:id="435"/>
      <w:bookmarkEnd w:id="436"/>
      <w:bookmarkEnd w:id="437"/>
      <w:bookmarkEnd w:id="438"/>
      <w:bookmarkEnd w:id="439"/>
      <w:bookmarkEnd w:id="440"/>
      <w:bookmarkEnd w:id="441"/>
      <w:bookmarkEnd w:id="442"/>
      <w:bookmarkEnd w:id="443"/>
      <w:bookmarkEnd w:id="444"/>
      <w:bookmarkEnd w:id="445"/>
      <w:r>
        <w:rPr>
          <w:rFonts w:ascii="Times New Roman" w:hAnsi="Times New Roman"/>
          <w:color w:val="000000" w:themeColor="text1"/>
          <w14:textFill>
            <w14:solidFill>
              <w14:schemeClr w14:val="tx1"/>
            </w14:solidFill>
          </w14:textFill>
        </w:rPr>
        <w:tab/>
      </w:r>
    </w:p>
    <w:p w14:paraId="0ED2099F">
      <w:pPr>
        <w:pStyle w:val="113"/>
        <w:ind w:firstLine="480"/>
        <w:rPr>
          <w:color w:val="000000" w:themeColor="text1"/>
          <w14:textFill>
            <w14:solidFill>
              <w14:schemeClr w14:val="tx1"/>
            </w14:solidFill>
          </w14:textFill>
        </w:rPr>
      </w:pPr>
      <w:r>
        <w:rPr>
          <w:color w:val="000000" w:themeColor="text1"/>
          <w14:textFill>
            <w14:solidFill>
              <w14:schemeClr w14:val="tx1"/>
            </w14:solidFill>
          </w14:textFill>
        </w:rPr>
        <w:t>根据我国环境保护工作的自身特点，并借鉴国际社会发展的经验，我国在1992年全国工业污染防治工作会议上正式提出了污染防治的两个转变，即：为有效地保护和改善环境质量，逐步实现由浓度控制向污染物总量控制转变；对污染物本身则由污染源的末端控制向对生产全过程控制转变。1996年国务院发布了《关于环境保护若干问题的决定》（国发[1996]31号文），要求到2000年全国所有工业污染源排放要达到国家或地方规定的排放标准，各省、自治区、直辖市要使本辖区内主要污染物排放总量控制在国家规定的排放总量指标内，使环境污染和生态破坏加剧的趋势得到基本控制；建设项目建成投入生产或使用后必须确保稳定达到国家或地方规定的污染物排放标准。本次评价的总量控制分析旨在通过采取相应的污染控制措施，确保建项目建成投产后的污染物排放符合相应的排放标准和总量控制的要求。</w:t>
      </w:r>
    </w:p>
    <w:p w14:paraId="729F7753">
      <w:pPr>
        <w:pStyle w:val="4"/>
        <w:rPr>
          <w:rFonts w:ascii="Times New Roman" w:hAnsi="Times New Roman"/>
          <w:color w:val="000000" w:themeColor="text1"/>
          <w14:textFill>
            <w14:solidFill>
              <w14:schemeClr w14:val="tx1"/>
            </w14:solidFill>
          </w14:textFill>
        </w:rPr>
      </w:pPr>
      <w:bookmarkStart w:id="446" w:name="_Toc237751430"/>
      <w:bookmarkStart w:id="447" w:name="_Toc198368785"/>
      <w:bookmarkStart w:id="448" w:name="_Toc303426603"/>
      <w:bookmarkStart w:id="449" w:name="_Toc198487565"/>
      <w:bookmarkStart w:id="450" w:name="_Toc340820428"/>
      <w:bookmarkStart w:id="451" w:name="_Toc198368017"/>
      <w:bookmarkStart w:id="452" w:name="_Toc198653554"/>
      <w:bookmarkStart w:id="453" w:name="_Toc320448458"/>
      <w:bookmarkStart w:id="454" w:name="_Toc226809047"/>
      <w:bookmarkStart w:id="455" w:name="_Toc379810832"/>
      <w:bookmarkStart w:id="456" w:name="_Toc2773788"/>
      <w:bookmarkStart w:id="457" w:name="_Toc198368129"/>
      <w:r>
        <w:rPr>
          <w:rFonts w:ascii="Times New Roman" w:hAnsi="Times New Roman"/>
          <w:color w:val="000000" w:themeColor="text1"/>
          <w14:textFill>
            <w14:solidFill>
              <w14:schemeClr w14:val="tx1"/>
            </w14:solidFill>
          </w14:textFill>
        </w:rPr>
        <w:t>9.2总量控制原则</w:t>
      </w:r>
      <w:bookmarkEnd w:id="446"/>
      <w:bookmarkEnd w:id="447"/>
      <w:bookmarkEnd w:id="448"/>
      <w:bookmarkEnd w:id="449"/>
      <w:bookmarkEnd w:id="450"/>
      <w:bookmarkEnd w:id="451"/>
      <w:bookmarkEnd w:id="452"/>
      <w:bookmarkEnd w:id="453"/>
      <w:bookmarkEnd w:id="454"/>
      <w:bookmarkEnd w:id="455"/>
      <w:bookmarkEnd w:id="456"/>
      <w:bookmarkEnd w:id="457"/>
    </w:p>
    <w:p w14:paraId="389745C4">
      <w:pPr>
        <w:pStyle w:val="113"/>
        <w:ind w:firstLine="480"/>
        <w:rPr>
          <w:b/>
          <w:color w:val="000000" w:themeColor="text1"/>
          <w14:textFill>
            <w14:solidFill>
              <w14:schemeClr w14:val="tx1"/>
            </w14:solidFill>
          </w14:textFill>
        </w:rPr>
      </w:pPr>
      <w:r>
        <w:rPr>
          <w:color w:val="000000" w:themeColor="text1"/>
          <w14:textFill>
            <w14:solidFill>
              <w14:schemeClr w14:val="tx1"/>
            </w14:solidFill>
          </w14:textFill>
        </w:rPr>
        <w:t>以工程投入运行后最终排入环境的废气、废水和废渣污染物种类与数量为基础，以排污可能影响的区域大气、水等环境要素为主要对象，根据工程特点和环境特征确定实施总量控制的主要污染物，进而通过采取有效的措施确保工程投产后污染物排放达到有关规定的标准，力求实现主要污染物排放量达到总量控制的目标。</w:t>
      </w:r>
    </w:p>
    <w:p w14:paraId="1D199742">
      <w:pPr>
        <w:pStyle w:val="4"/>
        <w:rPr>
          <w:rFonts w:ascii="Times New Roman" w:hAnsi="Times New Roman"/>
          <w:color w:val="000000" w:themeColor="text1"/>
          <w14:textFill>
            <w14:solidFill>
              <w14:schemeClr w14:val="tx1"/>
            </w14:solidFill>
          </w14:textFill>
        </w:rPr>
      </w:pPr>
      <w:bookmarkStart w:id="458" w:name="_Toc106415510"/>
      <w:bookmarkStart w:id="459" w:name="_Toc106172582"/>
      <w:bookmarkStart w:id="460" w:name="_Toc320448459"/>
      <w:bookmarkStart w:id="461" w:name="_Toc110400364"/>
      <w:bookmarkStart w:id="462" w:name="_Toc118087380"/>
      <w:bookmarkStart w:id="463" w:name="_Toc106157176"/>
      <w:bookmarkStart w:id="464" w:name="_Toc106791217"/>
      <w:bookmarkStart w:id="465" w:name="_Toc379810833"/>
      <w:bookmarkStart w:id="466" w:name="_Toc2773789"/>
      <w:bookmarkStart w:id="467" w:name="_Toc226809048"/>
      <w:bookmarkStart w:id="468" w:name="_Toc237751431"/>
      <w:bookmarkStart w:id="469" w:name="_Toc107052513"/>
      <w:bookmarkStart w:id="470" w:name="_Toc182022405"/>
      <w:bookmarkStart w:id="471" w:name="_Toc107037107"/>
      <w:bookmarkStart w:id="472" w:name="_Toc107209628"/>
      <w:bookmarkStart w:id="473" w:name="_Toc303426604"/>
      <w:bookmarkStart w:id="474" w:name="_Toc107218474"/>
      <w:bookmarkStart w:id="475" w:name="_Toc106159367"/>
      <w:bookmarkStart w:id="476" w:name="_Toc340820429"/>
      <w:bookmarkStart w:id="477" w:name="_Toc106157335"/>
      <w:bookmarkStart w:id="478" w:name="_Toc106447251"/>
      <w:bookmarkStart w:id="479" w:name="_Toc107196345"/>
      <w:r>
        <w:rPr>
          <w:rFonts w:ascii="Times New Roman" w:hAnsi="Times New Roman"/>
          <w:color w:val="000000" w:themeColor="text1"/>
          <w14:textFill>
            <w14:solidFill>
              <w14:schemeClr w14:val="tx1"/>
            </w14:solidFill>
          </w14:textFill>
        </w:rPr>
        <w:t>9.3总量控制分析</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7D78858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污染物排放总量控制是针对工程分析、环保治理措施及环境影响预测和分析的结果，贯彻“总量控制”、“达标排放”的原则，分析确定本项目废水、废气污染物排放总量控制指标，为环保部门监督管理提供依据。</w:t>
      </w:r>
    </w:p>
    <w:p w14:paraId="6191F251">
      <w:pPr>
        <w:pStyle w:val="4"/>
        <w:rPr>
          <w:rFonts w:ascii="Times New Roman" w:hAnsi="Times New Roman"/>
          <w:color w:val="000000" w:themeColor="text1"/>
          <w14:textFill>
            <w14:solidFill>
              <w14:schemeClr w14:val="tx1"/>
            </w14:solidFill>
          </w14:textFill>
        </w:rPr>
      </w:pPr>
      <w:bookmarkStart w:id="480" w:name="_Toc2773790"/>
      <w:bookmarkStart w:id="481" w:name="_Toc340820430"/>
      <w:bookmarkStart w:id="482" w:name="_Toc379810834"/>
      <w:r>
        <w:rPr>
          <w:rFonts w:ascii="Times New Roman" w:hAnsi="Times New Roman"/>
          <w:color w:val="000000" w:themeColor="text1"/>
          <w14:textFill>
            <w14:solidFill>
              <w14:schemeClr w14:val="tx1"/>
            </w14:solidFill>
          </w14:textFill>
        </w:rPr>
        <w:t>9.</w:t>
      </w:r>
      <w:bookmarkStart w:id="483" w:name="_Toc237751433"/>
      <w:bookmarkStart w:id="484" w:name="_Toc76439310"/>
      <w:bookmarkStart w:id="485" w:name="_Toc320448461"/>
      <w:bookmarkStart w:id="486" w:name="_Toc75504120"/>
      <w:bookmarkStart w:id="487" w:name="_Toc222310584"/>
      <w:bookmarkStart w:id="488" w:name="_Toc141754489"/>
      <w:bookmarkStart w:id="489" w:name="_Toc303426607"/>
      <w:r>
        <w:rPr>
          <w:rFonts w:ascii="Times New Roman" w:hAnsi="Times New Roman"/>
          <w:color w:val="000000" w:themeColor="text1"/>
          <w14:textFill>
            <w14:solidFill>
              <w14:schemeClr w14:val="tx1"/>
            </w14:solidFill>
          </w14:textFill>
        </w:rPr>
        <w:t>4污染物总量控制建议指标</w:t>
      </w:r>
      <w:bookmarkEnd w:id="480"/>
      <w:bookmarkEnd w:id="481"/>
      <w:bookmarkEnd w:id="482"/>
      <w:bookmarkEnd w:id="483"/>
      <w:bookmarkEnd w:id="484"/>
      <w:bookmarkEnd w:id="485"/>
      <w:bookmarkEnd w:id="486"/>
      <w:bookmarkEnd w:id="487"/>
      <w:bookmarkEnd w:id="488"/>
      <w:bookmarkEnd w:id="489"/>
    </w:p>
    <w:p w14:paraId="20B7C289">
      <w:pPr>
        <w:pStyle w:val="114"/>
        <w:rPr>
          <w:color w:val="000000" w:themeColor="text1"/>
          <w14:textFill>
            <w14:solidFill>
              <w14:schemeClr w14:val="tx1"/>
            </w14:solidFill>
          </w14:textFill>
        </w:rPr>
      </w:pPr>
      <w:r>
        <w:rPr>
          <w:color w:val="000000" w:themeColor="text1"/>
          <w14:textFill>
            <w14:solidFill>
              <w14:schemeClr w14:val="tx1"/>
            </w14:solidFill>
          </w14:textFill>
        </w:rPr>
        <w:t>根据国务院“十二五”期间污染物排放总量控制要求，本项目排放的污染物因子中，废气纳入总量控制要求的主要污染物是二氧化硫、氮氧化物。</w:t>
      </w:r>
    </w:p>
    <w:p w14:paraId="488F67B3">
      <w:pPr>
        <w:pStyle w:val="114"/>
        <w:rPr>
          <w:color w:val="000000" w:themeColor="text1"/>
          <w14:textFill>
            <w14:solidFill>
              <w14:schemeClr w14:val="tx1"/>
            </w14:solidFill>
          </w14:textFill>
        </w:rPr>
      </w:pPr>
      <w:r>
        <w:rPr>
          <w:color w:val="000000" w:themeColor="text1"/>
          <w14:textFill>
            <w14:solidFill>
              <w14:schemeClr w14:val="tx1"/>
            </w14:solidFill>
          </w14:textFill>
        </w:rPr>
        <w:t>本项目污染物申请总量如下：</w:t>
      </w:r>
    </w:p>
    <w:p w14:paraId="1F577B90">
      <w:pPr>
        <w:pStyle w:val="115"/>
        <w:rPr>
          <w:color w:val="000000" w:themeColor="text1"/>
          <w14:textFill>
            <w14:solidFill>
              <w14:schemeClr w14:val="tx1"/>
            </w14:solidFill>
          </w14:textFill>
        </w:rPr>
      </w:pPr>
      <w:r>
        <w:rPr>
          <w:color w:val="000000" w:themeColor="text1"/>
          <w14:textFill>
            <w14:solidFill>
              <w14:schemeClr w14:val="tx1"/>
            </w14:solidFill>
          </w14:textFill>
        </w:rPr>
        <w:t>1、废气总量控制</w:t>
      </w:r>
    </w:p>
    <w:p w14:paraId="173532C5">
      <w:pPr>
        <w:pStyle w:val="114"/>
        <w:rPr>
          <w:color w:val="000000" w:themeColor="text1"/>
          <w14:textFill>
            <w14:solidFill>
              <w14:schemeClr w14:val="tx1"/>
            </w14:solidFill>
          </w14:textFill>
        </w:rPr>
      </w:pPr>
      <w:r>
        <w:rPr>
          <w:color w:val="000000" w:themeColor="text1"/>
          <w14:textFill>
            <w14:solidFill>
              <w14:schemeClr w14:val="tx1"/>
            </w14:solidFill>
          </w14:textFill>
        </w:rPr>
        <w:t>本项目排入大气的废气总量控制指标如下：</w:t>
      </w:r>
    </w:p>
    <w:p w14:paraId="75D30AD5">
      <w:pPr>
        <w:pStyle w:val="114"/>
        <w:rPr>
          <w:color w:val="000000" w:themeColor="text1"/>
          <w14:textFill>
            <w14:solidFill>
              <w14:schemeClr w14:val="tx1"/>
            </w14:solidFill>
          </w14:textFill>
        </w:rPr>
      </w:pPr>
      <w:r>
        <w:rPr>
          <w:color w:val="000000" w:themeColor="text1"/>
          <w14:textFill>
            <w14:solidFill>
              <w14:schemeClr w14:val="tx1"/>
            </w14:solidFill>
          </w14:textFill>
        </w:rPr>
        <w:t>废气量：1440万Nm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/a；颗粒物：</w:t>
      </w:r>
      <w:r>
        <w:rPr>
          <w:color w:val="000000" w:themeColor="text1"/>
          <w:szCs w:val="21"/>
          <w14:textFill>
            <w14:solidFill>
              <w14:schemeClr w14:val="tx1"/>
            </w14:solidFill>
          </w14:textFill>
        </w:rPr>
        <w:t>0.0363</w:t>
      </w:r>
      <w:r>
        <w:rPr>
          <w:color w:val="000000" w:themeColor="text1"/>
          <w14:textFill>
            <w14:solidFill>
              <w14:schemeClr w14:val="tx1"/>
            </w14:solidFill>
          </w14:textFill>
        </w:rPr>
        <w:t>t/a、非甲烷总烃：</w:t>
      </w:r>
      <w:r>
        <w:rPr>
          <w:color w:val="000000" w:themeColor="text1"/>
          <w:szCs w:val="21"/>
          <w14:textFill>
            <w14:solidFill>
              <w14:schemeClr w14:val="tx1"/>
            </w14:solidFill>
          </w14:textFill>
        </w:rPr>
        <w:t>0.4113t</w:t>
      </w:r>
      <w:r>
        <w:rPr>
          <w:color w:val="000000" w:themeColor="text1"/>
          <w14:textFill>
            <w14:solidFill>
              <w14:schemeClr w14:val="tx1"/>
            </w14:solidFill>
          </w14:textFill>
        </w:rPr>
        <w:t>/a。</w:t>
      </w:r>
    </w:p>
    <w:p w14:paraId="732454BD">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2、废水总量控制</w:t>
      </w:r>
    </w:p>
    <w:p w14:paraId="28F6B0E0">
      <w:pPr>
        <w:adjustRightInd w:val="0"/>
        <w:snapToGrid w:val="0"/>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生活废水：</w:t>
      </w:r>
      <w:r>
        <w:rPr>
          <w:color w:val="000000" w:themeColor="text1"/>
          <w:sz w:val="24"/>
          <w14:textFill>
            <w14:solidFill>
              <w14:schemeClr w14:val="tx1"/>
            </w14:solidFill>
          </w14:textFill>
        </w:rPr>
        <w:t>废水主要为员工生活废水，厨房废水经1个隔油池处理后，与其它生活废水排入化粪池处理，定期委托周边村民清运，用于农作物施肥，不外排。</w:t>
      </w:r>
    </w:p>
    <w:p w14:paraId="12B0854C">
      <w:pPr>
        <w:adjustRightInd w:val="0"/>
        <w:snapToGrid w:val="0"/>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生产废水：</w:t>
      </w:r>
      <w:r>
        <w:rPr>
          <w:color w:val="000000" w:themeColor="text1"/>
          <w:sz w:val="24"/>
          <w14:textFill>
            <w14:solidFill>
              <w14:schemeClr w14:val="tx1"/>
            </w14:solidFill>
          </w14:textFill>
        </w:rPr>
        <w:t>本项目生产清洗废水通过自建的污水处理设施处理后，回用于生产；造粒冷却水循环使用（主要污染物为SS），不外排。</w:t>
      </w:r>
    </w:p>
    <w:p w14:paraId="0C8810D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综上，本项目废水排放量为0万m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14:paraId="4738BA6A">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3、固体废弃物</w:t>
      </w:r>
    </w:p>
    <w:p w14:paraId="73340DB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固体废物均得到合理有效的处置，处置率为100℅。</w:t>
      </w:r>
    </w:p>
    <w:p w14:paraId="371FAA90">
      <w:pPr>
        <w:widowControl/>
        <w:jc w:val="left"/>
        <w:rPr>
          <w:rFonts w:eastAsia="黑体"/>
          <w:b/>
          <w:bCs/>
          <w:color w:val="000000" w:themeColor="text1"/>
          <w:kern w:val="44"/>
          <w:sz w:val="36"/>
          <w:szCs w:val="36"/>
          <w14:textFill>
            <w14:solidFill>
              <w14:schemeClr w14:val="tx1"/>
            </w14:solidFill>
          </w14:textFill>
        </w:rPr>
      </w:pPr>
      <w:r>
        <w:rPr>
          <w:color w:val="000000" w:themeColor="text1"/>
          <w14:textFill>
            <w14:solidFill>
              <w14:schemeClr w14:val="tx1"/>
            </w14:solidFill>
          </w14:textFill>
        </w:rPr>
        <w:br w:type="page"/>
      </w:r>
    </w:p>
    <w:p w14:paraId="0E509061">
      <w:pPr>
        <w:pStyle w:val="3"/>
        <w:rPr>
          <w:color w:val="000000" w:themeColor="text1"/>
          <w14:textFill>
            <w14:solidFill>
              <w14:schemeClr w14:val="tx1"/>
            </w14:solidFill>
          </w14:textFill>
        </w:rPr>
      </w:pPr>
      <w:bookmarkStart w:id="490" w:name="_Toc2773791"/>
      <w:r>
        <w:rPr>
          <w:color w:val="000000" w:themeColor="text1"/>
          <w14:textFill>
            <w14:solidFill>
              <w14:schemeClr w14:val="tx1"/>
            </w14:solidFill>
          </w14:textFill>
        </w:rPr>
        <w:t>10环境保护对策措施</w:t>
      </w:r>
      <w:r>
        <w:rPr>
          <w:rFonts w:hint="eastAsia"/>
          <w:color w:val="000000" w:themeColor="text1"/>
          <w:lang w:eastAsia="zh-CN"/>
          <w14:textFill>
            <w14:solidFill>
              <w14:schemeClr w14:val="tx1"/>
            </w14:solidFill>
          </w14:textFill>
        </w:rPr>
        <w:t>及</w:t>
      </w:r>
      <w:r>
        <w:rPr>
          <w:color w:val="000000" w:themeColor="text1"/>
          <w14:textFill>
            <w14:solidFill>
              <w14:schemeClr w14:val="tx1"/>
            </w14:solidFill>
          </w14:textFill>
        </w:rPr>
        <w:t>环境经济效益分析</w:t>
      </w:r>
      <w:bookmarkEnd w:id="490"/>
    </w:p>
    <w:p w14:paraId="3FAF7041">
      <w:pPr>
        <w:pStyle w:val="4"/>
        <w:rPr>
          <w:rFonts w:ascii="Times New Roman" w:hAnsi="Times New Roman"/>
          <w:color w:val="000000" w:themeColor="text1"/>
          <w14:textFill>
            <w14:solidFill>
              <w14:schemeClr w14:val="tx1"/>
            </w14:solidFill>
          </w14:textFill>
        </w:rPr>
      </w:pPr>
      <w:bookmarkStart w:id="491" w:name="_Toc237273579"/>
      <w:bookmarkStart w:id="492" w:name="_Toc299952524"/>
      <w:bookmarkStart w:id="493" w:name="_Toc228733626"/>
      <w:bookmarkStart w:id="494" w:name="_Toc2773792"/>
      <w:bookmarkStart w:id="495" w:name="_Toc241370959"/>
      <w:r>
        <w:rPr>
          <w:rFonts w:ascii="Times New Roman" w:hAnsi="Times New Roman"/>
          <w:color w:val="000000" w:themeColor="text1"/>
          <w14:textFill>
            <w14:solidFill>
              <w14:schemeClr w14:val="tx1"/>
            </w14:solidFill>
          </w14:textFill>
        </w:rPr>
        <w:t>10.1施工期污染防治措施及要求</w:t>
      </w:r>
      <w:bookmarkEnd w:id="491"/>
      <w:bookmarkEnd w:id="492"/>
      <w:bookmarkEnd w:id="493"/>
      <w:bookmarkEnd w:id="494"/>
      <w:bookmarkEnd w:id="495"/>
    </w:p>
    <w:p w14:paraId="069CFEFC">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10.1.1大气污染防治措施</w:t>
      </w:r>
    </w:p>
    <w:p w14:paraId="42A2E9FF">
      <w:pPr>
        <w:pStyle w:val="116"/>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color w:val="000000" w:themeColor="text1"/>
          <w14:textFill>
            <w14:solidFill>
              <w14:schemeClr w14:val="tx1"/>
            </w14:solidFill>
          </w14:textFill>
        </w:rPr>
        <w:t>施工工地厂界设置遮挡围墙，以有效减少近地面扬尘的扩散。</w:t>
      </w:r>
    </w:p>
    <w:p w14:paraId="66B59A81">
      <w:pPr>
        <w:pStyle w:val="116"/>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color w:val="000000" w:themeColor="text1"/>
          <w14:textFill>
            <w14:solidFill>
              <w14:schemeClr w14:val="tx1"/>
            </w14:solidFill>
          </w14:textFill>
        </w:rPr>
        <w:t>专人负责施工场地和车辆的清洁打扫，保证施工场地和道路的清洁。</w:t>
      </w:r>
    </w:p>
    <w:p w14:paraId="303A4EA9">
      <w:pPr>
        <w:pStyle w:val="116"/>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color w:val="000000" w:themeColor="text1"/>
          <w14:textFill>
            <w14:solidFill>
              <w14:schemeClr w14:val="tx1"/>
            </w14:solidFill>
          </w14:textFill>
        </w:rPr>
        <w:t>施工场地粉状料堆等材料堆场应远离项目区东北侧130m四分厂四队，材料堆场进行遮盖并设置防护措施（使用铺彩条布进行临时遮盖），防止大量扬尘产生；同时建议施工方优先进行生产区的建设，以减少对周边的影响</w:t>
      </w:r>
      <w:r>
        <w:rPr>
          <w:rFonts w:hint="eastAsia"/>
          <w:color w:val="000000" w:themeColor="text1"/>
          <w14:textFill>
            <w14:solidFill>
              <w14:schemeClr w14:val="tx1"/>
            </w14:solidFill>
          </w14:textFill>
        </w:rPr>
        <w:t>。</w:t>
      </w:r>
    </w:p>
    <w:p w14:paraId="5F62DE8C">
      <w:pPr>
        <w:pStyle w:val="11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施工场地内运输通道应及时清扫和平整，以尽量减少运输车辆行驶产生的扬尘，必要时应采取洒水抑尘等措施；</w:t>
      </w:r>
    </w:p>
    <w:p w14:paraId="4A312B6C">
      <w:pPr>
        <w:pStyle w:val="116"/>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⑤</w:t>
      </w:r>
      <w:r>
        <w:rPr>
          <w:color w:val="000000" w:themeColor="text1"/>
          <w14:textFill>
            <w14:solidFill>
              <w14:schemeClr w14:val="tx1"/>
            </w14:solidFill>
          </w14:textFill>
        </w:rPr>
        <w:t>运输车辆进入施工场地要限速行驶，减少产尘量；</w:t>
      </w:r>
    </w:p>
    <w:p w14:paraId="1512DDF3">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10.1.2水污染防治措施</w:t>
      </w:r>
    </w:p>
    <w:p w14:paraId="32AF7C95">
      <w:pPr>
        <w:pStyle w:val="296"/>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生活污水利用现有的旱厕处理，定期清掏做农肥使用，不外排；</w:t>
      </w:r>
    </w:p>
    <w:p w14:paraId="1A3F5A0C">
      <w:pPr>
        <w:pStyle w:val="29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（2）设置一个10m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沉淀池，经过沉淀处理后的施工废水全部回用于建筑材料的冲洗和施工场地喷水降尘，不外排。</w:t>
      </w:r>
    </w:p>
    <w:p w14:paraId="4D53D09B">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10.1.3噪声污染防治措施</w:t>
      </w:r>
    </w:p>
    <w:p w14:paraId="0FE1FE8F">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（1）建筑施工单位在施工作业中应选用低噪声的施工机械和先进的工艺，合理安排各类施工机械的工作时间，尽量避免高噪声源同时工作，避免噪声产生叠加，并在项目区边界设置不低于2.5m 的遮挡围墙，项目区可移动的高产噪设备应尽量远离项目东南侧130m四分场四队，并进行一定的隔声及减振处理，固定机械设备尽量入棚操作。</w:t>
      </w:r>
    </w:p>
    <w:p w14:paraId="21CCEA57">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）项目建设严禁在12 时至14 时、22 时至次日6 时施工。但抢修、抢险作业和因混凝土浇灌等工艺需要连续工作的除外。</w:t>
      </w:r>
    </w:p>
    <w:p w14:paraId="6FF23E5C">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）施工场界噪声应符合GB12523-2011《建筑施工场界环境噪声排放标准》，即：昼间≤70dB(A)，夜间≤55dB(A)。</w:t>
      </w:r>
    </w:p>
    <w:p w14:paraId="61BD836C">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10.1.4固体废弃物防治措施</w:t>
      </w:r>
    </w:p>
    <w:p w14:paraId="513FCDB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施工期间剥离表土临时堆放用于绿化区空地内，用于后期场地绿化覆土，项目建设无永久弃渣。</w:t>
      </w:r>
    </w:p>
    <w:p w14:paraId="7F0E3341">
      <w:pPr>
        <w:pStyle w:val="29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建筑垃圾分类集中堆存、回收利用，不能利用则委托其施工单位统一清运，禁止与生活垃圾混合处置，禁止随意丢弃。</w:t>
      </w:r>
    </w:p>
    <w:p w14:paraId="73E5DA06">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（3）生活垃圾</w:t>
      </w:r>
      <w:r>
        <w:rPr>
          <w:rFonts w:eastAsia="新宋体"/>
          <w:color w:val="000000" w:themeColor="text1"/>
          <w:sz w:val="24"/>
          <w:szCs w:val="21"/>
          <w14:textFill>
            <w14:solidFill>
              <w14:schemeClr w14:val="tx1"/>
            </w14:solidFill>
          </w14:textFill>
        </w:rPr>
        <w:t>集中收集后定期清运至就近寨子的垃圾收集点</w:t>
      </w:r>
    </w:p>
    <w:p w14:paraId="664C345D">
      <w:pPr>
        <w:pStyle w:val="4"/>
        <w:rPr>
          <w:rFonts w:ascii="Times New Roman" w:hAnsi="Times New Roman"/>
          <w:color w:val="000000" w:themeColor="text1"/>
          <w14:textFill>
            <w14:solidFill>
              <w14:schemeClr w14:val="tx1"/>
            </w14:solidFill>
          </w14:textFill>
        </w:rPr>
      </w:pPr>
      <w:bookmarkStart w:id="496" w:name="_Toc215662511"/>
      <w:bookmarkStart w:id="497" w:name="_Toc228733627"/>
      <w:bookmarkStart w:id="498" w:name="_Toc2773793"/>
      <w:bookmarkStart w:id="499" w:name="_Toc237273580"/>
      <w:bookmarkStart w:id="500" w:name="_Toc299952525"/>
      <w:bookmarkStart w:id="501" w:name="_Toc241370960"/>
      <w:r>
        <w:rPr>
          <w:rFonts w:ascii="Times New Roman" w:hAnsi="Times New Roman"/>
          <w:color w:val="000000" w:themeColor="text1"/>
          <w14:textFill>
            <w14:solidFill>
              <w14:schemeClr w14:val="tx1"/>
            </w14:solidFill>
          </w14:textFill>
        </w:rPr>
        <w:t>10.2项目运营期的污染防治</w:t>
      </w:r>
      <w:bookmarkEnd w:id="496"/>
      <w:bookmarkEnd w:id="497"/>
      <w:r>
        <w:rPr>
          <w:rFonts w:ascii="Times New Roman" w:hAnsi="Times New Roman"/>
          <w:color w:val="000000" w:themeColor="text1"/>
          <w14:textFill>
            <w14:solidFill>
              <w14:schemeClr w14:val="tx1"/>
            </w14:solidFill>
          </w14:textFill>
        </w:rPr>
        <w:t>要求</w:t>
      </w:r>
      <w:bookmarkEnd w:id="498"/>
      <w:bookmarkEnd w:id="499"/>
      <w:bookmarkEnd w:id="500"/>
      <w:bookmarkEnd w:id="501"/>
    </w:p>
    <w:p w14:paraId="36DFC0D0">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10.2.1废气污染防治措施</w:t>
      </w:r>
    </w:p>
    <w:p w14:paraId="5CC5225D">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（1）项目区严禁使用高污染燃料。</w:t>
      </w:r>
    </w:p>
    <w:p w14:paraId="384AA748">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（2）加强项目区绿化管理及维护，保证绿化植物成活生长，发挥绿化体系对环境空气的净化及生态环境的调节功能。</w:t>
      </w:r>
    </w:p>
    <w:p w14:paraId="6FF737A2">
      <w:pPr>
        <w:pStyle w:val="111"/>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（3）本项目设备使用的是电，天本项目由于塑料清洗破碎工序采用湿式破碎，因此基本无粉尘产生；</w:t>
      </w:r>
    </w:p>
    <w:p w14:paraId="097FE8BE">
      <w:pPr>
        <w:spacing w:line="360" w:lineRule="auto"/>
        <w:ind w:left="105" w:leftChars="50" w:right="105" w:rightChars="50" w:firstLine="480" w:firstLineChars="200"/>
        <w:jc w:val="left"/>
        <w:rPr>
          <w:rFonts w:eastAsiaTheme="minorEastAsia"/>
          <w:bCs/>
          <w:color w:val="000000" w:themeColor="text1"/>
          <w:sz w:val="24"/>
          <w14:textFill>
            <w14:solidFill>
              <w14:schemeClr w14:val="tx1"/>
            </w14:solidFill>
          </w14:textFill>
        </w:rPr>
      </w:pPr>
      <w:r>
        <w:rPr>
          <w:color w:val="000000" w:themeColor="text1"/>
          <w:sz w:val="24"/>
          <w14:textFill>
            <w14:solidFill>
              <w14:schemeClr w14:val="tx1"/>
            </w14:solidFill>
          </w14:textFill>
        </w:rPr>
        <w:t>废气主要为造粒工序热熔挤出废气（颗粒物、非甲烷总烃），</w:t>
      </w:r>
      <w:r>
        <w:rPr>
          <w:rFonts w:eastAsiaTheme="minorEastAsia"/>
          <w:bCs/>
          <w:color w:val="000000" w:themeColor="text1"/>
          <w:sz w:val="24"/>
          <w14:textFill>
            <w14:solidFill>
              <w14:schemeClr w14:val="tx1"/>
            </w14:solidFill>
          </w14:textFill>
        </w:rPr>
        <w:t>拟在两台塑料挤出机上方设置集气罩（风量为6000m</w:t>
      </w:r>
      <w:r>
        <w:rPr>
          <w:rFonts w:eastAsiaTheme="minorEastAsia"/>
          <w:bCs/>
          <w:color w:val="000000" w:themeColor="text1"/>
          <w:sz w:val="24"/>
          <w:vertAlign w:val="superscript"/>
          <w14:textFill>
            <w14:solidFill>
              <w14:schemeClr w14:val="tx1"/>
            </w14:solidFill>
          </w14:textFill>
        </w:rPr>
        <w:t>3</w:t>
      </w:r>
      <w:r>
        <w:rPr>
          <w:rFonts w:eastAsiaTheme="minorEastAsia"/>
          <w:bCs/>
          <w:color w:val="000000" w:themeColor="text1"/>
          <w:sz w:val="24"/>
          <w14:textFill>
            <w14:solidFill>
              <w14:schemeClr w14:val="tx1"/>
            </w14:solidFill>
          </w14:textFill>
        </w:rPr>
        <w:t>/h，集气效率90%），将颗粒物及非甲烷总烃引至过滤棉+活性炭吸附装置处理达标后（颗粒物处置效率95%，非甲烷总烃处置效率85%），通过管道引至15m的排气筒排放。</w:t>
      </w:r>
    </w:p>
    <w:p w14:paraId="012B9DC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（4）项目区设有食堂，就餐人数为15人。建设小型油烟净化装置，总引风量为2000m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/h，净化效率60%的油烟净化设施处理后外排，满足GB18483—2001《饮食业油烟排放标准》油烟最高允许排放浓度2mg/m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14346A34">
      <w:pPr>
        <w:pStyle w:val="105"/>
        <w:rPr>
          <w:rFonts w:cs="Times New Roman"/>
          <w:color w:val="000000" w:themeColor="text1"/>
          <w:szCs w:val="28"/>
          <w14:textFill>
            <w14:solidFill>
              <w14:schemeClr w14:val="tx1"/>
            </w14:solidFill>
          </w14:textFill>
        </w:rPr>
      </w:pPr>
      <w:r>
        <w:rPr>
          <w:rFonts w:cs="Times New Roman"/>
          <w:color w:val="000000" w:themeColor="text1"/>
          <w14:textFill>
            <w14:solidFill>
              <w14:schemeClr w14:val="tx1"/>
            </w14:solidFill>
          </w14:textFill>
        </w:rPr>
        <w:t>10.2.2水污染防治措施</w:t>
      </w:r>
    </w:p>
    <w:p w14:paraId="61D665D8">
      <w:pPr>
        <w:spacing w:line="360" w:lineRule="auto"/>
        <w:ind w:firstLine="480" w:firstLineChars="200"/>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（1）初期雨水防治措施</w:t>
      </w:r>
    </w:p>
    <w:p w14:paraId="30232E78">
      <w:pPr>
        <w:spacing w:line="360" w:lineRule="auto"/>
        <w:ind w:firstLine="480" w:firstLineChars="200"/>
        <w:rPr>
          <w:color w:val="000000" w:themeColor="text1"/>
          <w:sz w:val="24"/>
          <w14:textFill>
            <w14:solidFill>
              <w14:schemeClr w14:val="tx1"/>
            </w14:solidFill>
          </w14:textFill>
        </w:rPr>
      </w:pPr>
      <w:r>
        <w:rPr>
          <w:color w:val="000000" w:themeColor="text1"/>
          <w:sz w:val="24"/>
          <w:szCs w:val="22"/>
          <w14:textFill>
            <w14:solidFill>
              <w14:schemeClr w14:val="tx1"/>
            </w14:solidFill>
          </w14:textFill>
        </w:rPr>
        <w:t>项目实行清污、雨污分流；</w:t>
      </w:r>
      <w:r>
        <w:rPr>
          <w:color w:val="000000" w:themeColor="text1"/>
          <w:sz w:val="24"/>
          <w14:textFill>
            <w14:solidFill>
              <w14:schemeClr w14:val="tx1"/>
            </w14:solidFill>
          </w14:textFill>
        </w:rPr>
        <w:t>本项目厂区设置雨水沟，收集前1h的雨水进入本项目雨水沉淀池（1m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）处理，回用于生产，其余经沉淀后外排。</w:t>
      </w:r>
      <w:r>
        <w:rPr>
          <w:rFonts w:eastAsia="??"/>
          <w:color w:val="000000" w:themeColor="text1"/>
          <w:sz w:val="24"/>
          <w14:textFill>
            <w14:solidFill>
              <w14:schemeClr w14:val="tx1"/>
            </w14:solidFill>
          </w14:textFill>
        </w:rPr>
        <w:t xml:space="preserve"> </w:t>
      </w:r>
    </w:p>
    <w:p w14:paraId="7360FC8D">
      <w:pPr>
        <w:spacing w:line="360" w:lineRule="auto"/>
        <w:ind w:firstLine="480" w:firstLineChars="200"/>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（2）生产废水防治措施</w:t>
      </w:r>
    </w:p>
    <w:p w14:paraId="6B66AA38">
      <w:pPr>
        <w:spacing w:line="360" w:lineRule="auto"/>
        <w:ind w:firstLine="480" w:firstLineChars="200"/>
        <w:rPr>
          <w:bCs/>
          <w:color w:val="000000" w:themeColor="text1"/>
          <w:sz w:val="24"/>
          <w:szCs w:val="32"/>
          <w14:textFill>
            <w14:solidFill>
              <w14:schemeClr w14:val="tx1"/>
            </w14:solidFill>
          </w14:textFill>
        </w:rPr>
      </w:pPr>
      <w:r>
        <w:rPr>
          <w:bCs/>
          <w:color w:val="000000" w:themeColor="text1"/>
          <w:sz w:val="24"/>
          <w:szCs w:val="32"/>
          <w14:textFill>
            <w14:solidFill>
              <w14:schemeClr w14:val="tx1"/>
            </w14:solidFill>
          </w14:textFill>
        </w:rPr>
        <w:t>生产清洗、破碎废水通过自建的隔油池（2.5m</w:t>
      </w:r>
      <w:r>
        <w:rPr>
          <w:bCs/>
          <w:color w:val="000000" w:themeColor="text1"/>
          <w:sz w:val="24"/>
          <w:szCs w:val="32"/>
          <w:vertAlign w:val="superscript"/>
          <w14:textFill>
            <w14:solidFill>
              <w14:schemeClr w14:val="tx1"/>
            </w14:solidFill>
          </w14:textFill>
        </w:rPr>
        <w:t>3</w:t>
      </w:r>
      <w:r>
        <w:rPr>
          <w:bCs/>
          <w:color w:val="000000" w:themeColor="text1"/>
          <w:sz w:val="24"/>
          <w:szCs w:val="32"/>
          <w14:textFill>
            <w14:solidFill>
              <w14:schemeClr w14:val="tx1"/>
            </w14:solidFill>
          </w14:textFill>
        </w:rPr>
        <w:t>）+3级沉淀池（100m</w:t>
      </w:r>
      <w:r>
        <w:rPr>
          <w:bCs/>
          <w:color w:val="000000" w:themeColor="text1"/>
          <w:sz w:val="24"/>
          <w:szCs w:val="32"/>
          <w:vertAlign w:val="superscript"/>
          <w14:textFill>
            <w14:solidFill>
              <w14:schemeClr w14:val="tx1"/>
            </w14:solidFill>
          </w14:textFill>
        </w:rPr>
        <w:t>3</w:t>
      </w:r>
      <w:r>
        <w:rPr>
          <w:bCs/>
          <w:color w:val="000000" w:themeColor="text1"/>
          <w:sz w:val="24"/>
          <w:szCs w:val="32"/>
          <w14:textFill>
            <w14:solidFill>
              <w14:schemeClr w14:val="tx1"/>
            </w14:solidFill>
          </w14:textFill>
        </w:rPr>
        <w:t>）处理达后，储存于蓄水池回用于生产，不外排。</w:t>
      </w:r>
    </w:p>
    <w:p w14:paraId="0AAF3A3F">
      <w:pPr>
        <w:spacing w:line="360" w:lineRule="auto"/>
        <w:ind w:firstLine="480" w:firstLineChars="200"/>
        <w:rPr>
          <w:bCs/>
          <w:color w:val="000000" w:themeColor="text1"/>
          <w:sz w:val="24"/>
          <w:szCs w:val="32"/>
          <w14:textFill>
            <w14:solidFill>
              <w14:schemeClr w14:val="tx1"/>
            </w14:solidFill>
          </w14:textFill>
        </w:rPr>
      </w:pPr>
      <w:r>
        <w:rPr>
          <w:bCs/>
          <w:color w:val="000000" w:themeColor="text1"/>
          <w:sz w:val="24"/>
          <w14:textFill>
            <w14:solidFill>
              <w14:schemeClr w14:val="tx1"/>
            </w14:solidFill>
          </w14:textFill>
        </w:rPr>
        <w:t>造粒工序设置两台造粒机，各配套一个冷却水槽，共用一个冷却水循环系统（循环冷却水池1m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w:t>
      </w:r>
      <w:r>
        <w:rPr>
          <w:rFonts w:eastAsiaTheme="minorEastAsia"/>
          <w:bCs/>
          <w:color w:val="000000" w:themeColor="text1"/>
          <w:sz w:val="24"/>
          <w:szCs w:val="28"/>
          <w14:textFill>
            <w14:solidFill>
              <w14:schemeClr w14:val="tx1"/>
            </w14:solidFill>
          </w14:textFill>
        </w:rPr>
        <w:t>此部分废水经冷却循环池冷却及沉淀后，可用于生产中。</w:t>
      </w:r>
    </w:p>
    <w:p w14:paraId="3D2F789B">
      <w:pPr>
        <w:spacing w:line="360" w:lineRule="auto"/>
        <w:ind w:firstLine="480" w:firstLineChars="200"/>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（3）生活废水防治措施</w:t>
      </w:r>
    </w:p>
    <w:p w14:paraId="2D673DBE">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厨房废水经1个隔油池（0.2m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）处理后，与其它生活废水排入化粪池（15m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）处理，定期委托周边村民清运，用于农作物施肥。</w:t>
      </w:r>
    </w:p>
    <w:p w14:paraId="6DC4CC7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（4）环保设施设置明显的标志，以便环保部门监测检查。</w:t>
      </w:r>
    </w:p>
    <w:p w14:paraId="4CBF190C">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（5）应指定专人负责项目内废水处理设施的日常管理及维护，定期检修设备，确保设施持续稳定运行。</w:t>
      </w:r>
    </w:p>
    <w:p w14:paraId="3164D79B">
      <w:pPr>
        <w:pStyle w:val="105"/>
        <w:rPr>
          <w:rFonts w:cs="Times New Roman"/>
          <w:color w:val="000000" w:themeColor="text1"/>
          <w:szCs w:val="28"/>
          <w14:textFill>
            <w14:solidFill>
              <w14:schemeClr w14:val="tx1"/>
            </w14:solidFill>
          </w14:textFill>
        </w:rPr>
      </w:pPr>
      <w:r>
        <w:rPr>
          <w:rFonts w:cs="Times New Roman"/>
          <w:color w:val="000000" w:themeColor="text1"/>
          <w14:textFill>
            <w14:solidFill>
              <w14:schemeClr w14:val="tx1"/>
            </w14:solidFill>
          </w14:textFill>
        </w:rPr>
        <w:t>10.2.3地下水污染防治措施</w:t>
      </w:r>
    </w:p>
    <w:p w14:paraId="3743C69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1、源头控制措施</w:t>
      </w:r>
    </w:p>
    <w:p w14:paraId="24816A7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加强对“三废”排放的管理，尤其是对生产废水、生活污水处理与处置的管理，充分提高其治理、回收和利用率，尽量把污染物的排放量及排放浓度减少或控制在排放标准以内，这样既减轻了对地表水的污染负荷，又能防止对地下水的污染。</w:t>
      </w:r>
    </w:p>
    <w:p w14:paraId="631EC889">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2、分区防控措施</w:t>
      </w:r>
    </w:p>
    <w:p w14:paraId="39CB2F0D">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根据《环境影响评价技术导则 地下水环境》（HJ610-2016），将项目区分为重点防渗区、一般防渗区和简单防渗区。</w:t>
      </w:r>
    </w:p>
    <w:p w14:paraId="76B31FB0">
      <w:pPr>
        <w:pStyle w:val="29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重点防渗区：主要为危废间，基础采用6m厚压实粘土防渗，上面再用混凝土进行硬化。防渗性能应等效于厚度≥6m，渗透系数K≤1.0×10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cm/s的黏土层的防渗性能。</w:t>
      </w:r>
    </w:p>
    <w:p w14:paraId="76BE2BDD">
      <w:pPr>
        <w:pStyle w:val="295"/>
        <w:ind w:firstLine="480"/>
        <w:rPr>
          <w:color w:val="000000" w:themeColor="text1"/>
          <w14:textFill>
            <w14:solidFill>
              <w14:schemeClr w14:val="tx1"/>
            </w14:solidFill>
          </w14:textFill>
        </w:rPr>
      </w:pPr>
      <w:r>
        <w:rPr>
          <w:color w:val="000000" w:themeColor="text1"/>
          <w14:textFill>
            <w14:solidFill>
              <w14:schemeClr w14:val="tx1"/>
            </w14:solidFill>
          </w14:textFill>
        </w:rPr>
        <w:t>一般防渗区：污水处理设施（隔油池、沉淀池等）、原料仓库、破碎清洗生产区、造粒生产区等，基础采用1.5cm厚压实粘土防渗，上面再用混凝土进行硬化，防渗性能应等效于厚度≥1.5m，渗透系数K≤1.0×10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 的黏土层的防渗性能。</w:t>
      </w:r>
    </w:p>
    <w:p w14:paraId="2F773363">
      <w:pPr>
        <w:pStyle w:val="15"/>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简单防渗区：住宿及办公区、厨房等，不采取专门针对地下水污染的防治措施，地面可采用混凝土硬化。</w:t>
      </w:r>
    </w:p>
    <w:p w14:paraId="49B4F50E">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3、建立地下水环境跟踪监测制度</w:t>
      </w:r>
    </w:p>
    <w:p w14:paraId="0E47A6E9">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 地下水环境》（HJ610-2016），三级评价的建设项目，跟踪监测点数量一般不少于1个，至少在建设项目场地下游布置1个。</w:t>
      </w:r>
    </w:p>
    <w:p w14:paraId="535AF1F0">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地下水跟踪监测点位的设置原则：</w:t>
      </w:r>
    </w:p>
    <w:p w14:paraId="003E795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（1）充分利用现有水文地质钻孔及民井原则；</w:t>
      </w:r>
    </w:p>
    <w:p w14:paraId="285AC441">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（2）充分结合建设项目厂区地下水污染源分布特征，重点关注主要污染源原则；</w:t>
      </w:r>
    </w:p>
    <w:p w14:paraId="70816AE7">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（3）综合考虑当地水文地质条件，重点根据地下水流场进行监测点布置，在考虑污染源及其他条件的基础上进行优化，实现监测位置最优原则；</w:t>
      </w:r>
    </w:p>
    <w:p w14:paraId="15D49A42">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（4）结合区域地下水主要敏感目标，以保护主要敏感目标为原则；</w:t>
      </w:r>
    </w:p>
    <w:p w14:paraId="288731AE">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（5）将地下水监测井与事故应急处置井相结合的原则；</w:t>
      </w:r>
    </w:p>
    <w:p w14:paraId="59956748">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根据以上原则，本项目在项目区下游30m处设置1个污染源监测井，监测因子：pH、CODcr、BOD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、氨氮，建立地下水环境跟踪监测制度。</w:t>
      </w:r>
    </w:p>
    <w:p w14:paraId="71FF9CDA">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4、非正常情况的防范措施</w:t>
      </w:r>
    </w:p>
    <w:p w14:paraId="5AEFC861">
      <w:pPr>
        <w:widowControl/>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定期巡查危废间、污水处理设施，在发现防渗层破损，或监测井发生水质异常变化时，应及时查明渗漏点并采取补救措施。</w:t>
      </w:r>
    </w:p>
    <w:p w14:paraId="64DC957B">
      <w:pPr>
        <w:pStyle w:val="105"/>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10.2.4</w:t>
      </w:r>
      <w:r>
        <w:rPr>
          <w:rFonts w:cs="Times New Roman"/>
          <w:color w:val="000000" w:themeColor="text1"/>
          <w14:textFill>
            <w14:solidFill>
              <w14:schemeClr w14:val="tx1"/>
            </w14:solidFill>
          </w14:textFill>
        </w:rPr>
        <w:t>固废物污染防治措施</w:t>
      </w:r>
    </w:p>
    <w:p w14:paraId="2B9595F7">
      <w:pPr>
        <w:pStyle w:val="15"/>
        <w:adjustRightInd w:val="0"/>
        <w:snapToGrid w:val="0"/>
        <w:spacing w:line="360" w:lineRule="auto"/>
        <w:ind w:firstLine="480" w:firstLineChars="200"/>
        <w:jc w:val="both"/>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本项目固废分为两类，生产固废（一般生产固废和危险废物，位于原料仓库）和生活固废。本环评要求项目区设置一般生产固废收集间18m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、危废废物收集间5m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w:t>
      </w:r>
    </w:p>
    <w:p w14:paraId="589711E4">
      <w:pPr>
        <w:pStyle w:val="15"/>
        <w:adjustRightInd w:val="0"/>
        <w:snapToGrid w:val="0"/>
        <w:spacing w:line="360" w:lineRule="auto"/>
        <w:ind w:firstLine="480" w:firstLineChars="200"/>
        <w:jc w:val="both"/>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生活固废处置方式</w:t>
      </w:r>
    </w:p>
    <w:p w14:paraId="244E10EF">
      <w:pPr>
        <w:spacing w:line="360" w:lineRule="auto"/>
        <w:ind w:firstLine="480" w:firstLineChars="200"/>
        <w:rPr>
          <w:color w:val="000000" w:themeColor="text1"/>
          <w:sz w:val="24"/>
          <w14:textFill>
            <w14:solidFill>
              <w14:schemeClr w14:val="tx1"/>
            </w14:solidFill>
          </w14:textFill>
        </w:rPr>
      </w:pPr>
      <w:r>
        <w:rPr>
          <w:color w:val="000000" w:themeColor="text1"/>
          <w:sz w:val="24"/>
          <w:szCs w:val="22"/>
          <w14:textFill>
            <w14:solidFill>
              <w14:schemeClr w14:val="tx1"/>
            </w14:solidFill>
          </w14:textFill>
        </w:rPr>
        <w:t>生活固废主要为</w:t>
      </w:r>
      <w:r>
        <w:rPr>
          <w:color w:val="000000" w:themeColor="text1"/>
          <w:sz w:val="24"/>
          <w14:textFill>
            <w14:solidFill>
              <w14:schemeClr w14:val="tx1"/>
            </w14:solidFill>
          </w14:textFill>
        </w:rPr>
        <w:t>生活垃圾、化粪池污泥及食堂泔水，外运至最近村庄垃圾收集点处理。</w:t>
      </w:r>
    </w:p>
    <w:p w14:paraId="2F3E7F77">
      <w:pPr>
        <w:pStyle w:val="15"/>
        <w:adjustRightInd w:val="0"/>
        <w:snapToGrid w:val="0"/>
        <w:spacing w:line="360" w:lineRule="auto"/>
        <w:ind w:firstLine="480" w:firstLineChars="200"/>
        <w:jc w:val="both"/>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一般生产固废处置方式</w:t>
      </w:r>
    </w:p>
    <w:p w14:paraId="611CA633">
      <w:pPr>
        <w:adjustRightInd w:val="0"/>
        <w:spacing w:line="360" w:lineRule="auto"/>
        <w:ind w:firstLine="480" w:firstLineChars="200"/>
        <w:rPr>
          <w:snapToGrid w:val="0"/>
          <w:color w:val="000000" w:themeColor="text1"/>
          <w:kern w:val="0"/>
          <w:sz w:val="24"/>
          <w:szCs w:val="20"/>
          <w14:textFill>
            <w14:solidFill>
              <w14:schemeClr w14:val="tx1"/>
            </w14:solidFill>
          </w14:textFill>
        </w:rPr>
      </w:pPr>
      <w:r>
        <w:rPr>
          <w:snapToGrid w:val="0"/>
          <w:color w:val="000000" w:themeColor="text1"/>
          <w:kern w:val="0"/>
          <w:sz w:val="24"/>
          <w:szCs w:val="20"/>
          <w14:textFill>
            <w14:solidFill>
              <w14:schemeClr w14:val="tx1"/>
            </w14:solidFill>
          </w14:textFill>
        </w:rPr>
        <w:t>项目运营期一般工业固废主要为拆包、人工分选杂物（S1）、剥离废标签纸（S2）、沉淀池污泥。</w:t>
      </w:r>
    </w:p>
    <w:p w14:paraId="7DBFEA6E">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拆包、人工分选杂物分类收集后，一部分外卖，其余外运至最近村庄垃圾收集点处理，禁止随意丢弃；剥离废标签纸</w:t>
      </w:r>
      <w:r>
        <w:rPr>
          <w:color w:val="000000" w:themeColor="text1"/>
          <w:sz w:val="24"/>
          <w14:textFill>
            <w14:solidFill>
              <w14:schemeClr w14:val="tx1"/>
            </w14:solidFill>
          </w14:textFill>
        </w:rPr>
        <w:t>外卖处理；</w:t>
      </w:r>
      <w:r>
        <w:rPr>
          <w:color w:val="000000" w:themeColor="text1"/>
          <w:kern w:val="0"/>
          <w:sz w:val="24"/>
          <w14:textFill>
            <w14:solidFill>
              <w14:schemeClr w14:val="tx1"/>
            </w14:solidFill>
          </w14:textFill>
        </w:rPr>
        <w:t>沉淀池污泥及隔油池废油</w:t>
      </w:r>
      <w:r>
        <w:rPr>
          <w:color w:val="000000" w:themeColor="text1"/>
          <w:sz w:val="24"/>
          <w14:textFill>
            <w14:solidFill>
              <w14:schemeClr w14:val="tx1"/>
            </w14:solidFill>
          </w14:textFill>
        </w:rPr>
        <w:t>外运至最近村庄垃圾收集点处理</w:t>
      </w:r>
      <w:r>
        <w:rPr>
          <w:color w:val="000000" w:themeColor="text1"/>
          <w:kern w:val="0"/>
          <w:sz w:val="24"/>
          <w14:textFill>
            <w14:solidFill>
              <w14:schemeClr w14:val="tx1"/>
            </w14:solidFill>
          </w14:textFill>
        </w:rPr>
        <w:t>。</w:t>
      </w:r>
    </w:p>
    <w:p w14:paraId="1A7ECFE9">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本环评要求在项目区原料仓库北侧设置一般固废堆放间（占地18m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w:t>
      </w:r>
    </w:p>
    <w:p w14:paraId="1EA4E499">
      <w:pPr>
        <w:pStyle w:val="15"/>
        <w:adjustRightInd w:val="0"/>
        <w:snapToGrid w:val="0"/>
        <w:spacing w:line="360" w:lineRule="auto"/>
        <w:ind w:firstLine="480" w:firstLineChars="200"/>
        <w:jc w:val="both"/>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危险固废处置方式</w:t>
      </w:r>
    </w:p>
    <w:p w14:paraId="6CD9F159">
      <w:pPr>
        <w:pStyle w:val="15"/>
        <w:adjustRightInd w:val="0"/>
        <w:snapToGrid w:val="0"/>
        <w:spacing w:line="360" w:lineRule="auto"/>
        <w:ind w:firstLine="480" w:firstLineChars="200"/>
        <w:rPr>
          <w:b/>
          <w:color w:val="000000" w:themeColor="text1"/>
          <w:sz w:val="24"/>
          <w14:textFill>
            <w14:solidFill>
              <w14:schemeClr w14:val="tx1"/>
            </w14:solidFill>
          </w14:textFill>
        </w:rPr>
      </w:pPr>
      <w:r>
        <w:rPr>
          <w:color w:val="FF0000"/>
          <w:sz w:val="24"/>
        </w:rPr>
        <w:t>危险废物（废过滤棉、废活性炭</w:t>
      </w:r>
      <w:r>
        <w:rPr>
          <w:snapToGrid w:val="0"/>
          <w:color w:val="FF0000"/>
          <w:kern w:val="0"/>
          <w:sz w:val="24"/>
          <w:szCs w:val="20"/>
        </w:rPr>
        <w:t>、废过滤网</w:t>
      </w:r>
      <w:r>
        <w:rPr>
          <w:color w:val="FF0000"/>
          <w:sz w:val="24"/>
        </w:rPr>
        <w:t>）</w:t>
      </w:r>
      <w:r>
        <w:rPr>
          <w:color w:val="000000" w:themeColor="text1"/>
          <w:sz w:val="24"/>
          <w14:textFill>
            <w14:solidFill>
              <w14:schemeClr w14:val="tx1"/>
            </w14:solidFill>
          </w14:textFill>
        </w:rPr>
        <w:t>暂存于危废收集间，委托有资质的单位进行处置。</w:t>
      </w:r>
    </w:p>
    <w:p w14:paraId="321B76E7">
      <w:pPr>
        <w:pStyle w:val="105"/>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10.2.5</w:t>
      </w:r>
      <w:r>
        <w:rPr>
          <w:rFonts w:cs="Times New Roman"/>
          <w:color w:val="000000" w:themeColor="text1"/>
          <w14:textFill>
            <w14:solidFill>
              <w14:schemeClr w14:val="tx1"/>
            </w14:solidFill>
          </w14:textFill>
        </w:rPr>
        <w:t>噪声污染防治措施</w:t>
      </w:r>
    </w:p>
    <w:p w14:paraId="39F7A5B7">
      <w:pPr>
        <w:pStyle w:val="57"/>
        <w:ind w:firstLine="360" w:firstLineChars="150"/>
        <w:jc w:val="left"/>
        <w:rPr>
          <w:color w:val="000000" w:themeColor="text1"/>
          <w14:textFill>
            <w14:solidFill>
              <w14:schemeClr w14:val="tx1"/>
            </w14:solidFill>
          </w14:textFill>
        </w:rPr>
      </w:pPr>
      <w:r>
        <w:rPr>
          <w:color w:val="000000" w:themeColor="text1"/>
          <w14:textFill>
            <w14:solidFill>
              <w14:schemeClr w14:val="tx1"/>
            </w14:solidFill>
          </w14:textFill>
        </w:rPr>
        <w:t>（1）泵类噪声主要来源于泵电机冷却风扇产生的噪声为最强，电机的噪声频带比较宽，一般以中低频为主，因此采用内衬有吸声材料的电机罩和泵基础减振垫。</w:t>
      </w:r>
    </w:p>
    <w:p w14:paraId="30B881B2">
      <w:pPr>
        <w:pStyle w:val="57"/>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 （2）对于破碎机等不易治理的声源设备，应采用减振垫，以减少设备声源对车间外的影响，同时还应对生产车间的工人采取配备防噪声耳塞或耳罩的个人防护措施。</w:t>
      </w:r>
    </w:p>
    <w:p w14:paraId="1AA527EF">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（3）通过墙体阻隔、距离衰减及绿化减噪等措施，厂界可达到GB12348-2008《工业企业厂界环境噪声排放标准》2类要求。</w:t>
      </w:r>
    </w:p>
    <w:p w14:paraId="7BBFB3AA">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10.2.6其他措施及建议</w:t>
      </w:r>
    </w:p>
    <w:p w14:paraId="546C62DC">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（1）项目的建设内容及功能设置必须严格按照设计要求进行建设和设置。若项目建设内容或功能设置发生变化，项目方应重新报环保部门进行审批。</w:t>
      </w:r>
    </w:p>
    <w:p w14:paraId="37D0E35E">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（2）加大对项目区的绿化工作，通过增加植被类型的多样性来促进生态系统的稳定性，消除植物生物量减少带来的影响。</w:t>
      </w:r>
    </w:p>
    <w:p w14:paraId="078A5440">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（3）项目的建设内容及功能设置必须严格按照设计要求进行建设和设置。若项目建设内容或功能设置发生变化，项目方应重新报环保部门进行审批。</w:t>
      </w:r>
    </w:p>
    <w:p w14:paraId="709BEEA7">
      <w:pPr>
        <w:ind w:firstLine="480" w:firstLineChars="200"/>
        <w:jc w:val="center"/>
        <w:rPr>
          <w:b/>
          <w:color w:val="000000" w:themeColor="text1"/>
          <w:sz w:val="24"/>
          <w:szCs w:val="20"/>
          <w14:textFill>
            <w14:solidFill>
              <w14:schemeClr w14:val="tx1"/>
            </w14:solidFill>
          </w14:textFill>
        </w:rPr>
      </w:pPr>
      <w:r>
        <w:rPr>
          <w:b/>
          <w:color w:val="000000" w:themeColor="text1"/>
          <w:sz w:val="24"/>
          <w:szCs w:val="20"/>
          <w14:textFill>
            <w14:solidFill>
              <w14:schemeClr w14:val="tx1"/>
            </w14:solidFill>
          </w14:textFill>
        </w:rPr>
        <w:t>表10.2-1 项目环保对策措施一览表</w:t>
      </w:r>
    </w:p>
    <w:tbl>
      <w:tblPr>
        <w:tblStyle w:val="42"/>
        <w:tblW w:w="8472"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956"/>
        <w:gridCol w:w="1090"/>
        <w:gridCol w:w="3648"/>
        <w:gridCol w:w="1985"/>
      </w:tblGrid>
      <w:tr w14:paraId="32DEA99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793" w:type="dxa"/>
            <w:vAlign w:val="center"/>
          </w:tcPr>
          <w:p w14:paraId="55C7046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保护对象</w:t>
            </w:r>
          </w:p>
        </w:tc>
        <w:tc>
          <w:tcPr>
            <w:tcW w:w="956" w:type="dxa"/>
            <w:vAlign w:val="center"/>
          </w:tcPr>
          <w:p w14:paraId="7DBAC08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阶段</w:t>
            </w:r>
          </w:p>
        </w:tc>
        <w:tc>
          <w:tcPr>
            <w:tcW w:w="1090" w:type="dxa"/>
            <w:vAlign w:val="center"/>
          </w:tcPr>
          <w:p w14:paraId="5A2909B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w:t>
            </w:r>
          </w:p>
        </w:tc>
        <w:tc>
          <w:tcPr>
            <w:tcW w:w="3648" w:type="dxa"/>
            <w:vAlign w:val="center"/>
          </w:tcPr>
          <w:p w14:paraId="0C9CEF0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保护对策措施</w:t>
            </w:r>
          </w:p>
        </w:tc>
        <w:tc>
          <w:tcPr>
            <w:tcW w:w="1985" w:type="dxa"/>
            <w:vAlign w:val="center"/>
          </w:tcPr>
          <w:p w14:paraId="44179F0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要求</w:t>
            </w:r>
          </w:p>
        </w:tc>
      </w:tr>
      <w:tr w14:paraId="78FFDBA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6CE745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施工期监理</w:t>
            </w:r>
          </w:p>
        </w:tc>
        <w:tc>
          <w:tcPr>
            <w:tcW w:w="956" w:type="dxa"/>
            <w:vAlign w:val="center"/>
          </w:tcPr>
          <w:p w14:paraId="62B576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1090" w:type="dxa"/>
            <w:vAlign w:val="center"/>
          </w:tcPr>
          <w:p w14:paraId="19F6853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648" w:type="dxa"/>
            <w:vAlign w:val="center"/>
          </w:tcPr>
          <w:p w14:paraId="52A8CC94">
            <w:pPr>
              <w:ind w:firstLine="312" w:firstLineChars="150"/>
              <w:rPr>
                <w:color w:val="000000" w:themeColor="text1"/>
                <w:spacing w:val="-1"/>
                <w:kern w:val="0"/>
                <w:szCs w:val="21"/>
                <w14:textFill>
                  <w14:solidFill>
                    <w14:schemeClr w14:val="tx1"/>
                  </w14:solidFill>
                </w14:textFill>
              </w:rPr>
            </w:pPr>
            <w:r>
              <w:rPr>
                <w:color w:val="000000" w:themeColor="text1"/>
                <w:spacing w:val="-1"/>
                <w:kern w:val="0"/>
                <w:szCs w:val="21"/>
                <w14:textFill>
                  <w14:solidFill>
                    <w14:schemeClr w14:val="tx1"/>
                  </w14:solidFill>
                </w14:textFill>
              </w:rPr>
              <w:t>（1）建设单位应将本项目的环境保护措施作为工程的重要</w:t>
            </w:r>
            <w:r>
              <w:rPr>
                <w:rFonts w:hint="eastAsia"/>
                <w:color w:val="000000" w:themeColor="text1"/>
                <w:spacing w:val="-1"/>
                <w:kern w:val="0"/>
                <w:szCs w:val="21"/>
                <w:lang w:eastAsia="zh-CN"/>
                <w14:textFill>
                  <w14:solidFill>
                    <w14:schemeClr w14:val="tx1"/>
                  </w14:solidFill>
                </w14:textFill>
              </w:rPr>
              <w:t>组成部分</w:t>
            </w:r>
            <w:r>
              <w:rPr>
                <w:color w:val="000000" w:themeColor="text1"/>
                <w:spacing w:val="-1"/>
                <w:kern w:val="0"/>
                <w:szCs w:val="21"/>
                <w14:textFill>
                  <w14:solidFill>
                    <w14:schemeClr w14:val="tx1"/>
                  </w14:solidFill>
                </w14:textFill>
              </w:rPr>
              <w:t>，纳入工程的管理与监督中。</w:t>
            </w:r>
          </w:p>
          <w:p w14:paraId="504923DF">
            <w:pPr>
              <w:ind w:firstLine="312" w:firstLineChars="150"/>
              <w:rPr>
                <w:color w:val="000000" w:themeColor="text1"/>
                <w:spacing w:val="-1"/>
                <w:kern w:val="0"/>
                <w:szCs w:val="21"/>
                <w14:textFill>
                  <w14:solidFill>
                    <w14:schemeClr w14:val="tx1"/>
                  </w14:solidFill>
                </w14:textFill>
              </w:rPr>
            </w:pPr>
            <w:r>
              <w:rPr>
                <w:color w:val="000000" w:themeColor="text1"/>
                <w:spacing w:val="-1"/>
                <w:kern w:val="0"/>
                <w:szCs w:val="21"/>
                <w14:textFill>
                  <w14:solidFill>
                    <w14:schemeClr w14:val="tx1"/>
                  </w14:solidFill>
                </w14:textFill>
              </w:rPr>
              <w:t>（2）建设指挥部内应设置环境保护的有关机构，并明确其职能：有专职或兼职人员对环境保护进行监督管理。</w:t>
            </w:r>
          </w:p>
        </w:tc>
        <w:tc>
          <w:tcPr>
            <w:tcW w:w="1985" w:type="dxa"/>
            <w:vAlign w:val="center"/>
          </w:tcPr>
          <w:p w14:paraId="5478E2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074E94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restart"/>
            <w:vAlign w:val="center"/>
          </w:tcPr>
          <w:p w14:paraId="0AB8F92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水环境保护</w:t>
            </w:r>
          </w:p>
        </w:tc>
        <w:tc>
          <w:tcPr>
            <w:tcW w:w="956" w:type="dxa"/>
            <w:vMerge w:val="restart"/>
            <w:vAlign w:val="center"/>
          </w:tcPr>
          <w:p w14:paraId="57E138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1090" w:type="dxa"/>
            <w:vAlign w:val="center"/>
          </w:tcPr>
          <w:p w14:paraId="568D94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生活废水</w:t>
            </w:r>
          </w:p>
        </w:tc>
        <w:tc>
          <w:tcPr>
            <w:tcW w:w="3648" w:type="dxa"/>
            <w:vAlign w:val="center"/>
          </w:tcPr>
          <w:p w14:paraId="76DD3407">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生活污水利用现有的旱厕处理，定期清掏做农肥使用，不外排</w:t>
            </w:r>
          </w:p>
        </w:tc>
        <w:tc>
          <w:tcPr>
            <w:tcW w:w="1985" w:type="dxa"/>
            <w:vMerge w:val="restart"/>
            <w:vAlign w:val="center"/>
          </w:tcPr>
          <w:p w14:paraId="4D02E50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回用于扬尘洒水、道路喷洒</w:t>
            </w:r>
          </w:p>
        </w:tc>
      </w:tr>
      <w:tr w14:paraId="30F2045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56B6BF71">
            <w:pPr>
              <w:jc w:val="center"/>
              <w:rPr>
                <w:b/>
                <w:color w:val="000000" w:themeColor="text1"/>
                <w:szCs w:val="21"/>
                <w14:textFill>
                  <w14:solidFill>
                    <w14:schemeClr w14:val="tx1"/>
                  </w14:solidFill>
                </w14:textFill>
              </w:rPr>
            </w:pPr>
          </w:p>
        </w:tc>
        <w:tc>
          <w:tcPr>
            <w:tcW w:w="956" w:type="dxa"/>
            <w:vMerge w:val="continue"/>
            <w:vAlign w:val="center"/>
          </w:tcPr>
          <w:p w14:paraId="38A0AEEF">
            <w:pPr>
              <w:jc w:val="center"/>
              <w:rPr>
                <w:color w:val="000000" w:themeColor="text1"/>
                <w:szCs w:val="21"/>
                <w14:textFill>
                  <w14:solidFill>
                    <w14:schemeClr w14:val="tx1"/>
                  </w14:solidFill>
                </w14:textFill>
              </w:rPr>
            </w:pPr>
          </w:p>
        </w:tc>
        <w:tc>
          <w:tcPr>
            <w:tcW w:w="1090" w:type="dxa"/>
            <w:vAlign w:val="center"/>
          </w:tcPr>
          <w:p w14:paraId="4DCB1C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施工废水</w:t>
            </w:r>
          </w:p>
        </w:tc>
        <w:tc>
          <w:tcPr>
            <w:tcW w:w="3648" w:type="dxa"/>
            <w:vAlign w:val="center"/>
          </w:tcPr>
          <w:p w14:paraId="29282301">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设置一个10m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沉淀池，经过沉淀处理后的施工废水全部回用于建筑材料的冲洗和施工场地喷水降尘</w:t>
            </w:r>
          </w:p>
        </w:tc>
        <w:tc>
          <w:tcPr>
            <w:tcW w:w="1985" w:type="dxa"/>
            <w:vMerge w:val="continue"/>
            <w:vAlign w:val="center"/>
          </w:tcPr>
          <w:p w14:paraId="7368854C">
            <w:pPr>
              <w:jc w:val="center"/>
              <w:rPr>
                <w:color w:val="000000" w:themeColor="text1"/>
                <w:szCs w:val="21"/>
                <w14:textFill>
                  <w14:solidFill>
                    <w14:schemeClr w14:val="tx1"/>
                  </w14:solidFill>
                </w14:textFill>
              </w:rPr>
            </w:pPr>
          </w:p>
        </w:tc>
      </w:tr>
      <w:tr w14:paraId="4371981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258E470B">
            <w:pPr>
              <w:jc w:val="center"/>
              <w:rPr>
                <w:b/>
                <w:color w:val="000000" w:themeColor="text1"/>
                <w:szCs w:val="21"/>
                <w14:textFill>
                  <w14:solidFill>
                    <w14:schemeClr w14:val="tx1"/>
                  </w14:solidFill>
                </w14:textFill>
              </w:rPr>
            </w:pPr>
          </w:p>
        </w:tc>
        <w:tc>
          <w:tcPr>
            <w:tcW w:w="956" w:type="dxa"/>
            <w:vMerge w:val="restart"/>
            <w:vAlign w:val="center"/>
          </w:tcPr>
          <w:p w14:paraId="100797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1090" w:type="dxa"/>
            <w:vAlign w:val="center"/>
          </w:tcPr>
          <w:p w14:paraId="6940F56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雨水</w:t>
            </w:r>
          </w:p>
        </w:tc>
        <w:tc>
          <w:tcPr>
            <w:tcW w:w="3648" w:type="dxa"/>
            <w:vAlign w:val="center"/>
          </w:tcPr>
          <w:p w14:paraId="3D82CFFC">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项目实行清污、雨污分流</w:t>
            </w:r>
            <w:r>
              <w:rPr>
                <w:rFonts w:hint="eastAsia"/>
                <w:color w:val="000000" w:themeColor="text1"/>
                <w:szCs w:val="21"/>
                <w14:textFill>
                  <w14:solidFill>
                    <w14:schemeClr w14:val="tx1"/>
                  </w14:solidFill>
                </w14:textFill>
              </w:rPr>
              <w:t>；</w:t>
            </w:r>
          </w:p>
          <w:p w14:paraId="77351D2B">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厂区设置雨水沟，收集前1h的雨水进入本项目雨水沉淀池（1m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）处理，回用于生产，其余经沉淀后外排</w:t>
            </w:r>
            <w:r>
              <w:rPr>
                <w:color w:val="000000" w:themeColor="text1"/>
                <w:szCs w:val="21"/>
                <w14:textFill>
                  <w14:solidFill>
                    <w14:schemeClr w14:val="tx1"/>
                  </w14:solidFill>
                </w14:textFill>
              </w:rPr>
              <w:t>。</w:t>
            </w:r>
          </w:p>
        </w:tc>
        <w:tc>
          <w:tcPr>
            <w:tcW w:w="1985" w:type="dxa"/>
            <w:vMerge w:val="restart"/>
            <w:vAlign w:val="center"/>
          </w:tcPr>
          <w:p w14:paraId="7349DE8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不外排</w:t>
            </w:r>
          </w:p>
        </w:tc>
      </w:tr>
      <w:tr w14:paraId="19F3437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08BE3319">
            <w:pPr>
              <w:jc w:val="center"/>
              <w:rPr>
                <w:b/>
                <w:color w:val="000000" w:themeColor="text1"/>
                <w:szCs w:val="21"/>
                <w14:textFill>
                  <w14:solidFill>
                    <w14:schemeClr w14:val="tx1"/>
                  </w14:solidFill>
                </w14:textFill>
              </w:rPr>
            </w:pPr>
          </w:p>
        </w:tc>
        <w:tc>
          <w:tcPr>
            <w:tcW w:w="956" w:type="dxa"/>
            <w:vMerge w:val="continue"/>
            <w:vAlign w:val="center"/>
          </w:tcPr>
          <w:p w14:paraId="1C1E65B2">
            <w:pPr>
              <w:jc w:val="center"/>
              <w:rPr>
                <w:color w:val="000000" w:themeColor="text1"/>
                <w:szCs w:val="21"/>
                <w14:textFill>
                  <w14:solidFill>
                    <w14:schemeClr w14:val="tx1"/>
                  </w14:solidFill>
                </w14:textFill>
              </w:rPr>
            </w:pPr>
          </w:p>
        </w:tc>
        <w:tc>
          <w:tcPr>
            <w:tcW w:w="1090" w:type="dxa"/>
            <w:vAlign w:val="center"/>
          </w:tcPr>
          <w:p w14:paraId="5EB950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生产废水</w:t>
            </w:r>
          </w:p>
        </w:tc>
        <w:tc>
          <w:tcPr>
            <w:tcW w:w="3648" w:type="dxa"/>
            <w:vAlign w:val="center"/>
          </w:tcPr>
          <w:p w14:paraId="02736E1F">
            <w:pPr>
              <w:ind w:firstLine="525" w:firstLineChars="250"/>
              <w:rPr>
                <w:color w:val="000000" w:themeColor="text1"/>
                <w:szCs w:val="21"/>
                <w14:textFill>
                  <w14:solidFill>
                    <w14:schemeClr w14:val="tx1"/>
                  </w14:solidFill>
                </w14:textFill>
              </w:rPr>
            </w:pPr>
            <w:r>
              <w:rPr>
                <w:bCs/>
                <w:color w:val="000000" w:themeColor="text1"/>
                <w:szCs w:val="21"/>
                <w14:textFill>
                  <w14:solidFill>
                    <w14:schemeClr w14:val="tx1"/>
                  </w14:solidFill>
                </w14:textFill>
              </w:rPr>
              <w:t>生产</w:t>
            </w:r>
            <w:r>
              <w:rPr>
                <w:rFonts w:hint="eastAsia"/>
                <w:bCs/>
                <w:color w:val="000000" w:themeColor="text1"/>
                <w:szCs w:val="21"/>
                <w14:textFill>
                  <w14:solidFill>
                    <w14:schemeClr w14:val="tx1"/>
                  </w14:solidFill>
                </w14:textFill>
              </w:rPr>
              <w:t>清洗、破碎</w:t>
            </w:r>
            <w:r>
              <w:rPr>
                <w:bCs/>
                <w:color w:val="000000" w:themeColor="text1"/>
                <w:szCs w:val="21"/>
                <w14:textFill>
                  <w14:solidFill>
                    <w14:schemeClr w14:val="tx1"/>
                  </w14:solidFill>
                </w14:textFill>
              </w:rPr>
              <w:t>废水通过自建的</w:t>
            </w:r>
            <w:r>
              <w:rPr>
                <w:rFonts w:hint="eastAsia"/>
                <w:bCs/>
                <w:color w:val="000000" w:themeColor="text1"/>
                <w:szCs w:val="21"/>
                <w14:textFill>
                  <w14:solidFill>
                    <w14:schemeClr w14:val="tx1"/>
                  </w14:solidFill>
                </w14:textFill>
              </w:rPr>
              <w:t>隔油池</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2.5</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+3级沉淀池（100</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）处理达后，储存于</w:t>
            </w:r>
            <w:r>
              <w:rPr>
                <w:rFonts w:hint="eastAsia"/>
                <w:bCs/>
                <w:color w:val="000000" w:themeColor="text1"/>
                <w:szCs w:val="21"/>
                <w14:textFill>
                  <w14:solidFill>
                    <w14:schemeClr w14:val="tx1"/>
                  </w14:solidFill>
                </w14:textFill>
              </w:rPr>
              <w:t>蓄水池</w:t>
            </w:r>
            <w:r>
              <w:rPr>
                <w:bCs/>
                <w:color w:val="000000" w:themeColor="text1"/>
                <w:szCs w:val="21"/>
                <w14:textFill>
                  <w14:solidFill>
                    <w14:schemeClr w14:val="tx1"/>
                  </w14:solidFill>
                </w14:textFill>
              </w:rPr>
              <w:t>回用于生产</w:t>
            </w:r>
            <w:r>
              <w:rPr>
                <w:rFonts w:hint="eastAsia"/>
                <w:bCs/>
                <w:color w:val="000000" w:themeColor="text1"/>
                <w:szCs w:val="21"/>
                <w14:textFill>
                  <w14:solidFill>
                    <w14:schemeClr w14:val="tx1"/>
                  </w14:solidFill>
                </w14:textFill>
              </w:rPr>
              <w:t>，</w:t>
            </w:r>
          </w:p>
        </w:tc>
        <w:tc>
          <w:tcPr>
            <w:tcW w:w="1985" w:type="dxa"/>
            <w:vMerge w:val="continue"/>
            <w:vAlign w:val="center"/>
          </w:tcPr>
          <w:p w14:paraId="7695B079">
            <w:pPr>
              <w:jc w:val="center"/>
              <w:rPr>
                <w:color w:val="000000" w:themeColor="text1"/>
                <w:szCs w:val="21"/>
                <w14:textFill>
                  <w14:solidFill>
                    <w14:schemeClr w14:val="tx1"/>
                  </w14:solidFill>
                </w14:textFill>
              </w:rPr>
            </w:pPr>
          </w:p>
        </w:tc>
      </w:tr>
      <w:tr w14:paraId="77B3CDE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0C34D599">
            <w:pPr>
              <w:jc w:val="center"/>
              <w:rPr>
                <w:b/>
                <w:color w:val="000000" w:themeColor="text1"/>
                <w:szCs w:val="21"/>
                <w14:textFill>
                  <w14:solidFill>
                    <w14:schemeClr w14:val="tx1"/>
                  </w14:solidFill>
                </w14:textFill>
              </w:rPr>
            </w:pPr>
          </w:p>
        </w:tc>
        <w:tc>
          <w:tcPr>
            <w:tcW w:w="956" w:type="dxa"/>
            <w:vMerge w:val="continue"/>
            <w:vAlign w:val="center"/>
          </w:tcPr>
          <w:p w14:paraId="1F6DAB56">
            <w:pPr>
              <w:jc w:val="center"/>
              <w:rPr>
                <w:color w:val="000000" w:themeColor="text1"/>
                <w:szCs w:val="21"/>
                <w14:textFill>
                  <w14:solidFill>
                    <w14:schemeClr w14:val="tx1"/>
                  </w14:solidFill>
                </w14:textFill>
              </w:rPr>
            </w:pPr>
          </w:p>
        </w:tc>
        <w:tc>
          <w:tcPr>
            <w:tcW w:w="1090" w:type="dxa"/>
            <w:vAlign w:val="center"/>
          </w:tcPr>
          <w:p w14:paraId="489375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生活废水</w:t>
            </w:r>
          </w:p>
        </w:tc>
        <w:tc>
          <w:tcPr>
            <w:tcW w:w="3648" w:type="dxa"/>
            <w:vAlign w:val="center"/>
          </w:tcPr>
          <w:p w14:paraId="28909BEC">
            <w:pPr>
              <w:ind w:firstLine="525" w:firstLineChars="250"/>
              <w:rPr>
                <w:color w:val="000000" w:themeColor="text1"/>
                <w:szCs w:val="21"/>
                <w14:textFill>
                  <w14:solidFill>
                    <w14:schemeClr w14:val="tx1"/>
                  </w14:solidFill>
                </w14:textFill>
              </w:rPr>
            </w:pPr>
            <w:r>
              <w:rPr>
                <w:bCs/>
                <w:color w:val="000000" w:themeColor="text1"/>
                <w:szCs w:val="21"/>
                <w14:textFill>
                  <w14:solidFill>
                    <w14:schemeClr w14:val="tx1"/>
                  </w14:solidFill>
                </w14:textFill>
              </w:rPr>
              <w:t>厨房废水经1个隔油池（0.</w: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）处理后，与其它生活废水排入化粪池（</w:t>
            </w:r>
            <w:r>
              <w:rPr>
                <w:rFonts w:hint="eastAsia"/>
                <w:bCs/>
                <w:color w:val="000000" w:themeColor="text1"/>
                <w:szCs w:val="21"/>
                <w14:textFill>
                  <w14:solidFill>
                    <w14:schemeClr w14:val="tx1"/>
                  </w14:solidFill>
                </w14:textFill>
              </w:rPr>
              <w:t>15</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）处理，定期委托周边村民清运，用于农作物施肥</w:t>
            </w:r>
            <w:r>
              <w:rPr>
                <w:rFonts w:hint="eastAsia"/>
                <w:bCs/>
                <w:color w:val="000000" w:themeColor="text1"/>
                <w:szCs w:val="21"/>
                <w14:textFill>
                  <w14:solidFill>
                    <w14:schemeClr w14:val="tx1"/>
                  </w14:solidFill>
                </w14:textFill>
              </w:rPr>
              <w:t>。</w:t>
            </w:r>
          </w:p>
        </w:tc>
        <w:tc>
          <w:tcPr>
            <w:tcW w:w="1985" w:type="dxa"/>
            <w:vMerge w:val="continue"/>
            <w:vAlign w:val="center"/>
          </w:tcPr>
          <w:p w14:paraId="459EEB49">
            <w:pPr>
              <w:jc w:val="center"/>
              <w:rPr>
                <w:color w:val="000000" w:themeColor="text1"/>
                <w:szCs w:val="21"/>
                <w14:textFill>
                  <w14:solidFill>
                    <w14:schemeClr w14:val="tx1"/>
                  </w14:solidFill>
                </w14:textFill>
              </w:rPr>
            </w:pPr>
          </w:p>
        </w:tc>
      </w:tr>
      <w:tr w14:paraId="3F4173B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3C537070">
            <w:pPr>
              <w:jc w:val="center"/>
              <w:rPr>
                <w:b/>
                <w:color w:val="000000" w:themeColor="text1"/>
                <w:szCs w:val="21"/>
                <w14:textFill>
                  <w14:solidFill>
                    <w14:schemeClr w14:val="tx1"/>
                  </w14:solidFill>
                </w14:textFill>
              </w:rPr>
            </w:pPr>
          </w:p>
        </w:tc>
        <w:tc>
          <w:tcPr>
            <w:tcW w:w="956" w:type="dxa"/>
            <w:vMerge w:val="continue"/>
            <w:vAlign w:val="center"/>
          </w:tcPr>
          <w:p w14:paraId="7A7220BC">
            <w:pPr>
              <w:jc w:val="center"/>
              <w:rPr>
                <w:color w:val="000000" w:themeColor="text1"/>
                <w:szCs w:val="21"/>
                <w14:textFill>
                  <w14:solidFill>
                    <w14:schemeClr w14:val="tx1"/>
                  </w14:solidFill>
                </w14:textFill>
              </w:rPr>
            </w:pPr>
          </w:p>
        </w:tc>
        <w:tc>
          <w:tcPr>
            <w:tcW w:w="1090" w:type="dxa"/>
            <w:vAlign w:val="center"/>
          </w:tcPr>
          <w:p w14:paraId="2FD615D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生产冷却循环水</w:t>
            </w:r>
          </w:p>
        </w:tc>
        <w:tc>
          <w:tcPr>
            <w:tcW w:w="3648" w:type="dxa"/>
            <w:vAlign w:val="center"/>
          </w:tcPr>
          <w:p w14:paraId="770942BB">
            <w:pPr>
              <w:ind w:firstLine="420" w:firstLineChars="200"/>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造粒工序设置两台造粒机，各配套一个冷却水槽，共用一个冷却水循环系统（循环冷却水池1m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），此部分废水经冷却循环池冷却及沉淀后，回用于生产。</w:t>
            </w:r>
          </w:p>
        </w:tc>
        <w:tc>
          <w:tcPr>
            <w:tcW w:w="1985" w:type="dxa"/>
            <w:vAlign w:val="center"/>
          </w:tcPr>
          <w:p w14:paraId="47E9C1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1EBB51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83772F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地下水</w:t>
            </w:r>
          </w:p>
        </w:tc>
        <w:tc>
          <w:tcPr>
            <w:tcW w:w="956" w:type="dxa"/>
            <w:vAlign w:val="center"/>
          </w:tcPr>
          <w:p w14:paraId="6CA08F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1090" w:type="dxa"/>
            <w:vAlign w:val="center"/>
          </w:tcPr>
          <w:p w14:paraId="24514A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生活、生产</w:t>
            </w:r>
          </w:p>
        </w:tc>
        <w:tc>
          <w:tcPr>
            <w:tcW w:w="3648" w:type="dxa"/>
            <w:vAlign w:val="center"/>
          </w:tcPr>
          <w:p w14:paraId="198596A1">
            <w:pPr>
              <w:pStyle w:val="15"/>
              <w:adjustRightInd w:val="0"/>
              <w:snapToGrid w:val="0"/>
              <w:ind w:firstLine="420" w:firstLineChars="200"/>
              <w:rPr>
                <w:color w:val="000000" w:themeColor="text1"/>
                <w:szCs w:val="21"/>
                <w14:textFill>
                  <w14:solidFill>
                    <w14:schemeClr w14:val="tx1"/>
                  </w14:solidFill>
                </w14:textFill>
              </w:rPr>
            </w:pPr>
            <w:r>
              <w:rPr>
                <w:b/>
                <w:color w:val="000000" w:themeColor="text1"/>
                <w:szCs w:val="21"/>
                <w14:textFill>
                  <w14:solidFill>
                    <w14:schemeClr w14:val="tx1"/>
                  </w14:solidFill>
                </w14:textFill>
              </w:rPr>
              <w:t>重点防渗区：</w:t>
            </w:r>
            <w:r>
              <w:rPr>
                <w:color w:val="000000" w:themeColor="text1"/>
                <w:szCs w:val="21"/>
                <w14:textFill>
                  <w14:solidFill>
                    <w14:schemeClr w14:val="tx1"/>
                  </w14:solidFill>
                </w14:textFill>
              </w:rPr>
              <w:t>污水处理站、原料仓库（危废暂存库、一般固废堆存场）；</w:t>
            </w:r>
          </w:p>
          <w:p w14:paraId="575153DD">
            <w:pPr>
              <w:pStyle w:val="15"/>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参照《环境影响评价技术导则-地下水环境》（HJ610-2016）中重点防渗区的防渗要求进行防渗设计，防渗层的防渗性能应等效于厚度≥6m，渗透系数K≤1.0×10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cm/s的黏土层的防渗性能。</w:t>
            </w:r>
          </w:p>
          <w:p w14:paraId="528309B0">
            <w:pPr>
              <w:pStyle w:val="15"/>
              <w:adjustRightInd w:val="0"/>
              <w:snapToGrid w:val="0"/>
              <w:ind w:firstLine="420" w:firstLineChars="200"/>
              <w:rPr>
                <w:color w:val="000000" w:themeColor="text1"/>
                <w:szCs w:val="21"/>
                <w14:textFill>
                  <w14:solidFill>
                    <w14:schemeClr w14:val="tx1"/>
                  </w14:solidFill>
                </w14:textFill>
              </w:rPr>
            </w:pPr>
            <w:r>
              <w:rPr>
                <w:b/>
                <w:color w:val="000000" w:themeColor="text1"/>
                <w:szCs w:val="21"/>
                <w14:textFill>
                  <w14:solidFill>
                    <w14:schemeClr w14:val="tx1"/>
                  </w14:solidFill>
                </w14:textFill>
              </w:rPr>
              <w:t>一般防渗区：</w:t>
            </w:r>
            <w:r>
              <w:rPr>
                <w:rFonts w:hint="eastAsia"/>
                <w:color w:val="000000" w:themeColor="text1"/>
                <w:szCs w:val="21"/>
                <w14:textFill>
                  <w14:solidFill>
                    <w14:schemeClr w14:val="tx1"/>
                  </w14:solidFill>
                </w14:textFill>
              </w:rPr>
              <w:t>生产</w:t>
            </w:r>
            <w:r>
              <w:rPr>
                <w:color w:val="000000" w:themeColor="text1"/>
                <w:szCs w:val="21"/>
                <w14:textFill>
                  <w14:solidFill>
                    <w14:schemeClr w14:val="tx1"/>
                  </w14:solidFill>
                </w14:textFill>
              </w:rPr>
              <w:t>车间；</w:t>
            </w:r>
          </w:p>
          <w:p w14:paraId="1BBF9B1A">
            <w:pPr>
              <w:pStyle w:val="15"/>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参照《环境影响评价技术导则-地下水环境》（HJ610-2016）中一般防渗区的防渗要求进行防渗设计，防渗层的防渗性能应等效于厚度≥1.5m，渗透系数K≤1.0×10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 的黏土层的防渗性能。</w:t>
            </w:r>
          </w:p>
          <w:p w14:paraId="54C02D48">
            <w:pPr>
              <w:ind w:firstLine="420" w:firstLineChars="200"/>
              <w:rPr>
                <w:color w:val="000000" w:themeColor="text1"/>
                <w:szCs w:val="21"/>
                <w14:textFill>
                  <w14:solidFill>
                    <w14:schemeClr w14:val="tx1"/>
                  </w14:solidFill>
                </w14:textFill>
              </w:rPr>
            </w:pPr>
            <w:r>
              <w:rPr>
                <w:b/>
                <w:color w:val="000000" w:themeColor="text1"/>
                <w:szCs w:val="21"/>
                <w14:textFill>
                  <w14:solidFill>
                    <w14:schemeClr w14:val="tx1"/>
                  </w14:solidFill>
                </w14:textFill>
              </w:rPr>
              <w:t>简单防渗区：</w:t>
            </w:r>
            <w:r>
              <w:rPr>
                <w:rFonts w:hint="eastAsia"/>
                <w:color w:val="000000" w:themeColor="text1"/>
                <w:szCs w:val="21"/>
                <w14:textFill>
                  <w14:solidFill>
                    <w14:schemeClr w14:val="tx1"/>
                  </w14:solidFill>
                </w14:textFill>
              </w:rPr>
              <w:t>住宿区</w:t>
            </w:r>
            <w:r>
              <w:rPr>
                <w:color w:val="000000" w:themeColor="text1"/>
                <w:szCs w:val="21"/>
                <w14:textFill>
                  <w14:solidFill>
                    <w14:schemeClr w14:val="tx1"/>
                  </w14:solidFill>
                </w14:textFill>
              </w:rPr>
              <w:t>区、锅炉房等区域。不采取专门针对地下水污染的防治措施，地面可采用混凝土硬化。</w:t>
            </w:r>
          </w:p>
        </w:tc>
        <w:tc>
          <w:tcPr>
            <w:tcW w:w="1985" w:type="dxa"/>
            <w:vAlign w:val="center"/>
          </w:tcPr>
          <w:p w14:paraId="5A4D88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避免对地下水产生影响</w:t>
            </w:r>
          </w:p>
        </w:tc>
      </w:tr>
      <w:tr w14:paraId="0C4900B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restart"/>
            <w:vAlign w:val="center"/>
          </w:tcPr>
          <w:p w14:paraId="160C84B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空气环境保护措施</w:t>
            </w:r>
          </w:p>
        </w:tc>
        <w:tc>
          <w:tcPr>
            <w:tcW w:w="956" w:type="dxa"/>
            <w:vAlign w:val="center"/>
          </w:tcPr>
          <w:p w14:paraId="5C64DD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1090" w:type="dxa"/>
            <w:vAlign w:val="center"/>
          </w:tcPr>
          <w:p w14:paraId="4BF6D3A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扬尘</w:t>
            </w:r>
          </w:p>
        </w:tc>
        <w:tc>
          <w:tcPr>
            <w:tcW w:w="3648" w:type="dxa"/>
            <w:vAlign w:val="center"/>
          </w:tcPr>
          <w:p w14:paraId="0C524C3B">
            <w:pPr>
              <w:widowControl/>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设置遮挡围墙；基础工地进行硬化处理，实行硬地坪施工，车辆出入口布置车辆清洁</w:t>
            </w:r>
          </w:p>
        </w:tc>
        <w:tc>
          <w:tcPr>
            <w:tcW w:w="1985" w:type="dxa"/>
            <w:vAlign w:val="center"/>
          </w:tcPr>
          <w:p w14:paraId="1D7AA0E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加强施工管理，建设扬尘量</w:t>
            </w:r>
          </w:p>
        </w:tc>
      </w:tr>
      <w:tr w14:paraId="41635C1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267DDAAD">
            <w:pPr>
              <w:jc w:val="center"/>
              <w:rPr>
                <w:b/>
                <w:color w:val="000000" w:themeColor="text1"/>
                <w:szCs w:val="21"/>
                <w14:textFill>
                  <w14:solidFill>
                    <w14:schemeClr w14:val="tx1"/>
                  </w14:solidFill>
                </w14:textFill>
              </w:rPr>
            </w:pPr>
          </w:p>
        </w:tc>
        <w:tc>
          <w:tcPr>
            <w:tcW w:w="956" w:type="dxa"/>
            <w:vMerge w:val="restart"/>
            <w:vAlign w:val="center"/>
          </w:tcPr>
          <w:p w14:paraId="0D6F94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1090" w:type="dxa"/>
            <w:vAlign w:val="center"/>
          </w:tcPr>
          <w:p w14:paraId="34CD419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造粒工序</w:t>
            </w:r>
          </w:p>
        </w:tc>
        <w:tc>
          <w:tcPr>
            <w:tcW w:w="3648" w:type="dxa"/>
            <w:vAlign w:val="center"/>
          </w:tcPr>
          <w:p w14:paraId="4D76455D">
            <w:pPr>
              <w:widowControl/>
              <w:ind w:firstLine="420" w:firstLineChars="200"/>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拟在两台塑料挤出机上方设置集气罩（风量为6000m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/h，集气效率90%），将颗粒物及非甲烷总烃引至过滤棉+</w:t>
            </w:r>
            <w:r>
              <w:rPr>
                <w:bCs/>
                <w:color w:val="000000" w:themeColor="text1"/>
                <w:szCs w:val="21"/>
                <w14:textFill>
                  <w14:solidFill>
                    <w14:schemeClr w14:val="tx1"/>
                  </w14:solidFill>
                </w14:textFill>
              </w:rPr>
              <w:t>活性炭吸附</w:t>
            </w:r>
            <w:r>
              <w:rPr>
                <w:rFonts w:hint="eastAsia"/>
                <w:bCs/>
                <w:color w:val="000000" w:themeColor="text1"/>
                <w:szCs w:val="21"/>
                <w14:textFill>
                  <w14:solidFill>
                    <w14:schemeClr w14:val="tx1"/>
                  </w14:solidFill>
                </w14:textFill>
              </w:rPr>
              <w:t>装置处理达标后（颗粒物处置效率95%，非甲烷总烃处置效率85%），</w:t>
            </w:r>
            <w:r>
              <w:rPr>
                <w:bCs/>
                <w:color w:val="000000" w:themeColor="text1"/>
                <w:szCs w:val="21"/>
                <w14:textFill>
                  <w14:solidFill>
                    <w14:schemeClr w14:val="tx1"/>
                  </w14:solidFill>
                </w14:textFill>
              </w:rPr>
              <w:t>通过管道引至</w:t>
            </w:r>
            <w:r>
              <w:rPr>
                <w:rFonts w:hint="eastAsia"/>
                <w:bCs/>
                <w:color w:val="000000" w:themeColor="text1"/>
                <w:szCs w:val="21"/>
                <w14:textFill>
                  <w14:solidFill>
                    <w14:schemeClr w14:val="tx1"/>
                  </w14:solidFill>
                </w14:textFill>
              </w:rPr>
              <w:t>15m的排气筒</w:t>
            </w:r>
            <w:r>
              <w:rPr>
                <w:bCs/>
                <w:color w:val="000000" w:themeColor="text1"/>
                <w:szCs w:val="21"/>
                <w14:textFill>
                  <w14:solidFill>
                    <w14:schemeClr w14:val="tx1"/>
                  </w14:solidFill>
                </w14:textFill>
              </w:rPr>
              <w:t>排放</w:t>
            </w:r>
            <w:r>
              <w:rPr>
                <w:rFonts w:hint="eastAsia"/>
                <w:bCs/>
                <w:color w:val="000000" w:themeColor="text1"/>
                <w:szCs w:val="21"/>
                <w14:textFill>
                  <w14:solidFill>
                    <w14:schemeClr w14:val="tx1"/>
                  </w14:solidFill>
                </w14:textFill>
              </w:rPr>
              <w:t>。</w:t>
            </w:r>
          </w:p>
        </w:tc>
        <w:tc>
          <w:tcPr>
            <w:tcW w:w="1985" w:type="dxa"/>
            <w:vAlign w:val="center"/>
          </w:tcPr>
          <w:p w14:paraId="3BC24376">
            <w:pPr>
              <w:jc w:val="center"/>
              <w:rPr>
                <w:color w:val="000000" w:themeColor="text1"/>
                <w:szCs w:val="21"/>
                <w14:textFill>
                  <w14:solidFill>
                    <w14:schemeClr w14:val="tx1"/>
                  </w14:solidFill>
                </w14:textFill>
              </w:rPr>
            </w:pPr>
            <w:r>
              <w:rPr>
                <w:rFonts w:hint="eastAsia" w:eastAsiaTheme="minorEastAsia"/>
                <w:bCs/>
                <w:color w:val="FF0000"/>
                <w:szCs w:val="21"/>
              </w:rPr>
              <w:t>造粒工序有组织</w:t>
            </w:r>
            <w:r>
              <w:rPr>
                <w:rFonts w:eastAsiaTheme="minorEastAsia"/>
                <w:bCs/>
                <w:color w:val="FF0000"/>
                <w:szCs w:val="21"/>
              </w:rPr>
              <w:t>颗粒物、非甲烷总烃</w:t>
            </w:r>
            <w:r>
              <w:rPr>
                <w:rFonts w:hint="eastAsia" w:eastAsiaTheme="minorEastAsia"/>
                <w:bCs/>
                <w:color w:val="FF0000"/>
                <w:szCs w:val="21"/>
              </w:rPr>
              <w:t>满足</w:t>
            </w:r>
            <w:r>
              <w:rPr>
                <w:rFonts w:hint="eastAsia" w:eastAsiaTheme="minorEastAsia"/>
                <w:color w:val="FF0000"/>
                <w:szCs w:val="21"/>
              </w:rPr>
              <w:t>《合成树脂工业污染物排放标准》（</w:t>
            </w:r>
            <w:r>
              <w:rPr>
                <w:rFonts w:eastAsiaTheme="minorEastAsia"/>
                <w:color w:val="FF0000"/>
                <w:szCs w:val="21"/>
              </w:rPr>
              <w:t>GB31572-2015</w:t>
            </w:r>
            <w:r>
              <w:rPr>
                <w:rFonts w:hint="eastAsia" w:eastAsiaTheme="minorEastAsia"/>
                <w:color w:val="FF0000"/>
                <w:szCs w:val="21"/>
              </w:rPr>
              <w:t>）；</w:t>
            </w:r>
            <w:r>
              <w:rPr>
                <w:rFonts w:eastAsiaTheme="minorEastAsia"/>
                <w:color w:val="FF0000"/>
                <w:szCs w:val="21"/>
              </w:rPr>
              <w:t>无组织颗粒物和非甲烷总烃</w:t>
            </w:r>
            <w:r>
              <w:rPr>
                <w:rFonts w:hint="eastAsia" w:eastAsiaTheme="minorEastAsia"/>
                <w:color w:val="FF0000"/>
                <w:szCs w:val="21"/>
              </w:rPr>
              <w:t>厂界</w:t>
            </w:r>
            <w:r>
              <w:rPr>
                <w:rFonts w:eastAsiaTheme="minorEastAsia"/>
                <w:color w:val="FF0000"/>
                <w:szCs w:val="21"/>
              </w:rPr>
              <w:t>执行</w:t>
            </w:r>
            <w:r>
              <w:rPr>
                <w:rFonts w:hint="eastAsia" w:eastAsiaTheme="minorEastAsia"/>
                <w:color w:val="FF0000"/>
                <w:szCs w:val="21"/>
              </w:rPr>
              <w:t>《合成树脂工业污染物排放标准》（</w:t>
            </w:r>
            <w:r>
              <w:rPr>
                <w:rFonts w:eastAsiaTheme="minorEastAsia"/>
                <w:color w:val="FF0000"/>
                <w:szCs w:val="21"/>
              </w:rPr>
              <w:t>GB31572-2015</w:t>
            </w:r>
            <w:r>
              <w:rPr>
                <w:rFonts w:hint="eastAsia" w:eastAsiaTheme="minorEastAsia"/>
                <w:color w:val="FF0000"/>
                <w:szCs w:val="21"/>
              </w:rPr>
              <w:t>）</w:t>
            </w:r>
            <w:r>
              <w:rPr>
                <w:rFonts w:eastAsiaTheme="minorEastAsia"/>
                <w:color w:val="FF0000"/>
                <w:szCs w:val="21"/>
              </w:rPr>
              <w:t>中无组织排放监控浓度限值要求，</w:t>
            </w:r>
          </w:p>
        </w:tc>
      </w:tr>
      <w:tr w14:paraId="5E44B61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4302547F">
            <w:pPr>
              <w:jc w:val="center"/>
              <w:rPr>
                <w:b/>
                <w:color w:val="000000" w:themeColor="text1"/>
                <w:szCs w:val="21"/>
                <w14:textFill>
                  <w14:solidFill>
                    <w14:schemeClr w14:val="tx1"/>
                  </w14:solidFill>
                </w14:textFill>
              </w:rPr>
            </w:pPr>
          </w:p>
        </w:tc>
        <w:tc>
          <w:tcPr>
            <w:tcW w:w="956" w:type="dxa"/>
            <w:vMerge w:val="continue"/>
            <w:vAlign w:val="center"/>
          </w:tcPr>
          <w:p w14:paraId="22A7CA15">
            <w:pPr>
              <w:jc w:val="center"/>
              <w:rPr>
                <w:color w:val="000000" w:themeColor="text1"/>
                <w:szCs w:val="21"/>
                <w14:textFill>
                  <w14:solidFill>
                    <w14:schemeClr w14:val="tx1"/>
                  </w14:solidFill>
                </w14:textFill>
              </w:rPr>
            </w:pPr>
          </w:p>
        </w:tc>
        <w:tc>
          <w:tcPr>
            <w:tcW w:w="1090" w:type="dxa"/>
            <w:vAlign w:val="center"/>
          </w:tcPr>
          <w:p w14:paraId="7C0A3A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食堂油烟</w:t>
            </w:r>
          </w:p>
        </w:tc>
        <w:tc>
          <w:tcPr>
            <w:tcW w:w="3648" w:type="dxa"/>
            <w:vAlign w:val="center"/>
          </w:tcPr>
          <w:p w14:paraId="790B17AA">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净化效率</w:t>
            </w:r>
            <w:r>
              <w:rPr>
                <w:rFonts w:hint="eastAsia"/>
                <w:color w:val="000000" w:themeColor="text1"/>
                <w:szCs w:val="21"/>
                <w14:textFill>
                  <w14:solidFill>
                    <w14:schemeClr w14:val="tx1"/>
                  </w14:solidFill>
                </w14:textFill>
              </w:rPr>
              <w:t>60</w:t>
            </w:r>
            <w:r>
              <w:rPr>
                <w:color w:val="000000" w:themeColor="text1"/>
                <w:szCs w:val="21"/>
                <w14:textFill>
                  <w14:solidFill>
                    <w14:schemeClr w14:val="tx1"/>
                  </w14:solidFill>
                </w14:textFill>
              </w:rPr>
              <w:t>%的</w:t>
            </w:r>
            <w:r>
              <w:rPr>
                <w:rFonts w:hint="eastAsia"/>
                <w:color w:val="000000" w:themeColor="text1"/>
                <w:szCs w:val="21"/>
                <w14:textFill>
                  <w14:solidFill>
                    <w14:schemeClr w14:val="tx1"/>
                  </w14:solidFill>
                </w14:textFill>
              </w:rPr>
              <w:t>小</w:t>
            </w:r>
            <w:r>
              <w:rPr>
                <w:color w:val="000000" w:themeColor="text1"/>
                <w:szCs w:val="21"/>
                <w14:textFill>
                  <w14:solidFill>
                    <w14:schemeClr w14:val="tx1"/>
                  </w14:solidFill>
                </w14:textFill>
              </w:rPr>
              <w:t>型油烟净化设施</w:t>
            </w:r>
            <w:r>
              <w:rPr>
                <w:rFonts w:hint="eastAsia"/>
                <w:color w:val="000000" w:themeColor="text1"/>
                <w:szCs w:val="21"/>
                <w14:textFill>
                  <w14:solidFill>
                    <w14:schemeClr w14:val="tx1"/>
                  </w14:solidFill>
                </w14:textFill>
              </w:rPr>
              <w:t>。</w:t>
            </w:r>
          </w:p>
        </w:tc>
        <w:tc>
          <w:tcPr>
            <w:tcW w:w="1985" w:type="dxa"/>
            <w:vAlign w:val="center"/>
          </w:tcPr>
          <w:p w14:paraId="3903A0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GB18483-2001《饮食业油烟排放标准》</w:t>
            </w:r>
            <w:r>
              <w:rPr>
                <w:rFonts w:hint="eastAsia"/>
                <w:color w:val="000000" w:themeColor="text1"/>
                <w:szCs w:val="21"/>
                <w14:textFill>
                  <w14:solidFill>
                    <w14:schemeClr w14:val="tx1"/>
                  </w14:solidFill>
                </w14:textFill>
              </w:rPr>
              <w:t>小</w:t>
            </w:r>
            <w:r>
              <w:rPr>
                <w:color w:val="000000" w:themeColor="text1"/>
                <w:szCs w:val="21"/>
                <w14:textFill>
                  <w14:solidFill>
                    <w14:schemeClr w14:val="tx1"/>
                  </w14:solidFill>
                </w14:textFill>
              </w:rPr>
              <w:t>型</w:t>
            </w:r>
          </w:p>
        </w:tc>
      </w:tr>
      <w:tr w14:paraId="071566B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restart"/>
            <w:vAlign w:val="center"/>
          </w:tcPr>
          <w:p w14:paraId="068354F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噪声控制</w:t>
            </w:r>
          </w:p>
        </w:tc>
        <w:tc>
          <w:tcPr>
            <w:tcW w:w="956" w:type="dxa"/>
            <w:vMerge w:val="restart"/>
            <w:vAlign w:val="center"/>
          </w:tcPr>
          <w:p w14:paraId="08DF33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1090" w:type="dxa"/>
            <w:vAlign w:val="center"/>
          </w:tcPr>
          <w:p w14:paraId="501EA4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机械噪声</w:t>
            </w:r>
          </w:p>
        </w:tc>
        <w:tc>
          <w:tcPr>
            <w:tcW w:w="3648" w:type="dxa"/>
            <w:vAlign w:val="center"/>
          </w:tcPr>
          <w:p w14:paraId="4F2BBBAF">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厂房隔声等</w:t>
            </w:r>
          </w:p>
        </w:tc>
        <w:tc>
          <w:tcPr>
            <w:tcW w:w="1985" w:type="dxa"/>
            <w:vMerge w:val="restart"/>
            <w:vAlign w:val="center"/>
          </w:tcPr>
          <w:p w14:paraId="43E34C4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GB12523-2011《建筑施工场界环境噪声排放标准》</w:t>
            </w:r>
          </w:p>
        </w:tc>
      </w:tr>
      <w:tr w14:paraId="6D2201A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1CD1F397">
            <w:pPr>
              <w:jc w:val="center"/>
              <w:rPr>
                <w:b/>
                <w:color w:val="000000" w:themeColor="text1"/>
                <w:szCs w:val="21"/>
                <w14:textFill>
                  <w14:solidFill>
                    <w14:schemeClr w14:val="tx1"/>
                  </w14:solidFill>
                </w14:textFill>
              </w:rPr>
            </w:pPr>
          </w:p>
        </w:tc>
        <w:tc>
          <w:tcPr>
            <w:tcW w:w="956" w:type="dxa"/>
            <w:vMerge w:val="continue"/>
            <w:vAlign w:val="center"/>
          </w:tcPr>
          <w:p w14:paraId="098430C0">
            <w:pPr>
              <w:jc w:val="center"/>
              <w:rPr>
                <w:color w:val="000000" w:themeColor="text1"/>
                <w:szCs w:val="21"/>
                <w14:textFill>
                  <w14:solidFill>
                    <w14:schemeClr w14:val="tx1"/>
                  </w14:solidFill>
                </w14:textFill>
              </w:rPr>
            </w:pPr>
          </w:p>
        </w:tc>
        <w:tc>
          <w:tcPr>
            <w:tcW w:w="1090" w:type="dxa"/>
            <w:vAlign w:val="center"/>
          </w:tcPr>
          <w:p w14:paraId="0CEB9B4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车辆噪声</w:t>
            </w:r>
          </w:p>
        </w:tc>
        <w:tc>
          <w:tcPr>
            <w:tcW w:w="3648" w:type="dxa"/>
            <w:vAlign w:val="center"/>
          </w:tcPr>
          <w:p w14:paraId="32EFCAA2">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减速行驶。</w:t>
            </w:r>
          </w:p>
        </w:tc>
        <w:tc>
          <w:tcPr>
            <w:tcW w:w="1985" w:type="dxa"/>
            <w:vMerge w:val="continue"/>
            <w:vAlign w:val="center"/>
          </w:tcPr>
          <w:p w14:paraId="12DC98DF">
            <w:pPr>
              <w:jc w:val="center"/>
              <w:rPr>
                <w:color w:val="000000" w:themeColor="text1"/>
                <w:szCs w:val="21"/>
                <w14:textFill>
                  <w14:solidFill>
                    <w14:schemeClr w14:val="tx1"/>
                  </w14:solidFill>
                </w14:textFill>
              </w:rPr>
            </w:pPr>
          </w:p>
        </w:tc>
      </w:tr>
      <w:tr w14:paraId="25DB972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76709B2D">
            <w:pPr>
              <w:jc w:val="center"/>
              <w:rPr>
                <w:b/>
                <w:color w:val="000000" w:themeColor="text1"/>
                <w:szCs w:val="21"/>
                <w14:textFill>
                  <w14:solidFill>
                    <w14:schemeClr w14:val="tx1"/>
                  </w14:solidFill>
                </w14:textFill>
              </w:rPr>
            </w:pPr>
          </w:p>
        </w:tc>
        <w:tc>
          <w:tcPr>
            <w:tcW w:w="956" w:type="dxa"/>
            <w:vAlign w:val="center"/>
          </w:tcPr>
          <w:p w14:paraId="4E26A7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1090" w:type="dxa"/>
            <w:vAlign w:val="center"/>
          </w:tcPr>
          <w:p w14:paraId="1DCBD7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设备噪声</w:t>
            </w:r>
          </w:p>
        </w:tc>
        <w:tc>
          <w:tcPr>
            <w:tcW w:w="3648" w:type="dxa"/>
            <w:vAlign w:val="center"/>
          </w:tcPr>
          <w:p w14:paraId="05FB45C5">
            <w:pPr>
              <w:ind w:firstLine="210" w:firstLineChars="100"/>
              <w:rPr>
                <w:color w:val="000000" w:themeColor="text1"/>
                <w:szCs w:val="21"/>
                <w14:textFill>
                  <w14:solidFill>
                    <w14:schemeClr w14:val="tx1"/>
                  </w14:solidFill>
                </w14:textFill>
              </w:rPr>
            </w:pPr>
            <w:r>
              <w:rPr>
                <w:color w:val="000000" w:themeColor="text1"/>
                <w:szCs w:val="21"/>
                <w14:textFill>
                  <w14:solidFill>
                    <w14:schemeClr w14:val="tx1"/>
                  </w14:solidFill>
                </w14:textFill>
              </w:rPr>
              <w:t>选择低噪声和符合国家噪声标准的设备，布置于单独的房间内</w:t>
            </w:r>
          </w:p>
        </w:tc>
        <w:tc>
          <w:tcPr>
            <w:tcW w:w="1985" w:type="dxa"/>
            <w:vAlign w:val="center"/>
          </w:tcPr>
          <w:p w14:paraId="5DA876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GB12348-2008《工业企业厂界环境噪声排放标准》</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w:t>
            </w:r>
          </w:p>
        </w:tc>
      </w:tr>
      <w:tr w14:paraId="6BBC420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restart"/>
            <w:vAlign w:val="center"/>
          </w:tcPr>
          <w:p w14:paraId="0588F8E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固体废物处置</w:t>
            </w:r>
          </w:p>
        </w:tc>
        <w:tc>
          <w:tcPr>
            <w:tcW w:w="956" w:type="dxa"/>
            <w:vMerge w:val="restart"/>
            <w:vAlign w:val="center"/>
          </w:tcPr>
          <w:p w14:paraId="4C87AF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1090" w:type="dxa"/>
            <w:vAlign w:val="center"/>
          </w:tcPr>
          <w:p w14:paraId="37673E7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建筑垃圾</w:t>
            </w:r>
          </w:p>
        </w:tc>
        <w:tc>
          <w:tcPr>
            <w:tcW w:w="3648" w:type="dxa"/>
            <w:vAlign w:val="center"/>
          </w:tcPr>
          <w:p w14:paraId="2D1843AD">
            <w:pPr>
              <w:ind w:firstLine="315" w:firstLineChars="1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分类储存，运送至指定部门</w:t>
            </w:r>
          </w:p>
        </w:tc>
        <w:tc>
          <w:tcPr>
            <w:tcW w:w="1985" w:type="dxa"/>
            <w:vMerge w:val="restart"/>
            <w:vAlign w:val="center"/>
          </w:tcPr>
          <w:p w14:paraId="11D963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禁止随地丢弃</w:t>
            </w:r>
          </w:p>
        </w:tc>
      </w:tr>
      <w:tr w14:paraId="27EBCD9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784B8F2E">
            <w:pPr>
              <w:jc w:val="center"/>
              <w:rPr>
                <w:b/>
                <w:color w:val="000000" w:themeColor="text1"/>
                <w:szCs w:val="21"/>
                <w14:textFill>
                  <w14:solidFill>
                    <w14:schemeClr w14:val="tx1"/>
                  </w14:solidFill>
                </w14:textFill>
              </w:rPr>
            </w:pPr>
          </w:p>
        </w:tc>
        <w:tc>
          <w:tcPr>
            <w:tcW w:w="956" w:type="dxa"/>
            <w:vMerge w:val="continue"/>
            <w:vAlign w:val="center"/>
          </w:tcPr>
          <w:p w14:paraId="216E39DA">
            <w:pPr>
              <w:jc w:val="center"/>
              <w:rPr>
                <w:color w:val="000000" w:themeColor="text1"/>
                <w:szCs w:val="21"/>
                <w14:textFill>
                  <w14:solidFill>
                    <w14:schemeClr w14:val="tx1"/>
                  </w14:solidFill>
                </w14:textFill>
              </w:rPr>
            </w:pPr>
          </w:p>
        </w:tc>
        <w:tc>
          <w:tcPr>
            <w:tcW w:w="1090" w:type="dxa"/>
            <w:vAlign w:val="center"/>
          </w:tcPr>
          <w:p w14:paraId="202ED5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3648" w:type="dxa"/>
            <w:vAlign w:val="center"/>
          </w:tcPr>
          <w:p w14:paraId="6E7674E3">
            <w:pPr>
              <w:ind w:firstLine="315" w:firstLineChars="1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分类收集，集中清运</w:t>
            </w:r>
          </w:p>
        </w:tc>
        <w:tc>
          <w:tcPr>
            <w:tcW w:w="1985" w:type="dxa"/>
            <w:vMerge w:val="continue"/>
            <w:vAlign w:val="center"/>
          </w:tcPr>
          <w:p w14:paraId="5AD6A7D1">
            <w:pPr>
              <w:jc w:val="center"/>
              <w:rPr>
                <w:color w:val="000000" w:themeColor="text1"/>
                <w:szCs w:val="21"/>
                <w14:textFill>
                  <w14:solidFill>
                    <w14:schemeClr w14:val="tx1"/>
                  </w14:solidFill>
                </w14:textFill>
              </w:rPr>
            </w:pPr>
          </w:p>
        </w:tc>
      </w:tr>
      <w:tr w14:paraId="726F337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1250E553">
            <w:pPr>
              <w:jc w:val="center"/>
              <w:rPr>
                <w:b/>
                <w:color w:val="000000" w:themeColor="text1"/>
                <w:szCs w:val="21"/>
                <w14:textFill>
                  <w14:solidFill>
                    <w14:schemeClr w14:val="tx1"/>
                  </w14:solidFill>
                </w14:textFill>
              </w:rPr>
            </w:pPr>
          </w:p>
        </w:tc>
        <w:tc>
          <w:tcPr>
            <w:tcW w:w="956" w:type="dxa"/>
            <w:vMerge w:val="restart"/>
            <w:vAlign w:val="center"/>
          </w:tcPr>
          <w:p w14:paraId="4A98CD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1090" w:type="dxa"/>
            <w:vAlign w:val="center"/>
          </w:tcPr>
          <w:p w14:paraId="1178E5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一般生产固废</w:t>
            </w:r>
          </w:p>
        </w:tc>
        <w:tc>
          <w:tcPr>
            <w:tcW w:w="3648" w:type="dxa"/>
            <w:vAlign w:val="center"/>
          </w:tcPr>
          <w:p w14:paraId="7D54DF09">
            <w:pPr>
              <w:widowControl/>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本环评要求在</w:t>
            </w:r>
            <w:r>
              <w:rPr>
                <w:color w:val="000000" w:themeColor="text1"/>
                <w:szCs w:val="21"/>
                <w14:textFill>
                  <w14:solidFill>
                    <w14:schemeClr w14:val="tx1"/>
                  </w14:solidFill>
                </w14:textFill>
              </w:rPr>
              <w:t>项目区</w:t>
            </w:r>
            <w:r>
              <w:rPr>
                <w:rFonts w:hint="eastAsia"/>
                <w:color w:val="000000" w:themeColor="text1"/>
                <w:szCs w:val="21"/>
                <w14:textFill>
                  <w14:solidFill>
                    <w14:schemeClr w14:val="tx1"/>
                  </w14:solidFill>
                </w14:textFill>
              </w:rPr>
              <w:t>原料仓库北</w:t>
            </w:r>
            <w:r>
              <w:rPr>
                <w:color w:val="000000" w:themeColor="text1"/>
                <w:szCs w:val="21"/>
                <w14:textFill>
                  <w14:solidFill>
                    <w14:schemeClr w14:val="tx1"/>
                  </w14:solidFill>
                </w14:textFill>
              </w:rPr>
              <w:t>侧设置一般固废堆放间（占地</w:t>
            </w:r>
            <w:r>
              <w:rPr>
                <w:rFonts w:hint="eastAsia"/>
                <w:color w:val="000000" w:themeColor="text1"/>
                <w:szCs w:val="21"/>
                <w14:textFill>
                  <w14:solidFill>
                    <w14:schemeClr w14:val="tx1"/>
                  </w14:solidFill>
                </w14:textFill>
              </w:rPr>
              <w:t>18</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p w14:paraId="357C0E37">
            <w:pPr>
              <w:widowControl/>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项目运营期一般工业固废主要为拆包、人工分选杂物（S1）、剥离废标签纸（S2）、</w:t>
            </w:r>
            <w:r>
              <w:rPr>
                <w:rFonts w:hint="eastAsia"/>
                <w:color w:val="000000" w:themeColor="text1"/>
                <w:szCs w:val="21"/>
                <w14:textFill>
                  <w14:solidFill>
                    <w14:schemeClr w14:val="tx1"/>
                  </w14:solidFill>
                </w14:textFill>
              </w:rPr>
              <w:t>沉淀池</w:t>
            </w:r>
            <w:r>
              <w:rPr>
                <w:color w:val="000000" w:themeColor="text1"/>
                <w:szCs w:val="21"/>
                <w14:textFill>
                  <w14:solidFill>
                    <w14:schemeClr w14:val="tx1"/>
                  </w14:solidFill>
                </w14:textFill>
              </w:rPr>
              <w:t>污泥。</w:t>
            </w:r>
          </w:p>
          <w:p w14:paraId="3C273F42">
            <w:pPr>
              <w:widowControl/>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拆包、人工分选杂物</w:t>
            </w:r>
            <w:r>
              <w:rPr>
                <w:rFonts w:hint="eastAsia"/>
                <w:color w:val="000000" w:themeColor="text1"/>
                <w:szCs w:val="21"/>
                <w14:textFill>
                  <w14:solidFill>
                    <w14:schemeClr w14:val="tx1"/>
                  </w14:solidFill>
                </w14:textFill>
              </w:rPr>
              <w:t>分类收集后，一部分外卖，其余外运至最近村庄垃圾收集点处理</w:t>
            </w:r>
            <w:r>
              <w:rPr>
                <w:color w:val="000000" w:themeColor="text1"/>
                <w:szCs w:val="21"/>
                <w14:textFill>
                  <w14:solidFill>
                    <w14:schemeClr w14:val="tx1"/>
                  </w14:solidFill>
                </w14:textFill>
              </w:rPr>
              <w:t>，禁止随意丢弃</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剥离废标签纸</w:t>
            </w:r>
            <w:r>
              <w:rPr>
                <w:rFonts w:hint="eastAsia"/>
                <w:color w:val="000000" w:themeColor="text1"/>
                <w:szCs w:val="21"/>
                <w14:textFill>
                  <w14:solidFill>
                    <w14:schemeClr w14:val="tx1"/>
                  </w14:solidFill>
                </w14:textFill>
              </w:rPr>
              <w:t>外卖处理；沉淀池</w:t>
            </w:r>
            <w:r>
              <w:rPr>
                <w:color w:val="000000" w:themeColor="text1"/>
                <w:szCs w:val="21"/>
                <w14:textFill>
                  <w14:solidFill>
                    <w14:schemeClr w14:val="tx1"/>
                  </w14:solidFill>
                </w14:textFill>
              </w:rPr>
              <w:t>污泥</w:t>
            </w:r>
            <w:r>
              <w:rPr>
                <w:rFonts w:hint="eastAsia"/>
                <w:color w:val="000000" w:themeColor="text1"/>
                <w:szCs w:val="21"/>
                <w14:textFill>
                  <w14:solidFill>
                    <w14:schemeClr w14:val="tx1"/>
                  </w14:solidFill>
                </w14:textFill>
              </w:rPr>
              <w:t>及隔油池废油</w:t>
            </w:r>
            <w:r>
              <w:rPr>
                <w:color w:val="000000" w:themeColor="text1"/>
                <w:szCs w:val="21"/>
                <w14:textFill>
                  <w14:solidFill>
                    <w14:schemeClr w14:val="tx1"/>
                  </w14:solidFill>
                </w14:textFill>
              </w:rPr>
              <w:t>外运至最近村庄垃圾收集点处理</w:t>
            </w:r>
            <w:r>
              <w:rPr>
                <w:rFonts w:hint="eastAsia"/>
                <w:color w:val="000000" w:themeColor="text1"/>
                <w:szCs w:val="21"/>
                <w14:textFill>
                  <w14:solidFill>
                    <w14:schemeClr w14:val="tx1"/>
                  </w14:solidFill>
                </w14:textFill>
              </w:rPr>
              <w:t>。</w:t>
            </w:r>
          </w:p>
        </w:tc>
        <w:tc>
          <w:tcPr>
            <w:tcW w:w="1985" w:type="dxa"/>
            <w:vMerge w:val="restart"/>
            <w:vAlign w:val="center"/>
          </w:tcPr>
          <w:p w14:paraId="034DD3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固废处置100%</w:t>
            </w:r>
          </w:p>
        </w:tc>
      </w:tr>
      <w:tr w14:paraId="51F0DD5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106D2311">
            <w:pPr>
              <w:jc w:val="center"/>
              <w:rPr>
                <w:b/>
                <w:color w:val="000000" w:themeColor="text1"/>
                <w:szCs w:val="21"/>
                <w14:textFill>
                  <w14:solidFill>
                    <w14:schemeClr w14:val="tx1"/>
                  </w14:solidFill>
                </w14:textFill>
              </w:rPr>
            </w:pPr>
          </w:p>
        </w:tc>
        <w:tc>
          <w:tcPr>
            <w:tcW w:w="956" w:type="dxa"/>
            <w:vMerge w:val="continue"/>
            <w:vAlign w:val="center"/>
          </w:tcPr>
          <w:p w14:paraId="76E04392">
            <w:pPr>
              <w:jc w:val="center"/>
              <w:rPr>
                <w:color w:val="000000" w:themeColor="text1"/>
                <w:szCs w:val="21"/>
                <w14:textFill>
                  <w14:solidFill>
                    <w14:schemeClr w14:val="tx1"/>
                  </w14:solidFill>
                </w14:textFill>
              </w:rPr>
            </w:pPr>
          </w:p>
        </w:tc>
        <w:tc>
          <w:tcPr>
            <w:tcW w:w="1090" w:type="dxa"/>
            <w:vAlign w:val="center"/>
          </w:tcPr>
          <w:p w14:paraId="7FC3F9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3648" w:type="dxa"/>
            <w:vAlign w:val="center"/>
          </w:tcPr>
          <w:p w14:paraId="4DFBCF00">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危险废物（废</w:t>
            </w:r>
            <w:r>
              <w:rPr>
                <w:rFonts w:hint="eastAsia"/>
                <w:color w:val="000000" w:themeColor="text1"/>
                <w:szCs w:val="21"/>
                <w14:textFill>
                  <w14:solidFill>
                    <w14:schemeClr w14:val="tx1"/>
                  </w14:solidFill>
                </w14:textFill>
              </w:rPr>
              <w:t>过滤棉、废</w:t>
            </w:r>
            <w:r>
              <w:rPr>
                <w:color w:val="000000" w:themeColor="text1"/>
                <w:szCs w:val="21"/>
                <w14:textFill>
                  <w14:solidFill>
                    <w14:schemeClr w14:val="tx1"/>
                  </w14:solidFill>
                </w14:textFill>
              </w:rPr>
              <w:t>活性炭</w:t>
            </w:r>
            <w:r>
              <w:rPr>
                <w:color w:val="FF0000"/>
                <w:szCs w:val="21"/>
              </w:rPr>
              <w:t>、废过滤网）</w:t>
            </w:r>
            <w:r>
              <w:rPr>
                <w:color w:val="000000" w:themeColor="text1"/>
                <w:szCs w:val="21"/>
                <w14:textFill>
                  <w14:solidFill>
                    <w14:schemeClr w14:val="tx1"/>
                  </w14:solidFill>
                </w14:textFill>
              </w:rPr>
              <w:t>暂存于危废收集间</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，委托有资质的单位进行处置。</w:t>
            </w:r>
          </w:p>
        </w:tc>
        <w:tc>
          <w:tcPr>
            <w:tcW w:w="1985" w:type="dxa"/>
            <w:vMerge w:val="continue"/>
            <w:vAlign w:val="center"/>
          </w:tcPr>
          <w:p w14:paraId="2C235A97">
            <w:pPr>
              <w:jc w:val="center"/>
              <w:rPr>
                <w:color w:val="000000" w:themeColor="text1"/>
                <w:szCs w:val="21"/>
                <w14:textFill>
                  <w14:solidFill>
                    <w14:schemeClr w14:val="tx1"/>
                  </w14:solidFill>
                </w14:textFill>
              </w:rPr>
            </w:pPr>
          </w:p>
        </w:tc>
      </w:tr>
      <w:tr w14:paraId="2DF6CE9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Merge w:val="continue"/>
            <w:vAlign w:val="center"/>
          </w:tcPr>
          <w:p w14:paraId="091F53F3">
            <w:pPr>
              <w:jc w:val="center"/>
              <w:rPr>
                <w:b/>
                <w:color w:val="000000" w:themeColor="text1"/>
                <w:szCs w:val="21"/>
                <w14:textFill>
                  <w14:solidFill>
                    <w14:schemeClr w14:val="tx1"/>
                  </w14:solidFill>
                </w14:textFill>
              </w:rPr>
            </w:pPr>
          </w:p>
        </w:tc>
        <w:tc>
          <w:tcPr>
            <w:tcW w:w="956" w:type="dxa"/>
            <w:vMerge w:val="continue"/>
            <w:vAlign w:val="center"/>
          </w:tcPr>
          <w:p w14:paraId="2DFBD816">
            <w:pPr>
              <w:jc w:val="center"/>
              <w:rPr>
                <w:color w:val="000000" w:themeColor="text1"/>
                <w:szCs w:val="21"/>
                <w14:textFill>
                  <w14:solidFill>
                    <w14:schemeClr w14:val="tx1"/>
                  </w14:solidFill>
                </w14:textFill>
              </w:rPr>
            </w:pPr>
          </w:p>
        </w:tc>
        <w:tc>
          <w:tcPr>
            <w:tcW w:w="1090" w:type="dxa"/>
            <w:vAlign w:val="center"/>
          </w:tcPr>
          <w:p w14:paraId="797992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生活固废</w:t>
            </w:r>
          </w:p>
        </w:tc>
        <w:tc>
          <w:tcPr>
            <w:tcW w:w="3648" w:type="dxa"/>
            <w:vAlign w:val="center"/>
          </w:tcPr>
          <w:p w14:paraId="358E417E">
            <w:pPr>
              <w:widowControl/>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生活固废主要为生活垃圾</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化粪池污泥</w:t>
            </w:r>
            <w:r>
              <w:rPr>
                <w:rFonts w:hint="eastAsia"/>
                <w:color w:val="000000" w:themeColor="text1"/>
                <w:szCs w:val="21"/>
                <w14:textFill>
                  <w14:solidFill>
                    <w14:schemeClr w14:val="tx1"/>
                  </w14:solidFill>
                </w14:textFill>
              </w:rPr>
              <w:t>及</w:t>
            </w:r>
            <w:r>
              <w:rPr>
                <w:color w:val="000000" w:themeColor="text1"/>
                <w:szCs w:val="21"/>
                <w14:textFill>
                  <w14:solidFill>
                    <w14:schemeClr w14:val="tx1"/>
                  </w14:solidFill>
                </w14:textFill>
              </w:rPr>
              <w:t>食堂泔水</w:t>
            </w:r>
            <w:r>
              <w:rPr>
                <w:rFonts w:hint="eastAsia"/>
                <w:color w:val="000000" w:themeColor="text1"/>
                <w:szCs w:val="21"/>
                <w14:textFill>
                  <w14:solidFill>
                    <w14:schemeClr w14:val="tx1"/>
                  </w14:solidFill>
                </w14:textFill>
              </w:rPr>
              <w:t>，外运至最近村庄垃圾收集点处理。</w:t>
            </w:r>
          </w:p>
        </w:tc>
        <w:tc>
          <w:tcPr>
            <w:tcW w:w="1985" w:type="dxa"/>
            <w:vMerge w:val="continue"/>
            <w:vAlign w:val="center"/>
          </w:tcPr>
          <w:p w14:paraId="15EDA43A">
            <w:pPr>
              <w:jc w:val="center"/>
              <w:rPr>
                <w:color w:val="000000" w:themeColor="text1"/>
                <w:szCs w:val="21"/>
                <w14:textFill>
                  <w14:solidFill>
                    <w14:schemeClr w14:val="tx1"/>
                  </w14:solidFill>
                </w14:textFill>
              </w:rPr>
            </w:pPr>
          </w:p>
        </w:tc>
      </w:tr>
      <w:tr w14:paraId="4ADF853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D25EAC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其它对策措施</w:t>
            </w:r>
          </w:p>
        </w:tc>
        <w:tc>
          <w:tcPr>
            <w:tcW w:w="956" w:type="dxa"/>
            <w:vAlign w:val="center"/>
          </w:tcPr>
          <w:p w14:paraId="3F1237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1090" w:type="dxa"/>
            <w:vAlign w:val="center"/>
          </w:tcPr>
          <w:p w14:paraId="4BA342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648" w:type="dxa"/>
            <w:vAlign w:val="center"/>
          </w:tcPr>
          <w:p w14:paraId="5490E9A2">
            <w:pPr>
              <w:widowControl/>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（1）项目的建设内容及功能设置必须严格按照设计要求进行建设和设置。若项目建设内容或功能设置发生变化，项目方应重新报环保部门进行审批。</w:t>
            </w:r>
          </w:p>
          <w:p w14:paraId="08475FDC">
            <w:pPr>
              <w:widowControl/>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（2）加大对项目区的绿化工作，通过增加植被类型的多样性来促进生态系统的稳定性，消除植物生物量减少带来的影响。</w:t>
            </w:r>
          </w:p>
        </w:tc>
        <w:tc>
          <w:tcPr>
            <w:tcW w:w="1985" w:type="dxa"/>
            <w:vAlign w:val="center"/>
          </w:tcPr>
          <w:p w14:paraId="44161A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7976D92E">
      <w:pPr>
        <w:pStyle w:val="4"/>
        <w:rPr>
          <w:rFonts w:ascii="Times New Roman" w:hAnsi="Times New Roman"/>
          <w:color w:val="000000" w:themeColor="text1"/>
          <w14:textFill>
            <w14:solidFill>
              <w14:schemeClr w14:val="tx1"/>
            </w14:solidFill>
          </w14:textFill>
        </w:rPr>
      </w:pPr>
      <w:bookmarkStart w:id="502" w:name="_Toc283122541"/>
      <w:bookmarkStart w:id="503" w:name="_Toc2773794"/>
      <w:bookmarkStart w:id="504" w:name="_Toc137986207"/>
      <w:bookmarkStart w:id="505" w:name="_Toc258830991"/>
      <w:bookmarkStart w:id="506" w:name="_Toc244980470"/>
      <w:bookmarkStart w:id="507" w:name="_Toc115348318"/>
      <w:bookmarkStart w:id="508" w:name="_Toc258830992"/>
      <w:bookmarkStart w:id="509" w:name="_Toc115318187"/>
      <w:bookmarkStart w:id="510" w:name="_Toc82508935"/>
      <w:bookmarkStart w:id="511" w:name="_Toc121213238"/>
      <w:bookmarkStart w:id="512" w:name="_Toc137986208"/>
      <w:bookmarkStart w:id="513" w:name="_Toc72314204"/>
      <w:bookmarkStart w:id="514" w:name="_Toc244980471"/>
      <w:bookmarkStart w:id="515" w:name="_Toc283122542"/>
      <w:bookmarkStart w:id="516" w:name="_Toc286241708"/>
      <w:bookmarkStart w:id="517" w:name="_Toc285541592"/>
      <w:bookmarkStart w:id="518" w:name="_Toc285547637"/>
      <w:bookmarkStart w:id="519" w:name="_Toc285542812"/>
      <w:bookmarkStart w:id="520" w:name="_Toc348861123"/>
      <w:r>
        <w:rPr>
          <w:rFonts w:ascii="Times New Roman" w:hAnsi="Times New Roman"/>
          <w:color w:val="000000" w:themeColor="text1"/>
          <w14:textFill>
            <w14:solidFill>
              <w14:schemeClr w14:val="tx1"/>
            </w14:solidFill>
          </w14:textFill>
        </w:rPr>
        <w:t>10.3环境经济损益分析</w:t>
      </w:r>
      <w:bookmarkEnd w:id="502"/>
      <w:bookmarkEnd w:id="503"/>
      <w:bookmarkEnd w:id="504"/>
      <w:bookmarkEnd w:id="505"/>
      <w:bookmarkEnd w:id="506"/>
    </w:p>
    <w:p w14:paraId="7A27BB27">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10.3.1经济效益分析</w:t>
      </w:r>
      <w:bookmarkEnd w:id="507"/>
      <w:bookmarkEnd w:id="508"/>
      <w:bookmarkEnd w:id="509"/>
      <w:bookmarkEnd w:id="510"/>
      <w:bookmarkEnd w:id="511"/>
      <w:bookmarkEnd w:id="512"/>
      <w:bookmarkEnd w:id="513"/>
      <w:bookmarkEnd w:id="514"/>
      <w:bookmarkEnd w:id="515"/>
    </w:p>
    <w:p w14:paraId="5FFCA8CC">
      <w:pPr>
        <w:snapToGrid w:val="0"/>
        <w:spacing w:line="360" w:lineRule="auto"/>
        <w:ind w:firstLine="480" w:firstLineChars="200"/>
        <w:textAlignment w:val="baseline"/>
        <w:rPr>
          <w:color w:val="000000" w:themeColor="text1"/>
          <w:spacing w:val="-2"/>
          <w:sz w:val="24"/>
          <w14:textFill>
            <w14:solidFill>
              <w14:schemeClr w14:val="tx1"/>
            </w14:solidFill>
          </w14:textFill>
        </w:rPr>
      </w:pPr>
      <w:r>
        <w:rPr>
          <w:color w:val="000000" w:themeColor="text1"/>
          <w:sz w:val="24"/>
          <w14:textFill>
            <w14:solidFill>
              <w14:schemeClr w14:val="tx1"/>
            </w14:solidFill>
          </w14:textFill>
        </w:rPr>
        <w:t>根据建设方资料，本项目计划总投资100万元</w:t>
      </w:r>
      <w:r>
        <w:rPr>
          <w:color w:val="000000" w:themeColor="text1"/>
          <w:spacing w:val="-2"/>
          <w:sz w:val="24"/>
          <w14:textFill>
            <w14:solidFill>
              <w14:schemeClr w14:val="tx1"/>
            </w14:solidFill>
          </w14:textFill>
        </w:rPr>
        <w:t>，建设项目建成投产后具备了较高的盈利能力。</w:t>
      </w:r>
    </w:p>
    <w:p w14:paraId="01D2CA7C">
      <w:pPr>
        <w:snapToGrid w:val="0"/>
        <w:spacing w:line="360" w:lineRule="auto"/>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项目建成后具有一定的经济效益，并具有一定的抗风险能力，从经济角度而言，该项目是可行的。项目建设后，必将产生显著的环境效益、社会效益和经济效益。</w:t>
      </w:r>
    </w:p>
    <w:p w14:paraId="73F35557">
      <w:pPr>
        <w:pStyle w:val="105"/>
        <w:rPr>
          <w:rFonts w:cs="Times New Roman"/>
          <w:color w:val="000000" w:themeColor="text1"/>
          <w14:textFill>
            <w14:solidFill>
              <w14:schemeClr w14:val="tx1"/>
            </w14:solidFill>
          </w14:textFill>
        </w:rPr>
      </w:pPr>
      <w:bookmarkStart w:id="521" w:name="_Toc283122545"/>
      <w:bookmarkStart w:id="522" w:name="_Toc258830994"/>
      <w:r>
        <w:rPr>
          <w:rFonts w:cs="Times New Roman"/>
          <w:color w:val="000000" w:themeColor="text1"/>
          <w14:textFill>
            <w14:solidFill>
              <w14:schemeClr w14:val="tx1"/>
            </w14:solidFill>
          </w14:textFill>
        </w:rPr>
        <w:t>10.3.2 社会效益分析</w:t>
      </w:r>
      <w:bookmarkEnd w:id="521"/>
      <w:bookmarkEnd w:id="522"/>
    </w:p>
    <w:p w14:paraId="72C35351">
      <w:pPr>
        <w:spacing w:line="360" w:lineRule="auto"/>
        <w:ind w:firstLine="360" w:firstLineChars="15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1、有利影响</w:t>
      </w:r>
    </w:p>
    <w:p w14:paraId="4C2F27C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该项目实施后不仅能为本企业产业结构优化升级和产品结构调整提供动力，而且会提高产品的附加值和市场竞争能力，有效拓展企业的生存空间和保持企业可持续发展。项目的实施适应了当地经济发展的战略需要，促进了当地经济发展，项同建成运行后，</w:t>
      </w:r>
      <w:r>
        <w:rPr>
          <w:color w:val="000000" w:themeColor="text1"/>
          <w:kern w:val="0"/>
          <w:sz w:val="24"/>
          <w14:textFill>
            <w14:solidFill>
              <w14:schemeClr w14:val="tx1"/>
            </w14:solidFill>
          </w14:textFill>
        </w:rPr>
        <w:t>实现了固体废物的综合利用。节约了自然资源，促进循环经济的发展，</w:t>
      </w:r>
      <w:r>
        <w:rPr>
          <w:color w:val="000000" w:themeColor="text1"/>
          <w:sz w:val="24"/>
          <w14:textFill>
            <w14:solidFill>
              <w14:schemeClr w14:val="tx1"/>
            </w14:solidFill>
          </w14:textFill>
        </w:rPr>
        <w:t>提供就业机会，具有良好的经济效益和社会效益。</w:t>
      </w:r>
    </w:p>
    <w:p w14:paraId="4F824925">
      <w:pPr>
        <w:spacing w:line="360" w:lineRule="auto"/>
        <w:ind w:firstLine="360" w:firstLineChars="150"/>
        <w:rPr>
          <w:color w:val="000000" w:themeColor="text1"/>
          <w:sz w:val="24"/>
          <w14:textFill>
            <w14:solidFill>
              <w14:schemeClr w14:val="tx1"/>
            </w14:solidFill>
          </w14:textFill>
        </w:rPr>
      </w:pPr>
      <w:r>
        <w:rPr>
          <w:b/>
          <w:bCs/>
          <w:color w:val="000000" w:themeColor="text1"/>
          <w:sz w:val="24"/>
          <w14:textFill>
            <w14:solidFill>
              <w14:schemeClr w14:val="tx1"/>
            </w14:solidFill>
          </w14:textFill>
        </w:rPr>
        <w:t>2、不利影响</w:t>
      </w:r>
    </w:p>
    <w:p w14:paraId="24DF52DC">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项目建设产生的社会不利影响主要表现为：产品生产过程中废气、固废、噪声、废水排放的影响。通过合理的采取措施进行处置，项目建设对周围环境影响小。</w:t>
      </w:r>
    </w:p>
    <w:p w14:paraId="5EA34687">
      <w:pPr>
        <w:pStyle w:val="57"/>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总之，本项目建设的社会环境影响是积极的。</w:t>
      </w:r>
    </w:p>
    <w:p w14:paraId="371AFC91">
      <w:pPr>
        <w:pStyle w:val="10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10.3.3工程环保投资估算</w:t>
      </w:r>
      <w:bookmarkEnd w:id="516"/>
      <w:bookmarkEnd w:id="517"/>
      <w:bookmarkEnd w:id="518"/>
      <w:bookmarkEnd w:id="519"/>
      <w:bookmarkEnd w:id="520"/>
    </w:p>
    <w:p w14:paraId="0A441C37">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该项目总投资100万元，其环保设施投资情况见表10.2-1。</w:t>
      </w:r>
    </w:p>
    <w:p w14:paraId="7DFE61A9">
      <w:pPr>
        <w:pStyle w:val="11"/>
        <w:ind w:firstLine="4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表10.3-1  环保设施投资比例</w:t>
      </w:r>
    </w:p>
    <w:tbl>
      <w:tblPr>
        <w:tblStyle w:val="42"/>
        <w:tblW w:w="5255"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711"/>
        <w:gridCol w:w="6148"/>
        <w:gridCol w:w="1390"/>
      </w:tblGrid>
      <w:tr w14:paraId="254C23B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Align w:val="center"/>
          </w:tcPr>
          <w:p w14:paraId="7E240A3B">
            <w:pPr>
              <w:pStyle w:val="59"/>
              <w:spacing w:line="240" w:lineRule="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期间</w:t>
            </w:r>
          </w:p>
        </w:tc>
        <w:tc>
          <w:tcPr>
            <w:tcW w:w="3829" w:type="pct"/>
            <w:gridSpan w:val="2"/>
            <w:vAlign w:val="center"/>
          </w:tcPr>
          <w:p w14:paraId="69DE17C4">
            <w:pPr>
              <w:pStyle w:val="59"/>
              <w:spacing w:line="240" w:lineRule="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项   目</w:t>
            </w:r>
          </w:p>
        </w:tc>
        <w:tc>
          <w:tcPr>
            <w:tcW w:w="776" w:type="pct"/>
            <w:vAlign w:val="center"/>
          </w:tcPr>
          <w:p w14:paraId="504D5F7C">
            <w:pPr>
              <w:pStyle w:val="59"/>
              <w:spacing w:line="240" w:lineRule="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投资（万元）</w:t>
            </w:r>
          </w:p>
        </w:tc>
      </w:tr>
      <w:tr w14:paraId="011A743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restart"/>
            <w:vAlign w:val="center"/>
          </w:tcPr>
          <w:p w14:paraId="5BB3E8A7">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w:t>
            </w:r>
          </w:p>
          <w:p w14:paraId="58E01C35">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w:t>
            </w:r>
          </w:p>
          <w:p w14:paraId="1086D2C3">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期</w:t>
            </w:r>
          </w:p>
        </w:tc>
        <w:tc>
          <w:tcPr>
            <w:tcW w:w="397" w:type="pct"/>
            <w:vAlign w:val="center"/>
          </w:tcPr>
          <w:p w14:paraId="0E439DC3">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3432" w:type="pct"/>
            <w:vAlign w:val="center"/>
          </w:tcPr>
          <w:p w14:paraId="067C3BA7">
            <w:pPr>
              <w:adjustRightInd w:val="0"/>
              <w:snapToGrid w:val="0"/>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沉淀池（100</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776" w:type="pct"/>
            <w:vAlign w:val="center"/>
          </w:tcPr>
          <w:p w14:paraId="28393B94">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r>
      <w:tr w14:paraId="6D61478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13F9AFCA">
            <w:pPr>
              <w:pStyle w:val="59"/>
              <w:spacing w:line="240" w:lineRule="auto"/>
              <w:rPr>
                <w:color w:val="000000" w:themeColor="text1"/>
                <w:sz w:val="21"/>
                <w:szCs w:val="21"/>
                <w14:textFill>
                  <w14:solidFill>
                    <w14:schemeClr w14:val="tx1"/>
                  </w14:solidFill>
                </w14:textFill>
              </w:rPr>
            </w:pPr>
          </w:p>
        </w:tc>
        <w:tc>
          <w:tcPr>
            <w:tcW w:w="397" w:type="pct"/>
            <w:vAlign w:val="center"/>
          </w:tcPr>
          <w:p w14:paraId="5532951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3432" w:type="pct"/>
            <w:vAlign w:val="center"/>
          </w:tcPr>
          <w:p w14:paraId="09D29920">
            <w:pPr>
              <w:adjustRightInd w:val="0"/>
              <w:snapToGrid w:val="0"/>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洒水抑尘</w:t>
            </w:r>
          </w:p>
        </w:tc>
        <w:tc>
          <w:tcPr>
            <w:tcW w:w="776" w:type="pct"/>
            <w:vAlign w:val="center"/>
          </w:tcPr>
          <w:p w14:paraId="11DC208E">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14:paraId="058B36A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1BCD18BA">
            <w:pPr>
              <w:pStyle w:val="59"/>
              <w:spacing w:line="240" w:lineRule="auto"/>
              <w:rPr>
                <w:color w:val="000000" w:themeColor="text1"/>
                <w:sz w:val="21"/>
                <w:szCs w:val="21"/>
                <w14:textFill>
                  <w14:solidFill>
                    <w14:schemeClr w14:val="tx1"/>
                  </w14:solidFill>
                </w14:textFill>
              </w:rPr>
            </w:pPr>
          </w:p>
        </w:tc>
        <w:tc>
          <w:tcPr>
            <w:tcW w:w="397" w:type="pct"/>
            <w:vAlign w:val="center"/>
          </w:tcPr>
          <w:p w14:paraId="17A6A2A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3432" w:type="pct"/>
            <w:vAlign w:val="center"/>
          </w:tcPr>
          <w:p w14:paraId="5A0E505B">
            <w:pPr>
              <w:adjustRightInd w:val="0"/>
              <w:snapToGrid w:val="0"/>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减震等</w:t>
            </w:r>
          </w:p>
        </w:tc>
        <w:tc>
          <w:tcPr>
            <w:tcW w:w="776" w:type="pct"/>
            <w:vAlign w:val="center"/>
          </w:tcPr>
          <w:p w14:paraId="30B7E1C4">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14:paraId="65CD9A0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restart"/>
            <w:vAlign w:val="center"/>
          </w:tcPr>
          <w:p w14:paraId="19491C7E">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w:t>
            </w:r>
          </w:p>
          <w:p w14:paraId="1ADD71B9">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营</w:t>
            </w:r>
          </w:p>
          <w:p w14:paraId="5CB662E7">
            <w:pPr>
              <w:pStyle w:val="5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期</w:t>
            </w:r>
          </w:p>
        </w:tc>
        <w:tc>
          <w:tcPr>
            <w:tcW w:w="397" w:type="pct"/>
            <w:vMerge w:val="restart"/>
            <w:vAlign w:val="center"/>
          </w:tcPr>
          <w:p w14:paraId="6EE2B8D7">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3432" w:type="pct"/>
            <w:vAlign w:val="center"/>
          </w:tcPr>
          <w:p w14:paraId="5D4F6BE3">
            <w:pPr>
              <w:adjustRightInd w:val="0"/>
              <w:snapToGrid w:val="0"/>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设备减震、低噪声设备等</w:t>
            </w:r>
          </w:p>
        </w:tc>
        <w:tc>
          <w:tcPr>
            <w:tcW w:w="776" w:type="pct"/>
            <w:vAlign w:val="center"/>
          </w:tcPr>
          <w:p w14:paraId="3BD07A86">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r>
      <w:tr w14:paraId="1B11B58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00AA01F6">
            <w:pPr>
              <w:pStyle w:val="59"/>
              <w:spacing w:line="240" w:lineRule="auto"/>
              <w:jc w:val="both"/>
              <w:rPr>
                <w:color w:val="000000" w:themeColor="text1"/>
                <w:sz w:val="21"/>
                <w:szCs w:val="21"/>
                <w14:textFill>
                  <w14:solidFill>
                    <w14:schemeClr w14:val="tx1"/>
                  </w14:solidFill>
                </w14:textFill>
              </w:rPr>
            </w:pPr>
          </w:p>
        </w:tc>
        <w:tc>
          <w:tcPr>
            <w:tcW w:w="397" w:type="pct"/>
            <w:vMerge w:val="continue"/>
            <w:vAlign w:val="center"/>
          </w:tcPr>
          <w:p w14:paraId="01CAF8A2">
            <w:pPr>
              <w:pStyle w:val="59"/>
              <w:spacing w:line="240" w:lineRule="auto"/>
              <w:jc w:val="both"/>
              <w:rPr>
                <w:color w:val="000000" w:themeColor="text1"/>
                <w:sz w:val="21"/>
                <w:szCs w:val="21"/>
                <w14:textFill>
                  <w14:solidFill>
                    <w14:schemeClr w14:val="tx1"/>
                  </w14:solidFill>
                </w14:textFill>
              </w:rPr>
            </w:pPr>
          </w:p>
        </w:tc>
        <w:tc>
          <w:tcPr>
            <w:tcW w:w="3432" w:type="pct"/>
            <w:vAlign w:val="center"/>
          </w:tcPr>
          <w:p w14:paraId="2EF400DD">
            <w:pPr>
              <w:pStyle w:val="59"/>
              <w:spacing w:line="24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水泵、风机备设备减震防噪</w:t>
            </w:r>
          </w:p>
        </w:tc>
        <w:tc>
          <w:tcPr>
            <w:tcW w:w="776" w:type="pct"/>
            <w:vAlign w:val="center"/>
          </w:tcPr>
          <w:p w14:paraId="1E6FF551">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r>
      <w:tr w14:paraId="5DBF767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4F78E9BA">
            <w:pPr>
              <w:pStyle w:val="59"/>
              <w:spacing w:line="240" w:lineRule="auto"/>
              <w:jc w:val="both"/>
              <w:rPr>
                <w:color w:val="000000" w:themeColor="text1"/>
                <w:sz w:val="21"/>
                <w:szCs w:val="21"/>
                <w14:textFill>
                  <w14:solidFill>
                    <w14:schemeClr w14:val="tx1"/>
                  </w14:solidFill>
                </w14:textFill>
              </w:rPr>
            </w:pPr>
          </w:p>
        </w:tc>
        <w:tc>
          <w:tcPr>
            <w:tcW w:w="397" w:type="pct"/>
            <w:vAlign w:val="center"/>
          </w:tcPr>
          <w:p w14:paraId="1E6A1BAD">
            <w:pPr>
              <w:pStyle w:val="59"/>
              <w:spacing w:line="240" w:lineRule="auto"/>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3432" w:type="pct"/>
            <w:vAlign w:val="center"/>
          </w:tcPr>
          <w:p w14:paraId="3E8F61B9">
            <w:pPr>
              <w:pStyle w:val="59"/>
              <w:spacing w:line="240" w:lineRule="auto"/>
              <w:ind w:firstLine="420"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项目实行清污、雨污分流；本项目厂区设置雨水沟，收集前1h的雨水进入本项目雨水沉淀池（1m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）处理，回用于生产，其余经沉淀后外排。</w:t>
            </w:r>
          </w:p>
          <w:p w14:paraId="6473C98B">
            <w:pPr>
              <w:pStyle w:val="59"/>
              <w:spacing w:line="240" w:lineRule="auto"/>
              <w:ind w:firstLine="420" w:firstLineChars="200"/>
              <w:jc w:val="both"/>
              <w:rPr>
                <w:bCs/>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生活污水：</w:t>
            </w:r>
            <w:r>
              <w:rPr>
                <w:bCs/>
                <w:color w:val="000000" w:themeColor="text1"/>
                <w:sz w:val="21"/>
                <w:szCs w:val="21"/>
                <w14:textFill>
                  <w14:solidFill>
                    <w14:schemeClr w14:val="tx1"/>
                  </w14:solidFill>
                </w14:textFill>
              </w:rPr>
              <w:t>厨房废水经1个隔油池（0.2m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）处理后，与其它生活废水排入化粪池（15m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）处理，定期委托周边村民清运，用于农作物施肥。</w:t>
            </w:r>
          </w:p>
          <w:p w14:paraId="3FE5680F">
            <w:pPr>
              <w:pStyle w:val="59"/>
              <w:spacing w:line="240" w:lineRule="auto"/>
              <w:ind w:firstLine="420" w:firstLineChars="200"/>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生产废水：</w:t>
            </w:r>
            <w:r>
              <w:rPr>
                <w:bCs/>
                <w:color w:val="000000" w:themeColor="text1"/>
                <w:sz w:val="21"/>
                <w:szCs w:val="21"/>
                <w14:textFill>
                  <w14:solidFill>
                    <w14:schemeClr w14:val="tx1"/>
                  </w14:solidFill>
                </w14:textFill>
              </w:rPr>
              <w:t>生产清洗、破碎废水通过自建的隔油池（2.5m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）+3级沉淀池（100m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）处理达后，储存于蓄水池回用于生产；造粒工序设置两台造粒机，各配套一个冷却水槽，共用一个冷却水循环系统（循环冷却水池1m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），此部分废水经冷却循环池冷却及沉淀后，回用于生产。</w:t>
            </w:r>
          </w:p>
        </w:tc>
        <w:tc>
          <w:tcPr>
            <w:tcW w:w="776" w:type="pct"/>
            <w:vAlign w:val="center"/>
          </w:tcPr>
          <w:p w14:paraId="40185E3A">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r>
      <w:tr w14:paraId="790005A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360C2E27">
            <w:pPr>
              <w:pStyle w:val="59"/>
              <w:spacing w:line="240" w:lineRule="auto"/>
              <w:jc w:val="both"/>
              <w:rPr>
                <w:color w:val="000000" w:themeColor="text1"/>
                <w:sz w:val="21"/>
                <w:szCs w:val="21"/>
                <w14:textFill>
                  <w14:solidFill>
                    <w14:schemeClr w14:val="tx1"/>
                  </w14:solidFill>
                </w14:textFill>
              </w:rPr>
            </w:pPr>
          </w:p>
        </w:tc>
        <w:tc>
          <w:tcPr>
            <w:tcW w:w="397" w:type="pct"/>
            <w:vMerge w:val="restart"/>
            <w:vAlign w:val="center"/>
          </w:tcPr>
          <w:p w14:paraId="1F7D0D1C">
            <w:pPr>
              <w:pStyle w:val="59"/>
              <w:spacing w:line="240" w:lineRule="auto"/>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3432" w:type="pct"/>
            <w:vAlign w:val="center"/>
          </w:tcPr>
          <w:p w14:paraId="559496D4">
            <w:pPr>
              <w:pStyle w:val="59"/>
              <w:spacing w:line="240" w:lineRule="auto"/>
              <w:ind w:firstLine="420" w:firstLineChars="200"/>
              <w:jc w:val="both"/>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造粒工序：</w:t>
            </w:r>
            <w:r>
              <w:rPr>
                <w:bCs/>
                <w:color w:val="000000" w:themeColor="text1"/>
                <w:sz w:val="21"/>
                <w:szCs w:val="21"/>
                <w14:textFill>
                  <w14:solidFill>
                    <w14:schemeClr w14:val="tx1"/>
                  </w14:solidFill>
                </w14:textFill>
              </w:rPr>
              <w:t>拟在两台塑料挤出机上方设置集气罩（风量为6000m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/h，集气效率90%），将颗粒物及非甲烷总烃引至过滤棉+活性炭吸附装置处理达标后（颗粒物处置效率95%，非甲烷总烃处置效率85%），通过管道引至15m的排气筒排放。</w:t>
            </w:r>
          </w:p>
        </w:tc>
        <w:tc>
          <w:tcPr>
            <w:tcW w:w="776" w:type="pct"/>
            <w:vAlign w:val="center"/>
          </w:tcPr>
          <w:p w14:paraId="71EA683F">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14:paraId="120876E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2B89A43F">
            <w:pPr>
              <w:pStyle w:val="59"/>
              <w:spacing w:line="240" w:lineRule="auto"/>
              <w:jc w:val="both"/>
              <w:rPr>
                <w:color w:val="000000" w:themeColor="text1"/>
                <w:sz w:val="21"/>
                <w:szCs w:val="21"/>
                <w14:textFill>
                  <w14:solidFill>
                    <w14:schemeClr w14:val="tx1"/>
                  </w14:solidFill>
                </w14:textFill>
              </w:rPr>
            </w:pPr>
          </w:p>
        </w:tc>
        <w:tc>
          <w:tcPr>
            <w:tcW w:w="397" w:type="pct"/>
            <w:vMerge w:val="continue"/>
            <w:vAlign w:val="center"/>
          </w:tcPr>
          <w:p w14:paraId="5E186950">
            <w:pPr>
              <w:pStyle w:val="59"/>
              <w:spacing w:line="240" w:lineRule="auto"/>
              <w:jc w:val="both"/>
              <w:rPr>
                <w:color w:val="000000" w:themeColor="text1"/>
                <w:sz w:val="21"/>
                <w:szCs w:val="21"/>
                <w14:textFill>
                  <w14:solidFill>
                    <w14:schemeClr w14:val="tx1"/>
                  </w14:solidFill>
                </w14:textFill>
              </w:rPr>
            </w:pPr>
          </w:p>
        </w:tc>
        <w:tc>
          <w:tcPr>
            <w:tcW w:w="3432" w:type="pct"/>
            <w:vAlign w:val="center"/>
          </w:tcPr>
          <w:p w14:paraId="6982086C">
            <w:pPr>
              <w:pStyle w:val="59"/>
              <w:spacing w:line="240" w:lineRule="auto"/>
              <w:ind w:firstLine="525" w:firstLineChars="250"/>
              <w:jc w:val="both"/>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食堂油烟：</w:t>
            </w:r>
            <w:r>
              <w:rPr>
                <w:color w:val="000000" w:themeColor="text1"/>
                <w:sz w:val="21"/>
                <w:szCs w:val="21"/>
                <w14:textFill>
                  <w14:solidFill>
                    <w14:schemeClr w14:val="tx1"/>
                  </w14:solidFill>
                </w14:textFill>
              </w:rPr>
              <w:t>净化效率60%的小型油烟净化设施。</w:t>
            </w:r>
          </w:p>
        </w:tc>
        <w:tc>
          <w:tcPr>
            <w:tcW w:w="776" w:type="pct"/>
            <w:vAlign w:val="center"/>
          </w:tcPr>
          <w:p w14:paraId="205C1522">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r>
      <w:tr w14:paraId="205BD5C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7E5647D4">
            <w:pPr>
              <w:pStyle w:val="59"/>
              <w:spacing w:line="240" w:lineRule="auto"/>
              <w:jc w:val="both"/>
              <w:rPr>
                <w:color w:val="000000" w:themeColor="text1"/>
                <w:sz w:val="21"/>
                <w:szCs w:val="21"/>
                <w14:textFill>
                  <w14:solidFill>
                    <w14:schemeClr w14:val="tx1"/>
                  </w14:solidFill>
                </w14:textFill>
              </w:rPr>
            </w:pPr>
          </w:p>
        </w:tc>
        <w:tc>
          <w:tcPr>
            <w:tcW w:w="397" w:type="pct"/>
            <w:vAlign w:val="center"/>
          </w:tcPr>
          <w:p w14:paraId="055EE307">
            <w:pPr>
              <w:pStyle w:val="5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地下水</w:t>
            </w:r>
          </w:p>
        </w:tc>
        <w:tc>
          <w:tcPr>
            <w:tcW w:w="3432" w:type="pct"/>
            <w:vAlign w:val="center"/>
          </w:tcPr>
          <w:p w14:paraId="36B39D43">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1、源头控制措施</w:t>
            </w:r>
          </w:p>
          <w:p w14:paraId="6D80F60B">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对“三废”排放的管理，尤其是对生产废水、生活污水处理与处置的管理，充分提高其治理、回收和利用率，尽量把污染物的排放量及排放浓度减少或控制在排放标准以内，这样既减轻了对地表水的污染负荷，又能防止对地下水的污染。</w:t>
            </w:r>
          </w:p>
          <w:p w14:paraId="1F240C19">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2、分区防控措施</w:t>
            </w:r>
          </w:p>
          <w:p w14:paraId="03156749">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根据《环境影响评价技术导则 地下水环境》（HJ610-2016），将项目区分为重点防渗区、一般防渗区和简单防渗区。</w:t>
            </w:r>
          </w:p>
          <w:p w14:paraId="4F74774F">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重点防渗区：主要为危废间，基础采用6m厚压实粘土防渗，上面再用混凝土进行硬化。防渗性能应等效于厚度≥6m，渗透系数K≤1.0×10-7cm/s的黏土层的防渗性能。</w:t>
            </w:r>
          </w:p>
          <w:p w14:paraId="5DD98871">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一般防渗区：污水处理设施（隔油池、沉淀池等）、原料仓库、破碎清洗生产区、造粒生产区等，基础采用1.5cm厚压实粘土防渗，上面再用混凝土进行硬化，防渗性能应等效于厚度≥1.5m，渗透系数K≤1.0×10-7cm/s 的黏土层的防渗性能。</w:t>
            </w:r>
          </w:p>
          <w:p w14:paraId="64B95B55">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简单防渗区：住宿及办公区、厨房等，不采取专门针对地下水污染的防治措施，地面可采用混凝土硬化。</w:t>
            </w:r>
          </w:p>
          <w:p w14:paraId="4A145DB3">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3、建立地下水环境跟踪监测制度</w:t>
            </w:r>
          </w:p>
          <w:p w14:paraId="158074C1">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根据《环境影响评价技术导则 地下水环境》（HJ610-2016），三级评价的建设项目，跟踪监测点数量一般不少于1个，至少在建设项目场地下游布置1个。</w:t>
            </w:r>
          </w:p>
          <w:p w14:paraId="5DDA5EF9">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本项目在项目区下游30m处设置1个污染源监测井，监测因子：pH、CODcr、BOD</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、氨氮，建立地下水环境跟踪监测制度。</w:t>
            </w:r>
          </w:p>
          <w:p w14:paraId="154ADD47">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4、非正常情况的防范措施</w:t>
            </w:r>
          </w:p>
          <w:p w14:paraId="178B0D2D">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定期巡查危废间、污水处理设施，在发现防渗层破损，或监测井发生水质异常变化时，应及时查明渗漏点并采取补救措施。</w:t>
            </w:r>
          </w:p>
        </w:tc>
        <w:tc>
          <w:tcPr>
            <w:tcW w:w="776" w:type="pct"/>
            <w:vAlign w:val="center"/>
          </w:tcPr>
          <w:p w14:paraId="35BB6DE9">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r>
      <w:tr w14:paraId="7AFDB16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1C65BC69">
            <w:pPr>
              <w:pStyle w:val="59"/>
              <w:spacing w:line="240" w:lineRule="auto"/>
              <w:jc w:val="both"/>
              <w:rPr>
                <w:color w:val="000000" w:themeColor="text1"/>
                <w:sz w:val="21"/>
                <w:szCs w:val="21"/>
                <w14:textFill>
                  <w14:solidFill>
                    <w14:schemeClr w14:val="tx1"/>
                  </w14:solidFill>
                </w14:textFill>
              </w:rPr>
            </w:pPr>
          </w:p>
        </w:tc>
        <w:tc>
          <w:tcPr>
            <w:tcW w:w="397" w:type="pct"/>
            <w:vAlign w:val="center"/>
          </w:tcPr>
          <w:p w14:paraId="5B2E28D4">
            <w:pPr>
              <w:pStyle w:val="5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c>
          <w:tcPr>
            <w:tcW w:w="3432" w:type="pct"/>
            <w:vAlign w:val="center"/>
          </w:tcPr>
          <w:p w14:paraId="55218171">
            <w:pPr>
              <w:pStyle w:val="59"/>
              <w:spacing w:line="240" w:lineRule="auto"/>
              <w:ind w:firstLine="525" w:firstLineChars="25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位于原料仓库，一般生产固废收集间18m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、危废废物收集间5m</w:t>
            </w:r>
            <w:r>
              <w:rPr>
                <w:color w:val="000000" w:themeColor="text1"/>
                <w:sz w:val="21"/>
                <w:szCs w:val="21"/>
                <w:vertAlign w:val="superscript"/>
                <w14:textFill>
                  <w14:solidFill>
                    <w14:schemeClr w14:val="tx1"/>
                  </w14:solidFill>
                </w14:textFill>
              </w:rPr>
              <w:t>2</w:t>
            </w:r>
          </w:p>
        </w:tc>
        <w:tc>
          <w:tcPr>
            <w:tcW w:w="776" w:type="pct"/>
            <w:vAlign w:val="center"/>
          </w:tcPr>
          <w:p w14:paraId="54D1D280">
            <w:pPr>
              <w:pStyle w:val="59"/>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14:paraId="642F81E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Align w:val="center"/>
          </w:tcPr>
          <w:p w14:paraId="279E79E1">
            <w:pPr>
              <w:pStyle w:val="59"/>
              <w:spacing w:line="240" w:lineRule="auto"/>
              <w:rPr>
                <w:rFonts w:eastAsia="GulimChe"/>
                <w:b/>
                <w:color w:val="000000" w:themeColor="text1"/>
                <w:sz w:val="21"/>
                <w:szCs w:val="21"/>
                <w14:textFill>
                  <w14:solidFill>
                    <w14:schemeClr w14:val="tx1"/>
                  </w14:solidFill>
                </w14:textFill>
              </w:rPr>
            </w:pPr>
            <w:r>
              <w:rPr>
                <w:rFonts w:eastAsia="GulimChe"/>
                <w:b/>
                <w:color w:val="000000" w:themeColor="text1"/>
                <w:sz w:val="21"/>
                <w:szCs w:val="21"/>
                <w14:textFill>
                  <w14:solidFill>
                    <w14:schemeClr w14:val="tx1"/>
                  </w14:solidFill>
                </w14:textFill>
              </w:rPr>
              <w:t>合</w:t>
            </w:r>
            <w:r>
              <w:rPr>
                <w:b/>
                <w:color w:val="000000" w:themeColor="text1"/>
                <w:sz w:val="21"/>
                <w:szCs w:val="21"/>
                <w14:textFill>
                  <w14:solidFill>
                    <w14:schemeClr w14:val="tx1"/>
                  </w14:solidFill>
                </w14:textFill>
              </w:rPr>
              <w:t>计</w:t>
            </w:r>
          </w:p>
        </w:tc>
        <w:tc>
          <w:tcPr>
            <w:tcW w:w="3829" w:type="pct"/>
            <w:gridSpan w:val="2"/>
            <w:vAlign w:val="center"/>
          </w:tcPr>
          <w:p w14:paraId="5C4487C4">
            <w:pPr>
              <w:pStyle w:val="59"/>
              <w:spacing w:line="240" w:lineRule="auto"/>
              <w:rPr>
                <w:rFonts w:eastAsia="GulimChe"/>
                <w:b/>
                <w:color w:val="000000" w:themeColor="text1"/>
                <w:sz w:val="21"/>
                <w:szCs w:val="21"/>
                <w14:textFill>
                  <w14:solidFill>
                    <w14:schemeClr w14:val="tx1"/>
                  </w14:solidFill>
                </w14:textFill>
              </w:rPr>
            </w:pPr>
            <w:r>
              <w:rPr>
                <w:rFonts w:eastAsia="GulimChe"/>
                <w:b/>
                <w:color w:val="000000" w:themeColor="text1"/>
                <w:sz w:val="21"/>
                <w:szCs w:val="21"/>
                <w14:textFill>
                  <w14:solidFill>
                    <w14:schemeClr w14:val="tx1"/>
                  </w14:solidFill>
                </w14:textFill>
              </w:rPr>
              <w:t>/</w:t>
            </w:r>
          </w:p>
        </w:tc>
        <w:tc>
          <w:tcPr>
            <w:tcW w:w="776" w:type="pct"/>
            <w:vAlign w:val="center"/>
          </w:tcPr>
          <w:p w14:paraId="7DD45A9D">
            <w:pPr>
              <w:pStyle w:val="59"/>
              <w:rPr>
                <w:b/>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28.2</w:t>
            </w:r>
          </w:p>
        </w:tc>
      </w:tr>
    </w:tbl>
    <w:p w14:paraId="01D27736">
      <w:pPr>
        <w:adjustRightInd w:val="0"/>
        <w:snapToGrid w:val="0"/>
        <w:spacing w:line="360" w:lineRule="auto"/>
        <w:ind w:firstLine="480" w:firstLineChars="200"/>
        <w:jc w:val="left"/>
        <w:rPr>
          <w:color w:val="000000" w:themeColor="text1"/>
          <w:sz w:val="24"/>
          <w14:textFill>
            <w14:solidFill>
              <w14:schemeClr w14:val="tx1"/>
            </w14:solidFill>
          </w14:textFill>
        </w:rPr>
      </w:pPr>
    </w:p>
    <w:p w14:paraId="6C812C08">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综上所述，环保投资28.2万元，占总投资的28.2%。</w:t>
      </w:r>
    </w:p>
    <w:bookmarkEnd w:id="424"/>
    <w:bookmarkEnd w:id="425"/>
    <w:p w14:paraId="172F1FE5">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14:paraId="5F8CCEA2">
      <w:pPr>
        <w:pStyle w:val="3"/>
        <w:rPr>
          <w:color w:val="000000" w:themeColor="text1"/>
          <w14:textFill>
            <w14:solidFill>
              <w14:schemeClr w14:val="tx1"/>
            </w14:solidFill>
          </w14:textFill>
        </w:rPr>
      </w:pPr>
      <w:bookmarkStart w:id="523" w:name="_Toc2773795"/>
      <w:r>
        <w:rPr>
          <w:color w:val="000000" w:themeColor="text1"/>
          <w14:textFill>
            <w14:solidFill>
              <w14:schemeClr w14:val="tx1"/>
            </w14:solidFill>
          </w14:textFill>
        </w:rPr>
        <w:t>11环境管理、环境监理及环境监测</w:t>
      </w:r>
      <w:bookmarkEnd w:id="523"/>
    </w:p>
    <w:p w14:paraId="5A17B735">
      <w:pPr>
        <w:pStyle w:val="4"/>
        <w:rPr>
          <w:rFonts w:ascii="Times New Roman" w:hAnsi="Times New Roman"/>
          <w:color w:val="000000" w:themeColor="text1"/>
          <w14:textFill>
            <w14:solidFill>
              <w14:schemeClr w14:val="tx1"/>
            </w14:solidFill>
          </w14:textFill>
        </w:rPr>
      </w:pPr>
      <w:bookmarkStart w:id="524" w:name="_Toc2773796"/>
      <w:r>
        <w:rPr>
          <w:rFonts w:ascii="Times New Roman" w:hAnsi="Times New Roman"/>
          <w:color w:val="000000" w:themeColor="text1"/>
          <w14:textFill>
            <w14:solidFill>
              <w14:schemeClr w14:val="tx1"/>
            </w14:solidFill>
          </w14:textFill>
        </w:rPr>
        <w:t>11.1 环境管理的目的</w:t>
      </w:r>
      <w:bookmarkEnd w:id="524"/>
    </w:p>
    <w:p w14:paraId="10610161">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通过工程的环境管理工作实施，达到预防、削减、减缓或补偿工程建设带来的不利影响的最终目标，即在工程建设和生产过程中，通过先进的环境管理方式，指导并监督工程的环境保护工作，预防并减缓工程建设和生产过程中对周围环境的不利影响，保障各污染物治理设施的正常运转，并通过生态恢复工程措施，补偿工程建设带来的不利影响。充分发挥工程建设的社会效益和生态效益。同时，通过环境管理的实施，明确各管理部门的职责。</w:t>
      </w:r>
    </w:p>
    <w:p w14:paraId="2BB16A12">
      <w:pPr>
        <w:pStyle w:val="4"/>
        <w:rPr>
          <w:rFonts w:ascii="Times New Roman" w:hAnsi="Times New Roman"/>
          <w:color w:val="000000" w:themeColor="text1"/>
          <w14:textFill>
            <w14:solidFill>
              <w14:schemeClr w14:val="tx1"/>
            </w14:solidFill>
          </w14:textFill>
        </w:rPr>
      </w:pPr>
      <w:bookmarkStart w:id="525" w:name="_Toc303692695"/>
      <w:bookmarkStart w:id="526" w:name="_Toc2773797"/>
      <w:bookmarkStart w:id="527" w:name="_Toc303692977"/>
      <w:bookmarkStart w:id="528" w:name="_Toc374151581"/>
      <w:bookmarkStart w:id="529" w:name="_Toc331412289"/>
      <w:r>
        <w:rPr>
          <w:rFonts w:ascii="Times New Roman" w:hAnsi="Times New Roman"/>
          <w:color w:val="000000" w:themeColor="text1"/>
          <w14:textFill>
            <w14:solidFill>
              <w14:schemeClr w14:val="tx1"/>
            </w14:solidFill>
          </w14:textFill>
        </w:rPr>
        <w:t>11.2工程管理的内容</w:t>
      </w:r>
      <w:bookmarkEnd w:id="525"/>
      <w:bookmarkEnd w:id="526"/>
      <w:bookmarkEnd w:id="527"/>
      <w:bookmarkEnd w:id="528"/>
      <w:bookmarkEnd w:id="529"/>
    </w:p>
    <w:p w14:paraId="37454E4F">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建立环境保护的管理机构，根据项目环境影响评价中提出的施工期和运营期环境保护措施，落实环境保护经费，实施环境保护对策措施，协调政府环境管理与工程环境管理之间的管理。</w:t>
      </w:r>
    </w:p>
    <w:p w14:paraId="7F2BBE94">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用技术手段对工程建设所影响的主要环境因子进行系统监测，通过定量化的分析比较，掌握环境质量的变化过程和程度，为具体实施环境保护措施和采取补救措施提供依据和基本资料</w:t>
      </w:r>
    </w:p>
    <w:p w14:paraId="2C575196">
      <w:pPr>
        <w:pStyle w:val="4"/>
        <w:rPr>
          <w:rFonts w:ascii="Times New Roman" w:hAnsi="Times New Roman"/>
          <w:color w:val="000000" w:themeColor="text1"/>
          <w14:textFill>
            <w14:solidFill>
              <w14:schemeClr w14:val="tx1"/>
            </w14:solidFill>
          </w14:textFill>
        </w:rPr>
      </w:pPr>
      <w:bookmarkStart w:id="530" w:name="_Toc303692978"/>
      <w:bookmarkStart w:id="531" w:name="_Toc374151582"/>
      <w:bookmarkStart w:id="532" w:name="_Toc331412290"/>
      <w:bookmarkStart w:id="533" w:name="_Toc303692696"/>
      <w:bookmarkStart w:id="534" w:name="_Toc2773798"/>
      <w:r>
        <w:rPr>
          <w:rFonts w:ascii="Times New Roman" w:hAnsi="Times New Roman"/>
          <w:color w:val="000000" w:themeColor="text1"/>
          <w14:textFill>
            <w14:solidFill>
              <w14:schemeClr w14:val="tx1"/>
            </w14:solidFill>
          </w14:textFill>
        </w:rPr>
        <w:t>11.3工程环境控制目标</w:t>
      </w:r>
      <w:bookmarkEnd w:id="530"/>
      <w:bookmarkEnd w:id="531"/>
      <w:bookmarkEnd w:id="532"/>
      <w:bookmarkEnd w:id="533"/>
      <w:bookmarkEnd w:id="534"/>
    </w:p>
    <w:p w14:paraId="7FC1F855">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期间，做好对瑞丽江的保护工作，禁止将含大量泥沙或未经处理的工程废水排入瑞丽江；施工现场噪声执行GB12523-2011《建筑施工场界环境噪声排放标准》，对施工作业点的施工人员，做好个人噪声防护工作；控制施工区大气环境质量，特别是做好施工作业点粉尘污染治理防护工作，严格落实本评提出的防护措施，对施工现场进行洒水降尘，减少扬尘影响；修建临时挡墙或布设挡板等，降低施工期景观视觉不利影响；及时清理施工现场因施工产生的垃圾，保持周边影响区域的环境卫生；消除施工期间可能出现高空作业等各种意外事故对</w:t>
      </w:r>
      <w:r>
        <w:rPr>
          <w:rFonts w:hint="eastAsia"/>
          <w:color w:val="000000" w:themeColor="text1"/>
          <w:sz w:val="24"/>
          <w:szCs w:val="24"/>
          <w:lang w:eastAsia="zh-CN"/>
          <w14:textFill>
            <w14:solidFill>
              <w14:schemeClr w14:val="tx1"/>
            </w14:solidFill>
          </w14:textFill>
        </w:rPr>
        <w:t>人身安全</w:t>
      </w:r>
      <w:r>
        <w:rPr>
          <w:color w:val="000000" w:themeColor="text1"/>
          <w:sz w:val="24"/>
          <w:szCs w:val="24"/>
          <w14:textFill>
            <w14:solidFill>
              <w14:schemeClr w14:val="tx1"/>
            </w14:solidFill>
          </w14:textFill>
        </w:rPr>
        <w:t>的威胁隐患。</w:t>
      </w:r>
    </w:p>
    <w:p w14:paraId="331A1D33">
      <w:pPr>
        <w:pStyle w:val="4"/>
        <w:rPr>
          <w:rFonts w:ascii="Times New Roman" w:hAnsi="Times New Roman"/>
          <w:color w:val="000000" w:themeColor="text1"/>
          <w14:textFill>
            <w14:solidFill>
              <w14:schemeClr w14:val="tx1"/>
            </w14:solidFill>
          </w14:textFill>
        </w:rPr>
      </w:pPr>
      <w:bookmarkStart w:id="535" w:name="_Toc2773799"/>
      <w:bookmarkStart w:id="536" w:name="_Toc374151583"/>
      <w:bookmarkStart w:id="537" w:name="_Toc303692979"/>
      <w:bookmarkStart w:id="538" w:name="_Toc331412291"/>
      <w:bookmarkStart w:id="539" w:name="_Toc303692697"/>
      <w:r>
        <w:rPr>
          <w:rFonts w:ascii="Times New Roman" w:hAnsi="Times New Roman"/>
          <w:color w:val="000000" w:themeColor="text1"/>
          <w14:textFill>
            <w14:solidFill>
              <w14:schemeClr w14:val="tx1"/>
            </w14:solidFill>
          </w14:textFill>
        </w:rPr>
        <w:t>11.4环境保护管理机构的设置及职责</w:t>
      </w:r>
      <w:bookmarkEnd w:id="535"/>
      <w:bookmarkEnd w:id="536"/>
      <w:bookmarkEnd w:id="537"/>
      <w:bookmarkEnd w:id="538"/>
      <w:bookmarkEnd w:id="539"/>
    </w:p>
    <w:p w14:paraId="66DBD42B">
      <w:pPr>
        <w:pStyle w:val="105"/>
        <w:rPr>
          <w:rFonts w:cs="Times New Roman"/>
          <w:color w:val="000000" w:themeColor="text1"/>
          <w14:textFill>
            <w14:solidFill>
              <w14:schemeClr w14:val="tx1"/>
            </w14:solidFill>
          </w14:textFill>
        </w:rPr>
      </w:pPr>
      <w:bookmarkStart w:id="540" w:name="_Toc303692980"/>
      <w:bookmarkStart w:id="541" w:name="_Toc303692698"/>
      <w:r>
        <w:rPr>
          <w:rFonts w:cs="Times New Roman"/>
          <w:color w:val="000000" w:themeColor="text1"/>
          <w14:textFill>
            <w14:solidFill>
              <w14:schemeClr w14:val="tx1"/>
            </w14:solidFill>
          </w14:textFill>
        </w:rPr>
        <w:t>11.4.1施工期</w:t>
      </w:r>
      <w:bookmarkEnd w:id="540"/>
      <w:bookmarkEnd w:id="541"/>
    </w:p>
    <w:p w14:paraId="020564FB">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施工期环境管理与环境监察审核工作由环境监督小组负责，环境监督小组的主要任务包括：</w:t>
      </w:r>
    </w:p>
    <w:p w14:paraId="106308E9">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（1）进行施工期的环境监测，并与有关部门保持联络，通报环境监测结果；</w:t>
      </w:r>
    </w:p>
    <w:p w14:paraId="2523F51C">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（2）根据环境监测结果，提出相应的环境保护措施；</w:t>
      </w:r>
    </w:p>
    <w:p w14:paraId="393C6DA3">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（3）在正式建成投产之前必须检查各项环保治理设施的完工情况，报环保审批部门批准后方可正式运行；</w:t>
      </w:r>
    </w:p>
    <w:p w14:paraId="04B38996">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（4）切实加强施工期环保措施的落实和固体废弃物等的及时处理；</w:t>
      </w:r>
    </w:p>
    <w:p w14:paraId="427DB3AE">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（5）确保施工期废水妥善处理后回用于施工及洒水；</w:t>
      </w:r>
    </w:p>
    <w:p w14:paraId="270076AF">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同时建设单位在工程总体发包时应将施工期环境保护措施列入合同文本，以确保环境保护措施的实施。</w:t>
      </w:r>
    </w:p>
    <w:p w14:paraId="13CECE89">
      <w:pPr>
        <w:pStyle w:val="105"/>
        <w:rPr>
          <w:rFonts w:cs="Times New Roman"/>
          <w:color w:val="000000" w:themeColor="text1"/>
          <w14:textFill>
            <w14:solidFill>
              <w14:schemeClr w14:val="tx1"/>
            </w14:solidFill>
          </w14:textFill>
        </w:rPr>
      </w:pPr>
      <w:bookmarkStart w:id="542" w:name="_Toc303692699"/>
      <w:bookmarkStart w:id="543" w:name="_Toc303692981"/>
      <w:r>
        <w:rPr>
          <w:rFonts w:cs="Times New Roman"/>
          <w:color w:val="000000" w:themeColor="text1"/>
          <w14:textFill>
            <w14:solidFill>
              <w14:schemeClr w14:val="tx1"/>
            </w14:solidFill>
          </w14:textFill>
        </w:rPr>
        <w:t>11.4.2运营期</w:t>
      </w:r>
      <w:bookmarkEnd w:id="542"/>
      <w:bookmarkEnd w:id="543"/>
    </w:p>
    <w:p w14:paraId="2CAEFAB6">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建设单位成立专人负责环境保护办公室，负责环境监测、废水处理设施的运行和环境卫生的管理等。设专职管理人员1名，负责废水处理管理及环境卫生管理。环境保护办公室的主要任务为：</w:t>
      </w:r>
    </w:p>
    <w:p w14:paraId="0E9A60B1">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（1）进行常规的环境监测，并与有关部门保持联络，通报环境监测结果；</w:t>
      </w:r>
    </w:p>
    <w:p w14:paraId="759509DB">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（2）监察项目废水是否做到雨污分流、废水处理回用，加强对项目内污水管网的维护，确保生活废水进入化粪池；</w:t>
      </w:r>
    </w:p>
    <w:p w14:paraId="60158C7A">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（3）维护化粪池及其它环保设备，使之正常运转；</w:t>
      </w:r>
    </w:p>
    <w:p w14:paraId="2F9D0CAC">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（4）确保废水回用设施正常运行；</w:t>
      </w:r>
    </w:p>
    <w:p w14:paraId="05A30B45">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（5）针对《城市垃圾处理规定》的有关规定，制定合理的生活垃圾收集方案与运输计划，保持道路的清洁以减轻面源污染的影响；</w:t>
      </w:r>
    </w:p>
    <w:p w14:paraId="53BFD4D3">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 加强对项目内雨水收集渠道和管道的管理与维护，确保雨水顺利收集；</w:t>
      </w:r>
    </w:p>
    <w:p w14:paraId="4B7E50A8">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 制定合理的绿化方案和绿地维护措施；</w:t>
      </w:r>
    </w:p>
    <w:p w14:paraId="6D429B53">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（8）负责全区的环境管理工作。</w:t>
      </w:r>
    </w:p>
    <w:p w14:paraId="592F8B77">
      <w:pPr>
        <w:pStyle w:val="4"/>
        <w:rPr>
          <w:rFonts w:ascii="Times New Roman" w:hAnsi="Times New Roman"/>
          <w:color w:val="000000" w:themeColor="text1"/>
          <w14:textFill>
            <w14:solidFill>
              <w14:schemeClr w14:val="tx1"/>
            </w14:solidFill>
          </w14:textFill>
        </w:rPr>
      </w:pPr>
      <w:bookmarkStart w:id="544" w:name="_Toc374151584"/>
      <w:bookmarkStart w:id="545" w:name="_Toc303692982"/>
      <w:bookmarkStart w:id="546" w:name="_Toc331412292"/>
      <w:bookmarkStart w:id="547" w:name="_Toc303692700"/>
      <w:bookmarkStart w:id="548" w:name="_Toc2773800"/>
      <w:r>
        <w:rPr>
          <w:rFonts w:ascii="Times New Roman" w:hAnsi="Times New Roman"/>
          <w:color w:val="000000" w:themeColor="text1"/>
          <w14:textFill>
            <w14:solidFill>
              <w14:schemeClr w14:val="tx1"/>
            </w14:solidFill>
          </w14:textFill>
        </w:rPr>
        <w:t>11.5环境监理</w:t>
      </w:r>
      <w:bookmarkEnd w:id="544"/>
      <w:bookmarkEnd w:id="545"/>
      <w:bookmarkEnd w:id="546"/>
      <w:bookmarkEnd w:id="547"/>
      <w:r>
        <w:rPr>
          <w:rFonts w:ascii="Times New Roman" w:hAnsi="Times New Roman"/>
          <w:color w:val="000000" w:themeColor="text1"/>
          <w14:textFill>
            <w14:solidFill>
              <w14:schemeClr w14:val="tx1"/>
            </w14:solidFill>
          </w14:textFill>
        </w:rPr>
        <w:t>计划</w:t>
      </w:r>
      <w:bookmarkEnd w:id="548"/>
    </w:p>
    <w:p w14:paraId="12642D10">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环境监理是环境保护工作的重要内容，环境监理工作应贯穿工程建设的全过程，以保证施工期环境保护工作的顺利开展及环境保护措施的有效实施。本工程的环境监理计划如下：</w:t>
      </w:r>
    </w:p>
    <w:p w14:paraId="6F829EF7">
      <w:pPr>
        <w:pStyle w:val="106"/>
        <w:adjustRightInd w:val="0"/>
        <w:snapToGrid w:val="0"/>
        <w:spacing w:line="360" w:lineRule="auto"/>
        <w:ind w:firstLine="480"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（1）监理机构框架</w:t>
      </w:r>
    </w:p>
    <w:p w14:paraId="7DEEB6C4">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为确保工程环境保护措施计划完成，并保证环境工程的质量，监理人员由业主委托具有环境工程监理资格的人员进行，可设专职环境监理人员1～2名。</w:t>
      </w:r>
    </w:p>
    <w:p w14:paraId="7C3FA4CF">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haracter">
                  <wp:posOffset>1270</wp:posOffset>
                </wp:positionH>
                <wp:positionV relativeFrom="line">
                  <wp:posOffset>179070</wp:posOffset>
                </wp:positionV>
                <wp:extent cx="5257800" cy="3598545"/>
                <wp:effectExtent l="1270" t="0" r="8255" b="3810"/>
                <wp:wrapNone/>
                <wp:docPr id="4" name="组合 1186"/>
                <wp:cNvGraphicFramePr/>
                <a:graphic xmlns:a="http://schemas.openxmlformats.org/drawingml/2006/main">
                  <a:graphicData uri="http://schemas.microsoft.com/office/word/2010/wordprocessingGroup">
                    <wpg:wgp>
                      <wpg:cNvGrpSpPr/>
                      <wpg:grpSpPr>
                        <a:xfrm>
                          <a:off x="0" y="0"/>
                          <a:ext cx="5257800" cy="3598545"/>
                          <a:chOff x="0" y="0"/>
                          <a:chExt cx="7200" cy="4763"/>
                        </a:xfrm>
                      </wpg:grpSpPr>
                      <wps:wsp>
                        <wps:cNvPr id="5" name="AutoShape 517"/>
                        <wps:cNvSpPr>
                          <a:spLocks noChangeAspect="1" noChangeArrowheads="1" noTextEdit="1"/>
                        </wps:cNvSpPr>
                        <wps:spPr bwMode="auto">
                          <a:xfrm>
                            <a:off x="0" y="0"/>
                            <a:ext cx="7200" cy="4763"/>
                          </a:xfrm>
                          <a:prstGeom prst="rect">
                            <a:avLst/>
                          </a:prstGeom>
                          <a:noFill/>
                          <a:ln>
                            <a:noFill/>
                          </a:ln>
                        </wps:spPr>
                        <wps:bodyPr rot="0" vert="horz" wrap="square" lIns="91440" tIns="45720" rIns="91440" bIns="45720" anchor="t" anchorCtr="0" upright="1">
                          <a:noAutofit/>
                        </wps:bodyPr>
                      </wps:wsp>
                      <wps:wsp>
                        <wps:cNvPr id="6" name="Rectangle 518"/>
                        <wps:cNvSpPr>
                          <a:spLocks noChangeArrowheads="1"/>
                        </wps:cNvSpPr>
                        <wps:spPr bwMode="auto">
                          <a:xfrm>
                            <a:off x="626" y="504"/>
                            <a:ext cx="2817" cy="719"/>
                          </a:xfrm>
                          <a:prstGeom prst="rect">
                            <a:avLst/>
                          </a:prstGeom>
                          <a:solidFill>
                            <a:srgbClr val="FFFFFF"/>
                          </a:solidFill>
                          <a:ln w="9525">
                            <a:solidFill>
                              <a:srgbClr val="000000"/>
                            </a:solidFill>
                            <a:miter lim="200000"/>
                          </a:ln>
                        </wps:spPr>
                        <wps:txbx>
                          <w:txbxContent>
                            <w:p w14:paraId="4F8DA8EE">
                              <w:pPr>
                                <w:jc w:val="center"/>
                              </w:pPr>
                              <w:r>
                                <w:rPr>
                                  <w:rFonts w:hint="eastAsia"/>
                                </w:rPr>
                                <w:t>建设单位</w:t>
                              </w:r>
                            </w:p>
                          </w:txbxContent>
                        </wps:txbx>
                        <wps:bodyPr rot="0" vert="horz" wrap="square" lIns="91440" tIns="45720" rIns="91440" bIns="45720" anchor="t" anchorCtr="0" upright="1">
                          <a:noAutofit/>
                        </wps:bodyPr>
                      </wps:wsp>
                      <wps:wsp>
                        <wps:cNvPr id="7" name="Rectangle 121"/>
                        <wps:cNvSpPr>
                          <a:spLocks noChangeArrowheads="1"/>
                        </wps:cNvSpPr>
                        <wps:spPr bwMode="auto">
                          <a:xfrm>
                            <a:off x="4539" y="408"/>
                            <a:ext cx="2504" cy="815"/>
                          </a:xfrm>
                          <a:prstGeom prst="rect">
                            <a:avLst/>
                          </a:prstGeom>
                          <a:solidFill>
                            <a:srgbClr val="FFFFFF"/>
                          </a:solidFill>
                          <a:ln w="9525">
                            <a:solidFill>
                              <a:srgbClr val="000000"/>
                            </a:solidFill>
                            <a:miter lim="200000"/>
                          </a:ln>
                        </wps:spPr>
                        <wps:txbx>
                          <w:txbxContent>
                            <w:p w14:paraId="781DD4B3">
                              <w:r>
                                <w:rPr>
                                  <w:rFonts w:hint="eastAsia"/>
                                </w:rPr>
                                <w:t>环境保护行政主管部门：芒市环境保护局</w:t>
                              </w:r>
                            </w:p>
                          </w:txbxContent>
                        </wps:txbx>
                        <wps:bodyPr rot="0" vert="horz" wrap="square" lIns="91440" tIns="45720" rIns="91440" bIns="45720" anchor="t" anchorCtr="0" upright="1">
                          <a:noAutofit/>
                        </wps:bodyPr>
                      </wps:wsp>
                      <wps:wsp>
                        <wps:cNvPr id="8" name="Rectangle 122"/>
                        <wps:cNvSpPr>
                          <a:spLocks noChangeArrowheads="1"/>
                        </wps:cNvSpPr>
                        <wps:spPr bwMode="auto">
                          <a:xfrm>
                            <a:off x="626" y="1630"/>
                            <a:ext cx="3130" cy="953"/>
                          </a:xfrm>
                          <a:prstGeom prst="rect">
                            <a:avLst/>
                          </a:prstGeom>
                          <a:solidFill>
                            <a:srgbClr val="FFFFFF"/>
                          </a:solidFill>
                          <a:ln w="9525">
                            <a:solidFill>
                              <a:srgbClr val="000000"/>
                            </a:solidFill>
                            <a:miter lim="200000"/>
                          </a:ln>
                        </wps:spPr>
                        <wps:txbx>
                          <w:txbxContent>
                            <w:p w14:paraId="6864D226">
                              <w:pPr>
                                <w:adjustRightInd w:val="0"/>
                                <w:snapToGrid w:val="0"/>
                              </w:pPr>
                              <w:r>
                                <w:rPr>
                                  <w:rFonts w:hint="eastAsia"/>
                                </w:rPr>
                                <w:t>工程承包商：施工中标单位</w:t>
                              </w:r>
                            </w:p>
                            <w:p w14:paraId="5BB021B4">
                              <w:pPr>
                                <w:adjustRightInd w:val="0"/>
                                <w:snapToGrid w:val="0"/>
                              </w:pPr>
                              <w:r>
                                <w:rPr>
                                  <w:rFonts w:hint="eastAsia"/>
                                </w:rPr>
                                <w:t>管理人：公司总经理</w:t>
                              </w:r>
                            </w:p>
                            <w:p w14:paraId="2D4D9A5B">
                              <w:pPr>
                                <w:adjustRightInd w:val="0"/>
                                <w:snapToGrid w:val="0"/>
                              </w:pPr>
                              <w:r>
                                <w:rPr>
                                  <w:rFonts w:hint="eastAsia"/>
                                </w:rPr>
                                <w:t>管理人代表：公司主管环保副总裁</w:t>
                              </w:r>
                            </w:p>
                          </w:txbxContent>
                        </wps:txbx>
                        <wps:bodyPr rot="0" vert="horz" wrap="square" lIns="91440" tIns="45720" rIns="91440" bIns="45720" anchor="t" anchorCtr="0" upright="1">
                          <a:noAutofit/>
                        </wps:bodyPr>
                      </wps:wsp>
                      <wps:wsp>
                        <wps:cNvPr id="9" name="Line 521"/>
                        <wps:cNvCnPr>
                          <a:cxnSpLocks noChangeShapeType="1"/>
                        </wps:cNvCnPr>
                        <wps:spPr bwMode="auto">
                          <a:xfrm flipH="1">
                            <a:off x="3443" y="815"/>
                            <a:ext cx="1096" cy="0"/>
                          </a:xfrm>
                          <a:prstGeom prst="line">
                            <a:avLst/>
                          </a:prstGeom>
                          <a:noFill/>
                          <a:ln w="9525">
                            <a:solidFill>
                              <a:srgbClr val="000000"/>
                            </a:solidFill>
                            <a:round/>
                            <a:tailEnd type="triangle" w="med" len="med"/>
                          </a:ln>
                        </wps:spPr>
                        <wps:bodyPr/>
                      </wps:wsp>
                      <wps:wsp>
                        <wps:cNvPr id="10" name="Line 124"/>
                        <wps:cNvCnPr>
                          <a:cxnSpLocks noChangeShapeType="1"/>
                        </wps:cNvCnPr>
                        <wps:spPr bwMode="auto">
                          <a:xfrm>
                            <a:off x="470" y="2853"/>
                            <a:ext cx="6260" cy="0"/>
                          </a:xfrm>
                          <a:prstGeom prst="line">
                            <a:avLst/>
                          </a:prstGeom>
                          <a:noFill/>
                          <a:ln w="9525">
                            <a:solidFill>
                              <a:srgbClr val="000000"/>
                            </a:solidFill>
                            <a:round/>
                          </a:ln>
                        </wps:spPr>
                        <wps:bodyPr/>
                      </wps:wsp>
                      <wps:wsp>
                        <wps:cNvPr id="11" name="Line 125"/>
                        <wps:cNvCnPr>
                          <a:cxnSpLocks noChangeShapeType="1"/>
                        </wps:cNvCnPr>
                        <wps:spPr bwMode="auto">
                          <a:xfrm>
                            <a:off x="470" y="2853"/>
                            <a:ext cx="0" cy="408"/>
                          </a:xfrm>
                          <a:prstGeom prst="line">
                            <a:avLst/>
                          </a:prstGeom>
                          <a:noFill/>
                          <a:ln w="9525">
                            <a:solidFill>
                              <a:srgbClr val="000000"/>
                            </a:solidFill>
                            <a:round/>
                            <a:tailEnd type="triangle" w="med" len="med"/>
                          </a:ln>
                        </wps:spPr>
                        <wps:bodyPr/>
                      </wps:wsp>
                      <wps:wsp>
                        <wps:cNvPr id="12" name="Line 524"/>
                        <wps:cNvCnPr>
                          <a:cxnSpLocks noChangeShapeType="1"/>
                        </wps:cNvCnPr>
                        <wps:spPr bwMode="auto">
                          <a:xfrm>
                            <a:off x="4696" y="2853"/>
                            <a:ext cx="0" cy="408"/>
                          </a:xfrm>
                          <a:prstGeom prst="line">
                            <a:avLst/>
                          </a:prstGeom>
                          <a:noFill/>
                          <a:ln w="9525">
                            <a:solidFill>
                              <a:srgbClr val="000000"/>
                            </a:solidFill>
                            <a:round/>
                            <a:tailEnd type="triangle" w="med" len="med"/>
                          </a:ln>
                        </wps:spPr>
                        <wps:bodyPr/>
                      </wps:wsp>
                      <wps:wsp>
                        <wps:cNvPr id="13" name="Line 525"/>
                        <wps:cNvCnPr>
                          <a:cxnSpLocks noChangeShapeType="1"/>
                        </wps:cNvCnPr>
                        <wps:spPr bwMode="auto">
                          <a:xfrm>
                            <a:off x="6730" y="2853"/>
                            <a:ext cx="1" cy="407"/>
                          </a:xfrm>
                          <a:prstGeom prst="line">
                            <a:avLst/>
                          </a:prstGeom>
                          <a:noFill/>
                          <a:ln w="9525">
                            <a:solidFill>
                              <a:srgbClr val="000000"/>
                            </a:solidFill>
                            <a:round/>
                            <a:tailEnd type="triangle" w="med" len="med"/>
                          </a:ln>
                        </wps:spPr>
                        <wps:bodyPr/>
                      </wps:wsp>
                      <wps:wsp>
                        <wps:cNvPr id="14" name="Rectangle 526"/>
                        <wps:cNvSpPr>
                          <a:spLocks noChangeArrowheads="1"/>
                        </wps:cNvSpPr>
                        <wps:spPr bwMode="auto">
                          <a:xfrm>
                            <a:off x="157" y="3261"/>
                            <a:ext cx="1408" cy="408"/>
                          </a:xfrm>
                          <a:prstGeom prst="rect">
                            <a:avLst/>
                          </a:prstGeom>
                          <a:solidFill>
                            <a:srgbClr val="FFFFFF"/>
                          </a:solidFill>
                          <a:ln w="9525">
                            <a:solidFill>
                              <a:srgbClr val="000000"/>
                            </a:solidFill>
                            <a:miter lim="200000"/>
                          </a:ln>
                        </wps:spPr>
                        <wps:txbx>
                          <w:txbxContent>
                            <w:p w14:paraId="52CFA7C9">
                              <w:pPr>
                                <w:jc w:val="center"/>
                              </w:pPr>
                              <w:r>
                                <w:rPr>
                                  <w:rFonts w:hint="eastAsia"/>
                                </w:rPr>
                                <w:t>设计单位</w:t>
                              </w:r>
                            </w:p>
                          </w:txbxContent>
                        </wps:txbx>
                        <wps:bodyPr rot="0" vert="horz" wrap="square" lIns="91440" tIns="45720" rIns="91440" bIns="45720" anchor="t" anchorCtr="0" upright="1">
                          <a:noAutofit/>
                        </wps:bodyPr>
                      </wps:wsp>
                      <wps:wsp>
                        <wps:cNvPr id="15" name="Rectangle 527"/>
                        <wps:cNvSpPr>
                          <a:spLocks noChangeArrowheads="1"/>
                        </wps:cNvSpPr>
                        <wps:spPr bwMode="auto">
                          <a:xfrm>
                            <a:off x="2035" y="3261"/>
                            <a:ext cx="1722" cy="408"/>
                          </a:xfrm>
                          <a:prstGeom prst="rect">
                            <a:avLst/>
                          </a:prstGeom>
                          <a:solidFill>
                            <a:srgbClr val="FFFFFF"/>
                          </a:solidFill>
                          <a:ln w="9525">
                            <a:solidFill>
                              <a:srgbClr val="000000"/>
                            </a:solidFill>
                            <a:miter lim="200000"/>
                          </a:ln>
                        </wps:spPr>
                        <wps:txbx>
                          <w:txbxContent>
                            <w:p w14:paraId="5C0A038C">
                              <w:pPr>
                                <w:jc w:val="center"/>
                              </w:pPr>
                              <w:r>
                                <w:rPr>
                                  <w:rFonts w:hint="eastAsia"/>
                                </w:rPr>
                                <w:t>环保监理公司</w:t>
                              </w:r>
                            </w:p>
                          </w:txbxContent>
                        </wps:txbx>
                        <wps:bodyPr rot="0" vert="horz" wrap="square" lIns="91440" tIns="45720" rIns="91440" bIns="45720" anchor="t" anchorCtr="0" upright="1">
                          <a:noAutofit/>
                        </wps:bodyPr>
                      </wps:wsp>
                      <wps:wsp>
                        <wps:cNvPr id="16" name="Rectangle 528"/>
                        <wps:cNvSpPr>
                          <a:spLocks noChangeArrowheads="1"/>
                        </wps:cNvSpPr>
                        <wps:spPr bwMode="auto">
                          <a:xfrm>
                            <a:off x="4070" y="3261"/>
                            <a:ext cx="1565" cy="408"/>
                          </a:xfrm>
                          <a:prstGeom prst="rect">
                            <a:avLst/>
                          </a:prstGeom>
                          <a:solidFill>
                            <a:srgbClr val="FFFFFF"/>
                          </a:solidFill>
                          <a:ln w="9525">
                            <a:solidFill>
                              <a:srgbClr val="000000"/>
                            </a:solidFill>
                            <a:miter lim="200000"/>
                          </a:ln>
                        </wps:spPr>
                        <wps:txbx>
                          <w:txbxContent>
                            <w:p w14:paraId="0330A0AC">
                              <w:pPr>
                                <w:jc w:val="center"/>
                              </w:pPr>
                              <w:r>
                                <w:rPr>
                                  <w:rFonts w:hint="eastAsia"/>
                                </w:rPr>
                                <w:t>施工承包方</w:t>
                              </w:r>
                            </w:p>
                          </w:txbxContent>
                        </wps:txbx>
                        <wps:bodyPr rot="0" vert="horz" wrap="square" lIns="91440" tIns="45720" rIns="91440" bIns="45720" anchor="t" anchorCtr="0" upright="1">
                          <a:noAutofit/>
                        </wps:bodyPr>
                      </wps:wsp>
                      <wps:wsp>
                        <wps:cNvPr id="17" name="Rectangle 529"/>
                        <wps:cNvSpPr>
                          <a:spLocks noChangeArrowheads="1"/>
                        </wps:cNvSpPr>
                        <wps:spPr bwMode="auto">
                          <a:xfrm>
                            <a:off x="5791" y="3261"/>
                            <a:ext cx="1409" cy="408"/>
                          </a:xfrm>
                          <a:prstGeom prst="rect">
                            <a:avLst/>
                          </a:prstGeom>
                          <a:solidFill>
                            <a:srgbClr val="FFFFFF"/>
                          </a:solidFill>
                          <a:ln w="9525">
                            <a:solidFill>
                              <a:srgbClr val="000000"/>
                            </a:solidFill>
                            <a:miter lim="200000"/>
                          </a:ln>
                        </wps:spPr>
                        <wps:txbx>
                          <w:txbxContent>
                            <w:p w14:paraId="60119F3C">
                              <w:pPr>
                                <w:jc w:val="center"/>
                              </w:pPr>
                              <w:r>
                                <w:rPr>
                                  <w:rFonts w:hint="eastAsia"/>
                                </w:rPr>
                                <w:t>环境监测部门</w:t>
                              </w:r>
                            </w:p>
                          </w:txbxContent>
                        </wps:txbx>
                        <wps:bodyPr rot="0" vert="horz" wrap="square" lIns="91440" tIns="45720" rIns="91440" bIns="45720" anchor="t" anchorCtr="0" upright="1">
                          <a:noAutofit/>
                        </wps:bodyPr>
                      </wps:wsp>
                      <wps:wsp>
                        <wps:cNvPr id="18" name="Line 530"/>
                        <wps:cNvCnPr>
                          <a:cxnSpLocks noChangeShapeType="1"/>
                        </wps:cNvCnPr>
                        <wps:spPr bwMode="auto">
                          <a:xfrm>
                            <a:off x="2035" y="1223"/>
                            <a:ext cx="0" cy="407"/>
                          </a:xfrm>
                          <a:prstGeom prst="line">
                            <a:avLst/>
                          </a:prstGeom>
                          <a:noFill/>
                          <a:ln w="9525">
                            <a:solidFill>
                              <a:srgbClr val="000000"/>
                            </a:solidFill>
                            <a:round/>
                            <a:tailEnd type="triangle" w="med" len="med"/>
                          </a:ln>
                        </wps:spPr>
                        <wps:bodyPr/>
                      </wps:wsp>
                      <wps:wsp>
                        <wps:cNvPr id="19" name="Line 531"/>
                        <wps:cNvCnPr>
                          <a:cxnSpLocks noChangeShapeType="1"/>
                        </wps:cNvCnPr>
                        <wps:spPr bwMode="auto">
                          <a:xfrm>
                            <a:off x="2817" y="2582"/>
                            <a:ext cx="1" cy="679"/>
                          </a:xfrm>
                          <a:prstGeom prst="line">
                            <a:avLst/>
                          </a:prstGeom>
                          <a:noFill/>
                          <a:ln w="9525">
                            <a:solidFill>
                              <a:srgbClr val="000000"/>
                            </a:solidFill>
                            <a:round/>
                            <a:tailEnd type="triangle" w="med" len="med"/>
                          </a:ln>
                        </wps:spPr>
                        <wps:bodyPr/>
                      </wps:wsp>
                      <wps:wsp>
                        <wps:cNvPr id="20" name="Text Box 532"/>
                        <wps:cNvSpPr txBox="1">
                          <a:spLocks noChangeArrowheads="1"/>
                        </wps:cNvSpPr>
                        <wps:spPr bwMode="auto">
                          <a:xfrm>
                            <a:off x="2152" y="4075"/>
                            <a:ext cx="2818" cy="418"/>
                          </a:xfrm>
                          <a:prstGeom prst="rect">
                            <a:avLst/>
                          </a:prstGeom>
                          <a:solidFill>
                            <a:srgbClr val="FFFFFF"/>
                          </a:solidFill>
                          <a:ln>
                            <a:noFill/>
                          </a:ln>
                        </wps:spPr>
                        <wps:txbx>
                          <w:txbxContent>
                            <w:p w14:paraId="2BD4F875">
                              <w:pPr>
                                <w:jc w:val="center"/>
                                <w:rPr>
                                  <w:b/>
                                  <w:sz w:val="24"/>
                                </w:rPr>
                              </w:pPr>
                              <w:r>
                                <w:rPr>
                                  <w:rFonts w:hint="eastAsia"/>
                                  <w:b/>
                                  <w:sz w:val="24"/>
                                </w:rPr>
                                <w:t>图11.1-1  监理机构框架</w:t>
                              </w:r>
                            </w:p>
                            <w:p w14:paraId="778F1B05"/>
                          </w:txbxContent>
                        </wps:txbx>
                        <wps:bodyPr rot="0" vert="horz" wrap="square" lIns="91440" tIns="45720" rIns="91440" bIns="45720" anchor="t" anchorCtr="0" upright="1">
                          <a:noAutofit/>
                        </wps:bodyPr>
                      </wps:wsp>
                    </wpg:wgp>
                  </a:graphicData>
                </a:graphic>
              </wp:anchor>
            </w:drawing>
          </mc:Choice>
          <mc:Fallback>
            <w:pict>
              <v:group id="组合 1186" o:spid="_x0000_s1026" o:spt="203" style="position:absolute;left:0pt;margin-left:0.1pt;margin-top:14.1pt;height:283.35pt;width:414pt;mso-position-horizontal-relative:char;mso-position-vertical-relative:line;z-index:251660288;mso-width-relative:page;mso-height-relative:page;" coordsize="7200,4763" o:gfxdata="UEsDBAoAAAAAAIdO4kAAAAAAAAAAAAAAAAAEAAAAZHJzL1BLAwQUAAAACACHTuJA+UB2FNYAAAAH&#10;AQAADwAAAGRycy9kb3ducmV2LnhtbE2OT0vDQBDF74LfYRnBm92kWknTbIoU9VSEtoL0Nk2mSWh2&#10;NmS3SfvtHb3oZf7wHu/9suXFtmqg3jeODcSTCBRx4cqGKwOfu7eHBJQPyCW2jsnAlTws89ubDNPS&#10;jbyhYRsqJSHsUzRQh9ClWvuiJot+4jpi0Y6utxjk7Std9jhKuG31NIqetcWGpaHGjlY1Faft2Rp4&#10;H3F8eYxfh/XpuLrud7OPr3VMxtzfxdECVKBL+DPDD76gQy5MB3fm0qvWwFR8MhPZoia/x8HAbP40&#10;B51n+j9//g1QSwMEFAAAAAgAh07iQGcB64JxBQAAmycAAA4AAABkcnMvZTJvRG9jLnhtbO1aS3Lj&#10;NhDdpyp3QHEfi6RI/cry1MSfSaqcZCp2DgCRkMgKSTAAbcmzziLL3CfnSeUaefhQlGRpRp6xFFdM&#10;LWwSBMFG9+vuhwZO3yzyjNwzIVNejB3vxHUIKyIep8Vs7Pxye/XNwCGyokVMM16wsfPApPPm7Ouv&#10;TufliPk84VnMBMEghRzNy7GTVFU56nRklLCcyhNesgIPp1zktMKtmHViQecYPc86vuv2OnMu4lLw&#10;iEmJ1gvz0LEjin0G5NNpGrELHt3lrKjMqIJltMKUZJKW0jnT0k6nLKp+mk4lq0g2djDTSv/FR3A9&#10;UX87Z6d0NBO0TNLIikD3EWFjTjlNC3x0OdQFrSi5E+mjofI0ElzyaXUS8bxjJqI1gll47oZu3gl+&#10;V+q5zEbzWblUOgy1ofXPHjb68f69IGk8dgKHFDSHwf/56/e///yDeN6gp9QzL2cj9HonypvyvbAN&#10;M3OnZryYilz9x1zIQiv2YalYtqhIhMbQD/sDFzqP8KwbDgdhEBrVRwns8+i9KLm0b/YBGfNa0O91&#10;1Tud+pMdJdlSkHkJOMpGR/LLdHST0JJp1Us1e6ujsNbR27uK6y4k9PpGS7qfUpFShiyvefSrJAU/&#10;T2gxY29lCSjC3TBA3SQEnyeMxpBUN99CW5dxqnupeaoZ4dNmSHUjMTiZzH/gMaxEIYFG3D76/4gW&#10;6agUsnrHeE7UxdgREFQPTO+vZWUUXndRUyv4VZplaKejrFhrgGVUixZcyaqwI0cTHj9AbsExNkyJ&#10;yIOLhIsPDpnD78aO/O2OCuaQ7PsCqhh6QYBulb4JQkjuELH6ZLL6hBYRhho7lUPM5XllnPuuFOks&#10;0bo0MiqLTVM9n0YqKyxwY2Q9OIB6NYB+hpYBjIwBQIN9ALSGls+HR8+HCHDC0A2MA9Yu6g8AZO2f&#10;fW+45mdPRojkWRorkCjNSzGbnGeC3FNE4Cv9s6OvdcsKMofxESg09taerQ3h6t+2IfK0QmLK0nzs&#10;IGjgZzttwWS1mCygwwYILTx1DgACTA5o4On5ntKjUtUyGG2Jb88EzyDsDjU+A1d7BR0t8akQq/E5&#10;8HTuWOaBFp+vJnyCmj7Gp39EfNbh0+t1LXes8dn10KLxOQzXeUqLz1eDT8Qug8/rtEBmXwud54Wh&#10;htGiuNlgh5pJ3j6UoHU62NbUz7yiQu9u6kemWVp+p15U2daS8G4QdHUYtbGyCaOeOwQBUDS8To81&#10;f6w5nqWBGWawNw384tyNhU4Ra05Z0TS7LGJSaXVUItUsCVxx7OQsBktkWLWqK8WBPkI41WOlueNx&#10;Ow/+v2J9z9cMyybOA1l/xeZBH9+HXf2BiT+NzRG0bGh6kTZ/YVZUazG9DtY+7IGQNvTnv7SiNaEl&#10;RrvZT+u4bGdBZfuq3vPXTB4e23F7KiRv9dzW5igxHqSS4yE/rri5Wnce0817fcUWt9oc8Uel58DV&#10;daXWz21d+UkVzh1+vixxNsvbEPWQxvCm1na45a0XYoUN43b9niZ6TY72VFy3htcr392G/1SBbnft&#10;pC2/vOzqIAobNiitAnSv+vIz1V98twsZtiO07yNPmtDUIvSV1q+9bQVs/5gFbORFkzm3xNCwB/C2&#10;CH3VOyxqF8MQu9UYqnc07FL80Ek+7A/B4bbH0MBFiahF6OtG6LKKbaqEppJ8tDrRMsV7vq8L1Q0J&#10;XS4326XH6pGW51h6bFSGu6ubaoevKpnNXYQkPxzo7ZLG5na52et/YtO3LSs9taykTi6YTKROdpBv&#10;+YKE3c3NKlIt8KAu3z86NvJctN4Lwd1hf7Ane/Cm3rcCNOqFpzmIcOyFpzmeYc+U4OP/j+167D3o&#10;M1t6k8KeL1OHwlbv9Q5Fc6bu7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D5QHYU1gAAAAcBAAAP&#10;AAAAAAAAAAEAIAAAACIAAABkcnMvZG93bnJldi54bWxQSwECFAAUAAAACACHTuJAZwHrgnEFAACb&#10;JwAADgAAAAAAAAABACAAAAAlAQAAZHJzL2Uyb0RvYy54bWxQSwUGAAAAAAYABgBZAQAACAkAAAAA&#10;">
                <o:lock v:ext="edit" aspectratio="f"/>
                <v:rect id="AutoShape 517" o:spid="_x0000_s1026" o:spt="1" style="position:absolute;left:0;top:0;height:4763;width:72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text="t" aspectratio="t"/>
                </v:rect>
                <v:rect id="Rectangle 518" o:spid="_x0000_s1026" o:spt="1" style="position:absolute;left:626;top:504;height:719;width:2817;" fillcolor="#FFFFFF" filled="t" stroked="t" coordsize="21600,21600" o:gfxdata="UEsDBAoAAAAAAIdO4kAAAAAAAAAAAAAAAAAEAAAAZHJzL1BLAwQUAAAACACHTuJAaELxYbsAAADa&#10;AAAADwAAAGRycy9kb3ducmV2LnhtbEWPQWsCMRSE74L/ITyhN03Wg8jWKLSlUIqsuIrnx+Z1N3Tz&#10;Ejap2n9vBMHjMDPfMKvN1fXiTEO0njUUMwWCuPHGcqvhePicLkHEhGyw90wa/inCZj0erbA0/sJ7&#10;OtepFRnCsUQNXUqhlDI2HTmMMx+Is/fjB4cpy6GVZsBLhrtezpVaSIeW80KHgd47an7rP6fhFFgV&#10;2yqkqv6e77ZvO3v6qKzWL5NCvYJIdE3P8KP9ZTQs4H4l3wC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LxYbsAAADa&#10;AAAADwAAAAAAAAABACAAAAAiAAAAZHJzL2Rvd25yZXYueG1sUEsBAhQAFAAAAAgAh07iQDMvBZ47&#10;AAAAOQAAABAAAAAAAAAAAQAgAAAACgEAAGRycy9zaGFwZXhtbC54bWxQSwUGAAAAAAYABgBbAQAA&#10;tAMAAAAA&#10;">
                  <v:fill on="t" focussize="0,0"/>
                  <v:stroke color="#000000" miterlimit="2" joinstyle="miter"/>
                  <v:imagedata o:title=""/>
                  <o:lock v:ext="edit" aspectratio="f"/>
                  <v:textbox>
                    <w:txbxContent>
                      <w:p w14:paraId="4F8DA8EE">
                        <w:pPr>
                          <w:jc w:val="center"/>
                        </w:pPr>
                        <w:r>
                          <w:rPr>
                            <w:rFonts w:hint="eastAsia"/>
                          </w:rPr>
                          <w:t>建设单位</w:t>
                        </w:r>
                      </w:p>
                    </w:txbxContent>
                  </v:textbox>
                </v:rect>
                <v:rect id="Rectangle 121" o:spid="_x0000_s1026" o:spt="1" style="position:absolute;left:4539;top:408;height:815;width:2504;" fillcolor="#FFFFFF" filled="t" stroked="t" coordsize="21600,21600" o:gfxdata="UEsDBAoAAAAAAIdO4kAAAAAAAAAAAAAAAAAEAAAAZHJzL1BLAwQUAAAACACHTuJABw5U+rwAAADa&#10;AAAADwAAAGRycy9kb3ducmV2LnhtbEWPQWsCMRSE7wX/Q3hCb91kPdSyGgWVQimy0m3x/Ng8d4Ob&#10;l7BJ1f77Rij0OMzMN8xyfXODuNAYrWcNZaFAELfeWO40fH2+Pr2AiAnZ4OCZNPxQhPVq8rDEyvgr&#10;f9ClSZ3IEI4VauhTCpWUse3JYSx8IM7eyY8OU5ZjJ82I1wx3g5wp9SwdWs4LPQba9tSem2+n4RhY&#10;lfs6pLp5nx32m4M97mqr9eO0VAsQiW7pP/zXfjMa5nC/km+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VPq8AAAA&#10;2g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14:paraId="781DD4B3">
                        <w:r>
                          <w:rPr>
                            <w:rFonts w:hint="eastAsia"/>
                          </w:rPr>
                          <w:t>环境保护行政主管部门：芒市环境保护局</w:t>
                        </w:r>
                      </w:p>
                    </w:txbxContent>
                  </v:textbox>
                </v:rect>
                <v:rect id="Rectangle 122" o:spid="_x0000_s1026" o:spt="1" style="position:absolute;left:626;top:1630;height:953;width:3130;" fillcolor="#FFFFFF" filled="t" stroked="t" coordsize="21600,21600" o:gfxdata="UEsDBAoAAAAAAIdO4kAAAAAAAAAAAAAAAAAEAAAAZHJzL1BLAwQUAAAACACHTuJAdpHAiLgAAADa&#10;AAAADwAAAGRycy9kb3ducmV2LnhtbEVPy2oCMRTdF/yHcAV3NRkXUkajoCJIkZFOi+vL5DoTnNyE&#10;Serj782i0OXhvJfrh+vFjYZoPWsopgoEceON5VbDz/f+/QNETMgGe8+k4UkR1qvR2xJL4+/8Rbc6&#10;tSKHcCxRQ5dSKKWMTUcO49QH4sxd/OAwZTi00gx4z+GulzOl5tKh5dzQYaBtR821/nUazoFVcaxC&#10;qurP2em4OdnzrrJaT8aFWoBI9Ej/4j/3wWjIW/OVf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pHAiLgAAADaAAAA&#10;DwAAAAAAAAABACAAAAAiAAAAZHJzL2Rvd25yZXYueG1sUEsBAhQAFAAAAAgAh07iQDMvBZ47AAAA&#10;OQAAABAAAAAAAAAAAQAgAAAABwEAAGRycy9zaGFwZXhtbC54bWxQSwUGAAAAAAYABgBbAQAAsQMA&#10;AAAA&#10;">
                  <v:fill on="t" focussize="0,0"/>
                  <v:stroke color="#000000" miterlimit="2" joinstyle="miter"/>
                  <v:imagedata o:title=""/>
                  <o:lock v:ext="edit" aspectratio="f"/>
                  <v:textbox>
                    <w:txbxContent>
                      <w:p w14:paraId="6864D226">
                        <w:pPr>
                          <w:adjustRightInd w:val="0"/>
                          <w:snapToGrid w:val="0"/>
                        </w:pPr>
                        <w:r>
                          <w:rPr>
                            <w:rFonts w:hint="eastAsia"/>
                          </w:rPr>
                          <w:t>工程承包商：施工中标单位</w:t>
                        </w:r>
                      </w:p>
                      <w:p w14:paraId="5BB021B4">
                        <w:pPr>
                          <w:adjustRightInd w:val="0"/>
                          <w:snapToGrid w:val="0"/>
                        </w:pPr>
                        <w:r>
                          <w:rPr>
                            <w:rFonts w:hint="eastAsia"/>
                          </w:rPr>
                          <w:t>管理人：公司总经理</w:t>
                        </w:r>
                      </w:p>
                      <w:p w14:paraId="2D4D9A5B">
                        <w:pPr>
                          <w:adjustRightInd w:val="0"/>
                          <w:snapToGrid w:val="0"/>
                        </w:pPr>
                        <w:r>
                          <w:rPr>
                            <w:rFonts w:hint="eastAsia"/>
                          </w:rPr>
                          <w:t>管理人代表：公司主管环保副总裁</w:t>
                        </w:r>
                      </w:p>
                    </w:txbxContent>
                  </v:textbox>
                </v:rect>
                <v:line id="Line 521" o:spid="_x0000_s1026" o:spt="20" style="position:absolute;left:3443;top:815;flip:x;height:0;width:1096;"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24" o:spid="_x0000_s1026" o:spt="20" style="position:absolute;left:470;top:2853;height:0;width:6260;" filled="f" stroked="t" coordsize="21600,21600" o:gfxdata="UEsDBAoAAAAAAIdO4kAAAAAAAAAAAAAAAAAEAAAAZHJzL1BLAwQUAAAACACHTuJAJzzQqL4AAADb&#10;AAAADwAAAGRycy9kb3ducmV2LnhtbEWPT2/CMAzF75P4DpGRdkEjgUnTVAg9sFXagQt/pl2txrQV&#10;jdM2GTA+PT5M4mbrPb/38zK/+ladaYhNYAuzqQFFXAbXcGXhsC9e3kHFhOywDUwW/ihCvho9LTFz&#10;4cJbOu9SpSSEY4YW6pS6TOtY1uQxTkNHLNoxDB6TrEOl3YAXCfetnhvzpj02LA01drSuqTztfr2F&#10;WHxTX9wm5cT8vFaB5v3H5hOtfR7PzAJUomt6mP+vv5zgC73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Qq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5" o:spid="_x0000_s1026" o:spt="20" style="position:absolute;left:470;top:2853;height:408;width: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24" o:spid="_x0000_s1026" o:spt="20" style="position:absolute;left:4696;top:2853;height:408;width:0;"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525" o:spid="_x0000_s1026" o:spt="20" style="position:absolute;left:6730;top:2853;height:407;width:1;"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526" o:spid="_x0000_s1026" o:spt="1" style="position:absolute;left:157;top:3261;height:408;width:1408;" fillcolor="#FFFFFF" filled="t" stroked="t" coordsize="21600,21600" o:gfxdata="UEsDBAoAAAAAAIdO4kAAAAAAAAAAAAAAAAAEAAAAZHJzL1BLAwQUAAAACACHTuJAvL1Gv7oAAADb&#10;AAAADwAAAGRycy9kb3ducmV2LnhtbEVP32vCMBB+H/g/hBP2tiaVIaMaBZXBGFJZN3w+mrMNNpfQ&#10;ZOr++0UY7O0+vp+3XN/cIC40RutZQ1koEMStN5Y7DV+fr08vIGJCNjh4Jg0/FGG9mjwssTL+yh90&#10;aVIncgjHCjX0KYVKytj25DAWPhBn7uRHhynDsZNmxGsOd4OcKTWXDi3nhh4DbXtqz82303AMrMp9&#10;HVLdvM8O+83BHne11fpxWqoFiES39C/+c7+ZPP8Z7r/k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vUa/ugAAANsA&#10;AAAPAAAAAAAAAAEAIAAAACIAAABkcnMvZG93bnJldi54bWxQSwECFAAUAAAACACHTuJAMy8FnjsA&#10;AAA5AAAAEAAAAAAAAAABACAAAAAJAQAAZHJzL3NoYXBleG1sLnhtbFBLBQYAAAAABgAGAFsBAACz&#10;AwAAAAA=&#10;">
                  <v:fill on="t" focussize="0,0"/>
                  <v:stroke color="#000000" miterlimit="2" joinstyle="miter"/>
                  <v:imagedata o:title=""/>
                  <o:lock v:ext="edit" aspectratio="f"/>
                  <v:textbox>
                    <w:txbxContent>
                      <w:p w14:paraId="52CFA7C9">
                        <w:pPr>
                          <w:jc w:val="center"/>
                        </w:pPr>
                        <w:r>
                          <w:rPr>
                            <w:rFonts w:hint="eastAsia"/>
                          </w:rPr>
                          <w:t>设计单位</w:t>
                        </w:r>
                      </w:p>
                    </w:txbxContent>
                  </v:textbox>
                </v:rect>
                <v:rect id="Rectangle 527" o:spid="_x0000_s1026" o:spt="1" style="position:absolute;left:2035;top:3261;height:408;width:1722;" fillcolor="#FFFFFF" filled="t" stroked="t" coordsize="21600,21600" o:gfxdata="UEsDBAoAAAAAAIdO4kAAAAAAAAAAAAAAAAAEAAAAZHJzL1BLAwQUAAAACACHTuJA0/HjJLoAAADb&#10;AAAADwAAAGRycy9kb3ducmV2LnhtbEVP32vCMBB+H/g/hBP2tiYVJqMaBZXBGFJZN3w+mrMNNpfQ&#10;ZOr++0UY7O0+vp+3XN/cIC40RutZQ1koEMStN5Y7DV+fr08vIGJCNjh4Jg0/FGG9mjwssTL+yh90&#10;aVIncgjHCjX0KYVKytj25DAWPhBn7uRHhynDsZNmxGsOd4OcKTWXDi3nhh4DbXtqz82303AMrMp9&#10;HVLdvM8O+83BHne11fpxWqoFiES39C/+c7+ZPP8Z7r/k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8eMkugAAANsA&#10;AAAPAAAAAAAAAAEAIAAAACIAAABkcnMvZG93bnJldi54bWxQSwECFAAUAAAACACHTuJAMy8FnjsA&#10;AAA5AAAAEAAAAAAAAAABACAAAAAJAQAAZHJzL3NoYXBleG1sLnhtbFBLBQYAAAAABgAGAFsBAACz&#10;AwAAAAA=&#10;">
                  <v:fill on="t" focussize="0,0"/>
                  <v:stroke color="#000000" miterlimit="2" joinstyle="miter"/>
                  <v:imagedata o:title=""/>
                  <o:lock v:ext="edit" aspectratio="f"/>
                  <v:textbox>
                    <w:txbxContent>
                      <w:p w14:paraId="5C0A038C">
                        <w:pPr>
                          <w:jc w:val="center"/>
                        </w:pPr>
                        <w:r>
                          <w:rPr>
                            <w:rFonts w:hint="eastAsia"/>
                          </w:rPr>
                          <w:t>环保监理公司</w:t>
                        </w:r>
                      </w:p>
                    </w:txbxContent>
                  </v:textbox>
                </v:rect>
                <v:rect id="Rectangle 528" o:spid="_x0000_s1026" o:spt="1" style="position:absolute;left:4070;top:3261;height:408;width:1565;" fillcolor="#FFFFFF" filled="t" stroked="t" coordsize="21600,21600" o:gfxdata="UEsDBAoAAAAAAIdO4kAAAAAAAAAAAAAAAAAEAAAAZHJzL1BLAwQUAAAACACHTuJAIyN9U7kAAADb&#10;AAAADwAAAGRycy9kb3ducmV2LnhtbEVPTWsCMRC9C/6HMEJvmqwHka1RaEuhFFlxFc/DZrobupmE&#10;Tar23xtB8DaP9zmrzdX14kxDtJ41FDMFgrjxxnKr4Xj4nC5BxIRssPdMGv4pwmY9Hq2wNP7CezrX&#10;qRU5hGOJGrqUQillbDpyGGc+EGfuxw8OU4ZDK82AlxzuejlXaiEdWs4NHQZ676j5rf+chlNgVWyr&#10;kKr6e77bvu3s6aOyWr9MCvUKItE1PcUP95fJ8xdw/yUfIN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jfVO5AAAA2wAA&#10;AA8AAAAAAAAAAQAgAAAAIgAAAGRycy9kb3ducmV2LnhtbFBLAQIUABQAAAAIAIdO4kAzLwWeOwAA&#10;ADkAAAAQAAAAAAAAAAEAIAAAAAgBAABkcnMvc2hhcGV4bWwueG1sUEsFBgAAAAAGAAYAWwEAALID&#10;AAAAAA==&#10;">
                  <v:fill on="t" focussize="0,0"/>
                  <v:stroke color="#000000" miterlimit="2" joinstyle="miter"/>
                  <v:imagedata o:title=""/>
                  <o:lock v:ext="edit" aspectratio="f"/>
                  <v:textbox>
                    <w:txbxContent>
                      <w:p w14:paraId="0330A0AC">
                        <w:pPr>
                          <w:jc w:val="center"/>
                        </w:pPr>
                        <w:r>
                          <w:rPr>
                            <w:rFonts w:hint="eastAsia"/>
                          </w:rPr>
                          <w:t>施工承包方</w:t>
                        </w:r>
                      </w:p>
                    </w:txbxContent>
                  </v:textbox>
                </v:rect>
                <v:rect id="Rectangle 529" o:spid="_x0000_s1026" o:spt="1" style="position:absolute;left:5791;top:3261;height:408;width:1409;" fillcolor="#FFFFFF" filled="t" stroked="t" coordsize="21600,21600" o:gfxdata="UEsDBAoAAAAAAIdO4kAAAAAAAAAAAAAAAAAEAAAAZHJzL1BLAwQUAAAACACHTuJATG/YyLoAAADb&#10;AAAADwAAAGRycy9kb3ducmV2LnhtbEVPTWsCMRC9F/wPYYTeusl6qGU1CiqFUmSl2+J52Iy7wc0k&#10;bFK1/74RCr3N433Ocn1zg7jQGK1nDWWhQBC33ljuNHx9vj69gIgJ2eDgmTT8UIT1avKwxMr4K3/Q&#10;pUmdyCEcK9TQpxQqKWPbk8NY+ECcuZMfHaYMx06aEa853A1yptSzdGg5N/QYaNtTe26+nYZjYFXu&#10;65Dq5n122G8O9rirrdaP01ItQCS6pX/xn/vN5PlzuP+SD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b9jIugAAANsA&#10;AAAPAAAAAAAAAAEAIAAAACIAAABkcnMvZG93bnJldi54bWxQSwECFAAUAAAACACHTuJAMy8FnjsA&#10;AAA5AAAAEAAAAAAAAAABACAAAAAJAQAAZHJzL3NoYXBleG1sLnhtbFBLBQYAAAAABgAGAFsBAACz&#10;AwAAAAA=&#10;">
                  <v:fill on="t" focussize="0,0"/>
                  <v:stroke color="#000000" miterlimit="2" joinstyle="miter"/>
                  <v:imagedata o:title=""/>
                  <o:lock v:ext="edit" aspectratio="f"/>
                  <v:textbox>
                    <w:txbxContent>
                      <w:p w14:paraId="60119F3C">
                        <w:pPr>
                          <w:jc w:val="center"/>
                        </w:pPr>
                        <w:r>
                          <w:rPr>
                            <w:rFonts w:hint="eastAsia"/>
                          </w:rPr>
                          <w:t>环境监测部门</w:t>
                        </w:r>
                      </w:p>
                    </w:txbxContent>
                  </v:textbox>
                </v:rect>
                <v:line id="Line 530" o:spid="_x0000_s1026" o:spt="20" style="position:absolute;left:2035;top:1223;height:407;width:0;"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531" o:spid="_x0000_s1026" o:spt="20" style="position:absolute;left:2817;top:2582;height:679;width:1;"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532" o:spid="_x0000_s1026" o:spt="202" type="#_x0000_t202" style="position:absolute;left:2152;top:4075;height:418;width:2818;" fillcolor="#FFFFFF" filled="t" stroked="f" coordsize="21600,21600" o:gfxdata="UEsDBAoAAAAAAIdO4kAAAAAAAAAAAAAAAAAEAAAAZHJzL1BLAwQUAAAACACHTuJAXD5iz7YAAADb&#10;AAAADwAAAGRycy9kb3ducmV2LnhtbEVPSwrCMBDdC94hjOBGNFX8VtOCguLWzwHGZmyLzaQ00ert&#10;zUJw+Xj/Tfo2lXhR40rLCsajCARxZnXJuYLrZT9cgnAeWWNlmRR8yEGadDsbjLVt+USvs89FCGEX&#10;o4LC+zqW0mUFGXQjWxMH7m4bgz7AJpe6wTaEm0pOomguDZYcGgqsaVdQ9jg/jYL7sR3MVu3t4K+L&#10;03S+xXJxsx+l+r1xtAbh6e3/4p/7qBVMwvrwJfwA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w+Ys+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2BD4F875">
                        <w:pPr>
                          <w:jc w:val="center"/>
                          <w:rPr>
                            <w:b/>
                            <w:sz w:val="24"/>
                          </w:rPr>
                        </w:pPr>
                        <w:r>
                          <w:rPr>
                            <w:rFonts w:hint="eastAsia"/>
                            <w:b/>
                            <w:sz w:val="24"/>
                          </w:rPr>
                          <w:t>图11.1-1  监理机构框架</w:t>
                        </w:r>
                      </w:p>
                      <w:p w14:paraId="778F1B05"/>
                    </w:txbxContent>
                  </v:textbox>
                </v:shape>
              </v:group>
            </w:pict>
          </mc:Fallback>
        </mc:AlternateContent>
      </w:r>
      <w:r>
        <w:rPr>
          <w:color w:val="000000" w:themeColor="text1"/>
          <w:sz w:val="24"/>
          <w:szCs w:val="24"/>
          <w14:textFill>
            <w14:solidFill>
              <w14:schemeClr w14:val="tx1"/>
            </w14:solidFill>
          </w14:textFill>
        </w:rPr>
        <w:t>监理机构框架如图12-1。</w:t>
      </w:r>
    </w:p>
    <w:p w14:paraId="4D403181">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mc:AlternateContent>
          <mc:Choice Requires="wps">
            <w:drawing>
              <wp:inline distT="0" distB="0" distL="0" distR="0">
                <wp:extent cx="5286375" cy="3057525"/>
                <wp:effectExtent l="0" t="3810" r="0" b="0"/>
                <wp:docPr id="3"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86375" cy="30575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 o:spid="_x0000_s1026" o:spt="1" style="height:240.75pt;width:416.25pt;" filled="f" stroked="f" coordsize="21600,21600" o:gfxdata="UEsDBAoAAAAAAIdO4kAAAAAAAAAAAAAAAAAEAAAAZHJzL1BLAwQUAAAACACHTuJApi6eydcAAAAF&#10;AQAADwAAAGRycy9kb3ducmV2LnhtbE2PQUvDQBCF70L/wzKCF7GbVCshZtJDoVhEKE215212TILZ&#10;2TS7Teq/d/XSXgYe7/HeN9nibFoxUO8aywjxNAJBXFrdcIXwsVs9JCCcV6xVa5kQfsjBIp/cZCrV&#10;duQtDYWvRChhlyqE2vsuldKVNRnlprYjDt6X7Y3yQfaV1L0aQ7lp5SyKnqVRDYeFWnW0rKn8Lk4G&#10;YSw3w373/io39/u15eP6uCw+3xDvbuPoBYSns7+E4Q8/oEMemA72xNqJFiE84v9v8JLH2RzEAeEp&#10;iecg80xe0+e/UEsDBBQAAAAIAIdO4kAurZn+BQIAABUEAAAOAAAAZHJzL2Uyb0RvYy54bWytU01v&#10;2zAMvQ/YfxB0X5wvN50RpygadBjQbQW6/QBFlmNhtqiRSpzu14+SkyztLj3sIoik9PjeE7W8OXSt&#10;2BskC66Uk9FYCuM0VNZtS/nj+/2HaykoKFepFpwp5bMhebN6/27Z+8JMoYG2MigYxFHR+1I2Ifgi&#10;y0g3plM0Am8cF2vATgUOcZtVqHpG79psOh5fZT1g5RG0IeLseijKIyK+BRDq2mqzBr3rjAsDKppW&#10;BZZEjfUkV4ltXRsdvtU1mSDaUrLSkFZuwvtNXLPVUhVbVL6x+khBvYXCK02dso6bnqHWKiixQ/sP&#10;VGc1AkEdRhq6bBCSHGEVk/Erb54a5U3SwlaTP5tO/w9Wf90/orBVKWdSONXxg9/uAqTOYr6I/vSe&#10;Cj725B8xKiT/APonCQd3jXJbc0ueXeZJ4vunFCL0jVEVE51EiOwFRgyI0cSm/wIVd1TcMbl3qLGL&#10;PdgXcUiP9Hx+JHMIQnMyn15fzRa5FJprs3G+yKd56qGK03WPFD4Z6ETclBKZX4JX+wcKkY4qTkdi&#10;Nwf3tm3TJLTuRYIPxkyiHxkPZmygemb2CMM08V/iTQP4W4qeJ6mU9Gun0EjRfnbswMfJfB5HLwXz&#10;fDHlAC8rm8uKcpqhShmkGLZ3YRjXnUe7bZLRA8f4TrVNeqKjA6sjWZ6WJPM42XEcL+N06u9vX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i6eydcAAAAFAQAADwAAAAAAAAABACAAAAAiAAAAZHJz&#10;L2Rvd25yZXYueG1sUEsBAhQAFAAAAAgAh07iQC6tmf4FAgAAFQQAAA4AAAAAAAAAAQAgAAAAJgEA&#10;AGRycy9lMm9Eb2MueG1sUEsFBgAAAAAGAAYAWQEAAJ0FAAAAAA==&#10;">
                <v:fill on="f" focussize="0,0"/>
                <v:stroke on="f"/>
                <v:imagedata o:title=""/>
                <o:lock v:ext="edit" aspectratio="t"/>
                <w10:wrap type="none"/>
                <w10:anchorlock/>
              </v:rect>
            </w:pict>
          </mc:Fallback>
        </mc:AlternateContent>
      </w:r>
    </w:p>
    <w:p w14:paraId="03D23012">
      <w:pPr>
        <w:pStyle w:val="106"/>
        <w:adjustRightInd w:val="0"/>
        <w:snapToGrid w:val="0"/>
        <w:spacing w:line="360" w:lineRule="auto"/>
        <w:ind w:firstLine="439" w:firstLineChars="183"/>
        <w:rPr>
          <w:color w:val="000000" w:themeColor="text1"/>
          <w:sz w:val="24"/>
          <w:szCs w:val="24"/>
          <w14:textFill>
            <w14:solidFill>
              <w14:schemeClr w14:val="tx1"/>
            </w14:solidFill>
          </w14:textFill>
        </w:rPr>
      </w:pPr>
    </w:p>
    <w:p w14:paraId="710A9866">
      <w:pPr>
        <w:pStyle w:val="106"/>
        <w:adjustRightInd w:val="0"/>
        <w:snapToGrid w:val="0"/>
        <w:spacing w:line="360" w:lineRule="auto"/>
        <w:ind w:firstLine="439" w:firstLineChars="183"/>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（2）环境监理工作方式</w:t>
      </w:r>
    </w:p>
    <w:p w14:paraId="21B1F3F6">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将环境监理纳入工程监理范畴，由工程指挥部监理管理部门统一管理，参加工程总监月度例会，并向总监办上报周报、月报等内容。</w:t>
      </w:r>
    </w:p>
    <w:p w14:paraId="38DA5AC5">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定期召开由总指挥部代表、各分指挥部代表、环境监理参加的环境监理工作会议，结合近期环境监理工作，解决存在问题，提出下阶段工作计划。</w:t>
      </w:r>
    </w:p>
    <w:p w14:paraId="1DBF43E7">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形成健全的现场环境保护管理体系，在各参建项目组成立环境保护领导小组，负责项目部的环境保护领导工作，组织机构延伸至各施工和班组，划分责任区，落实责任人。 </w:t>
      </w:r>
    </w:p>
    <w:p w14:paraId="6244F1C1">
      <w:pPr>
        <w:pStyle w:val="106"/>
        <w:adjustRightInd w:val="0"/>
        <w:snapToGrid w:val="0"/>
        <w:spacing w:line="360" w:lineRule="auto"/>
        <w:ind w:firstLine="480"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（3）工作内容                                                                                                                    </w:t>
      </w:r>
    </w:p>
    <w:p w14:paraId="292BB360">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施工期环境监理内容见表11.1-1。</w:t>
      </w:r>
    </w:p>
    <w:p w14:paraId="0C66E780">
      <w:pPr>
        <w:adjustRightInd w:val="0"/>
        <w:snapToGrid w:val="0"/>
        <w:ind w:firstLine="480"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表11.1-1  项目环境监理内容一览表                                                                                                                                                                                                           </w:t>
      </w:r>
    </w:p>
    <w:tbl>
      <w:tblPr>
        <w:tblStyle w:val="42"/>
        <w:tblW w:w="8748"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3120"/>
        <w:gridCol w:w="1132"/>
        <w:gridCol w:w="2828"/>
      </w:tblGrid>
      <w:tr w14:paraId="24F4657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668" w:type="dxa"/>
            <w:gridSpan w:val="2"/>
            <w:vAlign w:val="center"/>
          </w:tcPr>
          <w:p w14:paraId="2EA06D35">
            <w:pPr>
              <w:adjustRightInd w:val="0"/>
              <w:snapToGrid w:val="0"/>
              <w:jc w:val="center"/>
              <w:rPr>
                <w:b/>
                <w:color w:val="000000" w:themeColor="text1"/>
                <w:szCs w:val="21"/>
                <w14:textFill>
                  <w14:solidFill>
                    <w14:schemeClr w14:val="tx1"/>
                  </w14:solidFill>
                </w14:textFill>
              </w:rPr>
            </w:pPr>
            <w:bookmarkStart w:id="549" w:name="_Toc228787171"/>
            <w:bookmarkStart w:id="550" w:name="_Toc227955698"/>
            <w:bookmarkStart w:id="551" w:name="_Toc228733666"/>
            <w:bookmarkStart w:id="552" w:name="_Toc227926713"/>
            <w:r>
              <w:rPr>
                <w:b/>
                <w:color w:val="000000" w:themeColor="text1"/>
                <w:szCs w:val="21"/>
                <w14:textFill>
                  <w14:solidFill>
                    <w14:schemeClr w14:val="tx1"/>
                  </w14:solidFill>
                </w14:textFill>
              </w:rPr>
              <w:t>环境问题</w:t>
            </w:r>
            <w:bookmarkEnd w:id="549"/>
            <w:bookmarkEnd w:id="550"/>
            <w:bookmarkEnd w:id="551"/>
            <w:bookmarkEnd w:id="552"/>
          </w:p>
        </w:tc>
        <w:tc>
          <w:tcPr>
            <w:tcW w:w="3120" w:type="dxa"/>
            <w:vAlign w:val="center"/>
          </w:tcPr>
          <w:p w14:paraId="24A98357">
            <w:pPr>
              <w:adjustRightInd w:val="0"/>
              <w:snapToGrid w:val="0"/>
              <w:jc w:val="center"/>
              <w:rPr>
                <w:b/>
                <w:color w:val="000000" w:themeColor="text1"/>
                <w:szCs w:val="21"/>
                <w14:textFill>
                  <w14:solidFill>
                    <w14:schemeClr w14:val="tx1"/>
                  </w14:solidFill>
                </w14:textFill>
              </w:rPr>
            </w:pPr>
            <w:bookmarkStart w:id="553" w:name="_Toc228787172"/>
            <w:bookmarkStart w:id="554" w:name="_Toc227955699"/>
            <w:bookmarkStart w:id="555" w:name="_Toc228733667"/>
            <w:bookmarkStart w:id="556" w:name="_Toc227926714"/>
            <w:r>
              <w:rPr>
                <w:b/>
                <w:color w:val="000000" w:themeColor="text1"/>
                <w:szCs w:val="21"/>
                <w14:textFill>
                  <w14:solidFill>
                    <w14:schemeClr w14:val="tx1"/>
                  </w14:solidFill>
                </w14:textFill>
              </w:rPr>
              <w:t>环保措施要求</w:t>
            </w:r>
            <w:bookmarkEnd w:id="553"/>
            <w:bookmarkEnd w:id="554"/>
            <w:bookmarkEnd w:id="555"/>
            <w:bookmarkEnd w:id="556"/>
          </w:p>
        </w:tc>
        <w:tc>
          <w:tcPr>
            <w:tcW w:w="1132" w:type="dxa"/>
            <w:vAlign w:val="center"/>
          </w:tcPr>
          <w:p w14:paraId="79C8C15C">
            <w:pPr>
              <w:adjustRightInd w:val="0"/>
              <w:snapToGrid w:val="0"/>
              <w:jc w:val="center"/>
              <w:rPr>
                <w:b/>
                <w:color w:val="000000" w:themeColor="text1"/>
                <w:szCs w:val="21"/>
                <w14:textFill>
                  <w14:solidFill>
                    <w14:schemeClr w14:val="tx1"/>
                  </w14:solidFill>
                </w14:textFill>
              </w:rPr>
            </w:pPr>
            <w:bookmarkStart w:id="557" w:name="_Toc227926715"/>
            <w:bookmarkStart w:id="558" w:name="_Toc228787173"/>
            <w:bookmarkStart w:id="559" w:name="_Toc228733668"/>
            <w:bookmarkStart w:id="560" w:name="_Toc227955700"/>
            <w:r>
              <w:rPr>
                <w:b/>
                <w:color w:val="000000" w:themeColor="text1"/>
                <w:szCs w:val="21"/>
                <w14:textFill>
                  <w14:solidFill>
                    <w14:schemeClr w14:val="tx1"/>
                  </w14:solidFill>
                </w14:textFill>
              </w:rPr>
              <w:t>执行单位</w:t>
            </w:r>
            <w:bookmarkEnd w:id="557"/>
            <w:bookmarkEnd w:id="558"/>
            <w:bookmarkEnd w:id="559"/>
            <w:bookmarkEnd w:id="560"/>
          </w:p>
        </w:tc>
        <w:tc>
          <w:tcPr>
            <w:tcW w:w="2828" w:type="dxa"/>
            <w:vAlign w:val="center"/>
          </w:tcPr>
          <w:p w14:paraId="5AF13519">
            <w:pPr>
              <w:adjustRightInd w:val="0"/>
              <w:snapToGrid w:val="0"/>
              <w:jc w:val="center"/>
              <w:rPr>
                <w:b/>
                <w:color w:val="000000" w:themeColor="text1"/>
                <w:szCs w:val="21"/>
                <w14:textFill>
                  <w14:solidFill>
                    <w14:schemeClr w14:val="tx1"/>
                  </w14:solidFill>
                </w14:textFill>
              </w:rPr>
            </w:pPr>
            <w:bookmarkStart w:id="561" w:name="_Toc227926716"/>
            <w:bookmarkStart w:id="562" w:name="_Toc227955701"/>
            <w:bookmarkStart w:id="563" w:name="_Toc228733669"/>
            <w:bookmarkStart w:id="564" w:name="_Toc228787174"/>
            <w:r>
              <w:rPr>
                <w:b/>
                <w:color w:val="000000" w:themeColor="text1"/>
                <w:szCs w:val="21"/>
                <w14:textFill>
                  <w14:solidFill>
                    <w14:schemeClr w14:val="tx1"/>
                  </w14:solidFill>
                </w14:textFill>
              </w:rPr>
              <w:t>监督管理部门</w:t>
            </w:r>
            <w:bookmarkEnd w:id="561"/>
            <w:bookmarkEnd w:id="562"/>
            <w:bookmarkEnd w:id="563"/>
            <w:bookmarkEnd w:id="564"/>
          </w:p>
        </w:tc>
      </w:tr>
      <w:tr w14:paraId="07DB20A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restart"/>
            <w:vAlign w:val="center"/>
          </w:tcPr>
          <w:p w14:paraId="594588FC">
            <w:pPr>
              <w:adjustRightInd w:val="0"/>
              <w:snapToGrid w:val="0"/>
              <w:jc w:val="center"/>
              <w:rPr>
                <w:color w:val="000000" w:themeColor="text1"/>
                <w:szCs w:val="21"/>
                <w14:textFill>
                  <w14:solidFill>
                    <w14:schemeClr w14:val="tx1"/>
                  </w14:solidFill>
                </w14:textFill>
              </w:rPr>
            </w:pPr>
            <w:bookmarkStart w:id="565" w:name="_Toc227926717"/>
            <w:bookmarkStart w:id="566" w:name="_Toc228733670"/>
            <w:bookmarkStart w:id="567" w:name="_Toc228787175"/>
            <w:bookmarkStart w:id="568" w:name="_Toc227955702"/>
            <w:r>
              <w:rPr>
                <w:color w:val="000000" w:themeColor="text1"/>
                <w:szCs w:val="21"/>
                <w14:textFill>
                  <w14:solidFill>
                    <w14:schemeClr w14:val="tx1"/>
                  </w14:solidFill>
                </w14:textFill>
              </w:rPr>
              <w:t>建</w:t>
            </w:r>
          </w:p>
          <w:p w14:paraId="30E3CD7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w:t>
            </w:r>
          </w:p>
          <w:p w14:paraId="6754559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bookmarkEnd w:id="565"/>
            <w:bookmarkEnd w:id="566"/>
            <w:bookmarkEnd w:id="567"/>
            <w:bookmarkEnd w:id="568"/>
          </w:p>
        </w:tc>
        <w:tc>
          <w:tcPr>
            <w:tcW w:w="1134" w:type="dxa"/>
            <w:vAlign w:val="center"/>
          </w:tcPr>
          <w:p w14:paraId="0B3A6C99">
            <w:pPr>
              <w:adjustRightInd w:val="0"/>
              <w:snapToGrid w:val="0"/>
              <w:jc w:val="center"/>
              <w:rPr>
                <w:color w:val="000000" w:themeColor="text1"/>
                <w:szCs w:val="21"/>
                <w14:textFill>
                  <w14:solidFill>
                    <w14:schemeClr w14:val="tx1"/>
                  </w14:solidFill>
                </w14:textFill>
              </w:rPr>
            </w:pPr>
            <w:bookmarkStart w:id="569" w:name="_Toc227926718"/>
            <w:bookmarkStart w:id="570" w:name="_Toc228787176"/>
            <w:bookmarkStart w:id="571" w:name="_Toc227955703"/>
            <w:bookmarkStart w:id="572" w:name="_Toc228733671"/>
            <w:r>
              <w:rPr>
                <w:color w:val="000000" w:themeColor="text1"/>
                <w:szCs w:val="21"/>
                <w14:textFill>
                  <w14:solidFill>
                    <w14:schemeClr w14:val="tx1"/>
                  </w14:solidFill>
                </w14:textFill>
              </w:rPr>
              <w:t>施工扬尘</w:t>
            </w:r>
            <w:bookmarkEnd w:id="569"/>
            <w:bookmarkEnd w:id="570"/>
            <w:bookmarkEnd w:id="571"/>
            <w:bookmarkEnd w:id="572"/>
          </w:p>
        </w:tc>
        <w:tc>
          <w:tcPr>
            <w:tcW w:w="3120" w:type="dxa"/>
            <w:vAlign w:val="center"/>
          </w:tcPr>
          <w:p w14:paraId="056E2BF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维护场地清洁，设置围挡（不低于2.5米），场地内洒水抑尘，车辆限速行驶、加强管理等措施。</w:t>
            </w:r>
          </w:p>
        </w:tc>
        <w:tc>
          <w:tcPr>
            <w:tcW w:w="1132" w:type="dxa"/>
            <w:vAlign w:val="center"/>
          </w:tcPr>
          <w:p w14:paraId="2D5F46CA">
            <w:pPr>
              <w:adjustRightInd w:val="0"/>
              <w:snapToGrid w:val="0"/>
              <w:jc w:val="center"/>
              <w:rPr>
                <w:color w:val="000000" w:themeColor="text1"/>
                <w:szCs w:val="21"/>
                <w14:textFill>
                  <w14:solidFill>
                    <w14:schemeClr w14:val="tx1"/>
                  </w14:solidFill>
                </w14:textFill>
              </w:rPr>
            </w:pPr>
            <w:bookmarkStart w:id="573" w:name="_Toc227926720"/>
            <w:bookmarkStart w:id="574" w:name="_Toc228787178"/>
            <w:bookmarkStart w:id="575" w:name="_Toc228733673"/>
            <w:bookmarkStart w:id="576" w:name="_Toc227955705"/>
            <w:r>
              <w:rPr>
                <w:color w:val="000000" w:themeColor="text1"/>
                <w:szCs w:val="21"/>
                <w14:textFill>
                  <w14:solidFill>
                    <w14:schemeClr w14:val="tx1"/>
                  </w14:solidFill>
                </w14:textFill>
              </w:rPr>
              <w:t>施工单位</w:t>
            </w:r>
            <w:bookmarkEnd w:id="573"/>
            <w:bookmarkEnd w:id="574"/>
            <w:bookmarkEnd w:id="575"/>
            <w:bookmarkEnd w:id="576"/>
          </w:p>
        </w:tc>
        <w:tc>
          <w:tcPr>
            <w:tcW w:w="2828" w:type="dxa"/>
            <w:vAlign w:val="center"/>
          </w:tcPr>
          <w:p w14:paraId="2F7D8EE0">
            <w:pPr>
              <w:adjustRightInd w:val="0"/>
              <w:snapToGrid w:val="0"/>
              <w:jc w:val="center"/>
              <w:rPr>
                <w:color w:val="000000" w:themeColor="text1"/>
                <w:szCs w:val="21"/>
                <w14:textFill>
                  <w14:solidFill>
                    <w14:schemeClr w14:val="tx1"/>
                  </w14:solidFill>
                </w14:textFill>
              </w:rPr>
            </w:pPr>
            <w:bookmarkStart w:id="577" w:name="_Toc227926721"/>
            <w:bookmarkStart w:id="578" w:name="_Toc228787179"/>
            <w:bookmarkStart w:id="579" w:name="_Toc227955706"/>
            <w:bookmarkStart w:id="580" w:name="_Toc228733674"/>
            <w:r>
              <w:rPr>
                <w:color w:val="000000" w:themeColor="text1"/>
                <w:szCs w:val="21"/>
                <w14:textFill>
                  <w14:solidFill>
                    <w14:schemeClr w14:val="tx1"/>
                  </w14:solidFill>
                </w14:textFill>
              </w:rPr>
              <w:t>工程监理部门</w:t>
            </w:r>
            <w:bookmarkEnd w:id="577"/>
            <w:bookmarkEnd w:id="578"/>
            <w:bookmarkEnd w:id="579"/>
            <w:bookmarkEnd w:id="580"/>
            <w:bookmarkStart w:id="581" w:name="_Toc227955707"/>
            <w:bookmarkStart w:id="582" w:name="_Toc228787180"/>
            <w:bookmarkStart w:id="583" w:name="_Toc228733675"/>
            <w:bookmarkStart w:id="584" w:name="_Toc227926722"/>
            <w:r>
              <w:rPr>
                <w:color w:val="000000" w:themeColor="text1"/>
                <w:szCs w:val="21"/>
                <w14:textFill>
                  <w14:solidFill>
                    <w14:schemeClr w14:val="tx1"/>
                  </w14:solidFill>
                </w14:textFill>
              </w:rPr>
              <w:t>，芒市环境</w:t>
            </w:r>
            <w:bookmarkEnd w:id="581"/>
            <w:bookmarkEnd w:id="582"/>
            <w:bookmarkEnd w:id="583"/>
            <w:bookmarkEnd w:id="584"/>
            <w:r>
              <w:rPr>
                <w:color w:val="000000" w:themeColor="text1"/>
                <w:szCs w:val="21"/>
                <w14:textFill>
                  <w14:solidFill>
                    <w14:schemeClr w14:val="tx1"/>
                  </w14:solidFill>
                </w14:textFill>
              </w:rPr>
              <w:t>执法部门</w:t>
            </w:r>
          </w:p>
        </w:tc>
      </w:tr>
      <w:tr w14:paraId="19DC63A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08225C25">
            <w:pPr>
              <w:adjustRightInd w:val="0"/>
              <w:snapToGrid w:val="0"/>
              <w:jc w:val="center"/>
              <w:rPr>
                <w:color w:val="000000" w:themeColor="text1"/>
                <w:szCs w:val="21"/>
                <w14:textFill>
                  <w14:solidFill>
                    <w14:schemeClr w14:val="tx1"/>
                  </w14:solidFill>
                </w14:textFill>
              </w:rPr>
            </w:pPr>
          </w:p>
        </w:tc>
        <w:tc>
          <w:tcPr>
            <w:tcW w:w="1134" w:type="dxa"/>
            <w:vAlign w:val="center"/>
          </w:tcPr>
          <w:p w14:paraId="3B284687">
            <w:pPr>
              <w:adjustRightInd w:val="0"/>
              <w:snapToGrid w:val="0"/>
              <w:jc w:val="center"/>
              <w:rPr>
                <w:color w:val="000000" w:themeColor="text1"/>
                <w:szCs w:val="21"/>
                <w14:textFill>
                  <w14:solidFill>
                    <w14:schemeClr w14:val="tx1"/>
                  </w14:solidFill>
                </w14:textFill>
              </w:rPr>
            </w:pPr>
            <w:bookmarkStart w:id="585" w:name="_Toc228733676"/>
            <w:bookmarkStart w:id="586" w:name="_Toc228787181"/>
            <w:bookmarkStart w:id="587" w:name="_Toc227955708"/>
            <w:bookmarkStart w:id="588" w:name="_Toc227926723"/>
            <w:r>
              <w:rPr>
                <w:color w:val="000000" w:themeColor="text1"/>
                <w:szCs w:val="21"/>
                <w14:textFill>
                  <w14:solidFill>
                    <w14:schemeClr w14:val="tx1"/>
                  </w14:solidFill>
                </w14:textFill>
              </w:rPr>
              <w:t>废水</w:t>
            </w:r>
            <w:bookmarkEnd w:id="585"/>
            <w:bookmarkEnd w:id="586"/>
            <w:bookmarkEnd w:id="587"/>
            <w:bookmarkEnd w:id="588"/>
          </w:p>
        </w:tc>
        <w:tc>
          <w:tcPr>
            <w:tcW w:w="3120" w:type="dxa"/>
            <w:vAlign w:val="center"/>
          </w:tcPr>
          <w:p w14:paraId="23D7D811">
            <w:pPr>
              <w:pStyle w:val="55"/>
              <w:rPr>
                <w:color w:val="000000" w:themeColor="text1"/>
                <w:sz w:val="21"/>
                <w14:textFill>
                  <w14:solidFill>
                    <w14:schemeClr w14:val="tx1"/>
                  </w14:solidFill>
                </w14:textFill>
              </w:rPr>
            </w:pPr>
            <w:r>
              <w:rPr>
                <w:color w:val="000000" w:themeColor="text1"/>
                <w:sz w:val="21"/>
                <w14:textFill>
                  <w14:solidFill>
                    <w14:schemeClr w14:val="tx1"/>
                  </w14:solidFill>
                </w14:textFill>
              </w:rPr>
              <w:t>沉淀池（1个，每个</w:t>
            </w:r>
            <w:r>
              <w:rPr>
                <w:rFonts w:hint="eastAsia"/>
                <w:color w:val="000000" w:themeColor="text1"/>
                <w:sz w:val="21"/>
                <w14:textFill>
                  <w14:solidFill>
                    <w14:schemeClr w14:val="tx1"/>
                  </w14:solidFill>
                </w14:textFill>
              </w:rPr>
              <w:t>10</w:t>
            </w:r>
            <w:r>
              <w:rPr>
                <w:color w:val="000000" w:themeColor="text1"/>
                <w:sz w:val="21"/>
                <w14:textFill>
                  <w14:solidFill>
                    <w14:schemeClr w14:val="tx1"/>
                  </w14:solidFill>
                </w14:textFill>
              </w:rPr>
              <w:t>m</w:t>
            </w:r>
            <w:r>
              <w:rPr>
                <w:color w:val="000000" w:themeColor="text1"/>
                <w:sz w:val="21"/>
                <w:vertAlign w:val="superscript"/>
                <w14:textFill>
                  <w14:solidFill>
                    <w14:schemeClr w14:val="tx1"/>
                  </w14:solidFill>
                </w14:textFill>
              </w:rPr>
              <w:t>3</w:t>
            </w:r>
            <w:r>
              <w:rPr>
                <w:color w:val="000000" w:themeColor="text1"/>
                <w:sz w:val="21"/>
                <w14:textFill>
                  <w14:solidFill>
                    <w14:schemeClr w14:val="tx1"/>
                  </w14:solidFill>
                </w14:textFill>
              </w:rPr>
              <w:t>）</w:t>
            </w:r>
          </w:p>
        </w:tc>
        <w:tc>
          <w:tcPr>
            <w:tcW w:w="1132" w:type="dxa"/>
            <w:vAlign w:val="center"/>
          </w:tcPr>
          <w:p w14:paraId="0D470DDD">
            <w:pPr>
              <w:adjustRightInd w:val="0"/>
              <w:snapToGrid w:val="0"/>
              <w:jc w:val="center"/>
              <w:rPr>
                <w:color w:val="000000" w:themeColor="text1"/>
                <w:szCs w:val="21"/>
                <w14:textFill>
                  <w14:solidFill>
                    <w14:schemeClr w14:val="tx1"/>
                  </w14:solidFill>
                </w14:textFill>
              </w:rPr>
            </w:pPr>
            <w:bookmarkStart w:id="589" w:name="_Toc227926725"/>
            <w:bookmarkStart w:id="590" w:name="_Toc228787183"/>
            <w:bookmarkStart w:id="591" w:name="_Toc227955710"/>
            <w:bookmarkStart w:id="592" w:name="_Toc228733678"/>
            <w:r>
              <w:rPr>
                <w:color w:val="000000" w:themeColor="text1"/>
                <w:szCs w:val="21"/>
                <w14:textFill>
                  <w14:solidFill>
                    <w14:schemeClr w14:val="tx1"/>
                  </w14:solidFill>
                </w14:textFill>
              </w:rPr>
              <w:t>施工单位</w:t>
            </w:r>
            <w:bookmarkEnd w:id="589"/>
            <w:bookmarkEnd w:id="590"/>
            <w:bookmarkEnd w:id="591"/>
            <w:bookmarkEnd w:id="592"/>
          </w:p>
        </w:tc>
        <w:tc>
          <w:tcPr>
            <w:tcW w:w="2828" w:type="dxa"/>
            <w:vAlign w:val="center"/>
          </w:tcPr>
          <w:p w14:paraId="236663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工程监理部门，芒市环境执法部门</w:t>
            </w:r>
          </w:p>
        </w:tc>
      </w:tr>
      <w:tr w14:paraId="0851827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27854D38">
            <w:pPr>
              <w:adjustRightInd w:val="0"/>
              <w:snapToGrid w:val="0"/>
              <w:jc w:val="center"/>
              <w:rPr>
                <w:color w:val="000000" w:themeColor="text1"/>
                <w:szCs w:val="21"/>
                <w14:textFill>
                  <w14:solidFill>
                    <w14:schemeClr w14:val="tx1"/>
                  </w14:solidFill>
                </w14:textFill>
              </w:rPr>
            </w:pPr>
          </w:p>
        </w:tc>
        <w:tc>
          <w:tcPr>
            <w:tcW w:w="1134" w:type="dxa"/>
            <w:vAlign w:val="center"/>
          </w:tcPr>
          <w:p w14:paraId="1B918F8B">
            <w:pPr>
              <w:adjustRightInd w:val="0"/>
              <w:snapToGrid w:val="0"/>
              <w:jc w:val="center"/>
              <w:rPr>
                <w:color w:val="000000" w:themeColor="text1"/>
                <w:szCs w:val="21"/>
                <w14:textFill>
                  <w14:solidFill>
                    <w14:schemeClr w14:val="tx1"/>
                  </w14:solidFill>
                </w14:textFill>
              </w:rPr>
            </w:pPr>
            <w:bookmarkStart w:id="593" w:name="_Toc227955713"/>
            <w:bookmarkStart w:id="594" w:name="_Toc228787186"/>
            <w:bookmarkStart w:id="595" w:name="_Toc228733681"/>
            <w:bookmarkStart w:id="596" w:name="_Toc227926728"/>
            <w:r>
              <w:rPr>
                <w:color w:val="000000" w:themeColor="text1"/>
                <w:szCs w:val="21"/>
                <w14:textFill>
                  <w14:solidFill>
                    <w14:schemeClr w14:val="tx1"/>
                  </w14:solidFill>
                </w14:textFill>
              </w:rPr>
              <w:t>噪声</w:t>
            </w:r>
            <w:bookmarkEnd w:id="593"/>
            <w:bookmarkEnd w:id="594"/>
            <w:bookmarkEnd w:id="595"/>
            <w:bookmarkEnd w:id="596"/>
          </w:p>
        </w:tc>
        <w:tc>
          <w:tcPr>
            <w:tcW w:w="3120" w:type="dxa"/>
            <w:vAlign w:val="center"/>
          </w:tcPr>
          <w:p w14:paraId="729D6C2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严格文明施工，合理安排施工时间，选用噪声值小的机械设备，加强机械维护等</w:t>
            </w:r>
          </w:p>
        </w:tc>
        <w:tc>
          <w:tcPr>
            <w:tcW w:w="1132" w:type="dxa"/>
            <w:vAlign w:val="center"/>
          </w:tcPr>
          <w:p w14:paraId="58258233">
            <w:pPr>
              <w:adjustRightInd w:val="0"/>
              <w:snapToGrid w:val="0"/>
              <w:jc w:val="center"/>
              <w:rPr>
                <w:color w:val="000000" w:themeColor="text1"/>
                <w:szCs w:val="21"/>
                <w14:textFill>
                  <w14:solidFill>
                    <w14:schemeClr w14:val="tx1"/>
                  </w14:solidFill>
                </w14:textFill>
              </w:rPr>
            </w:pPr>
            <w:bookmarkStart w:id="597" w:name="_Toc227955715"/>
            <w:bookmarkStart w:id="598" w:name="_Toc228787188"/>
            <w:bookmarkStart w:id="599" w:name="_Toc227926730"/>
            <w:bookmarkStart w:id="600" w:name="_Toc228733683"/>
            <w:r>
              <w:rPr>
                <w:color w:val="000000" w:themeColor="text1"/>
                <w:szCs w:val="21"/>
                <w14:textFill>
                  <w14:solidFill>
                    <w14:schemeClr w14:val="tx1"/>
                  </w14:solidFill>
                </w14:textFill>
              </w:rPr>
              <w:t>施工单位</w:t>
            </w:r>
            <w:bookmarkEnd w:id="597"/>
            <w:bookmarkEnd w:id="598"/>
            <w:bookmarkEnd w:id="599"/>
            <w:bookmarkEnd w:id="600"/>
          </w:p>
        </w:tc>
        <w:tc>
          <w:tcPr>
            <w:tcW w:w="2828" w:type="dxa"/>
            <w:vAlign w:val="center"/>
          </w:tcPr>
          <w:p w14:paraId="2499D9A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工程监理部门，芒市环境执法部门</w:t>
            </w:r>
          </w:p>
        </w:tc>
      </w:tr>
      <w:tr w14:paraId="6C3850C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77ECC2E9">
            <w:pPr>
              <w:adjustRightInd w:val="0"/>
              <w:snapToGrid w:val="0"/>
              <w:jc w:val="center"/>
              <w:rPr>
                <w:color w:val="000000" w:themeColor="text1"/>
                <w:szCs w:val="21"/>
                <w14:textFill>
                  <w14:solidFill>
                    <w14:schemeClr w14:val="tx1"/>
                  </w14:solidFill>
                </w14:textFill>
              </w:rPr>
            </w:pPr>
          </w:p>
        </w:tc>
        <w:tc>
          <w:tcPr>
            <w:tcW w:w="1134" w:type="dxa"/>
            <w:vAlign w:val="center"/>
          </w:tcPr>
          <w:p w14:paraId="4A5E3A0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建筑垃圾</w:t>
            </w:r>
          </w:p>
        </w:tc>
        <w:tc>
          <w:tcPr>
            <w:tcW w:w="3120" w:type="dxa"/>
            <w:vAlign w:val="center"/>
          </w:tcPr>
          <w:p w14:paraId="610AD61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有资质的单位清运</w:t>
            </w:r>
          </w:p>
        </w:tc>
        <w:tc>
          <w:tcPr>
            <w:tcW w:w="1132" w:type="dxa"/>
            <w:vAlign w:val="center"/>
          </w:tcPr>
          <w:p w14:paraId="132D9E6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施工单位</w:t>
            </w:r>
          </w:p>
        </w:tc>
        <w:tc>
          <w:tcPr>
            <w:tcW w:w="2828" w:type="dxa"/>
            <w:vAlign w:val="center"/>
          </w:tcPr>
          <w:p w14:paraId="19B55C6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芒市城市管理和环境执法部门</w:t>
            </w:r>
          </w:p>
        </w:tc>
      </w:tr>
      <w:tr w14:paraId="56B7184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467EE47E">
            <w:pPr>
              <w:adjustRightInd w:val="0"/>
              <w:snapToGrid w:val="0"/>
              <w:jc w:val="center"/>
              <w:rPr>
                <w:color w:val="000000" w:themeColor="text1"/>
                <w:szCs w:val="21"/>
                <w14:textFill>
                  <w14:solidFill>
                    <w14:schemeClr w14:val="tx1"/>
                  </w14:solidFill>
                </w14:textFill>
              </w:rPr>
            </w:pPr>
          </w:p>
        </w:tc>
        <w:tc>
          <w:tcPr>
            <w:tcW w:w="1134" w:type="dxa"/>
            <w:vAlign w:val="center"/>
          </w:tcPr>
          <w:p w14:paraId="6581E91F">
            <w:pPr>
              <w:adjustRightInd w:val="0"/>
              <w:snapToGrid w:val="0"/>
              <w:jc w:val="center"/>
              <w:rPr>
                <w:color w:val="000000" w:themeColor="text1"/>
                <w:szCs w:val="21"/>
                <w14:textFill>
                  <w14:solidFill>
                    <w14:schemeClr w14:val="tx1"/>
                  </w14:solidFill>
                </w14:textFill>
              </w:rPr>
            </w:pPr>
            <w:bookmarkStart w:id="601" w:name="_Toc227955718"/>
            <w:bookmarkStart w:id="602" w:name="_Toc227926733"/>
            <w:bookmarkStart w:id="603" w:name="_Toc228787191"/>
            <w:bookmarkStart w:id="604" w:name="_Toc228733686"/>
            <w:r>
              <w:rPr>
                <w:color w:val="000000" w:themeColor="text1"/>
                <w:szCs w:val="21"/>
                <w14:textFill>
                  <w14:solidFill>
                    <w14:schemeClr w14:val="tx1"/>
                  </w14:solidFill>
                </w14:textFill>
              </w:rPr>
              <w:t>生活固废</w:t>
            </w:r>
            <w:bookmarkEnd w:id="601"/>
            <w:bookmarkEnd w:id="602"/>
            <w:bookmarkEnd w:id="603"/>
            <w:bookmarkEnd w:id="604"/>
          </w:p>
        </w:tc>
        <w:tc>
          <w:tcPr>
            <w:tcW w:w="3120" w:type="dxa"/>
            <w:vAlign w:val="center"/>
          </w:tcPr>
          <w:p w14:paraId="7F45BE9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集中后请环卫部门清运</w:t>
            </w:r>
          </w:p>
        </w:tc>
        <w:tc>
          <w:tcPr>
            <w:tcW w:w="1132" w:type="dxa"/>
            <w:vAlign w:val="center"/>
          </w:tcPr>
          <w:p w14:paraId="6C918E6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施工单位</w:t>
            </w:r>
          </w:p>
        </w:tc>
        <w:tc>
          <w:tcPr>
            <w:tcW w:w="2828" w:type="dxa"/>
            <w:vAlign w:val="center"/>
          </w:tcPr>
          <w:p w14:paraId="19F95A2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工程监理部门，芒市环境执法部门</w:t>
            </w:r>
          </w:p>
        </w:tc>
      </w:tr>
    </w:tbl>
    <w:p w14:paraId="17E040A5">
      <w:pPr>
        <w:pStyle w:val="4"/>
        <w:rPr>
          <w:rFonts w:ascii="Times New Roman" w:hAnsi="Times New Roman"/>
          <w:color w:val="000000" w:themeColor="text1"/>
          <w14:textFill>
            <w14:solidFill>
              <w14:schemeClr w14:val="tx1"/>
            </w14:solidFill>
          </w14:textFill>
        </w:rPr>
      </w:pPr>
      <w:bookmarkStart w:id="605" w:name="_Toc2773801"/>
      <w:r>
        <w:rPr>
          <w:rFonts w:ascii="Times New Roman" w:hAnsi="Times New Roman"/>
          <w:color w:val="000000" w:themeColor="text1"/>
          <w14:textFill>
            <w14:solidFill>
              <w14:schemeClr w14:val="tx1"/>
            </w14:solidFill>
          </w14:textFill>
        </w:rPr>
        <w:t>11.6环境监测计划</w:t>
      </w:r>
      <w:bookmarkEnd w:id="605"/>
    </w:p>
    <w:p w14:paraId="321191C3">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环境监测与控制是环境管理体系的重要组成部分。环境监测与控制计划的制定和执行，将保证环境管理措施的实施和落实，及时发现环境管理措施本身的不足和实施中存在的问题，并据此及时修改和改进，使环境质量和环境资源维持在希望值之内。</w:t>
      </w:r>
    </w:p>
    <w:p w14:paraId="369C5D8F">
      <w:pPr>
        <w:pStyle w:val="108"/>
        <w:adjustRightInd w:val="0"/>
        <w:snapToGrid w:val="0"/>
        <w:ind w:firstLine="482"/>
        <w:rPr>
          <w:rFonts w:hAnsi="Times New Roman"/>
          <w:b/>
          <w:color w:val="000000" w:themeColor="text1"/>
          <w14:textFill>
            <w14:solidFill>
              <w14:schemeClr w14:val="tx1"/>
            </w14:solidFill>
          </w14:textFill>
        </w:rPr>
      </w:pPr>
      <w:r>
        <w:rPr>
          <w:rFonts w:hAnsi="Times New Roman"/>
          <w:b/>
          <w:color w:val="000000" w:themeColor="text1"/>
          <w14:textFill>
            <w14:solidFill>
              <w14:schemeClr w14:val="tx1"/>
            </w14:solidFill>
          </w14:textFill>
        </w:rPr>
        <w:t>（1）废气监测</w:t>
      </w:r>
    </w:p>
    <w:p w14:paraId="66A6C717">
      <w:pPr>
        <w:pStyle w:val="108"/>
        <w:adjustRightInd w:val="0"/>
        <w:snapToGrid w:val="0"/>
        <w:ind w:firstLine="482"/>
        <w:rPr>
          <w:rFonts w:hAnsi="Times New Roman"/>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①</w:t>
      </w:r>
      <w:r>
        <w:rPr>
          <w:rFonts w:hAnsi="Times New Roman"/>
          <w:b/>
          <w:color w:val="000000" w:themeColor="text1"/>
          <w14:textFill>
            <w14:solidFill>
              <w14:schemeClr w14:val="tx1"/>
            </w14:solidFill>
          </w14:textFill>
        </w:rPr>
        <w:t>造粒工序热熔挤出废气排气筒</w:t>
      </w:r>
    </w:p>
    <w:p w14:paraId="77BF314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监测项目：颗粒物、非甲烷总烃、废气量。</w:t>
      </w:r>
    </w:p>
    <w:p w14:paraId="09CAF174">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监测点位：排气筒采样口。</w:t>
      </w:r>
    </w:p>
    <w:p w14:paraId="26405794">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监测和分析方法：按照</w:t>
      </w:r>
      <w:r>
        <w:rPr>
          <w:rFonts w:hint="eastAsia" w:hAnsi="Times New Roman"/>
          <w:color w:val="000000" w:themeColor="text1"/>
          <w:lang w:eastAsia="zh-CN"/>
          <w14:textFill>
            <w14:solidFill>
              <w14:schemeClr w14:val="tx1"/>
            </w14:solidFill>
          </w14:textFill>
        </w:rPr>
        <w:t>生态环境部</w:t>
      </w:r>
      <w:r>
        <w:rPr>
          <w:rFonts w:hAnsi="Times New Roman"/>
          <w:color w:val="000000" w:themeColor="text1"/>
          <w14:textFill>
            <w14:solidFill>
              <w14:schemeClr w14:val="tx1"/>
            </w14:solidFill>
          </w14:textFill>
        </w:rPr>
        <w:t>有关管理规定和标准执行。</w:t>
      </w:r>
    </w:p>
    <w:p w14:paraId="539B3C37">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监测频率：按国家规定。</w:t>
      </w:r>
    </w:p>
    <w:p w14:paraId="369717F0">
      <w:pPr>
        <w:pStyle w:val="108"/>
        <w:adjustRightInd w:val="0"/>
        <w:snapToGrid w:val="0"/>
        <w:ind w:firstLine="482"/>
        <w:rPr>
          <w:rFonts w:hAnsi="Times New Roman"/>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②</w:t>
      </w:r>
      <w:r>
        <w:rPr>
          <w:rFonts w:hAnsi="Times New Roman"/>
          <w:b/>
          <w:color w:val="000000" w:themeColor="text1"/>
          <w14:textFill>
            <w14:solidFill>
              <w14:schemeClr w14:val="tx1"/>
            </w14:solidFill>
          </w14:textFill>
        </w:rPr>
        <w:t>厂界无组织</w:t>
      </w:r>
    </w:p>
    <w:p w14:paraId="0D9F247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监测项目：颗粒物、非甲烷总烃、异味。</w:t>
      </w:r>
    </w:p>
    <w:p w14:paraId="5F9F0C42">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监测点位：厂界上风向、下风向。</w:t>
      </w:r>
    </w:p>
    <w:p w14:paraId="54B77A70">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监测和分析方法：按照</w:t>
      </w:r>
      <w:r>
        <w:rPr>
          <w:rFonts w:hint="eastAsia" w:hAnsi="Times New Roman"/>
          <w:color w:val="000000" w:themeColor="text1"/>
          <w:lang w:eastAsia="zh-CN"/>
          <w14:textFill>
            <w14:solidFill>
              <w14:schemeClr w14:val="tx1"/>
            </w14:solidFill>
          </w14:textFill>
        </w:rPr>
        <w:t>生态环境部</w:t>
      </w:r>
      <w:r>
        <w:rPr>
          <w:rFonts w:hAnsi="Times New Roman"/>
          <w:color w:val="000000" w:themeColor="text1"/>
          <w14:textFill>
            <w14:solidFill>
              <w14:schemeClr w14:val="tx1"/>
            </w14:solidFill>
          </w14:textFill>
        </w:rPr>
        <w:t>有关管理规定和标准执行。</w:t>
      </w:r>
    </w:p>
    <w:p w14:paraId="0247EA9C">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监测频率：按国家规定。</w:t>
      </w:r>
    </w:p>
    <w:p w14:paraId="24BC3167">
      <w:pPr>
        <w:pStyle w:val="108"/>
        <w:adjustRightInd w:val="0"/>
        <w:snapToGrid w:val="0"/>
        <w:ind w:firstLine="482"/>
        <w:rPr>
          <w:rFonts w:hAnsi="Times New Roman"/>
          <w:b/>
          <w:color w:val="000000" w:themeColor="text1"/>
          <w14:textFill>
            <w14:solidFill>
              <w14:schemeClr w14:val="tx1"/>
            </w14:solidFill>
          </w14:textFill>
        </w:rPr>
      </w:pPr>
      <w:r>
        <w:rPr>
          <w:rFonts w:hAnsi="Times New Roman"/>
          <w:b/>
          <w:color w:val="000000" w:themeColor="text1"/>
          <w14:textFill>
            <w14:solidFill>
              <w14:schemeClr w14:val="tx1"/>
            </w14:solidFill>
          </w14:textFill>
        </w:rPr>
        <w:t>（2）噪声监测</w:t>
      </w:r>
    </w:p>
    <w:p w14:paraId="272698BA">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监测布点：项目东面、西面、南面、北面厂界各1个点，共计4个。</w:t>
      </w:r>
    </w:p>
    <w:p w14:paraId="6177E691">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监测项目：LeqdB（A）。</w:t>
      </w:r>
    </w:p>
    <w:p w14:paraId="7456DFAB">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监测频率：按国家规定。</w:t>
      </w:r>
    </w:p>
    <w:p w14:paraId="3E2D9412">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监测和分析方法：按照</w:t>
      </w:r>
      <w:r>
        <w:rPr>
          <w:rFonts w:hint="eastAsia" w:hAnsi="Times New Roman"/>
          <w:color w:val="000000" w:themeColor="text1"/>
          <w:lang w:eastAsia="zh-CN"/>
          <w14:textFill>
            <w14:solidFill>
              <w14:schemeClr w14:val="tx1"/>
            </w14:solidFill>
          </w14:textFill>
        </w:rPr>
        <w:t>生态环境部</w:t>
      </w:r>
      <w:r>
        <w:rPr>
          <w:rFonts w:hAnsi="Times New Roman"/>
          <w:color w:val="000000" w:themeColor="text1"/>
          <w14:textFill>
            <w14:solidFill>
              <w14:schemeClr w14:val="tx1"/>
            </w14:solidFill>
          </w14:textFill>
        </w:rPr>
        <w:t>有关管理规定和标准执行。</w:t>
      </w:r>
    </w:p>
    <w:p w14:paraId="0ABD5EC3">
      <w:pPr>
        <w:pStyle w:val="108"/>
        <w:adjustRightInd w:val="0"/>
        <w:snapToGrid w:val="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项目运营期间环境监测计划如表11.6-1。</w:t>
      </w:r>
    </w:p>
    <w:p w14:paraId="1401695F">
      <w:pPr>
        <w:pStyle w:val="108"/>
        <w:adjustRightInd w:val="0"/>
        <w:snapToGrid w:val="0"/>
        <w:spacing w:line="240" w:lineRule="auto"/>
        <w:ind w:firstLine="482"/>
        <w:jc w:val="center"/>
        <w:rPr>
          <w:rFonts w:hAnsi="Times New Roman"/>
          <w:b/>
          <w:color w:val="000000" w:themeColor="text1"/>
          <w14:textFill>
            <w14:solidFill>
              <w14:schemeClr w14:val="tx1"/>
            </w14:solidFill>
          </w14:textFill>
        </w:rPr>
      </w:pPr>
      <w:r>
        <w:rPr>
          <w:rFonts w:hAnsi="Times New Roman"/>
          <w:b/>
          <w:color w:val="000000" w:themeColor="text1"/>
          <w14:textFill>
            <w14:solidFill>
              <w14:schemeClr w14:val="tx1"/>
            </w14:solidFill>
          </w14:textFill>
        </w:rPr>
        <w:t>表11.6-1  建设项目环境监测计划一览表</w:t>
      </w:r>
    </w:p>
    <w:tbl>
      <w:tblPr>
        <w:tblStyle w:val="42"/>
        <w:tblW w:w="8522"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572"/>
        <w:gridCol w:w="3294"/>
        <w:gridCol w:w="1468"/>
      </w:tblGrid>
      <w:tr w14:paraId="01C2103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C6DCEBD">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监测项目</w:t>
            </w:r>
          </w:p>
        </w:tc>
        <w:tc>
          <w:tcPr>
            <w:tcW w:w="2572" w:type="dxa"/>
            <w:vAlign w:val="center"/>
          </w:tcPr>
          <w:p w14:paraId="5E07235F">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监测点位</w:t>
            </w:r>
          </w:p>
        </w:tc>
        <w:tc>
          <w:tcPr>
            <w:tcW w:w="3294" w:type="dxa"/>
            <w:vAlign w:val="center"/>
          </w:tcPr>
          <w:p w14:paraId="5AA17992">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监测项目</w:t>
            </w:r>
          </w:p>
        </w:tc>
        <w:tc>
          <w:tcPr>
            <w:tcW w:w="1468" w:type="dxa"/>
            <w:vAlign w:val="center"/>
          </w:tcPr>
          <w:p w14:paraId="7CABA692">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监测时间及频率</w:t>
            </w:r>
          </w:p>
        </w:tc>
      </w:tr>
      <w:tr w14:paraId="7943E4F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Merge w:val="restart"/>
            <w:vAlign w:val="center"/>
          </w:tcPr>
          <w:p w14:paraId="6DB50D89">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废气</w:t>
            </w:r>
          </w:p>
        </w:tc>
        <w:tc>
          <w:tcPr>
            <w:tcW w:w="2572" w:type="dxa"/>
            <w:vAlign w:val="center"/>
          </w:tcPr>
          <w:p w14:paraId="4B7396D8">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造粒工序热熔挤出废气排气筒</w:t>
            </w:r>
          </w:p>
        </w:tc>
        <w:tc>
          <w:tcPr>
            <w:tcW w:w="3294" w:type="dxa"/>
            <w:vAlign w:val="center"/>
          </w:tcPr>
          <w:p w14:paraId="24D26227">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颗粒物、非甲烷总烃、废气量</w:t>
            </w:r>
          </w:p>
        </w:tc>
        <w:tc>
          <w:tcPr>
            <w:tcW w:w="1468" w:type="dxa"/>
            <w:vMerge w:val="restart"/>
            <w:vAlign w:val="center"/>
          </w:tcPr>
          <w:p w14:paraId="12C50F03">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按国家相关规定</w:t>
            </w:r>
          </w:p>
        </w:tc>
      </w:tr>
      <w:tr w14:paraId="4B96B6F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14:paraId="7DDD9415">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p>
        </w:tc>
        <w:tc>
          <w:tcPr>
            <w:tcW w:w="2572" w:type="dxa"/>
            <w:vAlign w:val="center"/>
          </w:tcPr>
          <w:p w14:paraId="1735B746">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厂界上风向、下风向</w:t>
            </w:r>
          </w:p>
        </w:tc>
        <w:tc>
          <w:tcPr>
            <w:tcW w:w="3294" w:type="dxa"/>
            <w:vAlign w:val="center"/>
          </w:tcPr>
          <w:p w14:paraId="114CB150">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颗粒物、非甲烷总烃、异味</w:t>
            </w:r>
          </w:p>
        </w:tc>
        <w:tc>
          <w:tcPr>
            <w:tcW w:w="1468" w:type="dxa"/>
            <w:vMerge w:val="continue"/>
            <w:vAlign w:val="center"/>
          </w:tcPr>
          <w:p w14:paraId="564E73F4">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p>
        </w:tc>
      </w:tr>
      <w:tr w14:paraId="7F44CCB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24141A">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int="eastAsia" w:hAnsi="Times New Roman"/>
                <w:snapToGrid w:val="0"/>
                <w:color w:val="000000" w:themeColor="text1"/>
                <w:sz w:val="21"/>
                <w:szCs w:val="21"/>
                <w14:textFill>
                  <w14:solidFill>
                    <w14:schemeClr w14:val="tx1"/>
                  </w14:solidFill>
                </w14:textFill>
              </w:rPr>
              <w:t>地下水</w:t>
            </w:r>
          </w:p>
        </w:tc>
        <w:tc>
          <w:tcPr>
            <w:tcW w:w="2572" w:type="dxa"/>
            <w:vAlign w:val="center"/>
          </w:tcPr>
          <w:p w14:paraId="428777DC">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int="eastAsia" w:hAnsi="Times New Roman"/>
                <w:snapToGrid w:val="0"/>
                <w:color w:val="000000" w:themeColor="text1"/>
                <w:sz w:val="21"/>
                <w:szCs w:val="21"/>
                <w14:textFill>
                  <w14:solidFill>
                    <w14:schemeClr w14:val="tx1"/>
                  </w14:solidFill>
                </w14:textFill>
              </w:rPr>
              <w:t>1个监测井</w:t>
            </w:r>
          </w:p>
        </w:tc>
        <w:tc>
          <w:tcPr>
            <w:tcW w:w="3294" w:type="dxa"/>
            <w:vAlign w:val="center"/>
          </w:tcPr>
          <w:p w14:paraId="4FFDB5A0">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pH、溶解性总固体、耗氧量、氨氮、挥发酚、氯化物、硫酸盐、氟化物、菌落总数、总大肠菌群、铁、锰、铅</w:t>
            </w:r>
          </w:p>
        </w:tc>
        <w:tc>
          <w:tcPr>
            <w:tcW w:w="1468" w:type="dxa"/>
            <w:vMerge w:val="continue"/>
            <w:vAlign w:val="center"/>
          </w:tcPr>
          <w:p w14:paraId="4D093CDF">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p>
        </w:tc>
      </w:tr>
      <w:tr w14:paraId="03D3C38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3AD73E">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噪声</w:t>
            </w:r>
          </w:p>
        </w:tc>
        <w:tc>
          <w:tcPr>
            <w:tcW w:w="2572" w:type="dxa"/>
            <w:vAlign w:val="center"/>
          </w:tcPr>
          <w:p w14:paraId="5C56057B">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项目东面、西面、南面、北面厂界各1个点</w:t>
            </w:r>
          </w:p>
        </w:tc>
        <w:tc>
          <w:tcPr>
            <w:tcW w:w="3294" w:type="dxa"/>
            <w:vAlign w:val="center"/>
          </w:tcPr>
          <w:p w14:paraId="3419BD2E">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r>
              <w:rPr>
                <w:rFonts w:hAnsi="Times New Roman"/>
                <w:snapToGrid w:val="0"/>
                <w:color w:val="000000" w:themeColor="text1"/>
                <w:sz w:val="21"/>
                <w:szCs w:val="21"/>
                <w14:textFill>
                  <w14:solidFill>
                    <w14:schemeClr w14:val="tx1"/>
                  </w14:solidFill>
                </w14:textFill>
              </w:rPr>
              <w:t>昼间、夜间噪声</w:t>
            </w:r>
          </w:p>
        </w:tc>
        <w:tc>
          <w:tcPr>
            <w:tcW w:w="1468" w:type="dxa"/>
            <w:vMerge w:val="continue"/>
            <w:vAlign w:val="center"/>
          </w:tcPr>
          <w:p w14:paraId="228E2A33">
            <w:pPr>
              <w:pStyle w:val="108"/>
              <w:adjustRightInd w:val="0"/>
              <w:snapToGrid w:val="0"/>
              <w:spacing w:line="240" w:lineRule="auto"/>
              <w:ind w:firstLine="0" w:firstLineChars="0"/>
              <w:jc w:val="center"/>
              <w:rPr>
                <w:rFonts w:hAnsi="Times New Roman"/>
                <w:snapToGrid w:val="0"/>
                <w:color w:val="000000" w:themeColor="text1"/>
                <w:sz w:val="21"/>
                <w:szCs w:val="21"/>
                <w14:textFill>
                  <w14:solidFill>
                    <w14:schemeClr w14:val="tx1"/>
                  </w14:solidFill>
                </w14:textFill>
              </w:rPr>
            </w:pPr>
          </w:p>
        </w:tc>
      </w:tr>
    </w:tbl>
    <w:p w14:paraId="5844F659">
      <w:pPr>
        <w:pStyle w:val="4"/>
        <w:rPr>
          <w:rFonts w:ascii="Times New Roman" w:hAnsi="Times New Roman"/>
          <w:color w:val="000000" w:themeColor="text1"/>
          <w14:textFill>
            <w14:solidFill>
              <w14:schemeClr w14:val="tx1"/>
            </w14:solidFill>
          </w14:textFill>
        </w:rPr>
      </w:pPr>
      <w:bookmarkStart w:id="606" w:name="_Toc241370948"/>
      <w:bookmarkStart w:id="607" w:name="_Toc2773802"/>
      <w:bookmarkStart w:id="608" w:name="_Toc237273599"/>
      <w:bookmarkStart w:id="609" w:name="_Toc338054107"/>
      <w:bookmarkStart w:id="610" w:name="_Toc228733709"/>
      <w:bookmarkStart w:id="611" w:name="_Toc322070062"/>
      <w:bookmarkStart w:id="612" w:name="_Toc363901425"/>
      <w:r>
        <w:rPr>
          <w:rFonts w:ascii="Times New Roman" w:hAnsi="Times New Roman"/>
          <w:color w:val="000000" w:themeColor="text1"/>
          <w14:textFill>
            <w14:solidFill>
              <w14:schemeClr w14:val="tx1"/>
            </w14:solidFill>
          </w14:textFill>
        </w:rPr>
        <w:t>11.7环保竣工验收</w:t>
      </w:r>
      <w:bookmarkEnd w:id="606"/>
      <w:bookmarkEnd w:id="607"/>
      <w:bookmarkEnd w:id="608"/>
      <w:bookmarkEnd w:id="609"/>
      <w:bookmarkEnd w:id="610"/>
      <w:bookmarkEnd w:id="611"/>
      <w:bookmarkEnd w:id="612"/>
    </w:p>
    <w:p w14:paraId="5738D21D">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根据建设单位项目“三同时”原则，在项目建设过程中，环境污染防治设施应与主体工程同时设计、同时施工、同时投入使用，拟建项目建成运营时，应对环保设施进行验收。项目环保竣工验收清单见表11.7-1。</w:t>
      </w:r>
    </w:p>
    <w:p w14:paraId="0EF4596A">
      <w:pPr>
        <w:shd w:val="clear" w:color="auto" w:fill="FFFFFF"/>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表11.7-1  拟建项目环境保护“三同时”验收一览表</w:t>
      </w:r>
    </w:p>
    <w:tbl>
      <w:tblPr>
        <w:tblStyle w:val="42"/>
        <w:tblW w:w="8858"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1559"/>
        <w:gridCol w:w="2977"/>
        <w:gridCol w:w="2654"/>
      </w:tblGrid>
      <w:tr w14:paraId="58CBD03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8" w:type="dxa"/>
            <w:gridSpan w:val="2"/>
            <w:vAlign w:val="center"/>
          </w:tcPr>
          <w:p w14:paraId="6D842CED">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污染源</w:t>
            </w:r>
          </w:p>
        </w:tc>
        <w:tc>
          <w:tcPr>
            <w:tcW w:w="1559" w:type="dxa"/>
            <w:vAlign w:val="center"/>
          </w:tcPr>
          <w:p w14:paraId="4D638589">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处理对象</w:t>
            </w:r>
          </w:p>
        </w:tc>
        <w:tc>
          <w:tcPr>
            <w:tcW w:w="2977" w:type="dxa"/>
            <w:vAlign w:val="center"/>
          </w:tcPr>
          <w:p w14:paraId="7F251AF7">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环保措施</w:t>
            </w:r>
          </w:p>
        </w:tc>
        <w:tc>
          <w:tcPr>
            <w:tcW w:w="2654" w:type="dxa"/>
            <w:vAlign w:val="center"/>
          </w:tcPr>
          <w:p w14:paraId="319A808D">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验收标准</w:t>
            </w:r>
          </w:p>
        </w:tc>
      </w:tr>
      <w:tr w14:paraId="7FEB1BD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restart"/>
            <w:vAlign w:val="center"/>
          </w:tcPr>
          <w:p w14:paraId="498FFEC8">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废气</w:t>
            </w:r>
          </w:p>
        </w:tc>
        <w:tc>
          <w:tcPr>
            <w:tcW w:w="1134" w:type="dxa"/>
            <w:vAlign w:val="center"/>
          </w:tcPr>
          <w:p w14:paraId="498A2754">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食堂</w:t>
            </w:r>
          </w:p>
        </w:tc>
        <w:tc>
          <w:tcPr>
            <w:tcW w:w="1559" w:type="dxa"/>
            <w:vAlign w:val="center"/>
          </w:tcPr>
          <w:p w14:paraId="4DD407D7">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油烟</w:t>
            </w:r>
          </w:p>
        </w:tc>
        <w:tc>
          <w:tcPr>
            <w:tcW w:w="2977" w:type="dxa"/>
            <w:vAlign w:val="center"/>
          </w:tcPr>
          <w:p w14:paraId="7E9D5859">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 xml:space="preserve">油烟净化系统，净化效率60% </w:t>
            </w:r>
          </w:p>
        </w:tc>
        <w:tc>
          <w:tcPr>
            <w:tcW w:w="2654" w:type="dxa"/>
            <w:vAlign w:val="center"/>
          </w:tcPr>
          <w:p w14:paraId="1951BD39">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满足《饮食业油烟排放标准》小型要求≤2.0mg/m</w:t>
            </w:r>
            <w:r>
              <w:rPr>
                <w:rFonts w:eastAsiaTheme="minorEastAsia"/>
                <w:color w:val="000000" w:themeColor="text1"/>
                <w:szCs w:val="21"/>
                <w:vertAlign w:val="superscript"/>
                <w14:textFill>
                  <w14:solidFill>
                    <w14:schemeClr w14:val="tx1"/>
                  </w14:solidFill>
                </w14:textFill>
              </w:rPr>
              <w:t>3</w:t>
            </w:r>
          </w:p>
        </w:tc>
      </w:tr>
      <w:tr w14:paraId="2C9D363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5D24A624">
            <w:pPr>
              <w:jc w:val="center"/>
              <w:rPr>
                <w:rFonts w:eastAsiaTheme="minorEastAsia"/>
                <w:b/>
                <w:color w:val="000000" w:themeColor="text1"/>
                <w:szCs w:val="21"/>
                <w:highlight w:val="yellow"/>
                <w14:textFill>
                  <w14:solidFill>
                    <w14:schemeClr w14:val="tx1"/>
                  </w14:solidFill>
                </w14:textFill>
              </w:rPr>
            </w:pPr>
          </w:p>
        </w:tc>
        <w:tc>
          <w:tcPr>
            <w:tcW w:w="1134" w:type="dxa"/>
            <w:vMerge w:val="restart"/>
            <w:vAlign w:val="center"/>
          </w:tcPr>
          <w:p w14:paraId="6ED5B805">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造粒工序</w:t>
            </w:r>
          </w:p>
        </w:tc>
        <w:tc>
          <w:tcPr>
            <w:tcW w:w="1559" w:type="dxa"/>
            <w:vMerge w:val="restart"/>
            <w:vAlign w:val="center"/>
          </w:tcPr>
          <w:p w14:paraId="3E76F6D3">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热熔挤出有组织废气</w:t>
            </w:r>
          </w:p>
        </w:tc>
        <w:tc>
          <w:tcPr>
            <w:tcW w:w="2977" w:type="dxa"/>
            <w:vMerge w:val="restart"/>
          </w:tcPr>
          <w:p w14:paraId="374F38B4">
            <w:pPr>
              <w:ind w:firstLine="420" w:firstLineChars="200"/>
              <w:jc w:val="left"/>
              <w:rPr>
                <w:rFonts w:eastAsiaTheme="minorEastAsia"/>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拟在两台塑料挤出机上方设置集气罩（风量为6000m</w:t>
            </w:r>
            <w:r>
              <w:rPr>
                <w:rFonts w:eastAsiaTheme="minorEastAsia"/>
                <w:bCs/>
                <w:color w:val="000000" w:themeColor="text1"/>
                <w:szCs w:val="21"/>
                <w:vertAlign w:val="superscript"/>
                <w14:textFill>
                  <w14:solidFill>
                    <w14:schemeClr w14:val="tx1"/>
                  </w14:solidFill>
                </w14:textFill>
              </w:rPr>
              <w:t>3</w:t>
            </w:r>
            <w:r>
              <w:rPr>
                <w:rFonts w:eastAsiaTheme="minorEastAsia"/>
                <w:bCs/>
                <w:color w:val="000000" w:themeColor="text1"/>
                <w:szCs w:val="21"/>
                <w14:textFill>
                  <w14:solidFill>
                    <w14:schemeClr w14:val="tx1"/>
                  </w14:solidFill>
                </w14:textFill>
              </w:rPr>
              <w:t>/h，集气效率90%），将颗粒物及非甲烷总烃引至过滤棉+活性炭吸附装置处理达标后（颗粒物处置效率95%，非甲烷总烃处置效率85%），通过管道引至15m的排气筒排放。</w:t>
            </w:r>
          </w:p>
        </w:tc>
        <w:tc>
          <w:tcPr>
            <w:tcW w:w="2654" w:type="dxa"/>
            <w:vAlign w:val="center"/>
          </w:tcPr>
          <w:p w14:paraId="3F2A484D">
            <w:pPr>
              <w:jc w:val="center"/>
              <w:rPr>
                <w:rFonts w:eastAsiaTheme="minorEastAsia"/>
                <w:color w:val="FF0000"/>
                <w:szCs w:val="21"/>
              </w:rPr>
            </w:pPr>
            <w:r>
              <w:rPr>
                <w:rFonts w:hint="eastAsia" w:eastAsiaTheme="minorEastAsia"/>
                <w:bCs/>
                <w:color w:val="FF0000"/>
                <w:szCs w:val="21"/>
              </w:rPr>
              <w:t>造粒工序有组织</w:t>
            </w:r>
            <w:r>
              <w:rPr>
                <w:rFonts w:eastAsiaTheme="minorEastAsia"/>
                <w:bCs/>
                <w:color w:val="FF0000"/>
                <w:szCs w:val="21"/>
              </w:rPr>
              <w:t>颗粒物、非甲烷总烃</w:t>
            </w:r>
            <w:r>
              <w:rPr>
                <w:rFonts w:hint="eastAsia" w:eastAsiaTheme="minorEastAsia"/>
                <w:bCs/>
                <w:color w:val="FF0000"/>
                <w:szCs w:val="21"/>
              </w:rPr>
              <w:t>满足</w:t>
            </w:r>
            <w:r>
              <w:rPr>
                <w:rFonts w:hint="eastAsia" w:eastAsiaTheme="minorEastAsia"/>
                <w:color w:val="FF0000"/>
                <w:szCs w:val="21"/>
              </w:rPr>
              <w:t>《合成树脂工业污染物排放标准》（</w:t>
            </w:r>
            <w:r>
              <w:rPr>
                <w:rFonts w:eastAsiaTheme="minorEastAsia"/>
                <w:color w:val="FF0000"/>
                <w:szCs w:val="21"/>
              </w:rPr>
              <w:t>GB31572-2015</w:t>
            </w:r>
            <w:r>
              <w:rPr>
                <w:rFonts w:hint="eastAsia" w:eastAsiaTheme="minorEastAsia"/>
                <w:color w:val="FF0000"/>
                <w:szCs w:val="21"/>
              </w:rPr>
              <w:t>）</w:t>
            </w:r>
          </w:p>
        </w:tc>
      </w:tr>
      <w:tr w14:paraId="05893B8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6875FD86">
            <w:pPr>
              <w:jc w:val="center"/>
              <w:rPr>
                <w:rFonts w:eastAsiaTheme="minorEastAsia"/>
                <w:b/>
                <w:color w:val="000000" w:themeColor="text1"/>
                <w:szCs w:val="21"/>
                <w:highlight w:val="yellow"/>
                <w14:textFill>
                  <w14:solidFill>
                    <w14:schemeClr w14:val="tx1"/>
                  </w14:solidFill>
                </w14:textFill>
              </w:rPr>
            </w:pPr>
          </w:p>
        </w:tc>
        <w:tc>
          <w:tcPr>
            <w:tcW w:w="1134" w:type="dxa"/>
            <w:vMerge w:val="continue"/>
            <w:vAlign w:val="center"/>
          </w:tcPr>
          <w:p w14:paraId="1CEFF66C">
            <w:pPr>
              <w:jc w:val="center"/>
              <w:rPr>
                <w:rFonts w:eastAsiaTheme="minorEastAsia"/>
                <w:b/>
                <w:color w:val="000000" w:themeColor="text1"/>
                <w:szCs w:val="21"/>
                <w14:textFill>
                  <w14:solidFill>
                    <w14:schemeClr w14:val="tx1"/>
                  </w14:solidFill>
                </w14:textFill>
              </w:rPr>
            </w:pPr>
          </w:p>
        </w:tc>
        <w:tc>
          <w:tcPr>
            <w:tcW w:w="1559" w:type="dxa"/>
            <w:vMerge w:val="continue"/>
            <w:vAlign w:val="center"/>
          </w:tcPr>
          <w:p w14:paraId="1ACEBA63">
            <w:pPr>
              <w:jc w:val="center"/>
              <w:rPr>
                <w:rFonts w:eastAsiaTheme="minorEastAsia"/>
                <w:color w:val="000000" w:themeColor="text1"/>
                <w:szCs w:val="21"/>
                <w14:textFill>
                  <w14:solidFill>
                    <w14:schemeClr w14:val="tx1"/>
                  </w14:solidFill>
                </w14:textFill>
              </w:rPr>
            </w:pPr>
          </w:p>
        </w:tc>
        <w:tc>
          <w:tcPr>
            <w:tcW w:w="2977" w:type="dxa"/>
            <w:vMerge w:val="continue"/>
          </w:tcPr>
          <w:p w14:paraId="782F2E95">
            <w:pPr>
              <w:ind w:firstLine="420" w:firstLineChars="200"/>
              <w:rPr>
                <w:rFonts w:eastAsiaTheme="minorEastAsia"/>
                <w:color w:val="000000" w:themeColor="text1"/>
                <w:szCs w:val="21"/>
                <w14:textFill>
                  <w14:solidFill>
                    <w14:schemeClr w14:val="tx1"/>
                  </w14:solidFill>
                </w14:textFill>
              </w:rPr>
            </w:pPr>
          </w:p>
        </w:tc>
        <w:tc>
          <w:tcPr>
            <w:tcW w:w="2654" w:type="dxa"/>
            <w:vAlign w:val="center"/>
          </w:tcPr>
          <w:p w14:paraId="164549EA">
            <w:pPr>
              <w:jc w:val="center"/>
              <w:rPr>
                <w:rFonts w:eastAsiaTheme="minorEastAsia"/>
                <w:color w:val="FF0000"/>
                <w:szCs w:val="21"/>
              </w:rPr>
            </w:pPr>
            <w:r>
              <w:rPr>
                <w:rFonts w:eastAsiaTheme="minorEastAsia"/>
                <w:color w:val="FF0000"/>
                <w:szCs w:val="21"/>
              </w:rPr>
              <w:t>无组织颗粒物和非甲烷总烃</w:t>
            </w:r>
            <w:r>
              <w:rPr>
                <w:rFonts w:hint="eastAsia" w:eastAsiaTheme="minorEastAsia"/>
                <w:color w:val="FF0000"/>
                <w:szCs w:val="21"/>
              </w:rPr>
              <w:t>厂界</w:t>
            </w:r>
            <w:r>
              <w:rPr>
                <w:rFonts w:eastAsiaTheme="minorEastAsia"/>
                <w:color w:val="FF0000"/>
                <w:szCs w:val="21"/>
              </w:rPr>
              <w:t>执行</w:t>
            </w:r>
            <w:r>
              <w:rPr>
                <w:rFonts w:hint="eastAsia" w:eastAsiaTheme="minorEastAsia"/>
                <w:color w:val="FF0000"/>
                <w:szCs w:val="21"/>
              </w:rPr>
              <w:t>《合成树脂工业污染物排放标准》（</w:t>
            </w:r>
            <w:r>
              <w:rPr>
                <w:rFonts w:eastAsiaTheme="minorEastAsia"/>
                <w:color w:val="FF0000"/>
                <w:szCs w:val="21"/>
              </w:rPr>
              <w:t>GB31572-2015</w:t>
            </w:r>
            <w:r>
              <w:rPr>
                <w:rFonts w:hint="eastAsia" w:eastAsiaTheme="minorEastAsia"/>
                <w:color w:val="FF0000"/>
                <w:szCs w:val="21"/>
              </w:rPr>
              <w:t>）</w:t>
            </w:r>
            <w:r>
              <w:rPr>
                <w:rFonts w:eastAsiaTheme="minorEastAsia"/>
                <w:color w:val="FF0000"/>
                <w:szCs w:val="21"/>
              </w:rPr>
              <w:t>中无组织排放监控浓度限值要求，臭气浓度执行《恶臭污染物排放标准》（GB14554-1993）中表1恶臭污染物厂界标准中二级标准</w:t>
            </w:r>
          </w:p>
        </w:tc>
      </w:tr>
      <w:tr w14:paraId="576BE8E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restart"/>
            <w:vAlign w:val="center"/>
          </w:tcPr>
          <w:p w14:paraId="392B7822">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废</w:t>
            </w:r>
          </w:p>
          <w:p w14:paraId="4A818069">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水</w:t>
            </w:r>
          </w:p>
        </w:tc>
        <w:tc>
          <w:tcPr>
            <w:tcW w:w="1134" w:type="dxa"/>
            <w:vAlign w:val="center"/>
          </w:tcPr>
          <w:p w14:paraId="6CDD0E23">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雨水</w:t>
            </w:r>
          </w:p>
        </w:tc>
        <w:tc>
          <w:tcPr>
            <w:tcW w:w="1559" w:type="dxa"/>
            <w:vAlign w:val="center"/>
          </w:tcPr>
          <w:p w14:paraId="344F6DAD">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SS等</w:t>
            </w:r>
          </w:p>
        </w:tc>
        <w:tc>
          <w:tcPr>
            <w:tcW w:w="2977" w:type="dxa"/>
            <w:vAlign w:val="center"/>
          </w:tcPr>
          <w:p w14:paraId="62832E26">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项目实行清污、雨污分流；本项目厂区设置雨水沟，收集前1h的雨水进入本项目雨水沉淀池（1m</w:t>
            </w:r>
            <w:r>
              <w:rPr>
                <w:rFonts w:eastAsiaTheme="minorEastAsia"/>
                <w:color w:val="000000" w:themeColor="text1"/>
                <w:szCs w:val="21"/>
                <w:vertAlign w:val="superscript"/>
                <w14:textFill>
                  <w14:solidFill>
                    <w14:schemeClr w14:val="tx1"/>
                  </w14:solidFill>
                </w14:textFill>
              </w:rPr>
              <w:t>3</w:t>
            </w:r>
            <w:r>
              <w:rPr>
                <w:rFonts w:eastAsiaTheme="minorEastAsia"/>
                <w:color w:val="000000" w:themeColor="text1"/>
                <w:szCs w:val="21"/>
                <w14:textFill>
                  <w14:solidFill>
                    <w14:schemeClr w14:val="tx1"/>
                  </w14:solidFill>
                </w14:textFill>
              </w:rPr>
              <w:t>）处理，回用于生产，其余经沉淀后外排。</w:t>
            </w:r>
          </w:p>
        </w:tc>
        <w:tc>
          <w:tcPr>
            <w:tcW w:w="2654" w:type="dxa"/>
            <w:vAlign w:val="center"/>
          </w:tcPr>
          <w:p w14:paraId="7D9951EF">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r>
      <w:tr w14:paraId="208B5BC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20D217C5">
            <w:pPr>
              <w:jc w:val="center"/>
              <w:rPr>
                <w:rFonts w:eastAsiaTheme="minorEastAsia"/>
                <w:b/>
                <w:color w:val="000000" w:themeColor="text1"/>
                <w:szCs w:val="21"/>
                <w14:textFill>
                  <w14:solidFill>
                    <w14:schemeClr w14:val="tx1"/>
                  </w14:solidFill>
                </w14:textFill>
              </w:rPr>
            </w:pPr>
          </w:p>
        </w:tc>
        <w:tc>
          <w:tcPr>
            <w:tcW w:w="1134" w:type="dxa"/>
            <w:vAlign w:val="center"/>
          </w:tcPr>
          <w:p w14:paraId="7CF19955">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生活污水</w:t>
            </w:r>
          </w:p>
        </w:tc>
        <w:tc>
          <w:tcPr>
            <w:tcW w:w="1559" w:type="dxa"/>
            <w:vAlign w:val="center"/>
          </w:tcPr>
          <w:p w14:paraId="2DEDB825">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外排废水，COD、SS等</w:t>
            </w:r>
          </w:p>
        </w:tc>
        <w:tc>
          <w:tcPr>
            <w:tcW w:w="2977" w:type="dxa"/>
            <w:vAlign w:val="center"/>
          </w:tcPr>
          <w:p w14:paraId="025F10B5">
            <w:pPr>
              <w:pStyle w:val="59"/>
              <w:spacing w:line="240" w:lineRule="auto"/>
              <w:ind w:firstLine="420" w:firstLineChars="200"/>
              <w:jc w:val="both"/>
              <w:rPr>
                <w:rFonts w:eastAsiaTheme="minorEastAsia"/>
                <w:color w:val="000000" w:themeColor="text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厨房废水经1个隔油池（0.2m</w:t>
            </w:r>
            <w:r>
              <w:rPr>
                <w:rFonts w:eastAsiaTheme="minorEastAsia"/>
                <w:bCs/>
                <w:color w:val="000000" w:themeColor="text1"/>
                <w:sz w:val="21"/>
                <w:szCs w:val="21"/>
                <w:vertAlign w:val="superscript"/>
                <w14:textFill>
                  <w14:solidFill>
                    <w14:schemeClr w14:val="tx1"/>
                  </w14:solidFill>
                </w14:textFill>
              </w:rPr>
              <w:t>3</w:t>
            </w:r>
            <w:r>
              <w:rPr>
                <w:rFonts w:eastAsiaTheme="minorEastAsia"/>
                <w:bCs/>
                <w:color w:val="000000" w:themeColor="text1"/>
                <w:sz w:val="21"/>
                <w:szCs w:val="21"/>
                <w14:textFill>
                  <w14:solidFill>
                    <w14:schemeClr w14:val="tx1"/>
                  </w14:solidFill>
                </w14:textFill>
              </w:rPr>
              <w:t>）处理后，与其它生活废水排入化粪池（15m</w:t>
            </w:r>
            <w:r>
              <w:rPr>
                <w:rFonts w:eastAsiaTheme="minorEastAsia"/>
                <w:bCs/>
                <w:color w:val="000000" w:themeColor="text1"/>
                <w:sz w:val="21"/>
                <w:szCs w:val="21"/>
                <w:vertAlign w:val="superscript"/>
                <w14:textFill>
                  <w14:solidFill>
                    <w14:schemeClr w14:val="tx1"/>
                  </w14:solidFill>
                </w14:textFill>
              </w:rPr>
              <w:t>3</w:t>
            </w:r>
            <w:r>
              <w:rPr>
                <w:rFonts w:eastAsiaTheme="minorEastAsia"/>
                <w:bCs/>
                <w:color w:val="000000" w:themeColor="text1"/>
                <w:sz w:val="21"/>
                <w:szCs w:val="21"/>
                <w14:textFill>
                  <w14:solidFill>
                    <w14:schemeClr w14:val="tx1"/>
                  </w14:solidFill>
                </w14:textFill>
              </w:rPr>
              <w:t>）处理，定期委托周边村民清运，用于农作物施肥。</w:t>
            </w:r>
          </w:p>
        </w:tc>
        <w:tc>
          <w:tcPr>
            <w:tcW w:w="2654" w:type="dxa"/>
            <w:vAlign w:val="center"/>
          </w:tcPr>
          <w:p w14:paraId="7EE2AF24">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不外排</w:t>
            </w:r>
          </w:p>
        </w:tc>
      </w:tr>
      <w:tr w14:paraId="0DF4FD5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259BF2D3">
            <w:pPr>
              <w:jc w:val="center"/>
              <w:rPr>
                <w:rFonts w:eastAsiaTheme="minorEastAsia"/>
                <w:b/>
                <w:color w:val="000000" w:themeColor="text1"/>
                <w:szCs w:val="21"/>
                <w14:textFill>
                  <w14:solidFill>
                    <w14:schemeClr w14:val="tx1"/>
                  </w14:solidFill>
                </w14:textFill>
              </w:rPr>
            </w:pPr>
          </w:p>
        </w:tc>
        <w:tc>
          <w:tcPr>
            <w:tcW w:w="1134" w:type="dxa"/>
            <w:vAlign w:val="center"/>
          </w:tcPr>
          <w:p w14:paraId="0E169197">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生产废水</w:t>
            </w:r>
          </w:p>
        </w:tc>
        <w:tc>
          <w:tcPr>
            <w:tcW w:w="1559" w:type="dxa"/>
            <w:vAlign w:val="center"/>
          </w:tcPr>
          <w:p w14:paraId="61189F50">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废水回用，COD、SS等</w:t>
            </w:r>
          </w:p>
        </w:tc>
        <w:tc>
          <w:tcPr>
            <w:tcW w:w="2977" w:type="dxa"/>
            <w:vAlign w:val="center"/>
          </w:tcPr>
          <w:p w14:paraId="7E668F8C">
            <w:pPr>
              <w:ind w:firstLine="315" w:firstLineChars="150"/>
              <w:rPr>
                <w:rFonts w:eastAsiaTheme="minorEastAsia"/>
                <w:color w:val="000000" w:themeColor="text1"/>
                <w:szCs w:val="21"/>
                <w14:textFill>
                  <w14:solidFill>
                    <w14:schemeClr w14:val="tx1"/>
                  </w14:solidFill>
                </w14:textFill>
              </w:rPr>
            </w:pPr>
            <w:r>
              <w:rPr>
                <w:rFonts w:eastAsiaTheme="minorEastAsia"/>
                <w:bCs/>
                <w:color w:val="FF0000"/>
                <w:szCs w:val="21"/>
              </w:rPr>
              <w:t>生产清洗、破碎废水通过自建的隔油池（2.5m</w:t>
            </w:r>
            <w:r>
              <w:rPr>
                <w:rFonts w:eastAsiaTheme="minorEastAsia"/>
                <w:bCs/>
                <w:color w:val="FF0000"/>
                <w:szCs w:val="21"/>
                <w:vertAlign w:val="superscript"/>
              </w:rPr>
              <w:t>3</w:t>
            </w:r>
            <w:r>
              <w:rPr>
                <w:rFonts w:eastAsiaTheme="minorEastAsia"/>
                <w:bCs/>
                <w:color w:val="FF0000"/>
                <w:szCs w:val="21"/>
              </w:rPr>
              <w:t>）+3级沉淀池（100m</w:t>
            </w:r>
            <w:r>
              <w:rPr>
                <w:rFonts w:eastAsiaTheme="minorEastAsia"/>
                <w:bCs/>
                <w:color w:val="FF0000"/>
                <w:szCs w:val="21"/>
                <w:vertAlign w:val="superscript"/>
              </w:rPr>
              <w:t>3</w:t>
            </w:r>
            <w:r>
              <w:rPr>
                <w:rFonts w:eastAsiaTheme="minorEastAsia"/>
                <w:bCs/>
                <w:color w:val="FF0000"/>
                <w:szCs w:val="21"/>
              </w:rPr>
              <w:t>）处理达后，储存于蓄水池回用于生产；造粒工序设置两台造粒机，各配套一个冷却水槽，共用一个冷却水循环系统（循环冷却水池</w:t>
            </w:r>
            <w:r>
              <w:rPr>
                <w:rFonts w:eastAsiaTheme="minorEastAsia"/>
                <w:bCs/>
                <w:color w:val="000000" w:themeColor="text1"/>
                <w:szCs w:val="21"/>
                <w14:textFill>
                  <w14:solidFill>
                    <w14:schemeClr w14:val="tx1"/>
                  </w14:solidFill>
                </w14:textFill>
              </w:rPr>
              <w:t>1m</w:t>
            </w:r>
            <w:r>
              <w:rPr>
                <w:rFonts w:eastAsiaTheme="minorEastAsia"/>
                <w:bCs/>
                <w:color w:val="000000" w:themeColor="text1"/>
                <w:szCs w:val="21"/>
                <w:vertAlign w:val="superscript"/>
                <w14:textFill>
                  <w14:solidFill>
                    <w14:schemeClr w14:val="tx1"/>
                  </w14:solidFill>
                </w14:textFill>
              </w:rPr>
              <w:t>3</w:t>
            </w:r>
            <w:r>
              <w:rPr>
                <w:rFonts w:eastAsiaTheme="minorEastAsia"/>
                <w:bCs/>
                <w:color w:val="000000" w:themeColor="text1"/>
                <w:szCs w:val="21"/>
                <w14:textFill>
                  <w14:solidFill>
                    <w14:schemeClr w14:val="tx1"/>
                  </w14:solidFill>
                </w14:textFill>
              </w:rPr>
              <w:t>），此部分废水经冷却循环池冷却及沉淀后，回用于生产。</w:t>
            </w:r>
          </w:p>
        </w:tc>
        <w:tc>
          <w:tcPr>
            <w:tcW w:w="2654" w:type="dxa"/>
            <w:vAlign w:val="center"/>
          </w:tcPr>
          <w:p w14:paraId="64D9A684">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不外排</w:t>
            </w:r>
          </w:p>
        </w:tc>
      </w:tr>
      <w:tr w14:paraId="1732D3D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34" w:type="dxa"/>
            <w:vMerge w:val="restart"/>
            <w:vAlign w:val="center"/>
          </w:tcPr>
          <w:p w14:paraId="519574CB">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地下水</w:t>
            </w:r>
          </w:p>
        </w:tc>
        <w:tc>
          <w:tcPr>
            <w:tcW w:w="1134" w:type="dxa"/>
            <w:vMerge w:val="restart"/>
            <w:vAlign w:val="center"/>
          </w:tcPr>
          <w:p w14:paraId="679C9843">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生活、生产</w:t>
            </w:r>
          </w:p>
        </w:tc>
        <w:tc>
          <w:tcPr>
            <w:tcW w:w="1559" w:type="dxa"/>
            <w:vMerge w:val="restart"/>
            <w:vAlign w:val="center"/>
          </w:tcPr>
          <w:p w14:paraId="434BE557">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COD、SS等</w:t>
            </w:r>
          </w:p>
        </w:tc>
        <w:tc>
          <w:tcPr>
            <w:tcW w:w="2977" w:type="dxa"/>
            <w:vAlign w:val="center"/>
          </w:tcPr>
          <w:p w14:paraId="17A3097B">
            <w:pPr>
              <w:pStyle w:val="296"/>
              <w:spacing w:line="240" w:lineRule="auto"/>
              <w:ind w:firstLine="420"/>
              <w:rPr>
                <w:rFonts w:eastAsiaTheme="minorEastAsia"/>
                <w:color w:val="000000" w:themeColor="text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危废间，基础采用6m厚压实粘土防渗，上面再用混凝土进行硬化。</w:t>
            </w:r>
          </w:p>
        </w:tc>
        <w:tc>
          <w:tcPr>
            <w:tcW w:w="2654" w:type="dxa"/>
            <w:vAlign w:val="center"/>
          </w:tcPr>
          <w:p w14:paraId="5F28C6DF">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防渗性能应等效于厚度≥6m，渗透系数K≤1.0×10</w:t>
            </w:r>
            <w:r>
              <w:rPr>
                <w:rFonts w:eastAsiaTheme="minorEastAsia"/>
                <w:color w:val="000000" w:themeColor="text1"/>
                <w:szCs w:val="21"/>
                <w:vertAlign w:val="superscript"/>
                <w14:textFill>
                  <w14:solidFill>
                    <w14:schemeClr w14:val="tx1"/>
                  </w14:solidFill>
                </w14:textFill>
              </w:rPr>
              <w:t>-7</w:t>
            </w:r>
            <w:r>
              <w:rPr>
                <w:rFonts w:eastAsiaTheme="minorEastAsia"/>
                <w:color w:val="000000" w:themeColor="text1"/>
                <w:szCs w:val="21"/>
                <w14:textFill>
                  <w14:solidFill>
                    <w14:schemeClr w14:val="tx1"/>
                  </w14:solidFill>
                </w14:textFill>
              </w:rPr>
              <w:t>cm/s的黏土层的防渗性能</w:t>
            </w:r>
          </w:p>
        </w:tc>
      </w:tr>
      <w:tr w14:paraId="53AF6D1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534" w:type="dxa"/>
            <w:vMerge w:val="continue"/>
            <w:vAlign w:val="center"/>
          </w:tcPr>
          <w:p w14:paraId="5ACCF4C2">
            <w:pPr>
              <w:jc w:val="center"/>
              <w:rPr>
                <w:rFonts w:eastAsiaTheme="minorEastAsia"/>
                <w:b/>
                <w:color w:val="000000" w:themeColor="text1"/>
                <w:szCs w:val="21"/>
                <w14:textFill>
                  <w14:solidFill>
                    <w14:schemeClr w14:val="tx1"/>
                  </w14:solidFill>
                </w14:textFill>
              </w:rPr>
            </w:pPr>
          </w:p>
        </w:tc>
        <w:tc>
          <w:tcPr>
            <w:tcW w:w="1134" w:type="dxa"/>
            <w:vMerge w:val="continue"/>
            <w:vAlign w:val="center"/>
          </w:tcPr>
          <w:p w14:paraId="226F2498">
            <w:pPr>
              <w:jc w:val="center"/>
              <w:rPr>
                <w:rFonts w:eastAsiaTheme="minorEastAsia"/>
                <w:b/>
                <w:color w:val="000000" w:themeColor="text1"/>
                <w:szCs w:val="21"/>
                <w14:textFill>
                  <w14:solidFill>
                    <w14:schemeClr w14:val="tx1"/>
                  </w14:solidFill>
                </w14:textFill>
              </w:rPr>
            </w:pPr>
          </w:p>
        </w:tc>
        <w:tc>
          <w:tcPr>
            <w:tcW w:w="1559" w:type="dxa"/>
            <w:vMerge w:val="continue"/>
            <w:vAlign w:val="center"/>
          </w:tcPr>
          <w:p w14:paraId="00E2CC00">
            <w:pPr>
              <w:jc w:val="center"/>
              <w:rPr>
                <w:rFonts w:eastAsiaTheme="minorEastAsia"/>
                <w:color w:val="000000" w:themeColor="text1"/>
                <w:szCs w:val="21"/>
                <w14:textFill>
                  <w14:solidFill>
                    <w14:schemeClr w14:val="tx1"/>
                  </w14:solidFill>
                </w14:textFill>
              </w:rPr>
            </w:pPr>
          </w:p>
        </w:tc>
        <w:tc>
          <w:tcPr>
            <w:tcW w:w="2977" w:type="dxa"/>
            <w:vAlign w:val="center"/>
          </w:tcPr>
          <w:p w14:paraId="07FD9383">
            <w:pPr>
              <w:pStyle w:val="295"/>
              <w:spacing w:line="240" w:lineRule="auto"/>
              <w:ind w:firstLine="420"/>
              <w:rPr>
                <w:rFonts w:eastAsiaTheme="minorEastAsia"/>
                <w:color w:val="000000" w:themeColor="text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污水处理设施（隔油池、沉淀池等）、原料仓库、破碎清洗生产区、造粒生产区等，基础采用1.5cm厚压实粘土防渗，上面再用混凝土进行硬化</w:t>
            </w:r>
          </w:p>
        </w:tc>
        <w:tc>
          <w:tcPr>
            <w:tcW w:w="2654" w:type="dxa"/>
            <w:vAlign w:val="center"/>
          </w:tcPr>
          <w:p w14:paraId="1F598C3D">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防渗性能应等效于厚度≥1.5m，渗透系数K≤1.0×10</w:t>
            </w:r>
            <w:r>
              <w:rPr>
                <w:rFonts w:eastAsiaTheme="minorEastAsia"/>
                <w:color w:val="000000" w:themeColor="text1"/>
                <w:szCs w:val="21"/>
                <w:vertAlign w:val="superscript"/>
                <w14:textFill>
                  <w14:solidFill>
                    <w14:schemeClr w14:val="tx1"/>
                  </w14:solidFill>
                </w14:textFill>
              </w:rPr>
              <w:t>-7</w:t>
            </w:r>
            <w:r>
              <w:rPr>
                <w:rFonts w:eastAsiaTheme="minorEastAsia"/>
                <w:color w:val="000000" w:themeColor="text1"/>
                <w:szCs w:val="21"/>
                <w14:textFill>
                  <w14:solidFill>
                    <w14:schemeClr w14:val="tx1"/>
                  </w14:solidFill>
                </w14:textFill>
              </w:rPr>
              <w:t>cm/s 的黏土层的防渗性能</w:t>
            </w:r>
          </w:p>
        </w:tc>
      </w:tr>
      <w:tr w14:paraId="504E1D0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restart"/>
            <w:vAlign w:val="center"/>
          </w:tcPr>
          <w:p w14:paraId="0B778828">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固废</w:t>
            </w:r>
          </w:p>
        </w:tc>
        <w:tc>
          <w:tcPr>
            <w:tcW w:w="1134" w:type="dxa"/>
            <w:vAlign w:val="center"/>
          </w:tcPr>
          <w:p w14:paraId="1BFADB78">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一般固废</w:t>
            </w:r>
          </w:p>
        </w:tc>
        <w:tc>
          <w:tcPr>
            <w:tcW w:w="1559" w:type="dxa"/>
            <w:vAlign w:val="center"/>
          </w:tcPr>
          <w:p w14:paraId="0F754EBB">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拆包、人工分选杂物（S1）、剥离废标签纸（S2）、沉淀池污泥</w:t>
            </w:r>
          </w:p>
        </w:tc>
        <w:tc>
          <w:tcPr>
            <w:tcW w:w="2977" w:type="dxa"/>
            <w:vAlign w:val="center"/>
          </w:tcPr>
          <w:p w14:paraId="43C9B9A9">
            <w:pPr>
              <w:ind w:firstLine="105" w:firstLineChars="5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拆包、人工分选杂物分类收集后，一部分外卖，其余外运至最近村庄垃圾收集点处理，禁止随意丢弃；剥离废标签纸外卖处理；沉淀池污泥及隔油池废油外运至最近村庄垃圾收集点处理。</w:t>
            </w:r>
          </w:p>
        </w:tc>
        <w:tc>
          <w:tcPr>
            <w:tcW w:w="2654" w:type="dxa"/>
            <w:vMerge w:val="restart"/>
            <w:vAlign w:val="center"/>
          </w:tcPr>
          <w:p w14:paraId="08A90D50">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处置率100%</w:t>
            </w:r>
          </w:p>
        </w:tc>
      </w:tr>
      <w:tr w14:paraId="0358CD5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6FC9599B">
            <w:pPr>
              <w:jc w:val="center"/>
              <w:rPr>
                <w:rFonts w:eastAsiaTheme="minorEastAsia"/>
                <w:b/>
                <w:color w:val="000000" w:themeColor="text1"/>
                <w:szCs w:val="21"/>
                <w14:textFill>
                  <w14:solidFill>
                    <w14:schemeClr w14:val="tx1"/>
                  </w14:solidFill>
                </w14:textFill>
              </w:rPr>
            </w:pPr>
          </w:p>
        </w:tc>
        <w:tc>
          <w:tcPr>
            <w:tcW w:w="1134" w:type="dxa"/>
            <w:vAlign w:val="center"/>
          </w:tcPr>
          <w:p w14:paraId="032F1EE1">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危险废物</w:t>
            </w:r>
          </w:p>
        </w:tc>
        <w:tc>
          <w:tcPr>
            <w:tcW w:w="1559" w:type="dxa"/>
            <w:vAlign w:val="center"/>
          </w:tcPr>
          <w:p w14:paraId="689CBA3F">
            <w:pPr>
              <w:jc w:val="center"/>
              <w:rPr>
                <w:rFonts w:eastAsiaTheme="minorEastAsia"/>
                <w:color w:val="000000" w:themeColor="text1"/>
                <w:szCs w:val="21"/>
                <w14:textFill>
                  <w14:solidFill>
                    <w14:schemeClr w14:val="tx1"/>
                  </w14:solidFill>
                </w14:textFill>
              </w:rPr>
            </w:pPr>
            <w:r>
              <w:rPr>
                <w:rFonts w:eastAsiaTheme="minorEastAsia"/>
                <w:color w:val="FF0000"/>
                <w:szCs w:val="21"/>
              </w:rPr>
              <w:t>废过滤棉、废活性炭、废过滤网</w:t>
            </w:r>
          </w:p>
        </w:tc>
        <w:tc>
          <w:tcPr>
            <w:tcW w:w="2977" w:type="dxa"/>
            <w:vAlign w:val="center"/>
          </w:tcPr>
          <w:p w14:paraId="0A68C425">
            <w:pP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设危险废物存储间5m</w:t>
            </w:r>
            <w:r>
              <w:rPr>
                <w:rFonts w:eastAsiaTheme="minorEastAsia"/>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，统一收集存放，定期委托有资质的单位处置，避免二次污染的发生</w:t>
            </w:r>
          </w:p>
        </w:tc>
        <w:tc>
          <w:tcPr>
            <w:tcW w:w="2654" w:type="dxa"/>
            <w:vMerge w:val="continue"/>
            <w:vAlign w:val="center"/>
          </w:tcPr>
          <w:p w14:paraId="797B0641">
            <w:pPr>
              <w:jc w:val="center"/>
              <w:rPr>
                <w:rFonts w:eastAsiaTheme="minorEastAsia"/>
                <w:color w:val="000000" w:themeColor="text1"/>
                <w:szCs w:val="21"/>
                <w14:textFill>
                  <w14:solidFill>
                    <w14:schemeClr w14:val="tx1"/>
                  </w14:solidFill>
                </w14:textFill>
              </w:rPr>
            </w:pPr>
          </w:p>
        </w:tc>
      </w:tr>
      <w:tr w14:paraId="5226398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2C95EF9A">
            <w:pPr>
              <w:jc w:val="center"/>
              <w:rPr>
                <w:rFonts w:eastAsiaTheme="minorEastAsia"/>
                <w:b/>
                <w:color w:val="000000" w:themeColor="text1"/>
                <w:szCs w:val="21"/>
                <w14:textFill>
                  <w14:solidFill>
                    <w14:schemeClr w14:val="tx1"/>
                  </w14:solidFill>
                </w14:textFill>
              </w:rPr>
            </w:pPr>
          </w:p>
        </w:tc>
        <w:tc>
          <w:tcPr>
            <w:tcW w:w="1134" w:type="dxa"/>
            <w:vAlign w:val="center"/>
          </w:tcPr>
          <w:p w14:paraId="0E4DF76C">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生活垃圾</w:t>
            </w:r>
          </w:p>
        </w:tc>
        <w:tc>
          <w:tcPr>
            <w:tcW w:w="1559" w:type="dxa"/>
            <w:vAlign w:val="center"/>
          </w:tcPr>
          <w:p w14:paraId="1B6DC2DA">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生活垃圾、污泥、食堂泔水</w:t>
            </w:r>
          </w:p>
        </w:tc>
        <w:tc>
          <w:tcPr>
            <w:tcW w:w="2977" w:type="dxa"/>
            <w:vAlign w:val="center"/>
          </w:tcPr>
          <w:p w14:paraId="09DFCAFE">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外运至最近村庄垃圾收集点处理</w:t>
            </w:r>
          </w:p>
        </w:tc>
        <w:tc>
          <w:tcPr>
            <w:tcW w:w="2654" w:type="dxa"/>
            <w:vMerge w:val="continue"/>
            <w:vAlign w:val="center"/>
          </w:tcPr>
          <w:p w14:paraId="5513793D">
            <w:pPr>
              <w:jc w:val="center"/>
              <w:rPr>
                <w:rFonts w:eastAsiaTheme="minorEastAsia"/>
                <w:color w:val="000000" w:themeColor="text1"/>
                <w:szCs w:val="21"/>
                <w14:textFill>
                  <w14:solidFill>
                    <w14:schemeClr w14:val="tx1"/>
                  </w14:solidFill>
                </w14:textFill>
              </w:rPr>
            </w:pPr>
          </w:p>
        </w:tc>
      </w:tr>
      <w:tr w14:paraId="0E44BB9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8" w:type="dxa"/>
            <w:gridSpan w:val="2"/>
            <w:vAlign w:val="center"/>
          </w:tcPr>
          <w:p w14:paraId="2A4D62BD">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噪声</w:t>
            </w:r>
          </w:p>
        </w:tc>
        <w:tc>
          <w:tcPr>
            <w:tcW w:w="1559" w:type="dxa"/>
            <w:vAlign w:val="center"/>
          </w:tcPr>
          <w:p w14:paraId="303BB36A">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生产设备等</w:t>
            </w:r>
          </w:p>
        </w:tc>
        <w:tc>
          <w:tcPr>
            <w:tcW w:w="2977" w:type="dxa"/>
            <w:vAlign w:val="center"/>
          </w:tcPr>
          <w:p w14:paraId="10AF247D">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墙体吸声、设备减震、厂区绿化、加强生产管理等</w:t>
            </w:r>
          </w:p>
        </w:tc>
        <w:tc>
          <w:tcPr>
            <w:tcW w:w="2654" w:type="dxa"/>
            <w:vAlign w:val="center"/>
          </w:tcPr>
          <w:p w14:paraId="5677E273">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达到《工业企业厂界环境噪声排放标准》2类</w:t>
            </w:r>
          </w:p>
        </w:tc>
      </w:tr>
      <w:tr w14:paraId="7E1F4C0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8" w:type="dxa"/>
            <w:gridSpan w:val="2"/>
            <w:vAlign w:val="center"/>
          </w:tcPr>
          <w:p w14:paraId="2186C0FE">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水土流失</w:t>
            </w:r>
          </w:p>
        </w:tc>
        <w:tc>
          <w:tcPr>
            <w:tcW w:w="1559" w:type="dxa"/>
            <w:vAlign w:val="center"/>
          </w:tcPr>
          <w:p w14:paraId="09B9F040">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基础开挖等</w:t>
            </w:r>
          </w:p>
        </w:tc>
        <w:tc>
          <w:tcPr>
            <w:tcW w:w="2977" w:type="dxa"/>
            <w:vAlign w:val="center"/>
          </w:tcPr>
          <w:p w14:paraId="300D9A19">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绿化</w:t>
            </w:r>
          </w:p>
        </w:tc>
        <w:tc>
          <w:tcPr>
            <w:tcW w:w="2654" w:type="dxa"/>
            <w:vAlign w:val="center"/>
          </w:tcPr>
          <w:p w14:paraId="085C1520">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r>
    </w:tbl>
    <w:p w14:paraId="5048236C">
      <w:pPr>
        <w:pStyle w:val="3"/>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613" w:name="_Toc2773803"/>
      <w:r>
        <w:rPr>
          <w:color w:val="000000" w:themeColor="text1"/>
          <w14:textFill>
            <w14:solidFill>
              <w14:schemeClr w14:val="tx1"/>
            </w14:solidFill>
          </w14:textFill>
        </w:rPr>
        <w:t>12环境影响总结论</w:t>
      </w:r>
      <w:bookmarkEnd w:id="613"/>
    </w:p>
    <w:p w14:paraId="4DB5C6CC">
      <w:pPr>
        <w:pStyle w:val="4"/>
        <w:rPr>
          <w:rFonts w:ascii="Times New Roman" w:hAnsi="Times New Roman"/>
          <w:color w:val="000000" w:themeColor="text1"/>
          <w14:textFill>
            <w14:solidFill>
              <w14:schemeClr w14:val="tx1"/>
            </w14:solidFill>
          </w14:textFill>
        </w:rPr>
      </w:pPr>
      <w:bookmarkStart w:id="614" w:name="_Toc2773804"/>
      <w:r>
        <w:rPr>
          <w:rFonts w:ascii="Times New Roman" w:hAnsi="Times New Roman"/>
          <w:color w:val="000000" w:themeColor="text1"/>
          <w14:textFill>
            <w14:solidFill>
              <w14:schemeClr w14:val="tx1"/>
            </w14:solidFill>
          </w14:textFill>
        </w:rPr>
        <w:t>12.1产业政策符合性</w:t>
      </w:r>
      <w:bookmarkEnd w:id="614"/>
    </w:p>
    <w:p w14:paraId="72124892">
      <w:pPr>
        <w:pStyle w:val="114"/>
        <w:rPr>
          <w:color w:val="000000" w:themeColor="text1"/>
          <w14:textFill>
            <w14:solidFill>
              <w14:schemeClr w14:val="tx1"/>
            </w14:solidFill>
          </w14:textFill>
        </w:rPr>
      </w:pPr>
      <w:r>
        <w:rPr>
          <w:color w:val="000000" w:themeColor="text1"/>
          <w14:textFill>
            <w14:solidFill>
              <w14:schemeClr w14:val="tx1"/>
            </w14:solidFill>
          </w14:textFill>
        </w:rPr>
        <w:t>根据国家发展改革委《国家产业结构调整指导目录（2011年本）》（2013年修正），本项目属于国家鼓励类第三十八类“环境保护与资源节约综合利用”中的第28条“再生资源回收利用产业化”。</w:t>
      </w:r>
    </w:p>
    <w:p w14:paraId="238798B0">
      <w:pPr>
        <w:pStyle w:val="114"/>
        <w:rPr>
          <w:color w:val="000000" w:themeColor="text1"/>
          <w14:textFill>
            <w14:solidFill>
              <w14:schemeClr w14:val="tx1"/>
            </w14:solidFill>
          </w14:textFill>
        </w:rPr>
      </w:pPr>
      <w:r>
        <w:rPr>
          <w:color w:val="000000" w:themeColor="text1"/>
          <w14:textFill>
            <w14:solidFill>
              <w14:schemeClr w14:val="tx1"/>
            </w14:solidFill>
          </w14:textFill>
        </w:rPr>
        <w:t>本项目生产过程中使用装置及生产设备、生产工艺及产品类别均不属于《国家产业结构调整指导目录（2011年本）》（2013年修正）限制类及落后生产工艺装备中的类别。</w:t>
      </w:r>
    </w:p>
    <w:p w14:paraId="4C792F21">
      <w:pPr>
        <w:pStyle w:val="114"/>
        <w:rPr>
          <w:color w:val="000000" w:themeColor="text1"/>
          <w14:textFill>
            <w14:solidFill>
              <w14:schemeClr w14:val="tx1"/>
            </w14:solidFill>
          </w14:textFill>
        </w:rPr>
      </w:pPr>
      <w:r>
        <w:rPr>
          <w:color w:val="000000" w:themeColor="text1"/>
          <w14:textFill>
            <w14:solidFill>
              <w14:schemeClr w14:val="tx1"/>
            </w14:solidFill>
          </w14:textFill>
        </w:rPr>
        <w:t>因此，项目符合国家产业政策。</w:t>
      </w:r>
    </w:p>
    <w:p w14:paraId="25564840">
      <w:pPr>
        <w:pStyle w:val="4"/>
        <w:rPr>
          <w:rFonts w:ascii="Times New Roman" w:hAnsi="Times New Roman"/>
          <w:color w:val="000000" w:themeColor="text1"/>
          <w14:textFill>
            <w14:solidFill>
              <w14:schemeClr w14:val="tx1"/>
            </w14:solidFill>
          </w14:textFill>
        </w:rPr>
      </w:pPr>
      <w:bookmarkStart w:id="615" w:name="_Toc2773805"/>
      <w:r>
        <w:rPr>
          <w:rFonts w:ascii="Times New Roman" w:hAnsi="Times New Roman"/>
          <w:color w:val="000000" w:themeColor="text1"/>
          <w14:textFill>
            <w14:solidFill>
              <w14:schemeClr w14:val="tx1"/>
            </w14:solidFill>
          </w14:textFill>
        </w:rPr>
        <w:t>12.2规划、选址符合性</w:t>
      </w:r>
      <w:bookmarkEnd w:id="615"/>
    </w:p>
    <w:p w14:paraId="7147CCF0">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本项目位于芒市遮放镇弄坎村芒捧村民小组，根据</w:t>
      </w:r>
      <w:r>
        <w:rPr>
          <w:bCs/>
          <w:color w:val="000000" w:themeColor="text1"/>
          <w:sz w:val="24"/>
          <w14:textFill>
            <w14:solidFill>
              <w14:schemeClr w14:val="tx1"/>
            </w14:solidFill>
          </w14:textFill>
        </w:rPr>
        <w:t>土地证明，本项目选址不属于农业用地和林业用地，为</w:t>
      </w:r>
      <w:r>
        <w:rPr>
          <w:rFonts w:eastAsiaTheme="minorEastAsia"/>
          <w:color w:val="000000" w:themeColor="text1"/>
          <w:sz w:val="24"/>
          <w14:textFill>
            <w14:solidFill>
              <w14:schemeClr w14:val="tx1"/>
            </w14:solidFill>
          </w14:textFill>
        </w:rPr>
        <w:t>租用</w:t>
      </w:r>
      <w:r>
        <w:rPr>
          <w:bCs/>
          <w:color w:val="000000" w:themeColor="text1"/>
          <w:sz w:val="24"/>
          <w14:textFill>
            <w14:solidFill>
              <w14:schemeClr w14:val="tx1"/>
            </w14:solidFill>
          </w14:textFill>
        </w:rPr>
        <w:t>村民李进的土地和已建厂房，本项目不新增用地；</w:t>
      </w:r>
    </w:p>
    <w:p w14:paraId="607EEC51">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同时</w:t>
      </w:r>
      <w:r>
        <w:rPr>
          <w:color w:val="000000" w:themeColor="text1"/>
          <w:sz w:val="24"/>
          <w14:textFill>
            <w14:solidFill>
              <w14:schemeClr w14:val="tx1"/>
            </w14:solidFill>
          </w14:textFill>
        </w:rPr>
        <w:t>选址不属于《德宏州域城镇体系规划（2011—2030）》用地范围，</w:t>
      </w:r>
      <w:r>
        <w:rPr>
          <w:bCs/>
          <w:color w:val="000000" w:themeColor="text1"/>
          <w:sz w:val="24"/>
          <w14:textFill>
            <w14:solidFill>
              <w14:schemeClr w14:val="tx1"/>
            </w14:solidFill>
          </w14:textFill>
        </w:rPr>
        <w:t>建设项目与《德宏州域城镇体系规划（2011—2030）》的总体规划定位分析不冲突，建设项目符合相关规划要求。</w:t>
      </w:r>
    </w:p>
    <w:p w14:paraId="5F86BDE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本项目以电为主要能源，主要污染物为废水、废气、固废，采取相应的措施后对环境影响对环境的影响程度和范围可为周围环境所接受，从环境保护角度分析，本项目选址是可行的。</w:t>
      </w:r>
    </w:p>
    <w:p w14:paraId="2FD39D6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本项目与《废塑料综合利用行业规范条件》内容相符，</w:t>
      </w:r>
      <w:r>
        <w:rPr>
          <w:bCs/>
          <w:color w:val="000000" w:themeColor="text1"/>
          <w:sz w:val="24"/>
          <w14:textFill>
            <w14:solidFill>
              <w14:schemeClr w14:val="tx1"/>
            </w14:solidFill>
          </w14:textFill>
        </w:rPr>
        <w:t>本项目符合《废塑料加工利用污染防治管理规定》要求。</w:t>
      </w:r>
    </w:p>
    <w:p w14:paraId="6DA2CC1C">
      <w:pPr>
        <w:pStyle w:val="4"/>
        <w:rPr>
          <w:rFonts w:ascii="Times New Roman" w:hAnsi="Times New Roman"/>
          <w:color w:val="000000" w:themeColor="text1"/>
          <w14:textFill>
            <w14:solidFill>
              <w14:schemeClr w14:val="tx1"/>
            </w14:solidFill>
          </w14:textFill>
        </w:rPr>
      </w:pPr>
      <w:bookmarkStart w:id="616" w:name="_Toc2773806"/>
      <w:r>
        <w:rPr>
          <w:rFonts w:ascii="Times New Roman" w:hAnsi="Times New Roman"/>
          <w:color w:val="000000" w:themeColor="text1"/>
          <w14:textFill>
            <w14:solidFill>
              <w14:schemeClr w14:val="tx1"/>
            </w14:solidFill>
          </w14:textFill>
        </w:rPr>
        <w:t>12.3环境质量现状</w:t>
      </w:r>
      <w:bookmarkEnd w:id="616"/>
    </w:p>
    <w:p w14:paraId="2C7B6B4E">
      <w:pPr>
        <w:pStyle w:val="57"/>
        <w:ind w:firstLine="480" w:firstLineChars="200"/>
        <w:rPr>
          <w:b/>
          <w:color w:val="000000" w:themeColor="text1"/>
          <w14:textFill>
            <w14:solidFill>
              <w14:schemeClr w14:val="tx1"/>
            </w14:solidFill>
          </w14:textFill>
        </w:rPr>
      </w:pPr>
      <w:r>
        <w:rPr>
          <w:b/>
          <w:color w:val="000000" w:themeColor="text1"/>
          <w14:textFill>
            <w14:solidFill>
              <w14:schemeClr w14:val="tx1"/>
            </w14:solidFill>
          </w14:textFill>
        </w:rPr>
        <w:t>1、环境空气</w:t>
      </w:r>
    </w:p>
    <w:p w14:paraId="1E43D31C">
      <w:pPr>
        <w:pStyle w:val="57"/>
        <w:ind w:firstLine="480" w:firstLineChars="200"/>
        <w:rPr>
          <w:bCs/>
          <w:color w:val="000000" w:themeColor="text1"/>
          <w14:textFill>
            <w14:solidFill>
              <w14:schemeClr w14:val="tx1"/>
            </w14:solidFill>
          </w14:textFill>
        </w:rPr>
      </w:pPr>
      <w:r>
        <w:rPr>
          <w:color w:val="000000" w:themeColor="text1"/>
          <w14:textFill>
            <w14:solidFill>
              <w14:schemeClr w14:val="tx1"/>
            </w14:solidFill>
          </w14:textFill>
        </w:rPr>
        <w:t>根据</w:t>
      </w:r>
      <w:r>
        <w:rPr>
          <w:bCs/>
          <w:color w:val="000000" w:themeColor="text1"/>
          <w14:textFill>
            <w14:solidFill>
              <w14:schemeClr w14:val="tx1"/>
            </w14:solidFill>
          </w14:textFill>
        </w:rPr>
        <w:t>云南环绿环境检测技术有限公司于</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年12月1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26</w:t>
      </w:r>
      <w:r>
        <w:rPr>
          <w:bCs/>
          <w:color w:val="000000" w:themeColor="text1"/>
          <w14:textFill>
            <w14:solidFill>
              <w14:schemeClr w14:val="tx1"/>
            </w14:solidFill>
          </w14:textFill>
        </w:rPr>
        <w:t>日对项目区域环境空气质量进行的现状监测，项目所在区域</w:t>
      </w:r>
      <w:r>
        <w:rPr>
          <w:bCs/>
          <w:color w:val="000000" w:themeColor="text1"/>
          <w:lang w:val="zh-CN"/>
          <w14:textFill>
            <w14:solidFill>
              <w14:schemeClr w14:val="tx1"/>
            </w14:solidFill>
          </w14:textFill>
        </w:rPr>
        <w:t>的</w:t>
      </w:r>
      <w:r>
        <w:rPr>
          <w:bCs/>
          <w:color w:val="000000" w:themeColor="text1"/>
          <w14:textFill>
            <w14:solidFill>
              <w14:schemeClr w14:val="tx1"/>
            </w14:solidFill>
          </w14:textFill>
        </w:rPr>
        <w:t>PM</w:t>
      </w:r>
      <w:r>
        <w:rPr>
          <w:rFonts w:hint="eastAsia"/>
          <w:bCs/>
          <w:color w:val="000000" w:themeColor="text1"/>
          <w:vertAlign w:val="subscript"/>
          <w14:textFill>
            <w14:solidFill>
              <w14:schemeClr w14:val="tx1"/>
            </w14:solidFill>
          </w14:textFill>
        </w:rPr>
        <w:t>2.5</w:t>
      </w:r>
      <w:r>
        <w:rPr>
          <w:bCs/>
          <w:color w:val="000000" w:themeColor="text1"/>
          <w14:textFill>
            <w14:solidFill>
              <w14:schemeClr w14:val="tx1"/>
            </w14:solidFill>
          </w14:textFill>
        </w:rPr>
        <w:t>、PM</w:t>
      </w:r>
      <w:r>
        <w:rPr>
          <w:bCs/>
          <w:color w:val="000000" w:themeColor="text1"/>
          <w:vertAlign w:val="subscript"/>
          <w14:textFill>
            <w14:solidFill>
              <w14:schemeClr w14:val="tx1"/>
            </w14:solidFill>
          </w14:textFill>
        </w:rPr>
        <w:t>10</w:t>
      </w:r>
      <w:r>
        <w:rPr>
          <w:bCs/>
          <w:color w:val="000000" w:themeColor="text1"/>
          <w14:textFill>
            <w14:solidFill>
              <w14:schemeClr w14:val="tx1"/>
            </w14:solidFill>
          </w14:textFill>
        </w:rPr>
        <w:t>、TSP、SO</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、NO</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均未</w:t>
      </w:r>
      <w:r>
        <w:rPr>
          <w:bCs/>
          <w:color w:val="000000" w:themeColor="text1"/>
          <w:lang w:val="zh-CN"/>
          <w14:textFill>
            <w14:solidFill>
              <w14:schemeClr w14:val="tx1"/>
            </w14:solidFill>
          </w14:textFill>
        </w:rPr>
        <w:t>超标，</w:t>
      </w:r>
      <w:r>
        <w:rPr>
          <w:bCs/>
          <w:color w:val="000000" w:themeColor="text1"/>
          <w14:textFill>
            <w14:solidFill>
              <w14:schemeClr w14:val="tx1"/>
            </w14:solidFill>
          </w14:textFill>
        </w:rPr>
        <w:t>项目区区域环境空气可以达到GB3095-2012《环境空气质量标准》二级标准，区域环境空气质量良好。</w:t>
      </w:r>
    </w:p>
    <w:p w14:paraId="7365FCEA">
      <w:pPr>
        <w:pStyle w:val="57"/>
        <w:ind w:firstLine="480"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2、地表水</w:t>
      </w:r>
    </w:p>
    <w:p w14:paraId="4F6315BC">
      <w:pPr>
        <w:pStyle w:val="57"/>
        <w:ind w:firstLine="480" w:firstLineChars="200"/>
        <w:rPr>
          <w:color w:val="000000" w:themeColor="text1"/>
          <w14:textFill>
            <w14:solidFill>
              <w14:schemeClr w14:val="tx1"/>
            </w14:solidFill>
          </w14:textFill>
        </w:rPr>
      </w:pPr>
      <w:r>
        <w:rPr>
          <w:bCs/>
          <w:color w:val="000000" w:themeColor="text1"/>
          <w14:textFill>
            <w14:solidFill>
              <w14:schemeClr w14:val="tx1"/>
            </w14:solidFill>
          </w14:textFill>
        </w:rPr>
        <w:t>云南环绿环境检测技术有限公司</w:t>
      </w:r>
      <w:r>
        <w:rPr>
          <w:color w:val="000000" w:themeColor="text1"/>
          <w14:textFill>
            <w14:solidFill>
              <w14:schemeClr w14:val="tx1"/>
            </w14:solidFill>
          </w14:textFill>
        </w:rPr>
        <w:t>于201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年12月</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1日对地表水（</w:t>
      </w:r>
      <w:r>
        <w:rPr>
          <w:rFonts w:hint="eastAsia"/>
          <w:color w:val="000000" w:themeColor="text1"/>
          <w14:textFill>
            <w14:solidFill>
              <w14:schemeClr w14:val="tx1"/>
            </w14:solidFill>
          </w14:textFill>
        </w:rPr>
        <w:t>瑞丽</w:t>
      </w:r>
      <w:r>
        <w:rPr>
          <w:color w:val="000000" w:themeColor="text1"/>
          <w14:textFill>
            <w14:solidFill>
              <w14:schemeClr w14:val="tx1"/>
            </w14:solidFill>
          </w14:textFill>
        </w:rPr>
        <w:t>江）环境质量现状进行了监测，根据监测结果，瑞丽江水质现状监测满足GB3838-2002《地表水环境质量标准》中</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类水质标准要求</w:t>
      </w:r>
      <w:r>
        <w:rPr>
          <w:bCs/>
          <w:color w:val="000000" w:themeColor="text1"/>
          <w:szCs w:val="24"/>
          <w14:textFill>
            <w14:solidFill>
              <w14:schemeClr w14:val="tx1"/>
            </w14:solidFill>
          </w14:textFill>
        </w:rPr>
        <w:t>。</w:t>
      </w:r>
    </w:p>
    <w:p w14:paraId="536AF858">
      <w:pPr>
        <w:pStyle w:val="57"/>
        <w:ind w:firstLine="480"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3、声环境</w:t>
      </w:r>
    </w:p>
    <w:p w14:paraId="000EE856">
      <w:pPr>
        <w:pStyle w:val="57"/>
        <w:ind w:firstLine="480" w:firstLineChars="200"/>
        <w:rPr>
          <w:bCs/>
          <w:color w:val="000000" w:themeColor="text1"/>
          <w14:textFill>
            <w14:solidFill>
              <w14:schemeClr w14:val="tx1"/>
            </w14:solidFill>
          </w14:textFill>
        </w:rPr>
      </w:pPr>
      <w:r>
        <w:rPr>
          <w:color w:val="000000" w:themeColor="text1"/>
          <w14:textFill>
            <w14:solidFill>
              <w14:schemeClr w14:val="tx1"/>
            </w14:solidFill>
          </w14:textFill>
        </w:rPr>
        <w:t>根据</w:t>
      </w:r>
      <w:r>
        <w:rPr>
          <w:bCs/>
          <w:color w:val="000000" w:themeColor="text1"/>
          <w14:textFill>
            <w14:solidFill>
              <w14:schemeClr w14:val="tx1"/>
            </w14:solidFill>
          </w14:textFill>
        </w:rPr>
        <w:t>云南环绿环境检测技术有限公司</w:t>
      </w:r>
      <w:r>
        <w:rPr>
          <w:bCs/>
          <w:color w:val="000000" w:themeColor="text1"/>
          <w:szCs w:val="24"/>
          <w14:textFill>
            <w14:solidFill>
              <w14:schemeClr w14:val="tx1"/>
            </w14:solidFill>
          </w14:textFill>
        </w:rPr>
        <w:t>201</w:t>
      </w:r>
      <w:r>
        <w:rPr>
          <w:rFonts w:hint="eastAsia"/>
          <w:bCs/>
          <w:color w:val="000000" w:themeColor="text1"/>
          <w:szCs w:val="24"/>
          <w14:textFill>
            <w14:solidFill>
              <w14:schemeClr w14:val="tx1"/>
            </w14:solidFill>
          </w14:textFill>
        </w:rPr>
        <w:t>8</w:t>
      </w:r>
      <w:r>
        <w:rPr>
          <w:bCs/>
          <w:color w:val="000000" w:themeColor="text1"/>
          <w:szCs w:val="24"/>
          <w14:textFill>
            <w14:solidFill>
              <w14:schemeClr w14:val="tx1"/>
            </w14:solidFill>
          </w14:textFill>
        </w:rPr>
        <w:t>年</w:t>
      </w:r>
      <w:r>
        <w:rPr>
          <w:color w:val="000000" w:themeColor="text1"/>
          <w:szCs w:val="24"/>
          <w14:textFill>
            <w14:solidFill>
              <w14:schemeClr w14:val="tx1"/>
            </w14:solidFill>
          </w14:textFill>
        </w:rPr>
        <w:t>12月1</w:t>
      </w:r>
      <w:r>
        <w:rPr>
          <w:rFonts w:hint="eastAsia"/>
          <w:color w:val="000000" w:themeColor="text1"/>
          <w:szCs w:val="24"/>
          <w14:textFill>
            <w14:solidFill>
              <w14:schemeClr w14:val="tx1"/>
            </w14:solidFill>
          </w14:textFill>
        </w:rPr>
        <w:t>9</w:t>
      </w:r>
      <w:r>
        <w:rPr>
          <w:color w:val="000000" w:themeColor="text1"/>
          <w:szCs w:val="24"/>
          <w14:textFill>
            <w14:solidFill>
              <w14:schemeClr w14:val="tx1"/>
            </w14:solidFill>
          </w14:textFill>
        </w:rPr>
        <w:t>日-</w:t>
      </w:r>
      <w:r>
        <w:rPr>
          <w:rFonts w:hint="eastAsia"/>
          <w:color w:val="000000" w:themeColor="text1"/>
          <w:szCs w:val="24"/>
          <w14:textFill>
            <w14:solidFill>
              <w14:schemeClr w14:val="tx1"/>
            </w14:solidFill>
          </w14:textFill>
        </w:rPr>
        <w:t>20</w:t>
      </w:r>
      <w:r>
        <w:rPr>
          <w:color w:val="000000" w:themeColor="text1"/>
          <w:szCs w:val="24"/>
          <w14:textFill>
            <w14:solidFill>
              <w14:schemeClr w14:val="tx1"/>
            </w14:solidFill>
          </w14:textFill>
        </w:rPr>
        <w:t>日</w:t>
      </w:r>
      <w:r>
        <w:rPr>
          <w:color w:val="000000" w:themeColor="text1"/>
          <w14:textFill>
            <w14:solidFill>
              <w14:schemeClr w14:val="tx1"/>
            </w14:solidFill>
          </w14:textFill>
        </w:rPr>
        <w:t>对项目场界进行的噪声监测结果，</w:t>
      </w:r>
      <w:r>
        <w:rPr>
          <w:bCs/>
          <w:color w:val="000000" w:themeColor="text1"/>
          <w14:textFill>
            <w14:solidFill>
              <w14:schemeClr w14:val="tx1"/>
            </w14:solidFill>
          </w14:textFill>
        </w:rPr>
        <w:t>项目场界5个噪声监测点的昼间噪声、夜间噪声监测值均达到了GB3096-2008《声环境质量标准》</w:t>
      </w: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类区标准</w:t>
      </w:r>
      <w:bookmarkStart w:id="622" w:name="_GoBack"/>
      <w:bookmarkEnd w:id="622"/>
      <w:r>
        <w:rPr>
          <w:bCs/>
          <w:color w:val="000000" w:themeColor="text1"/>
          <w14:textFill>
            <w14:solidFill>
              <w14:schemeClr w14:val="tx1"/>
            </w14:solidFill>
          </w14:textFill>
        </w:rPr>
        <w:t>即昼间≤60dB(A), 夜间≤50dB(A)，声环境质量良好。</w:t>
      </w:r>
    </w:p>
    <w:p w14:paraId="6A327E10">
      <w:pPr>
        <w:pStyle w:val="57"/>
        <w:ind w:firstLine="480"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4、地下水</w:t>
      </w:r>
    </w:p>
    <w:p w14:paraId="2801CE7D">
      <w:pPr>
        <w:pStyle w:val="57"/>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本次评价共设3个监测点，1#~3#点位均为村庄附近的泉点，主要功能为补充地表水，不涉及饮用灌溉等特殊功能。</w:t>
      </w:r>
    </w:p>
    <w:p w14:paraId="788315DC">
      <w:pPr>
        <w:pStyle w:val="57"/>
        <w:ind w:firstLine="480"/>
        <w:rPr>
          <w:bCs/>
          <w:color w:val="000000" w:themeColor="text1"/>
          <w14:textFill>
            <w14:solidFill>
              <w14:schemeClr w14:val="tx1"/>
            </w14:solidFill>
          </w14:textFill>
        </w:rPr>
      </w:pPr>
      <w:r>
        <w:rPr>
          <w:color w:val="000000" w:themeColor="text1"/>
          <w14:textFill>
            <w14:solidFill>
              <w14:schemeClr w14:val="tx1"/>
            </w14:solidFill>
          </w14:textFill>
        </w:rPr>
        <w:t>根据</w:t>
      </w:r>
      <w:r>
        <w:rPr>
          <w:bCs/>
          <w:color w:val="000000" w:themeColor="text1"/>
          <w14:textFill>
            <w14:solidFill>
              <w14:schemeClr w14:val="tx1"/>
            </w14:solidFill>
          </w14:textFill>
        </w:rPr>
        <w:t>云南环绿环境检测技术有限公司</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年12月</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1日至</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日对四分场四队、户焕、芒捧进行的地下水监测结果，</w:t>
      </w: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个监测点pH 值、溶解性总固体、</w:t>
      </w:r>
      <w:r>
        <w:rPr>
          <w:rFonts w:hint="eastAsia"/>
          <w:bCs/>
          <w:color w:val="000000" w:themeColor="text1"/>
          <w14:textFill>
            <w14:solidFill>
              <w14:schemeClr w14:val="tx1"/>
            </w14:solidFill>
          </w14:textFill>
        </w:rPr>
        <w:t>耗氧量、</w:t>
      </w:r>
      <w:r>
        <w:rPr>
          <w:bCs/>
          <w:color w:val="000000" w:themeColor="text1"/>
          <w14:textFill>
            <w14:solidFill>
              <w14:schemeClr w14:val="tx1"/>
            </w14:solidFill>
          </w14:textFill>
        </w:rPr>
        <w:t>氨氮、挥发性酚、氟化物、氯化物、硫酸盐、铁、</w:t>
      </w:r>
      <w:r>
        <w:rPr>
          <w:rFonts w:hint="eastAsia"/>
          <w:bCs/>
          <w:color w:val="000000" w:themeColor="text1"/>
          <w14:textFill>
            <w14:solidFill>
              <w14:schemeClr w14:val="tx1"/>
            </w14:solidFill>
          </w14:textFill>
        </w:rPr>
        <w:t>锰、</w:t>
      </w:r>
      <w:r>
        <w:rPr>
          <w:bCs/>
          <w:color w:val="000000" w:themeColor="text1"/>
          <w14:textFill>
            <w14:solidFill>
              <w14:schemeClr w14:val="tx1"/>
            </w14:solidFill>
          </w14:textFill>
        </w:rPr>
        <w:t>锌、大肠菌群、细菌总数，共1</w:t>
      </w: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 xml:space="preserve"> 项指标均满足《地下水质量标准》（GB/T14848-93）</w:t>
      </w:r>
      <w:r>
        <w:rPr>
          <w:rFonts w:hint="eastAsia" w:ascii="宋体" w:hAnsi="宋体" w:cs="宋体"/>
          <w:bCs/>
          <w:color w:val="000000" w:themeColor="text1"/>
          <w14:textFill>
            <w14:solidFill>
              <w14:schemeClr w14:val="tx1"/>
            </w14:solidFill>
          </w14:textFill>
        </w:rPr>
        <w:t>Ⅲ</w:t>
      </w:r>
      <w:r>
        <w:rPr>
          <w:bCs/>
          <w:color w:val="000000" w:themeColor="text1"/>
          <w14:textFill>
            <w14:solidFill>
              <w14:schemeClr w14:val="tx1"/>
            </w14:solidFill>
          </w14:textFill>
        </w:rPr>
        <w:t>类标准。</w:t>
      </w:r>
    </w:p>
    <w:p w14:paraId="6CAADEF3">
      <w:pPr>
        <w:pStyle w:val="133"/>
        <w:widowControl w:val="0"/>
        <w:rPr>
          <w:color w:val="000000" w:themeColor="text1"/>
          <w14:textFill>
            <w14:solidFill>
              <w14:schemeClr w14:val="tx1"/>
            </w14:solidFill>
          </w14:textFill>
        </w:rPr>
      </w:pPr>
      <w:bookmarkStart w:id="617" w:name="_Toc2773807"/>
      <w:r>
        <w:rPr>
          <w:color w:val="000000" w:themeColor="text1"/>
          <w14:textFill>
            <w14:solidFill>
              <w14:schemeClr w14:val="tx1"/>
            </w14:solidFill>
          </w14:textFill>
        </w:rPr>
        <w:t>12.4环境影响预测结论</w:t>
      </w:r>
      <w:bookmarkEnd w:id="617"/>
    </w:p>
    <w:p w14:paraId="2EDD6EA3">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1、施工期</w:t>
      </w:r>
    </w:p>
    <w:p w14:paraId="57CF0B11">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施工期废气来自施工建设、运输等活动产生的粉尘及施工机械、运输工具产生，通过采取合理有效的环保措施，可防止和最大限度地减缓扬尘等大气污染物对环境空气质量的污染影响，做到为环境可接受要求。</w:t>
      </w:r>
    </w:p>
    <w:p w14:paraId="27D5A9C4">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施工废水主要是工具、施工机械车辆清洗时产生，经</w:t>
      </w:r>
      <w:r>
        <w:rPr>
          <w:rFonts w:hint="eastAsia"/>
          <w:color w:val="000000" w:themeColor="text1"/>
          <w14:textFill>
            <w14:solidFill>
              <w14:schemeClr w14:val="tx1"/>
            </w14:solidFill>
          </w14:textFill>
        </w:rPr>
        <w:t>沉淀池</w:t>
      </w:r>
    </w:p>
    <w:p w14:paraId="1BB3F17F">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处理后，晴天回用于扬尘洒水、道路喷洒，多余废水和雨天废水沉砂池汇水最终回用于项目建设的扬尘洒水。</w:t>
      </w:r>
    </w:p>
    <w:p w14:paraId="10DF177D">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对声环境的噪声影响主要包括施工期的基础开挖、主体结构、装修工程过程中的施工噪声，声环境保护目标距离项目较远，施工期的噪声影响对周围环境影响小。</w:t>
      </w:r>
    </w:p>
    <w:p w14:paraId="113B45CE">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施工期产生的固废主要为建筑垃圾、生活垃圾，项目建设方应该严格对弃土石和建筑垃圾进行处置，应根据住建局要求，委托有资质单位运送至指定位置；生活垃圾委托环卫部门清运。采取以上措施后施工期固废对周围环境影响小。</w:t>
      </w:r>
    </w:p>
    <w:p w14:paraId="247A389E">
      <w:pPr>
        <w:pStyle w:val="116"/>
        <w:ind w:firstLine="480"/>
        <w:rPr>
          <w:color w:val="000000" w:themeColor="text1"/>
          <w14:textFill>
            <w14:solidFill>
              <w14:schemeClr w14:val="tx1"/>
            </w14:solidFill>
          </w14:textFill>
        </w:rPr>
      </w:pPr>
      <w:r>
        <w:rPr>
          <w:color w:val="000000" w:themeColor="text1"/>
          <w14:textFill>
            <w14:solidFill>
              <w14:schemeClr w14:val="tx1"/>
            </w14:solidFill>
          </w14:textFill>
        </w:rPr>
        <w:t>综上分析，施工期环境影响在可接受范围内。</w:t>
      </w:r>
    </w:p>
    <w:p w14:paraId="2A7363C9">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2、运营期</w:t>
      </w:r>
    </w:p>
    <w:p w14:paraId="72C870D3">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（1）大气污染物影响结论</w:t>
      </w:r>
    </w:p>
    <w:p w14:paraId="0169EA69">
      <w:pPr>
        <w:spacing w:line="360" w:lineRule="auto"/>
        <w:ind w:left="105" w:leftChars="50" w:right="105" w:rightChars="50" w:firstLine="480" w:firstLineChars="200"/>
        <w:jc w:val="left"/>
        <w:rPr>
          <w:rFonts w:eastAsiaTheme="minorEastAsia"/>
          <w:bCs/>
          <w:color w:val="000000" w:themeColor="text1"/>
          <w:sz w:val="24"/>
          <w14:textFill>
            <w14:solidFill>
              <w14:schemeClr w14:val="tx1"/>
            </w14:solidFill>
          </w14:textFill>
        </w:rPr>
      </w:pPr>
      <w:r>
        <w:rPr>
          <w:color w:val="000000" w:themeColor="text1"/>
          <w:sz w:val="24"/>
          <w14:textFill>
            <w14:solidFill>
              <w14:schemeClr w14:val="tx1"/>
            </w14:solidFill>
          </w14:textFill>
        </w:rPr>
        <w:t>根据本项目污染物排放特性，对周围环境有可能产生影响的主要是造粒过程产生的颗粒物及非甲烷总烃，而项目设计及建设中已考虑废气主要为造粒工序热熔挤出废气（颗粒物、非甲烷总烃），</w:t>
      </w:r>
      <w:r>
        <w:rPr>
          <w:rFonts w:eastAsiaTheme="minorEastAsia"/>
          <w:bCs/>
          <w:color w:val="000000" w:themeColor="text1"/>
          <w:sz w:val="24"/>
          <w14:textFill>
            <w14:solidFill>
              <w14:schemeClr w14:val="tx1"/>
            </w14:solidFill>
          </w14:textFill>
        </w:rPr>
        <w:t>拟在两台塑料挤出机上方设置集气罩（风量为6000m</w:t>
      </w:r>
      <w:r>
        <w:rPr>
          <w:rFonts w:eastAsiaTheme="minorEastAsia"/>
          <w:bCs/>
          <w:color w:val="000000" w:themeColor="text1"/>
          <w:sz w:val="24"/>
          <w:vertAlign w:val="superscript"/>
          <w14:textFill>
            <w14:solidFill>
              <w14:schemeClr w14:val="tx1"/>
            </w14:solidFill>
          </w14:textFill>
        </w:rPr>
        <w:t>3</w:t>
      </w:r>
      <w:r>
        <w:rPr>
          <w:rFonts w:eastAsiaTheme="minorEastAsia"/>
          <w:bCs/>
          <w:color w:val="000000" w:themeColor="text1"/>
          <w:sz w:val="24"/>
          <w14:textFill>
            <w14:solidFill>
              <w14:schemeClr w14:val="tx1"/>
            </w14:solidFill>
          </w14:textFill>
        </w:rPr>
        <w:t>/h，集气效率90%），将颗粒物及非甲烷总烃引至过滤棉+活性炭吸附装置处理达标后（颗粒物处置效率95%，非甲烷总烃处置效率85%），通过管道引至15m的排气筒排放。</w:t>
      </w:r>
    </w:p>
    <w:p w14:paraId="5830BD66">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从项目位置和预测结果分析对保护目标影响很小，叠加现状背景值后，关心点预测颗粒物及非甲烷总烃污染物预测值能达GB3095－2012《环境空气质量标准》二级标准，从估算结果可以看出废气对保护目标的影响可接受</w:t>
      </w:r>
      <w:r>
        <w:rPr>
          <w:bCs/>
          <w:color w:val="000000" w:themeColor="text1"/>
          <w:sz w:val="24"/>
          <w14:textFill>
            <w14:solidFill>
              <w14:schemeClr w14:val="tx1"/>
            </w14:solidFill>
          </w14:textFill>
        </w:rPr>
        <w:t>。</w:t>
      </w:r>
    </w:p>
    <w:p w14:paraId="2A364B4A">
      <w:pPr>
        <w:pStyle w:val="116"/>
        <w:ind w:firstLine="482"/>
        <w:rPr>
          <w:b/>
          <w:color w:val="000000" w:themeColor="text1"/>
          <w14:textFill>
            <w14:solidFill>
              <w14:schemeClr w14:val="tx1"/>
            </w14:solidFill>
          </w14:textFill>
        </w:rPr>
      </w:pPr>
      <w:r>
        <w:rPr>
          <w:b/>
          <w:color w:val="000000" w:themeColor="text1"/>
          <w14:textFill>
            <w14:solidFill>
              <w14:schemeClr w14:val="tx1"/>
            </w14:solidFill>
          </w14:textFill>
        </w:rPr>
        <w:t>2、地表水环境影响结论</w:t>
      </w:r>
    </w:p>
    <w:p w14:paraId="21048B31">
      <w:pPr>
        <w:spacing w:line="360" w:lineRule="auto"/>
        <w:ind w:firstLine="480" w:firstLineChars="200"/>
        <w:rPr>
          <w:color w:val="000000" w:themeColor="text1"/>
          <w:sz w:val="24"/>
          <w14:textFill>
            <w14:solidFill>
              <w14:schemeClr w14:val="tx1"/>
            </w14:solidFill>
          </w14:textFill>
        </w:rPr>
      </w:pPr>
      <w:r>
        <w:rPr>
          <w:snapToGrid w:val="0"/>
          <w:color w:val="000000" w:themeColor="text1"/>
          <w:kern w:val="0"/>
          <w:sz w:val="24"/>
          <w:szCs w:val="20"/>
          <w14:textFill>
            <w14:solidFill>
              <w14:schemeClr w14:val="tx1"/>
            </w14:solidFill>
          </w14:textFill>
        </w:rPr>
        <w:t>本项目排水方案为雨污分流，</w:t>
      </w:r>
      <w:r>
        <w:rPr>
          <w:color w:val="000000" w:themeColor="text1"/>
          <w:sz w:val="24"/>
          <w14:textFill>
            <w14:solidFill>
              <w14:schemeClr w14:val="tx1"/>
            </w14:solidFill>
          </w14:textFill>
        </w:rPr>
        <w:t>本项目厂区设置雨水沟，收集前1h的雨水进入本项目雨水沉淀池（1m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）处理，回用于生产，其余经沉淀后外排。</w:t>
      </w:r>
      <w:r>
        <w:rPr>
          <w:rFonts w:eastAsia="??"/>
          <w:color w:val="000000" w:themeColor="text1"/>
          <w:sz w:val="24"/>
          <w14:textFill>
            <w14:solidFill>
              <w14:schemeClr w14:val="tx1"/>
            </w14:solidFill>
          </w14:textFill>
        </w:rPr>
        <w:t xml:space="preserve"> </w:t>
      </w:r>
    </w:p>
    <w:p w14:paraId="7265929D">
      <w:pPr>
        <w:spacing w:line="360" w:lineRule="auto"/>
        <w:ind w:firstLine="480" w:firstLineChars="200"/>
        <w:rPr>
          <w:bCs/>
          <w:color w:val="000000" w:themeColor="text1"/>
          <w:sz w:val="24"/>
          <w14:textFill>
            <w14:solidFill>
              <w14:schemeClr w14:val="tx1"/>
            </w14:solidFill>
          </w14:textFill>
        </w:rPr>
      </w:pPr>
      <w:r>
        <w:rPr>
          <w:snapToGrid w:val="0"/>
          <w:color w:val="000000" w:themeColor="text1"/>
          <w:kern w:val="0"/>
          <w:sz w:val="24"/>
          <w:szCs w:val="20"/>
          <w14:textFill>
            <w14:solidFill>
              <w14:schemeClr w14:val="tx1"/>
            </w14:solidFill>
          </w14:textFill>
        </w:rPr>
        <w:t>生活污水中</w:t>
      </w:r>
      <w:r>
        <w:rPr>
          <w:bCs/>
          <w:color w:val="000000" w:themeColor="text1"/>
          <w:sz w:val="24"/>
          <w14:textFill>
            <w14:solidFill>
              <w14:schemeClr w14:val="tx1"/>
            </w14:solidFill>
          </w14:textFill>
        </w:rPr>
        <w:t>厨房废水经1个隔油池（0.2m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）处理后，与其它生活废水排入化粪池（15m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）处理，定期委托周边村民清运，用于农作物施肥。</w:t>
      </w:r>
    </w:p>
    <w:p w14:paraId="776B223A">
      <w:pPr>
        <w:spacing w:line="360" w:lineRule="auto"/>
        <w:ind w:firstLine="480" w:firstLineChars="200"/>
        <w:rPr>
          <w:bCs/>
          <w:color w:val="000000" w:themeColor="text1"/>
          <w:sz w:val="24"/>
          <w:szCs w:val="32"/>
          <w14:textFill>
            <w14:solidFill>
              <w14:schemeClr w14:val="tx1"/>
            </w14:solidFill>
          </w14:textFill>
        </w:rPr>
      </w:pPr>
      <w:r>
        <w:rPr>
          <w:bCs/>
          <w:color w:val="000000" w:themeColor="text1"/>
          <w:sz w:val="24"/>
          <w:szCs w:val="32"/>
          <w14:textFill>
            <w14:solidFill>
              <w14:schemeClr w14:val="tx1"/>
            </w14:solidFill>
          </w14:textFill>
        </w:rPr>
        <w:t>生产废水中清洗、破碎废水通过自建的隔油池（2.5m</w:t>
      </w:r>
      <w:r>
        <w:rPr>
          <w:bCs/>
          <w:color w:val="000000" w:themeColor="text1"/>
          <w:sz w:val="24"/>
          <w:szCs w:val="32"/>
          <w:vertAlign w:val="superscript"/>
          <w14:textFill>
            <w14:solidFill>
              <w14:schemeClr w14:val="tx1"/>
            </w14:solidFill>
          </w14:textFill>
        </w:rPr>
        <w:t>3</w:t>
      </w:r>
      <w:r>
        <w:rPr>
          <w:bCs/>
          <w:color w:val="000000" w:themeColor="text1"/>
          <w:sz w:val="24"/>
          <w:szCs w:val="32"/>
          <w14:textFill>
            <w14:solidFill>
              <w14:schemeClr w14:val="tx1"/>
            </w14:solidFill>
          </w14:textFill>
        </w:rPr>
        <w:t>）+3级沉淀池（100m</w:t>
      </w:r>
      <w:r>
        <w:rPr>
          <w:bCs/>
          <w:color w:val="000000" w:themeColor="text1"/>
          <w:sz w:val="24"/>
          <w:szCs w:val="32"/>
          <w:vertAlign w:val="superscript"/>
          <w14:textFill>
            <w14:solidFill>
              <w14:schemeClr w14:val="tx1"/>
            </w14:solidFill>
          </w14:textFill>
        </w:rPr>
        <w:t>3</w:t>
      </w:r>
      <w:r>
        <w:rPr>
          <w:bCs/>
          <w:color w:val="000000" w:themeColor="text1"/>
          <w:sz w:val="24"/>
          <w:szCs w:val="32"/>
          <w14:textFill>
            <w14:solidFill>
              <w14:schemeClr w14:val="tx1"/>
            </w14:solidFill>
          </w14:textFill>
        </w:rPr>
        <w:t>）处理达后，储存于蓄水池回用于生产，不外排；</w:t>
      </w:r>
      <w:r>
        <w:rPr>
          <w:bCs/>
          <w:color w:val="000000" w:themeColor="text1"/>
          <w:sz w:val="24"/>
          <w14:textFill>
            <w14:solidFill>
              <w14:schemeClr w14:val="tx1"/>
            </w14:solidFill>
          </w14:textFill>
        </w:rPr>
        <w:t>造粒工序设置两台造粒机，各配套一个冷却水槽，共用一个冷却水循环系统（循环冷却水池1m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w:t>
      </w:r>
      <w:r>
        <w:rPr>
          <w:rFonts w:eastAsiaTheme="minorEastAsia"/>
          <w:bCs/>
          <w:color w:val="000000" w:themeColor="text1"/>
          <w:sz w:val="24"/>
          <w:szCs w:val="28"/>
          <w14:textFill>
            <w14:solidFill>
              <w14:schemeClr w14:val="tx1"/>
            </w14:solidFill>
          </w14:textFill>
        </w:rPr>
        <w:t>此部分废水经冷却循环池冷却及沉淀后，回用于生产中。</w:t>
      </w:r>
    </w:p>
    <w:p w14:paraId="3D6745EF">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综上本项目废水不外排，对地表水（</w:t>
      </w:r>
      <w:r>
        <w:rPr>
          <w:snapToGrid w:val="0"/>
          <w:color w:val="000000" w:themeColor="text1"/>
          <w:kern w:val="0"/>
          <w:sz w:val="24"/>
          <w:szCs w:val="20"/>
          <w14:textFill>
            <w14:solidFill>
              <w14:schemeClr w14:val="tx1"/>
            </w14:solidFill>
          </w14:textFill>
        </w:rPr>
        <w:t>南侧65m瑞丽江</w:t>
      </w:r>
      <w:r>
        <w:rPr>
          <w:color w:val="000000" w:themeColor="text1"/>
          <w:sz w:val="24"/>
          <w14:textFill>
            <w14:solidFill>
              <w14:schemeClr w14:val="tx1"/>
            </w14:solidFill>
          </w14:textFill>
        </w:rPr>
        <w:t>）影响较小。</w:t>
      </w:r>
    </w:p>
    <w:p w14:paraId="3191D24F">
      <w:pPr>
        <w:spacing w:line="360" w:lineRule="auto"/>
        <w:ind w:firstLine="480"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3、固废环境影响分析</w:t>
      </w:r>
    </w:p>
    <w:p w14:paraId="03ED05A7">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本项目固废分为两类，生产固废（一般生产固废和危险废物）和生活固废。本环评要求项目区设置生活垃圾收集桶，一般生产固废收集间18m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、危废废物收集间5m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。固废得到有效的处置。</w:t>
      </w:r>
    </w:p>
    <w:p w14:paraId="66B9C86F">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4、噪声环境影响分析</w:t>
      </w:r>
    </w:p>
    <w:p w14:paraId="74D852CB">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声源上控制，选择低噪声和符合国家噪声标准的设备；对产生噪声的设备如水泵、风机等应布置于单独的房间内；设备安装位置要得当，避免放置在人群活动频繁区域的附近；在项目区内设置限速和禁鸣标志，减小交通噪声影响。</w:t>
      </w:r>
    </w:p>
    <w:p w14:paraId="1B986A75">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5、地下水环境影响分析</w:t>
      </w:r>
    </w:p>
    <w:p w14:paraId="31C7CF24">
      <w:pPr>
        <w:pStyle w:val="4"/>
        <w:rPr>
          <w:rFonts w:ascii="Times New Roman" w:hAnsi="Times New Roman"/>
          <w:color w:val="000000" w:themeColor="text1"/>
          <w14:textFill>
            <w14:solidFill>
              <w14:schemeClr w14:val="tx1"/>
            </w14:solidFill>
          </w14:textFill>
        </w:rPr>
      </w:pPr>
      <w:bookmarkStart w:id="618" w:name="_Toc2773808"/>
      <w:r>
        <w:rPr>
          <w:rFonts w:ascii="Times New Roman" w:hAnsi="Times New Roman"/>
          <w:color w:val="000000" w:themeColor="text1"/>
          <w14:textFill>
            <w14:solidFill>
              <w14:schemeClr w14:val="tx1"/>
            </w14:solidFill>
          </w14:textFill>
        </w:rPr>
        <w:t>12.5风险分析结论</w:t>
      </w:r>
      <w:bookmarkEnd w:id="618"/>
    </w:p>
    <w:p w14:paraId="39425949">
      <w:pPr>
        <w:spacing w:line="360" w:lineRule="auto"/>
        <w:ind w:firstLine="480" w:firstLineChars="200"/>
        <w:rPr>
          <w:rFonts w:eastAsia="新宋体"/>
          <w:color w:val="000000" w:themeColor="text1"/>
          <w:sz w:val="24"/>
          <w:szCs w:val="21"/>
          <w14:textFill>
            <w14:solidFill>
              <w14:schemeClr w14:val="tx1"/>
            </w14:solidFill>
          </w14:textFill>
        </w:rPr>
      </w:pPr>
      <w:r>
        <w:rPr>
          <w:rFonts w:eastAsia="新宋体"/>
          <w:color w:val="000000" w:themeColor="text1"/>
          <w:sz w:val="24"/>
          <w:szCs w:val="21"/>
          <w14:textFill>
            <w14:solidFill>
              <w14:schemeClr w14:val="tx1"/>
            </w14:solidFill>
          </w14:textFill>
        </w:rPr>
        <w:t>本项目在生产过程中使用的主要原材料为废塑料（主要成分PP、PE），产品为塑料颗粒，根据HJ/T169-2018《建设项目环境风险评价技术导则》附录B，项目生产过程中不涉及环境风险物质。主要环境风险为火灾造成财产损失、环境污染等风险事故。项目在工程设计及生产运行过程中，严格落实环境风险事故防控措施，制定环境风险应急预案，并加强施工及生产人员的管理，可有效减少运行风险，降低事故危害和环境污染，将环境风险控制到最小程度。在落实风险防范措施、做好应急预案的前提下，本项目的风险处于可接受水平。</w:t>
      </w:r>
    </w:p>
    <w:p w14:paraId="4D3D7C30">
      <w:pPr>
        <w:pStyle w:val="4"/>
        <w:rPr>
          <w:rFonts w:ascii="Times New Roman" w:hAnsi="Times New Roman"/>
          <w:color w:val="000000" w:themeColor="text1"/>
          <w14:textFill>
            <w14:solidFill>
              <w14:schemeClr w14:val="tx1"/>
            </w14:solidFill>
          </w14:textFill>
        </w:rPr>
      </w:pPr>
      <w:bookmarkStart w:id="619" w:name="_Toc2773809"/>
      <w:r>
        <w:rPr>
          <w:rFonts w:ascii="Times New Roman" w:hAnsi="Times New Roman"/>
          <w:color w:val="000000" w:themeColor="text1"/>
          <w14:textFill>
            <w14:solidFill>
              <w14:schemeClr w14:val="tx1"/>
            </w14:solidFill>
          </w14:textFill>
        </w:rPr>
        <w:t>12.6公众参与分析结论</w:t>
      </w:r>
      <w:bookmarkEnd w:id="619"/>
    </w:p>
    <w:p w14:paraId="7AF14847">
      <w:pPr>
        <w:pStyle w:val="106"/>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本次公众参与程序严格按照</w:t>
      </w:r>
      <w:r>
        <w:rPr>
          <w:rFonts w:hint="eastAsia"/>
          <w:color w:val="000000" w:themeColor="text1"/>
          <w:sz w:val="24"/>
          <w:szCs w:val="24"/>
          <w:lang w:eastAsia="zh-CN"/>
          <w14:textFill>
            <w14:solidFill>
              <w14:schemeClr w14:val="tx1"/>
            </w14:solidFill>
          </w14:textFill>
        </w:rPr>
        <w:t>生态环境部</w:t>
      </w:r>
      <w:r>
        <w:rPr>
          <w:color w:val="000000" w:themeColor="text1"/>
          <w:sz w:val="24"/>
          <w:szCs w:val="24"/>
          <w14:textFill>
            <w14:solidFill>
              <w14:schemeClr w14:val="tx1"/>
            </w14:solidFill>
          </w14:textFill>
        </w:rPr>
        <w:t>2019年2月1日起实行的《环境影响评价公众参与暂行办法》，调查的问题贯穿项目的始终，具有较强针对性，收集的意见也较为客观，能够代表走访地点大多数公众的意见，从总体上看，公众对此项目的建设表示支持和理解，同时也对区域今后的噪声、空气污染和地表水环境问题十分关注，因此本项目施工建设及运营过程中应通过采取各项措施来减轻环境污染。在工程建设期间接受公众的监督，对公众</w:t>
      </w:r>
      <w:r>
        <w:rPr>
          <w:rFonts w:hint="eastAsia"/>
          <w:color w:val="000000" w:themeColor="text1"/>
          <w:sz w:val="24"/>
          <w:szCs w:val="24"/>
          <w:lang w:eastAsia="zh-CN"/>
          <w14:textFill>
            <w14:solidFill>
              <w14:schemeClr w14:val="tx1"/>
            </w14:solidFill>
          </w14:textFill>
        </w:rPr>
        <w:t>反映强烈的问题</w:t>
      </w:r>
      <w:r>
        <w:rPr>
          <w:color w:val="000000" w:themeColor="text1"/>
          <w:sz w:val="24"/>
          <w:szCs w:val="24"/>
          <w14:textFill>
            <w14:solidFill>
              <w14:schemeClr w14:val="tx1"/>
            </w14:solidFill>
          </w14:textFill>
        </w:rPr>
        <w:t>及时整改。</w:t>
      </w:r>
    </w:p>
    <w:p w14:paraId="08FC3666">
      <w:pPr>
        <w:pStyle w:val="4"/>
        <w:rPr>
          <w:rFonts w:ascii="Times New Roman" w:hAnsi="Times New Roman"/>
          <w:color w:val="000000" w:themeColor="text1"/>
          <w14:textFill>
            <w14:solidFill>
              <w14:schemeClr w14:val="tx1"/>
            </w14:solidFill>
          </w14:textFill>
        </w:rPr>
      </w:pPr>
      <w:bookmarkStart w:id="620" w:name="_Toc2773810"/>
      <w:r>
        <w:rPr>
          <w:rFonts w:ascii="Times New Roman" w:hAnsi="Times New Roman"/>
          <w:color w:val="000000" w:themeColor="text1"/>
          <w14:textFill>
            <w14:solidFill>
              <w14:schemeClr w14:val="tx1"/>
            </w14:solidFill>
          </w14:textFill>
        </w:rPr>
        <w:t>12.7总量控制结论</w:t>
      </w:r>
      <w:bookmarkEnd w:id="620"/>
    </w:p>
    <w:p w14:paraId="05561A1A">
      <w:pPr>
        <w:pStyle w:val="115"/>
        <w:rPr>
          <w:color w:val="000000" w:themeColor="text1"/>
          <w14:textFill>
            <w14:solidFill>
              <w14:schemeClr w14:val="tx1"/>
            </w14:solidFill>
          </w14:textFill>
        </w:rPr>
      </w:pPr>
      <w:r>
        <w:rPr>
          <w:color w:val="000000" w:themeColor="text1"/>
          <w14:textFill>
            <w14:solidFill>
              <w14:schemeClr w14:val="tx1"/>
            </w14:solidFill>
          </w14:textFill>
        </w:rPr>
        <w:t>1、废气总量控制</w:t>
      </w:r>
    </w:p>
    <w:p w14:paraId="754F00DE">
      <w:pPr>
        <w:pStyle w:val="114"/>
        <w:rPr>
          <w:color w:val="000000" w:themeColor="text1"/>
          <w14:textFill>
            <w14:solidFill>
              <w14:schemeClr w14:val="tx1"/>
            </w14:solidFill>
          </w14:textFill>
        </w:rPr>
      </w:pPr>
      <w:r>
        <w:rPr>
          <w:color w:val="000000" w:themeColor="text1"/>
          <w14:textFill>
            <w14:solidFill>
              <w14:schemeClr w14:val="tx1"/>
            </w14:solidFill>
          </w14:textFill>
        </w:rPr>
        <w:t>本项目排入大气的废气总量控制指标如下：</w:t>
      </w:r>
    </w:p>
    <w:p w14:paraId="7C70137F">
      <w:pPr>
        <w:pStyle w:val="114"/>
        <w:rPr>
          <w:color w:val="000000" w:themeColor="text1"/>
          <w14:textFill>
            <w14:solidFill>
              <w14:schemeClr w14:val="tx1"/>
            </w14:solidFill>
          </w14:textFill>
        </w:rPr>
      </w:pPr>
      <w:r>
        <w:rPr>
          <w:color w:val="000000" w:themeColor="text1"/>
          <w14:textFill>
            <w14:solidFill>
              <w14:schemeClr w14:val="tx1"/>
            </w14:solidFill>
          </w14:textFill>
        </w:rPr>
        <w:t>废气量：1440万Nm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/a；颗粒物：</w:t>
      </w:r>
      <w:r>
        <w:rPr>
          <w:color w:val="000000" w:themeColor="text1"/>
          <w:szCs w:val="21"/>
          <w14:textFill>
            <w14:solidFill>
              <w14:schemeClr w14:val="tx1"/>
            </w14:solidFill>
          </w14:textFill>
        </w:rPr>
        <w:t>0.0113</w:t>
      </w:r>
      <w:r>
        <w:rPr>
          <w:color w:val="000000" w:themeColor="text1"/>
          <w14:textFill>
            <w14:solidFill>
              <w14:schemeClr w14:val="tx1"/>
            </w14:solidFill>
          </w14:textFill>
        </w:rPr>
        <w:t>t/a、非甲烷总烃：</w:t>
      </w:r>
      <w:r>
        <w:rPr>
          <w:color w:val="000000" w:themeColor="text1"/>
          <w:szCs w:val="21"/>
          <w14:textFill>
            <w14:solidFill>
              <w14:schemeClr w14:val="tx1"/>
            </w14:solidFill>
          </w14:textFill>
        </w:rPr>
        <w:t>0.2363t</w:t>
      </w:r>
      <w:r>
        <w:rPr>
          <w:color w:val="000000" w:themeColor="text1"/>
          <w14:textFill>
            <w14:solidFill>
              <w14:schemeClr w14:val="tx1"/>
            </w14:solidFill>
          </w14:textFill>
        </w:rPr>
        <w:t>/a。</w:t>
      </w:r>
    </w:p>
    <w:p w14:paraId="3A877661">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2、废水总量控制</w:t>
      </w:r>
    </w:p>
    <w:p w14:paraId="4CA0BD42">
      <w:pPr>
        <w:adjustRightInd w:val="0"/>
        <w:snapToGrid w:val="0"/>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生活废水：</w:t>
      </w:r>
      <w:r>
        <w:rPr>
          <w:color w:val="000000" w:themeColor="text1"/>
          <w:sz w:val="24"/>
          <w14:textFill>
            <w14:solidFill>
              <w14:schemeClr w14:val="tx1"/>
            </w14:solidFill>
          </w14:textFill>
        </w:rPr>
        <w:t>废水主要为员工生活废水，厨房废水经1个隔油池处理后，与其它生活废水排入化粪池处理，定期委托周边村民清运，用于农作物施肥，不外排。</w:t>
      </w:r>
    </w:p>
    <w:p w14:paraId="00141897">
      <w:pPr>
        <w:adjustRightInd w:val="0"/>
        <w:snapToGrid w:val="0"/>
        <w:spacing w:line="360" w:lineRule="auto"/>
        <w:ind w:firstLine="48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生产废水：</w:t>
      </w:r>
      <w:r>
        <w:rPr>
          <w:color w:val="000000" w:themeColor="text1"/>
          <w:sz w:val="24"/>
          <w14:textFill>
            <w14:solidFill>
              <w14:schemeClr w14:val="tx1"/>
            </w14:solidFill>
          </w14:textFill>
        </w:rPr>
        <w:t>本项目生产清洗废水通过自建的污水处理设施处理后，回用于生产；造粒冷却水循环使用（主要污染物为SS），不外排。</w:t>
      </w:r>
    </w:p>
    <w:p w14:paraId="4CDFF2C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综上，本项目废水排放量为0万m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14:paraId="0F9869F2">
      <w:pPr>
        <w:spacing w:line="360" w:lineRule="auto"/>
        <w:ind w:firstLine="480"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3、固体废弃物</w:t>
      </w:r>
    </w:p>
    <w:p w14:paraId="3B849E6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固体废物均得到合理有效的处置，处置率为100℅。</w:t>
      </w:r>
    </w:p>
    <w:p w14:paraId="1515C43D">
      <w:pPr>
        <w:pStyle w:val="4"/>
        <w:rPr>
          <w:rFonts w:ascii="Times New Roman" w:hAnsi="Times New Roman"/>
          <w:color w:val="000000" w:themeColor="text1"/>
          <w14:textFill>
            <w14:solidFill>
              <w14:schemeClr w14:val="tx1"/>
            </w14:solidFill>
          </w14:textFill>
        </w:rPr>
      </w:pPr>
      <w:bookmarkStart w:id="621" w:name="_Toc2773811"/>
      <w:r>
        <w:rPr>
          <w:rFonts w:ascii="Times New Roman" w:hAnsi="Times New Roman"/>
          <w:color w:val="000000" w:themeColor="text1"/>
          <w14:textFill>
            <w14:solidFill>
              <w14:schemeClr w14:val="tx1"/>
            </w14:solidFill>
          </w14:textFill>
        </w:rPr>
        <w:t>12.8评价总结论</w:t>
      </w:r>
      <w:bookmarkEnd w:id="621"/>
    </w:p>
    <w:p w14:paraId="7B34373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的建设符合国家和云南省的产业政策，选址符合当地的总体规划，厂址所在区域无国家、省、县划定的自然保护区、风景名胜区、饮用水保护区等环境敏感目标，项目生产过程中排放的污染物采取设计和本报告提出的防治 措施后，能够实现达标排放，不会改变现有环境的使用功能，符合评价原则。</w:t>
      </w:r>
    </w:p>
    <w:p w14:paraId="0D7A4DC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项目的建设内容及功能设置必须严格按照设计要求进行建设和设置。若项目建设内容或功能设置发生变化，项目方应重新报环保部门进行审批。</w:t>
      </w:r>
    </w:p>
    <w:p w14:paraId="1293C8FE">
      <w:pPr>
        <w:pStyle w:val="116"/>
        <w:ind w:firstLine="480"/>
        <w:rPr>
          <w:color w:val="000000" w:themeColor="text1"/>
          <w:spacing w:val="-6"/>
          <w14:textFill>
            <w14:solidFill>
              <w14:schemeClr w14:val="tx1"/>
            </w14:solidFill>
          </w14:textFill>
        </w:rPr>
      </w:pPr>
      <w:r>
        <w:rPr>
          <w:color w:val="000000" w:themeColor="text1"/>
          <w14:textFill>
            <w14:solidFill>
              <w14:schemeClr w14:val="tx1"/>
            </w14:solidFill>
          </w14:textFill>
        </w:rPr>
        <w:t>本项目必须执行国家规定“三同时”的原则。</w:t>
      </w:r>
      <w:r>
        <w:rPr>
          <w:color w:val="000000" w:themeColor="text1"/>
          <w:spacing w:val="-6"/>
          <w14:textFill>
            <w14:solidFill>
              <w14:schemeClr w14:val="tx1"/>
            </w14:solidFill>
          </w14:textFill>
        </w:rPr>
        <w:t>在项目建设过程中，只要认真落实设计和本评价提出的环境保护对策措施，在项目建设和运营过程中，强化环保意识，严格进行环保管理，保证雨污分流及相应的环保措施的正常运行，做到污染物达标排放，总量控制。本项目的实施可以做到社会效益、经济效益和环境效益三者的和谐统一、协调发展。从环境保护角度评价，本项目的建设可行。</w:t>
      </w:r>
    </w:p>
    <w:p w14:paraId="008841A6">
      <w:pPr>
        <w:rPr>
          <w:color w:val="000000" w:themeColor="text1"/>
          <w14:textFill>
            <w14:solidFill>
              <w14:schemeClr w14:val="tx1"/>
            </w14:solidFill>
          </w14:textFill>
        </w:rPr>
      </w:pPr>
    </w:p>
    <w:p w14:paraId="39695B48">
      <w:pPr>
        <w:rPr>
          <w:color w:val="000000" w:themeColor="text1"/>
          <w14:textFill>
            <w14:solidFill>
              <w14:schemeClr w14:val="tx1"/>
            </w14:solidFill>
          </w14:textFill>
        </w:rPr>
      </w:pPr>
    </w:p>
    <w:sectPr>
      <w:footerReference r:id="rId10" w:type="default"/>
      <w:pgSz w:w="11906" w:h="16838"/>
      <w:pgMar w:top="1440" w:right="1800" w:bottom="1440" w:left="180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
    <w:altName w:val="Times New Roman"/>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GulimChe">
    <w:altName w:val="Malgun Gothic"/>
    <w:panose1 w:val="020B0609000101010101"/>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876AF">
    <w:pPr>
      <w:pStyle w:val="26"/>
      <w:jc w:val="center"/>
    </w:pPr>
    <w:r>
      <w:rPr>
        <w:rFonts w:ascii="华文楷体" w:hAnsi="华文楷体" w:eastAsia="华文楷体"/>
        <w:b/>
        <w:sz w:val="21"/>
        <w:szCs w:val="21"/>
      </w:rPr>
      <w:fldChar w:fldCharType="begin"/>
    </w:r>
    <w:r>
      <w:instrText xml:space="preserve"> PAGE   \* MERGEFORMAT </w:instrText>
    </w:r>
    <w:r>
      <w:fldChar w:fldCharType="separate"/>
    </w:r>
    <w:r>
      <w:rPr>
        <w:lang w:val="zh-CN"/>
      </w:rPr>
      <w:t>4</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C30DE">
    <w:pPr>
      <w:pStyle w:val="26"/>
      <w:jc w:val="center"/>
    </w:pPr>
    <w:r>
      <w:rPr>
        <w:rFonts w:ascii="华文楷体" w:hAnsi="华文楷体" w:eastAsia="华文楷体"/>
      </w:rPr>
      <w:fldChar w:fldCharType="begin"/>
    </w:r>
    <w:r>
      <w:instrText xml:space="preserve"> PAGE   \* MERGEFORMAT </w:instrText>
    </w:r>
    <w:r>
      <w:fldChar w:fldCharType="separate"/>
    </w:r>
    <w:r>
      <w:rPr>
        <w:lang w:val="zh-CN"/>
      </w:rPr>
      <w:t>18</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8F294">
    <w:pPr>
      <w:pStyle w:val="26"/>
      <w:ind w:left="-134"/>
      <w:jc w:val="center"/>
      <w:rPr>
        <w:b/>
      </w:rPr>
    </w:pPr>
    <w:r>
      <w:rPr>
        <w:b/>
      </w:rPr>
      <w:fldChar w:fldCharType="begin"/>
    </w:r>
    <w:r>
      <w:rPr>
        <w:b/>
      </w:rPr>
      <w:instrText xml:space="preserve">PAGE   \* MERGEFORMAT</w:instrText>
    </w:r>
    <w:r>
      <w:rPr>
        <w:b/>
      </w:rPr>
      <w:fldChar w:fldCharType="separate"/>
    </w:r>
    <w:r>
      <w:rPr>
        <w:b/>
        <w:lang w:val="zh-CN"/>
      </w:rPr>
      <w:t>44</w:t>
    </w:r>
    <w:r>
      <w:rPr>
        <w:b/>
      </w:rPr>
      <w:fldChar w:fldCharType="end"/>
    </w:r>
  </w:p>
  <w:p w14:paraId="1E6CB162">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6956680"/>
      <w:docPartObj>
        <w:docPartGallery w:val="autotext"/>
      </w:docPartObj>
    </w:sdtPr>
    <w:sdtContent>
      <w:p w14:paraId="3DC1CE6A">
        <w:pPr>
          <w:pStyle w:val="26"/>
          <w:jc w:val="center"/>
        </w:pPr>
        <w:r>
          <w:fldChar w:fldCharType="begin"/>
        </w:r>
        <w:r>
          <w:instrText xml:space="preserve">PAGE   \* MERGEFORMAT</w:instrText>
        </w:r>
        <w:r>
          <w:fldChar w:fldCharType="separate"/>
        </w:r>
        <w:r>
          <w:rPr>
            <w:lang w:val="zh-CN"/>
          </w:rPr>
          <w:t>54</w:t>
        </w:r>
        <w:r>
          <w:fldChar w:fldCharType="end"/>
        </w:r>
      </w:p>
    </w:sdtContent>
  </w:sdt>
  <w:p w14:paraId="5550A1FF">
    <w:pPr>
      <w:pStyle w:val="17"/>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F9DFB">
    <w:pPr>
      <w:pStyle w:val="27"/>
      <w:rPr>
        <w:b/>
      </w:rPr>
    </w:pPr>
    <w:r>
      <w:rPr>
        <w:rFonts w:ascii="仿宋" w:hAnsi="仿宋" w:eastAsia="仿宋"/>
        <w:b/>
        <w:bCs/>
      </w:rPr>
      <w:t>芒市</w:t>
    </w:r>
    <w:r>
      <w:rPr>
        <w:rFonts w:hint="eastAsia" w:ascii="仿宋" w:hAnsi="仿宋" w:eastAsia="仿宋"/>
        <w:b/>
        <w:bCs/>
      </w:rPr>
      <w:t>创亿塑料加工项目</w:t>
    </w:r>
  </w:p>
  <w:p w14:paraId="0B093A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1E48F">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74415">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70DBA">
    <w:pPr>
      <w:pStyle w:val="27"/>
      <w:rPr>
        <w:b/>
      </w:rPr>
    </w:pPr>
    <w:r>
      <w:rPr>
        <w:rFonts w:ascii="仿宋" w:hAnsi="仿宋" w:eastAsia="仿宋"/>
        <w:b/>
        <w:bCs/>
      </w:rPr>
      <w:t>芒市</w:t>
    </w:r>
    <w:r>
      <w:rPr>
        <w:rFonts w:hint="eastAsia" w:ascii="仿宋" w:hAnsi="仿宋" w:eastAsia="仿宋"/>
        <w:b/>
        <w:bCs/>
      </w:rPr>
      <w:t>创亿塑料加工项目</w:t>
    </w:r>
  </w:p>
  <w:p w14:paraId="097513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00D44E1E"/>
    <w:rsid w:val="00001FE4"/>
    <w:rsid w:val="00002AE4"/>
    <w:rsid w:val="00003D4A"/>
    <w:rsid w:val="000064B4"/>
    <w:rsid w:val="000112ED"/>
    <w:rsid w:val="0001276A"/>
    <w:rsid w:val="00012D6C"/>
    <w:rsid w:val="00014D8B"/>
    <w:rsid w:val="00015086"/>
    <w:rsid w:val="000154E1"/>
    <w:rsid w:val="00020ADB"/>
    <w:rsid w:val="0002196F"/>
    <w:rsid w:val="000230B8"/>
    <w:rsid w:val="000231E0"/>
    <w:rsid w:val="0003279F"/>
    <w:rsid w:val="00034999"/>
    <w:rsid w:val="0003542D"/>
    <w:rsid w:val="00050BF9"/>
    <w:rsid w:val="00053088"/>
    <w:rsid w:val="00053884"/>
    <w:rsid w:val="000539A3"/>
    <w:rsid w:val="000544BE"/>
    <w:rsid w:val="000574E6"/>
    <w:rsid w:val="0006022A"/>
    <w:rsid w:val="00060EC4"/>
    <w:rsid w:val="00063F06"/>
    <w:rsid w:val="00063F83"/>
    <w:rsid w:val="000655DC"/>
    <w:rsid w:val="000674CE"/>
    <w:rsid w:val="0007274D"/>
    <w:rsid w:val="00072828"/>
    <w:rsid w:val="000753D7"/>
    <w:rsid w:val="00075A0B"/>
    <w:rsid w:val="00077049"/>
    <w:rsid w:val="00077E9C"/>
    <w:rsid w:val="00080490"/>
    <w:rsid w:val="00081579"/>
    <w:rsid w:val="0008630B"/>
    <w:rsid w:val="000865ED"/>
    <w:rsid w:val="000904FC"/>
    <w:rsid w:val="00090686"/>
    <w:rsid w:val="000924B5"/>
    <w:rsid w:val="000924E4"/>
    <w:rsid w:val="000973A8"/>
    <w:rsid w:val="000979B4"/>
    <w:rsid w:val="00097AA4"/>
    <w:rsid w:val="000A052E"/>
    <w:rsid w:val="000A12D5"/>
    <w:rsid w:val="000A2B04"/>
    <w:rsid w:val="000A4199"/>
    <w:rsid w:val="000A6885"/>
    <w:rsid w:val="000A7F81"/>
    <w:rsid w:val="000B09A4"/>
    <w:rsid w:val="000B0ECF"/>
    <w:rsid w:val="000B37D1"/>
    <w:rsid w:val="000B5A75"/>
    <w:rsid w:val="000B6C1E"/>
    <w:rsid w:val="000C12B0"/>
    <w:rsid w:val="000C248D"/>
    <w:rsid w:val="000C41B7"/>
    <w:rsid w:val="000C4B78"/>
    <w:rsid w:val="000C4DBA"/>
    <w:rsid w:val="000C5CE6"/>
    <w:rsid w:val="000C71FA"/>
    <w:rsid w:val="000C7C58"/>
    <w:rsid w:val="000D0387"/>
    <w:rsid w:val="000D064C"/>
    <w:rsid w:val="000D0987"/>
    <w:rsid w:val="000D09BF"/>
    <w:rsid w:val="000D29A5"/>
    <w:rsid w:val="000D4349"/>
    <w:rsid w:val="000D472D"/>
    <w:rsid w:val="000E4A8A"/>
    <w:rsid w:val="000F0EC9"/>
    <w:rsid w:val="000F360A"/>
    <w:rsid w:val="000F5C58"/>
    <w:rsid w:val="000F6728"/>
    <w:rsid w:val="00100D86"/>
    <w:rsid w:val="00103178"/>
    <w:rsid w:val="00103A7D"/>
    <w:rsid w:val="0010516A"/>
    <w:rsid w:val="0010620E"/>
    <w:rsid w:val="001103C2"/>
    <w:rsid w:val="0011288C"/>
    <w:rsid w:val="00112958"/>
    <w:rsid w:val="00114E0C"/>
    <w:rsid w:val="0011605B"/>
    <w:rsid w:val="00120C77"/>
    <w:rsid w:val="00120E05"/>
    <w:rsid w:val="0012145D"/>
    <w:rsid w:val="00121753"/>
    <w:rsid w:val="00130C2E"/>
    <w:rsid w:val="0014088C"/>
    <w:rsid w:val="00140A6D"/>
    <w:rsid w:val="00140D4F"/>
    <w:rsid w:val="0014154C"/>
    <w:rsid w:val="00142B7B"/>
    <w:rsid w:val="00144C5B"/>
    <w:rsid w:val="001451EA"/>
    <w:rsid w:val="001466EF"/>
    <w:rsid w:val="00150EC8"/>
    <w:rsid w:val="00151567"/>
    <w:rsid w:val="001527C6"/>
    <w:rsid w:val="00154D58"/>
    <w:rsid w:val="001563DB"/>
    <w:rsid w:val="00157DFA"/>
    <w:rsid w:val="001605D6"/>
    <w:rsid w:val="001605FF"/>
    <w:rsid w:val="001633D5"/>
    <w:rsid w:val="00167584"/>
    <w:rsid w:val="001715F9"/>
    <w:rsid w:val="0017516D"/>
    <w:rsid w:val="00175A52"/>
    <w:rsid w:val="00181B88"/>
    <w:rsid w:val="001842DF"/>
    <w:rsid w:val="00184989"/>
    <w:rsid w:val="001853C5"/>
    <w:rsid w:val="001864BA"/>
    <w:rsid w:val="0018765B"/>
    <w:rsid w:val="00191638"/>
    <w:rsid w:val="00191645"/>
    <w:rsid w:val="001931D3"/>
    <w:rsid w:val="0019363D"/>
    <w:rsid w:val="00194D67"/>
    <w:rsid w:val="001969CF"/>
    <w:rsid w:val="001A0F69"/>
    <w:rsid w:val="001A1705"/>
    <w:rsid w:val="001A3973"/>
    <w:rsid w:val="001A6502"/>
    <w:rsid w:val="001B2E42"/>
    <w:rsid w:val="001B4270"/>
    <w:rsid w:val="001C0311"/>
    <w:rsid w:val="001C1F8C"/>
    <w:rsid w:val="001C4128"/>
    <w:rsid w:val="001C5218"/>
    <w:rsid w:val="001D33CE"/>
    <w:rsid w:val="001D43E7"/>
    <w:rsid w:val="001D4B90"/>
    <w:rsid w:val="001D53A4"/>
    <w:rsid w:val="001D5624"/>
    <w:rsid w:val="001D7C12"/>
    <w:rsid w:val="001D7EA1"/>
    <w:rsid w:val="001E4D1C"/>
    <w:rsid w:val="001E506B"/>
    <w:rsid w:val="001F15BE"/>
    <w:rsid w:val="001F1FAE"/>
    <w:rsid w:val="001F3301"/>
    <w:rsid w:val="001F6107"/>
    <w:rsid w:val="001F6C46"/>
    <w:rsid w:val="001F6CE2"/>
    <w:rsid w:val="001F737D"/>
    <w:rsid w:val="001F7E69"/>
    <w:rsid w:val="00201562"/>
    <w:rsid w:val="00202236"/>
    <w:rsid w:val="002023C9"/>
    <w:rsid w:val="0020248A"/>
    <w:rsid w:val="00206451"/>
    <w:rsid w:val="00206A24"/>
    <w:rsid w:val="00210904"/>
    <w:rsid w:val="00213AA9"/>
    <w:rsid w:val="002147B1"/>
    <w:rsid w:val="0021619F"/>
    <w:rsid w:val="002225CF"/>
    <w:rsid w:val="00225F31"/>
    <w:rsid w:val="00226FA5"/>
    <w:rsid w:val="0023350C"/>
    <w:rsid w:val="00234245"/>
    <w:rsid w:val="002344B4"/>
    <w:rsid w:val="002355F0"/>
    <w:rsid w:val="0023794F"/>
    <w:rsid w:val="002415B5"/>
    <w:rsid w:val="0024423E"/>
    <w:rsid w:val="00244685"/>
    <w:rsid w:val="00252757"/>
    <w:rsid w:val="00252F42"/>
    <w:rsid w:val="0025349C"/>
    <w:rsid w:val="002535B0"/>
    <w:rsid w:val="002549C6"/>
    <w:rsid w:val="00255690"/>
    <w:rsid w:val="002609A3"/>
    <w:rsid w:val="00263E0D"/>
    <w:rsid w:val="0026475E"/>
    <w:rsid w:val="00266ACA"/>
    <w:rsid w:val="0027026A"/>
    <w:rsid w:val="0027132C"/>
    <w:rsid w:val="00271664"/>
    <w:rsid w:val="002767F5"/>
    <w:rsid w:val="00280717"/>
    <w:rsid w:val="002814DC"/>
    <w:rsid w:val="00281F43"/>
    <w:rsid w:val="00284947"/>
    <w:rsid w:val="0028618C"/>
    <w:rsid w:val="0028705E"/>
    <w:rsid w:val="00287D3A"/>
    <w:rsid w:val="00292182"/>
    <w:rsid w:val="0029407D"/>
    <w:rsid w:val="00296908"/>
    <w:rsid w:val="00296B50"/>
    <w:rsid w:val="00297344"/>
    <w:rsid w:val="0029797A"/>
    <w:rsid w:val="002A2AFF"/>
    <w:rsid w:val="002B0AD9"/>
    <w:rsid w:val="002B225F"/>
    <w:rsid w:val="002B3AA9"/>
    <w:rsid w:val="002B6314"/>
    <w:rsid w:val="002C2AE6"/>
    <w:rsid w:val="002C610F"/>
    <w:rsid w:val="002C6D94"/>
    <w:rsid w:val="002D0AA0"/>
    <w:rsid w:val="002D503E"/>
    <w:rsid w:val="002D6976"/>
    <w:rsid w:val="002D6F0B"/>
    <w:rsid w:val="002E0334"/>
    <w:rsid w:val="002E30B9"/>
    <w:rsid w:val="002E41AA"/>
    <w:rsid w:val="002E67CC"/>
    <w:rsid w:val="002E7556"/>
    <w:rsid w:val="002F1B21"/>
    <w:rsid w:val="002F3A92"/>
    <w:rsid w:val="002F5019"/>
    <w:rsid w:val="00301BC9"/>
    <w:rsid w:val="003027F4"/>
    <w:rsid w:val="00314785"/>
    <w:rsid w:val="003153F7"/>
    <w:rsid w:val="00316C98"/>
    <w:rsid w:val="00317A67"/>
    <w:rsid w:val="00320352"/>
    <w:rsid w:val="003239B4"/>
    <w:rsid w:val="0032488E"/>
    <w:rsid w:val="0032608B"/>
    <w:rsid w:val="00326573"/>
    <w:rsid w:val="00326BE1"/>
    <w:rsid w:val="00327891"/>
    <w:rsid w:val="003322C7"/>
    <w:rsid w:val="00332652"/>
    <w:rsid w:val="0033791F"/>
    <w:rsid w:val="00337C79"/>
    <w:rsid w:val="003400A4"/>
    <w:rsid w:val="00340A71"/>
    <w:rsid w:val="0034109E"/>
    <w:rsid w:val="003418A0"/>
    <w:rsid w:val="00343AF6"/>
    <w:rsid w:val="00344B53"/>
    <w:rsid w:val="003459D3"/>
    <w:rsid w:val="00347080"/>
    <w:rsid w:val="00351448"/>
    <w:rsid w:val="003514CD"/>
    <w:rsid w:val="00351ACA"/>
    <w:rsid w:val="00354F63"/>
    <w:rsid w:val="00356767"/>
    <w:rsid w:val="003576FA"/>
    <w:rsid w:val="00361114"/>
    <w:rsid w:val="00361987"/>
    <w:rsid w:val="00361BAF"/>
    <w:rsid w:val="00361C0F"/>
    <w:rsid w:val="00364FBB"/>
    <w:rsid w:val="00365C1B"/>
    <w:rsid w:val="00366652"/>
    <w:rsid w:val="00370C51"/>
    <w:rsid w:val="00370C63"/>
    <w:rsid w:val="00370E32"/>
    <w:rsid w:val="003716A4"/>
    <w:rsid w:val="00372D13"/>
    <w:rsid w:val="003742C6"/>
    <w:rsid w:val="00375110"/>
    <w:rsid w:val="00380035"/>
    <w:rsid w:val="00380296"/>
    <w:rsid w:val="00384AA6"/>
    <w:rsid w:val="00384DA2"/>
    <w:rsid w:val="003900EB"/>
    <w:rsid w:val="003912AC"/>
    <w:rsid w:val="00391639"/>
    <w:rsid w:val="0039250D"/>
    <w:rsid w:val="00394331"/>
    <w:rsid w:val="00396E0A"/>
    <w:rsid w:val="003A0ACA"/>
    <w:rsid w:val="003A383E"/>
    <w:rsid w:val="003A6AA7"/>
    <w:rsid w:val="003B1394"/>
    <w:rsid w:val="003B3617"/>
    <w:rsid w:val="003B4979"/>
    <w:rsid w:val="003B6A34"/>
    <w:rsid w:val="003B70D8"/>
    <w:rsid w:val="003C0A85"/>
    <w:rsid w:val="003C1944"/>
    <w:rsid w:val="003C47FA"/>
    <w:rsid w:val="003C4FFC"/>
    <w:rsid w:val="003C7ADA"/>
    <w:rsid w:val="003D3789"/>
    <w:rsid w:val="003D56F2"/>
    <w:rsid w:val="003D574A"/>
    <w:rsid w:val="003D7C3E"/>
    <w:rsid w:val="003D7E92"/>
    <w:rsid w:val="003E4519"/>
    <w:rsid w:val="003E6C1B"/>
    <w:rsid w:val="003F1309"/>
    <w:rsid w:val="003F4AC6"/>
    <w:rsid w:val="004005DA"/>
    <w:rsid w:val="004008EA"/>
    <w:rsid w:val="00401942"/>
    <w:rsid w:val="00405D49"/>
    <w:rsid w:val="00407070"/>
    <w:rsid w:val="004103FC"/>
    <w:rsid w:val="00411550"/>
    <w:rsid w:val="00412CE4"/>
    <w:rsid w:val="00413ED4"/>
    <w:rsid w:val="00414046"/>
    <w:rsid w:val="00414419"/>
    <w:rsid w:val="00416F8E"/>
    <w:rsid w:val="00417858"/>
    <w:rsid w:val="00417A2E"/>
    <w:rsid w:val="00420DE9"/>
    <w:rsid w:val="004225F2"/>
    <w:rsid w:val="00423406"/>
    <w:rsid w:val="004256DF"/>
    <w:rsid w:val="00426382"/>
    <w:rsid w:val="0042662E"/>
    <w:rsid w:val="00432FD0"/>
    <w:rsid w:val="00433AD1"/>
    <w:rsid w:val="00435CA5"/>
    <w:rsid w:val="00437255"/>
    <w:rsid w:val="00441236"/>
    <w:rsid w:val="00441B3B"/>
    <w:rsid w:val="004455F6"/>
    <w:rsid w:val="0044735F"/>
    <w:rsid w:val="0045187C"/>
    <w:rsid w:val="00453E7E"/>
    <w:rsid w:val="00455024"/>
    <w:rsid w:val="0046425E"/>
    <w:rsid w:val="0046433D"/>
    <w:rsid w:val="0046690F"/>
    <w:rsid w:val="00466ADA"/>
    <w:rsid w:val="00470745"/>
    <w:rsid w:val="00470801"/>
    <w:rsid w:val="004740CC"/>
    <w:rsid w:val="0047524C"/>
    <w:rsid w:val="004771F5"/>
    <w:rsid w:val="00482562"/>
    <w:rsid w:val="00484356"/>
    <w:rsid w:val="00485839"/>
    <w:rsid w:val="00485EC7"/>
    <w:rsid w:val="00490245"/>
    <w:rsid w:val="00490F7D"/>
    <w:rsid w:val="004910F5"/>
    <w:rsid w:val="0049161D"/>
    <w:rsid w:val="00492D39"/>
    <w:rsid w:val="00496B9A"/>
    <w:rsid w:val="004A4270"/>
    <w:rsid w:val="004A49C7"/>
    <w:rsid w:val="004A56A9"/>
    <w:rsid w:val="004A65EB"/>
    <w:rsid w:val="004A7CE5"/>
    <w:rsid w:val="004B0516"/>
    <w:rsid w:val="004B1A98"/>
    <w:rsid w:val="004B1BA8"/>
    <w:rsid w:val="004B2BCE"/>
    <w:rsid w:val="004B3559"/>
    <w:rsid w:val="004B7D50"/>
    <w:rsid w:val="004C00E3"/>
    <w:rsid w:val="004C0D85"/>
    <w:rsid w:val="004C6E77"/>
    <w:rsid w:val="004D4B15"/>
    <w:rsid w:val="004E0F74"/>
    <w:rsid w:val="004E2F3B"/>
    <w:rsid w:val="004E404C"/>
    <w:rsid w:val="004E632E"/>
    <w:rsid w:val="004F0F1B"/>
    <w:rsid w:val="004F1BFB"/>
    <w:rsid w:val="004F2187"/>
    <w:rsid w:val="004F52B7"/>
    <w:rsid w:val="004F6397"/>
    <w:rsid w:val="004F7D33"/>
    <w:rsid w:val="0050422E"/>
    <w:rsid w:val="0050459E"/>
    <w:rsid w:val="0050486C"/>
    <w:rsid w:val="005112FA"/>
    <w:rsid w:val="00511DBE"/>
    <w:rsid w:val="00513413"/>
    <w:rsid w:val="00514167"/>
    <w:rsid w:val="0051629C"/>
    <w:rsid w:val="005213D1"/>
    <w:rsid w:val="00523C9A"/>
    <w:rsid w:val="00524E2B"/>
    <w:rsid w:val="00525438"/>
    <w:rsid w:val="00525A00"/>
    <w:rsid w:val="00526B4D"/>
    <w:rsid w:val="005303D6"/>
    <w:rsid w:val="005324EE"/>
    <w:rsid w:val="00533D45"/>
    <w:rsid w:val="00535FC1"/>
    <w:rsid w:val="005419A4"/>
    <w:rsid w:val="005433B9"/>
    <w:rsid w:val="00545678"/>
    <w:rsid w:val="00547433"/>
    <w:rsid w:val="0055048F"/>
    <w:rsid w:val="0055095F"/>
    <w:rsid w:val="0055181C"/>
    <w:rsid w:val="00554ADF"/>
    <w:rsid w:val="00557172"/>
    <w:rsid w:val="0056034D"/>
    <w:rsid w:val="0056166D"/>
    <w:rsid w:val="0056347A"/>
    <w:rsid w:val="00566145"/>
    <w:rsid w:val="005705AA"/>
    <w:rsid w:val="005710E3"/>
    <w:rsid w:val="00571D02"/>
    <w:rsid w:val="005735C4"/>
    <w:rsid w:val="00574A27"/>
    <w:rsid w:val="00574B0F"/>
    <w:rsid w:val="00575E35"/>
    <w:rsid w:val="00577998"/>
    <w:rsid w:val="00577EA6"/>
    <w:rsid w:val="005804B5"/>
    <w:rsid w:val="00583CC0"/>
    <w:rsid w:val="0059175D"/>
    <w:rsid w:val="005938C5"/>
    <w:rsid w:val="00596783"/>
    <w:rsid w:val="00596D40"/>
    <w:rsid w:val="005974F7"/>
    <w:rsid w:val="005A1D51"/>
    <w:rsid w:val="005A20BE"/>
    <w:rsid w:val="005A4C45"/>
    <w:rsid w:val="005A5A77"/>
    <w:rsid w:val="005A5AF7"/>
    <w:rsid w:val="005A5DFD"/>
    <w:rsid w:val="005A6914"/>
    <w:rsid w:val="005B0143"/>
    <w:rsid w:val="005B41EB"/>
    <w:rsid w:val="005B4C09"/>
    <w:rsid w:val="005B5CBD"/>
    <w:rsid w:val="005B7060"/>
    <w:rsid w:val="005B75E2"/>
    <w:rsid w:val="005C3313"/>
    <w:rsid w:val="005C62FE"/>
    <w:rsid w:val="005C73A5"/>
    <w:rsid w:val="005D0A77"/>
    <w:rsid w:val="005D164C"/>
    <w:rsid w:val="005D19C0"/>
    <w:rsid w:val="005D7563"/>
    <w:rsid w:val="005D761F"/>
    <w:rsid w:val="005E1D9B"/>
    <w:rsid w:val="005E23FD"/>
    <w:rsid w:val="005E4358"/>
    <w:rsid w:val="005E4C07"/>
    <w:rsid w:val="005E4C88"/>
    <w:rsid w:val="005F3D13"/>
    <w:rsid w:val="005F3DAE"/>
    <w:rsid w:val="005F42F3"/>
    <w:rsid w:val="005F4A14"/>
    <w:rsid w:val="005F6806"/>
    <w:rsid w:val="0060122D"/>
    <w:rsid w:val="006109DC"/>
    <w:rsid w:val="0061188C"/>
    <w:rsid w:val="00617206"/>
    <w:rsid w:val="00620754"/>
    <w:rsid w:val="00626DC7"/>
    <w:rsid w:val="00630279"/>
    <w:rsid w:val="006313C4"/>
    <w:rsid w:val="006328B9"/>
    <w:rsid w:val="0063336A"/>
    <w:rsid w:val="00636A42"/>
    <w:rsid w:val="00637CBB"/>
    <w:rsid w:val="00641D36"/>
    <w:rsid w:val="00646234"/>
    <w:rsid w:val="006462CF"/>
    <w:rsid w:val="00646750"/>
    <w:rsid w:val="00650BDC"/>
    <w:rsid w:val="00653F11"/>
    <w:rsid w:val="00655B37"/>
    <w:rsid w:val="00655DB4"/>
    <w:rsid w:val="006605E9"/>
    <w:rsid w:val="00664C37"/>
    <w:rsid w:val="00666E8C"/>
    <w:rsid w:val="00667436"/>
    <w:rsid w:val="0066797C"/>
    <w:rsid w:val="0067048F"/>
    <w:rsid w:val="0067561E"/>
    <w:rsid w:val="00681A26"/>
    <w:rsid w:val="006821D4"/>
    <w:rsid w:val="00682C6C"/>
    <w:rsid w:val="00687902"/>
    <w:rsid w:val="00690B31"/>
    <w:rsid w:val="00690B4C"/>
    <w:rsid w:val="006917DB"/>
    <w:rsid w:val="0069344C"/>
    <w:rsid w:val="00694861"/>
    <w:rsid w:val="006A1CF0"/>
    <w:rsid w:val="006A3C31"/>
    <w:rsid w:val="006B0339"/>
    <w:rsid w:val="006B195D"/>
    <w:rsid w:val="006B3C24"/>
    <w:rsid w:val="006B3DFD"/>
    <w:rsid w:val="006B4B4D"/>
    <w:rsid w:val="006B514F"/>
    <w:rsid w:val="006C1D8E"/>
    <w:rsid w:val="006C417A"/>
    <w:rsid w:val="006C7513"/>
    <w:rsid w:val="006D0B09"/>
    <w:rsid w:val="006E07E6"/>
    <w:rsid w:val="006E0906"/>
    <w:rsid w:val="006E0AB7"/>
    <w:rsid w:val="006E17B9"/>
    <w:rsid w:val="006E31E2"/>
    <w:rsid w:val="006E3BEC"/>
    <w:rsid w:val="006E4078"/>
    <w:rsid w:val="006E70DE"/>
    <w:rsid w:val="006F44E5"/>
    <w:rsid w:val="006F6BFF"/>
    <w:rsid w:val="00700AB4"/>
    <w:rsid w:val="00700C9B"/>
    <w:rsid w:val="00700EB4"/>
    <w:rsid w:val="00701844"/>
    <w:rsid w:val="00703E47"/>
    <w:rsid w:val="00704B26"/>
    <w:rsid w:val="00706E4C"/>
    <w:rsid w:val="007114BA"/>
    <w:rsid w:val="00716761"/>
    <w:rsid w:val="00716D95"/>
    <w:rsid w:val="007177DE"/>
    <w:rsid w:val="00721432"/>
    <w:rsid w:val="00721A1E"/>
    <w:rsid w:val="00723196"/>
    <w:rsid w:val="00736268"/>
    <w:rsid w:val="00736EC2"/>
    <w:rsid w:val="00737490"/>
    <w:rsid w:val="007418E3"/>
    <w:rsid w:val="007427A7"/>
    <w:rsid w:val="0074682C"/>
    <w:rsid w:val="00751CF7"/>
    <w:rsid w:val="00751F61"/>
    <w:rsid w:val="007521C2"/>
    <w:rsid w:val="00753D25"/>
    <w:rsid w:val="00755167"/>
    <w:rsid w:val="00757F97"/>
    <w:rsid w:val="0076434C"/>
    <w:rsid w:val="00764DD3"/>
    <w:rsid w:val="00764E07"/>
    <w:rsid w:val="007671CD"/>
    <w:rsid w:val="00782105"/>
    <w:rsid w:val="007825C5"/>
    <w:rsid w:val="007831C7"/>
    <w:rsid w:val="00783D6B"/>
    <w:rsid w:val="007842C6"/>
    <w:rsid w:val="00786F6E"/>
    <w:rsid w:val="00792AC0"/>
    <w:rsid w:val="00795132"/>
    <w:rsid w:val="00796A7F"/>
    <w:rsid w:val="00796D64"/>
    <w:rsid w:val="007A41C9"/>
    <w:rsid w:val="007A4913"/>
    <w:rsid w:val="007A5EF1"/>
    <w:rsid w:val="007A6B4D"/>
    <w:rsid w:val="007B02CA"/>
    <w:rsid w:val="007B2DF5"/>
    <w:rsid w:val="007B4C83"/>
    <w:rsid w:val="007B7B38"/>
    <w:rsid w:val="007B7EDE"/>
    <w:rsid w:val="007B7F35"/>
    <w:rsid w:val="007C6D34"/>
    <w:rsid w:val="007D4186"/>
    <w:rsid w:val="007D62BE"/>
    <w:rsid w:val="007D6FE5"/>
    <w:rsid w:val="007E06BD"/>
    <w:rsid w:val="007E36AD"/>
    <w:rsid w:val="007E49AA"/>
    <w:rsid w:val="007E5931"/>
    <w:rsid w:val="007E7C06"/>
    <w:rsid w:val="007F01F2"/>
    <w:rsid w:val="007F1B72"/>
    <w:rsid w:val="007F233B"/>
    <w:rsid w:val="007F2BBA"/>
    <w:rsid w:val="007F2CDE"/>
    <w:rsid w:val="007F2E6A"/>
    <w:rsid w:val="007F5661"/>
    <w:rsid w:val="00802EA0"/>
    <w:rsid w:val="008222FB"/>
    <w:rsid w:val="008236FC"/>
    <w:rsid w:val="00825032"/>
    <w:rsid w:val="00827B00"/>
    <w:rsid w:val="00831BAD"/>
    <w:rsid w:val="00840DBE"/>
    <w:rsid w:val="00840EB8"/>
    <w:rsid w:val="00840FD8"/>
    <w:rsid w:val="0084147A"/>
    <w:rsid w:val="00841E48"/>
    <w:rsid w:val="0085066A"/>
    <w:rsid w:val="008530D4"/>
    <w:rsid w:val="008537DF"/>
    <w:rsid w:val="00854723"/>
    <w:rsid w:val="00854A78"/>
    <w:rsid w:val="00856844"/>
    <w:rsid w:val="0086161F"/>
    <w:rsid w:val="00861BAD"/>
    <w:rsid w:val="00866C4D"/>
    <w:rsid w:val="00867975"/>
    <w:rsid w:val="00867DD3"/>
    <w:rsid w:val="00872130"/>
    <w:rsid w:val="00872433"/>
    <w:rsid w:val="00873608"/>
    <w:rsid w:val="00874CC0"/>
    <w:rsid w:val="0087584F"/>
    <w:rsid w:val="00875B30"/>
    <w:rsid w:val="008771D6"/>
    <w:rsid w:val="00877DCE"/>
    <w:rsid w:val="00877DD1"/>
    <w:rsid w:val="00882E79"/>
    <w:rsid w:val="00883DB5"/>
    <w:rsid w:val="00885B10"/>
    <w:rsid w:val="0089003C"/>
    <w:rsid w:val="00894EA1"/>
    <w:rsid w:val="00895E90"/>
    <w:rsid w:val="00896CBB"/>
    <w:rsid w:val="008970F5"/>
    <w:rsid w:val="008A01AD"/>
    <w:rsid w:val="008A10A2"/>
    <w:rsid w:val="008B1498"/>
    <w:rsid w:val="008B18CC"/>
    <w:rsid w:val="008B617D"/>
    <w:rsid w:val="008B6AF5"/>
    <w:rsid w:val="008B7DBD"/>
    <w:rsid w:val="008C1327"/>
    <w:rsid w:val="008C3AFD"/>
    <w:rsid w:val="008C6CDB"/>
    <w:rsid w:val="008D374F"/>
    <w:rsid w:val="008D6268"/>
    <w:rsid w:val="008D6899"/>
    <w:rsid w:val="008D75A9"/>
    <w:rsid w:val="008E13C3"/>
    <w:rsid w:val="008E2928"/>
    <w:rsid w:val="008E2DBC"/>
    <w:rsid w:val="008E35EB"/>
    <w:rsid w:val="008E409C"/>
    <w:rsid w:val="008F1222"/>
    <w:rsid w:val="008F2516"/>
    <w:rsid w:val="008F4715"/>
    <w:rsid w:val="008F7C2D"/>
    <w:rsid w:val="00900F23"/>
    <w:rsid w:val="009053BF"/>
    <w:rsid w:val="0090745E"/>
    <w:rsid w:val="00907D5B"/>
    <w:rsid w:val="00910652"/>
    <w:rsid w:val="00914A7A"/>
    <w:rsid w:val="00923275"/>
    <w:rsid w:val="00925C26"/>
    <w:rsid w:val="0092635D"/>
    <w:rsid w:val="00931F9B"/>
    <w:rsid w:val="00932165"/>
    <w:rsid w:val="00933146"/>
    <w:rsid w:val="00935F02"/>
    <w:rsid w:val="00937E8E"/>
    <w:rsid w:val="00940794"/>
    <w:rsid w:val="00941E59"/>
    <w:rsid w:val="009438D4"/>
    <w:rsid w:val="00952162"/>
    <w:rsid w:val="00954E0B"/>
    <w:rsid w:val="00956ACB"/>
    <w:rsid w:val="009570E9"/>
    <w:rsid w:val="00957287"/>
    <w:rsid w:val="00962013"/>
    <w:rsid w:val="00964E4F"/>
    <w:rsid w:val="00965166"/>
    <w:rsid w:val="00967765"/>
    <w:rsid w:val="009703F2"/>
    <w:rsid w:val="0097167A"/>
    <w:rsid w:val="0097291D"/>
    <w:rsid w:val="00972CAA"/>
    <w:rsid w:val="009738D0"/>
    <w:rsid w:val="00975BF0"/>
    <w:rsid w:val="00983240"/>
    <w:rsid w:val="009847DE"/>
    <w:rsid w:val="00984949"/>
    <w:rsid w:val="009867CF"/>
    <w:rsid w:val="009868BC"/>
    <w:rsid w:val="00992DD0"/>
    <w:rsid w:val="0099328E"/>
    <w:rsid w:val="009934F1"/>
    <w:rsid w:val="009950E0"/>
    <w:rsid w:val="00995A9A"/>
    <w:rsid w:val="009A14CE"/>
    <w:rsid w:val="009A2ADF"/>
    <w:rsid w:val="009A3B00"/>
    <w:rsid w:val="009A44D1"/>
    <w:rsid w:val="009A4E76"/>
    <w:rsid w:val="009A515B"/>
    <w:rsid w:val="009A5201"/>
    <w:rsid w:val="009A6E34"/>
    <w:rsid w:val="009A7751"/>
    <w:rsid w:val="009B0052"/>
    <w:rsid w:val="009B2C2F"/>
    <w:rsid w:val="009C4482"/>
    <w:rsid w:val="009C7C03"/>
    <w:rsid w:val="009D1F99"/>
    <w:rsid w:val="009D274F"/>
    <w:rsid w:val="009D2A0C"/>
    <w:rsid w:val="009D3355"/>
    <w:rsid w:val="009D37F6"/>
    <w:rsid w:val="009D6488"/>
    <w:rsid w:val="009D6670"/>
    <w:rsid w:val="009E0352"/>
    <w:rsid w:val="009E0837"/>
    <w:rsid w:val="009E3D39"/>
    <w:rsid w:val="009E4213"/>
    <w:rsid w:val="009E486E"/>
    <w:rsid w:val="009E52E1"/>
    <w:rsid w:val="009E5788"/>
    <w:rsid w:val="009E59B5"/>
    <w:rsid w:val="009E5D13"/>
    <w:rsid w:val="009F7B63"/>
    <w:rsid w:val="00A00BBC"/>
    <w:rsid w:val="00A0182C"/>
    <w:rsid w:val="00A024FE"/>
    <w:rsid w:val="00A029C3"/>
    <w:rsid w:val="00A04510"/>
    <w:rsid w:val="00A05658"/>
    <w:rsid w:val="00A06178"/>
    <w:rsid w:val="00A14FBD"/>
    <w:rsid w:val="00A24483"/>
    <w:rsid w:val="00A244C6"/>
    <w:rsid w:val="00A247CA"/>
    <w:rsid w:val="00A31F1F"/>
    <w:rsid w:val="00A33E6F"/>
    <w:rsid w:val="00A34258"/>
    <w:rsid w:val="00A34567"/>
    <w:rsid w:val="00A347FE"/>
    <w:rsid w:val="00A36E6F"/>
    <w:rsid w:val="00A41CA0"/>
    <w:rsid w:val="00A41E81"/>
    <w:rsid w:val="00A4272A"/>
    <w:rsid w:val="00A42DCC"/>
    <w:rsid w:val="00A435A1"/>
    <w:rsid w:val="00A46F22"/>
    <w:rsid w:val="00A47938"/>
    <w:rsid w:val="00A536F4"/>
    <w:rsid w:val="00A54EED"/>
    <w:rsid w:val="00A5640C"/>
    <w:rsid w:val="00A56959"/>
    <w:rsid w:val="00A57300"/>
    <w:rsid w:val="00A57986"/>
    <w:rsid w:val="00A61485"/>
    <w:rsid w:val="00A61703"/>
    <w:rsid w:val="00A62A34"/>
    <w:rsid w:val="00A67159"/>
    <w:rsid w:val="00A6771F"/>
    <w:rsid w:val="00A73B9A"/>
    <w:rsid w:val="00A74B55"/>
    <w:rsid w:val="00A76309"/>
    <w:rsid w:val="00A76B99"/>
    <w:rsid w:val="00A81DDE"/>
    <w:rsid w:val="00A83272"/>
    <w:rsid w:val="00A84935"/>
    <w:rsid w:val="00A84951"/>
    <w:rsid w:val="00A84AED"/>
    <w:rsid w:val="00A87EF2"/>
    <w:rsid w:val="00A90805"/>
    <w:rsid w:val="00A90CD7"/>
    <w:rsid w:val="00A936AC"/>
    <w:rsid w:val="00A936B5"/>
    <w:rsid w:val="00A95511"/>
    <w:rsid w:val="00A96AB6"/>
    <w:rsid w:val="00AA2687"/>
    <w:rsid w:val="00AA53D2"/>
    <w:rsid w:val="00AA738F"/>
    <w:rsid w:val="00AB0BCF"/>
    <w:rsid w:val="00AB105B"/>
    <w:rsid w:val="00AB4BA1"/>
    <w:rsid w:val="00AB578B"/>
    <w:rsid w:val="00AC06B7"/>
    <w:rsid w:val="00AC1173"/>
    <w:rsid w:val="00AC35F5"/>
    <w:rsid w:val="00AC40F5"/>
    <w:rsid w:val="00AC6D1E"/>
    <w:rsid w:val="00AC7FC9"/>
    <w:rsid w:val="00AD0D41"/>
    <w:rsid w:val="00AD1900"/>
    <w:rsid w:val="00AD6228"/>
    <w:rsid w:val="00AD6938"/>
    <w:rsid w:val="00AE061D"/>
    <w:rsid w:val="00AE1532"/>
    <w:rsid w:val="00AE38E8"/>
    <w:rsid w:val="00AE5CAD"/>
    <w:rsid w:val="00AE6675"/>
    <w:rsid w:val="00AF0B08"/>
    <w:rsid w:val="00AF0BF7"/>
    <w:rsid w:val="00AF11FE"/>
    <w:rsid w:val="00AF1AEA"/>
    <w:rsid w:val="00AF6835"/>
    <w:rsid w:val="00AF7E8F"/>
    <w:rsid w:val="00B001E2"/>
    <w:rsid w:val="00B01C83"/>
    <w:rsid w:val="00B03E1B"/>
    <w:rsid w:val="00B05E83"/>
    <w:rsid w:val="00B0630E"/>
    <w:rsid w:val="00B0756D"/>
    <w:rsid w:val="00B078C0"/>
    <w:rsid w:val="00B1288D"/>
    <w:rsid w:val="00B12983"/>
    <w:rsid w:val="00B12C56"/>
    <w:rsid w:val="00B137E0"/>
    <w:rsid w:val="00B13DFF"/>
    <w:rsid w:val="00B15C5F"/>
    <w:rsid w:val="00B17FF3"/>
    <w:rsid w:val="00B228D9"/>
    <w:rsid w:val="00B24515"/>
    <w:rsid w:val="00B26D9D"/>
    <w:rsid w:val="00B26E1C"/>
    <w:rsid w:val="00B30833"/>
    <w:rsid w:val="00B3084A"/>
    <w:rsid w:val="00B322FC"/>
    <w:rsid w:val="00B33AD7"/>
    <w:rsid w:val="00B35042"/>
    <w:rsid w:val="00B35902"/>
    <w:rsid w:val="00B418A5"/>
    <w:rsid w:val="00B41D6D"/>
    <w:rsid w:val="00B44910"/>
    <w:rsid w:val="00B46470"/>
    <w:rsid w:val="00B512D4"/>
    <w:rsid w:val="00B51B45"/>
    <w:rsid w:val="00B52617"/>
    <w:rsid w:val="00B53195"/>
    <w:rsid w:val="00B57E1C"/>
    <w:rsid w:val="00B6117E"/>
    <w:rsid w:val="00B665FE"/>
    <w:rsid w:val="00B6694E"/>
    <w:rsid w:val="00B66B35"/>
    <w:rsid w:val="00B67566"/>
    <w:rsid w:val="00B70E27"/>
    <w:rsid w:val="00B732C7"/>
    <w:rsid w:val="00B746BD"/>
    <w:rsid w:val="00B74881"/>
    <w:rsid w:val="00B74A8B"/>
    <w:rsid w:val="00B774EB"/>
    <w:rsid w:val="00B80699"/>
    <w:rsid w:val="00B821AE"/>
    <w:rsid w:val="00B841FB"/>
    <w:rsid w:val="00B8492B"/>
    <w:rsid w:val="00B917E2"/>
    <w:rsid w:val="00B91A7B"/>
    <w:rsid w:val="00B94890"/>
    <w:rsid w:val="00B961A2"/>
    <w:rsid w:val="00BA0821"/>
    <w:rsid w:val="00BA1612"/>
    <w:rsid w:val="00BA46B5"/>
    <w:rsid w:val="00BA4F29"/>
    <w:rsid w:val="00BA561E"/>
    <w:rsid w:val="00BA6196"/>
    <w:rsid w:val="00BB1086"/>
    <w:rsid w:val="00BB1A5C"/>
    <w:rsid w:val="00BB54AA"/>
    <w:rsid w:val="00BB676D"/>
    <w:rsid w:val="00BB7F0B"/>
    <w:rsid w:val="00BC060A"/>
    <w:rsid w:val="00BC18D9"/>
    <w:rsid w:val="00BC191B"/>
    <w:rsid w:val="00BC460C"/>
    <w:rsid w:val="00BC518A"/>
    <w:rsid w:val="00BC7081"/>
    <w:rsid w:val="00BC748B"/>
    <w:rsid w:val="00BC7DC6"/>
    <w:rsid w:val="00BD043A"/>
    <w:rsid w:val="00BD0739"/>
    <w:rsid w:val="00BD3323"/>
    <w:rsid w:val="00BD3538"/>
    <w:rsid w:val="00BD42F2"/>
    <w:rsid w:val="00BD728E"/>
    <w:rsid w:val="00BE0E3C"/>
    <w:rsid w:val="00BE1F37"/>
    <w:rsid w:val="00BE2419"/>
    <w:rsid w:val="00BE2E76"/>
    <w:rsid w:val="00BE3428"/>
    <w:rsid w:val="00BE3AA0"/>
    <w:rsid w:val="00BE5446"/>
    <w:rsid w:val="00BE5D63"/>
    <w:rsid w:val="00BE5FB2"/>
    <w:rsid w:val="00BE6895"/>
    <w:rsid w:val="00BE6D06"/>
    <w:rsid w:val="00BE7CDE"/>
    <w:rsid w:val="00BF2B4D"/>
    <w:rsid w:val="00BF33DB"/>
    <w:rsid w:val="00BF5E04"/>
    <w:rsid w:val="00BF739D"/>
    <w:rsid w:val="00C001EF"/>
    <w:rsid w:val="00C00553"/>
    <w:rsid w:val="00C12BCD"/>
    <w:rsid w:val="00C13579"/>
    <w:rsid w:val="00C140E5"/>
    <w:rsid w:val="00C144F9"/>
    <w:rsid w:val="00C16111"/>
    <w:rsid w:val="00C1744B"/>
    <w:rsid w:val="00C2403A"/>
    <w:rsid w:val="00C2444D"/>
    <w:rsid w:val="00C2563D"/>
    <w:rsid w:val="00C27B19"/>
    <w:rsid w:val="00C32D23"/>
    <w:rsid w:val="00C35563"/>
    <w:rsid w:val="00C35EC6"/>
    <w:rsid w:val="00C400F2"/>
    <w:rsid w:val="00C429A5"/>
    <w:rsid w:val="00C43845"/>
    <w:rsid w:val="00C463C8"/>
    <w:rsid w:val="00C51886"/>
    <w:rsid w:val="00C52037"/>
    <w:rsid w:val="00C52058"/>
    <w:rsid w:val="00C54B34"/>
    <w:rsid w:val="00C554FA"/>
    <w:rsid w:val="00C55D0C"/>
    <w:rsid w:val="00C56AC3"/>
    <w:rsid w:val="00C57363"/>
    <w:rsid w:val="00C57817"/>
    <w:rsid w:val="00C60792"/>
    <w:rsid w:val="00C655A0"/>
    <w:rsid w:val="00C670F3"/>
    <w:rsid w:val="00C67FA6"/>
    <w:rsid w:val="00C703E8"/>
    <w:rsid w:val="00C71334"/>
    <w:rsid w:val="00C713C1"/>
    <w:rsid w:val="00C73258"/>
    <w:rsid w:val="00C74896"/>
    <w:rsid w:val="00C75768"/>
    <w:rsid w:val="00C77411"/>
    <w:rsid w:val="00C803DC"/>
    <w:rsid w:val="00C80542"/>
    <w:rsid w:val="00C806E2"/>
    <w:rsid w:val="00C84CEE"/>
    <w:rsid w:val="00C84FC5"/>
    <w:rsid w:val="00C877AB"/>
    <w:rsid w:val="00C90489"/>
    <w:rsid w:val="00C91D91"/>
    <w:rsid w:val="00C949A2"/>
    <w:rsid w:val="00CA3BAC"/>
    <w:rsid w:val="00CA3C5F"/>
    <w:rsid w:val="00CA40A7"/>
    <w:rsid w:val="00CB6A09"/>
    <w:rsid w:val="00CB7E4F"/>
    <w:rsid w:val="00CB7FCE"/>
    <w:rsid w:val="00CC18C9"/>
    <w:rsid w:val="00CC3D34"/>
    <w:rsid w:val="00CC3F86"/>
    <w:rsid w:val="00CC6C58"/>
    <w:rsid w:val="00CD3F72"/>
    <w:rsid w:val="00CD4CDA"/>
    <w:rsid w:val="00CD5E46"/>
    <w:rsid w:val="00CE119C"/>
    <w:rsid w:val="00CE2302"/>
    <w:rsid w:val="00CE445B"/>
    <w:rsid w:val="00CE4C3B"/>
    <w:rsid w:val="00CE6039"/>
    <w:rsid w:val="00CF2B4D"/>
    <w:rsid w:val="00CF5660"/>
    <w:rsid w:val="00CF5831"/>
    <w:rsid w:val="00CF5AF2"/>
    <w:rsid w:val="00CF7DE9"/>
    <w:rsid w:val="00D04B7E"/>
    <w:rsid w:val="00D1119C"/>
    <w:rsid w:val="00D11A4A"/>
    <w:rsid w:val="00D13230"/>
    <w:rsid w:val="00D140B0"/>
    <w:rsid w:val="00D143D4"/>
    <w:rsid w:val="00D2293A"/>
    <w:rsid w:val="00D30466"/>
    <w:rsid w:val="00D333C6"/>
    <w:rsid w:val="00D365A4"/>
    <w:rsid w:val="00D424B1"/>
    <w:rsid w:val="00D44951"/>
    <w:rsid w:val="00D44E1E"/>
    <w:rsid w:val="00D459F4"/>
    <w:rsid w:val="00D47969"/>
    <w:rsid w:val="00D528A4"/>
    <w:rsid w:val="00D53F62"/>
    <w:rsid w:val="00D5533D"/>
    <w:rsid w:val="00D55490"/>
    <w:rsid w:val="00D568D6"/>
    <w:rsid w:val="00D569A7"/>
    <w:rsid w:val="00D57E69"/>
    <w:rsid w:val="00D61D77"/>
    <w:rsid w:val="00D6417E"/>
    <w:rsid w:val="00D667AE"/>
    <w:rsid w:val="00D67042"/>
    <w:rsid w:val="00D70A8C"/>
    <w:rsid w:val="00D7233A"/>
    <w:rsid w:val="00D72FAA"/>
    <w:rsid w:val="00D749D9"/>
    <w:rsid w:val="00D75B40"/>
    <w:rsid w:val="00D76452"/>
    <w:rsid w:val="00D76DB6"/>
    <w:rsid w:val="00D77D7B"/>
    <w:rsid w:val="00D801A1"/>
    <w:rsid w:val="00D81771"/>
    <w:rsid w:val="00D81C5B"/>
    <w:rsid w:val="00D81E27"/>
    <w:rsid w:val="00D833EC"/>
    <w:rsid w:val="00D867CA"/>
    <w:rsid w:val="00D870A9"/>
    <w:rsid w:val="00D9236E"/>
    <w:rsid w:val="00D9446A"/>
    <w:rsid w:val="00D95F2F"/>
    <w:rsid w:val="00D963D1"/>
    <w:rsid w:val="00DA1606"/>
    <w:rsid w:val="00DA3070"/>
    <w:rsid w:val="00DA4AF3"/>
    <w:rsid w:val="00DA71F7"/>
    <w:rsid w:val="00DA7472"/>
    <w:rsid w:val="00DB18B9"/>
    <w:rsid w:val="00DB2A26"/>
    <w:rsid w:val="00DB40A2"/>
    <w:rsid w:val="00DC100A"/>
    <w:rsid w:val="00DC1458"/>
    <w:rsid w:val="00DC4755"/>
    <w:rsid w:val="00DC5CB4"/>
    <w:rsid w:val="00DC755C"/>
    <w:rsid w:val="00DD1983"/>
    <w:rsid w:val="00DD1C62"/>
    <w:rsid w:val="00DD3179"/>
    <w:rsid w:val="00DD32EA"/>
    <w:rsid w:val="00DD470A"/>
    <w:rsid w:val="00DD693B"/>
    <w:rsid w:val="00DD7798"/>
    <w:rsid w:val="00DE04F4"/>
    <w:rsid w:val="00DE1ACA"/>
    <w:rsid w:val="00DE3FD8"/>
    <w:rsid w:val="00DE5029"/>
    <w:rsid w:val="00DE7533"/>
    <w:rsid w:val="00DF07CF"/>
    <w:rsid w:val="00DF0FDF"/>
    <w:rsid w:val="00DF2D5D"/>
    <w:rsid w:val="00E02098"/>
    <w:rsid w:val="00E0319D"/>
    <w:rsid w:val="00E03931"/>
    <w:rsid w:val="00E0408F"/>
    <w:rsid w:val="00E047F7"/>
    <w:rsid w:val="00E070EC"/>
    <w:rsid w:val="00E07CD3"/>
    <w:rsid w:val="00E137E7"/>
    <w:rsid w:val="00E15A19"/>
    <w:rsid w:val="00E15F9B"/>
    <w:rsid w:val="00E23CCE"/>
    <w:rsid w:val="00E27AC0"/>
    <w:rsid w:val="00E27E3E"/>
    <w:rsid w:val="00E30267"/>
    <w:rsid w:val="00E309F0"/>
    <w:rsid w:val="00E30DE3"/>
    <w:rsid w:val="00E3134B"/>
    <w:rsid w:val="00E31D60"/>
    <w:rsid w:val="00E33116"/>
    <w:rsid w:val="00E3361C"/>
    <w:rsid w:val="00E33AE2"/>
    <w:rsid w:val="00E36A95"/>
    <w:rsid w:val="00E37636"/>
    <w:rsid w:val="00E37F9D"/>
    <w:rsid w:val="00E432EB"/>
    <w:rsid w:val="00E45F17"/>
    <w:rsid w:val="00E46D5A"/>
    <w:rsid w:val="00E476CA"/>
    <w:rsid w:val="00E51EAC"/>
    <w:rsid w:val="00E5285F"/>
    <w:rsid w:val="00E53444"/>
    <w:rsid w:val="00E55DD8"/>
    <w:rsid w:val="00E6121F"/>
    <w:rsid w:val="00E61448"/>
    <w:rsid w:val="00E73E24"/>
    <w:rsid w:val="00E75530"/>
    <w:rsid w:val="00E75900"/>
    <w:rsid w:val="00E768B6"/>
    <w:rsid w:val="00E77DC8"/>
    <w:rsid w:val="00E81E9F"/>
    <w:rsid w:val="00E8218C"/>
    <w:rsid w:val="00E831C5"/>
    <w:rsid w:val="00E85B73"/>
    <w:rsid w:val="00E90533"/>
    <w:rsid w:val="00E91488"/>
    <w:rsid w:val="00E92DF4"/>
    <w:rsid w:val="00E930B5"/>
    <w:rsid w:val="00E939F4"/>
    <w:rsid w:val="00E95717"/>
    <w:rsid w:val="00E95C8E"/>
    <w:rsid w:val="00E96086"/>
    <w:rsid w:val="00EA26DD"/>
    <w:rsid w:val="00EA29C0"/>
    <w:rsid w:val="00EA3D7F"/>
    <w:rsid w:val="00EA4AA0"/>
    <w:rsid w:val="00EA50E8"/>
    <w:rsid w:val="00EA73EE"/>
    <w:rsid w:val="00EB0312"/>
    <w:rsid w:val="00EB5144"/>
    <w:rsid w:val="00EB7016"/>
    <w:rsid w:val="00EC5D73"/>
    <w:rsid w:val="00ED5AB1"/>
    <w:rsid w:val="00ED6F34"/>
    <w:rsid w:val="00EE5BEA"/>
    <w:rsid w:val="00EF064D"/>
    <w:rsid w:val="00EF1EE2"/>
    <w:rsid w:val="00EF2CD5"/>
    <w:rsid w:val="00EF3A53"/>
    <w:rsid w:val="00EF3A83"/>
    <w:rsid w:val="00EF4659"/>
    <w:rsid w:val="00EF4D06"/>
    <w:rsid w:val="00EF4DF2"/>
    <w:rsid w:val="00EF571F"/>
    <w:rsid w:val="00EF59E8"/>
    <w:rsid w:val="00F01391"/>
    <w:rsid w:val="00F11237"/>
    <w:rsid w:val="00F11846"/>
    <w:rsid w:val="00F124D3"/>
    <w:rsid w:val="00F14D90"/>
    <w:rsid w:val="00F159B1"/>
    <w:rsid w:val="00F17CD9"/>
    <w:rsid w:val="00F2049B"/>
    <w:rsid w:val="00F20DBB"/>
    <w:rsid w:val="00F21614"/>
    <w:rsid w:val="00F22313"/>
    <w:rsid w:val="00F224D4"/>
    <w:rsid w:val="00F23407"/>
    <w:rsid w:val="00F23C1D"/>
    <w:rsid w:val="00F247A2"/>
    <w:rsid w:val="00F25E8D"/>
    <w:rsid w:val="00F279E6"/>
    <w:rsid w:val="00F30FE6"/>
    <w:rsid w:val="00F31FCD"/>
    <w:rsid w:val="00F324D8"/>
    <w:rsid w:val="00F32551"/>
    <w:rsid w:val="00F343A9"/>
    <w:rsid w:val="00F35415"/>
    <w:rsid w:val="00F40079"/>
    <w:rsid w:val="00F41D2F"/>
    <w:rsid w:val="00F43A02"/>
    <w:rsid w:val="00F4427D"/>
    <w:rsid w:val="00F4593B"/>
    <w:rsid w:val="00F46E85"/>
    <w:rsid w:val="00F472AA"/>
    <w:rsid w:val="00F51586"/>
    <w:rsid w:val="00F52EBA"/>
    <w:rsid w:val="00F5533A"/>
    <w:rsid w:val="00F56356"/>
    <w:rsid w:val="00F612D1"/>
    <w:rsid w:val="00F636D9"/>
    <w:rsid w:val="00F63B3F"/>
    <w:rsid w:val="00F65C44"/>
    <w:rsid w:val="00F6615D"/>
    <w:rsid w:val="00F66B22"/>
    <w:rsid w:val="00F67B12"/>
    <w:rsid w:val="00F70A79"/>
    <w:rsid w:val="00F718E9"/>
    <w:rsid w:val="00F725F4"/>
    <w:rsid w:val="00F72601"/>
    <w:rsid w:val="00F7324C"/>
    <w:rsid w:val="00F762E3"/>
    <w:rsid w:val="00F76B3C"/>
    <w:rsid w:val="00F81015"/>
    <w:rsid w:val="00F81161"/>
    <w:rsid w:val="00F828BA"/>
    <w:rsid w:val="00F83380"/>
    <w:rsid w:val="00F8344A"/>
    <w:rsid w:val="00F83703"/>
    <w:rsid w:val="00F83ABC"/>
    <w:rsid w:val="00F83C1B"/>
    <w:rsid w:val="00F84A6E"/>
    <w:rsid w:val="00F86392"/>
    <w:rsid w:val="00F87FA1"/>
    <w:rsid w:val="00F93FB9"/>
    <w:rsid w:val="00F97919"/>
    <w:rsid w:val="00FA037F"/>
    <w:rsid w:val="00FA4629"/>
    <w:rsid w:val="00FA712A"/>
    <w:rsid w:val="00FB0D99"/>
    <w:rsid w:val="00FB17B0"/>
    <w:rsid w:val="00FB29D0"/>
    <w:rsid w:val="00FB497A"/>
    <w:rsid w:val="00FC5697"/>
    <w:rsid w:val="00FC772B"/>
    <w:rsid w:val="00FC7D11"/>
    <w:rsid w:val="00FD073B"/>
    <w:rsid w:val="00FD09E4"/>
    <w:rsid w:val="00FD49D1"/>
    <w:rsid w:val="00FD594D"/>
    <w:rsid w:val="00FE011F"/>
    <w:rsid w:val="00FE4F70"/>
    <w:rsid w:val="00FE5585"/>
    <w:rsid w:val="00FE57CF"/>
    <w:rsid w:val="00FE6F6A"/>
    <w:rsid w:val="00FE714C"/>
    <w:rsid w:val="00FE7A58"/>
    <w:rsid w:val="00FE7E10"/>
    <w:rsid w:val="00FF1617"/>
    <w:rsid w:val="0FAE332E"/>
    <w:rsid w:val="148D556A"/>
    <w:rsid w:val="17E0279B"/>
    <w:rsid w:val="23606460"/>
    <w:rsid w:val="267C7A9B"/>
    <w:rsid w:val="36211B9F"/>
    <w:rsid w:val="4B8D635B"/>
    <w:rsid w:val="61714FCD"/>
    <w:rsid w:val="77753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81"/>
    <w:qFormat/>
    <w:uiPriority w:val="0"/>
    <w:pPr>
      <w:keepNext/>
      <w:keepLines/>
      <w:spacing w:line="360" w:lineRule="auto"/>
      <w:jc w:val="center"/>
      <w:outlineLvl w:val="0"/>
    </w:pPr>
    <w:rPr>
      <w:rFonts w:eastAsia="黑体"/>
      <w:b/>
      <w:bCs/>
      <w:kern w:val="44"/>
      <w:sz w:val="36"/>
      <w:szCs w:val="36"/>
    </w:rPr>
  </w:style>
  <w:style w:type="paragraph" w:styleId="4">
    <w:name w:val="heading 2"/>
    <w:basedOn w:val="1"/>
    <w:next w:val="1"/>
    <w:link w:val="182"/>
    <w:qFormat/>
    <w:uiPriority w:val="0"/>
    <w:pPr>
      <w:keepNext/>
      <w:keepLines/>
      <w:spacing w:line="360" w:lineRule="auto"/>
      <w:outlineLvl w:val="1"/>
    </w:pPr>
    <w:rPr>
      <w:rFonts w:ascii="Arial" w:hAnsi="Arial" w:eastAsia="黑体"/>
      <w:b/>
      <w:bCs/>
      <w:sz w:val="30"/>
      <w:szCs w:val="32"/>
    </w:rPr>
  </w:style>
  <w:style w:type="paragraph" w:styleId="5">
    <w:name w:val="heading 3"/>
    <w:basedOn w:val="1"/>
    <w:next w:val="1"/>
    <w:link w:val="183"/>
    <w:qFormat/>
    <w:uiPriority w:val="0"/>
    <w:pPr>
      <w:keepNext/>
      <w:keepLines/>
      <w:spacing w:before="260" w:after="260" w:line="416" w:lineRule="auto"/>
      <w:outlineLvl w:val="2"/>
    </w:pPr>
    <w:rPr>
      <w:b/>
      <w:bCs/>
      <w:sz w:val="32"/>
      <w:szCs w:val="32"/>
    </w:rPr>
  </w:style>
  <w:style w:type="paragraph" w:styleId="6">
    <w:name w:val="heading 4"/>
    <w:basedOn w:val="1"/>
    <w:next w:val="1"/>
    <w:link w:val="262"/>
    <w:qFormat/>
    <w:uiPriority w:val="0"/>
    <w:pPr>
      <w:keepNext/>
      <w:keepLines/>
      <w:spacing w:line="377" w:lineRule="auto"/>
      <w:outlineLvl w:val="3"/>
    </w:pPr>
    <w:rPr>
      <w:rFonts w:ascii="Plotter" w:hAnsi="Plotter" w:eastAsia="黑体"/>
      <w:b/>
      <w:bCs/>
      <w:spacing w:val="20"/>
      <w:sz w:val="32"/>
      <w:szCs w:val="20"/>
    </w:rPr>
  </w:style>
  <w:style w:type="paragraph" w:styleId="7">
    <w:name w:val="heading 5"/>
    <w:basedOn w:val="1"/>
    <w:next w:val="1"/>
    <w:link w:val="263"/>
    <w:qFormat/>
    <w:uiPriority w:val="0"/>
    <w:pPr>
      <w:keepNext/>
      <w:keepLines/>
      <w:spacing w:before="280" w:after="290" w:line="376" w:lineRule="auto"/>
      <w:outlineLvl w:val="4"/>
    </w:pPr>
    <w:rPr>
      <w:b/>
      <w:bCs/>
      <w:sz w:val="28"/>
      <w:szCs w:val="28"/>
    </w:rPr>
  </w:style>
  <w:style w:type="paragraph" w:styleId="8">
    <w:name w:val="heading 8"/>
    <w:basedOn w:val="1"/>
    <w:next w:val="1"/>
    <w:link w:val="292"/>
    <w:unhideWhenUsed/>
    <w:qFormat/>
    <w:uiPriority w:val="0"/>
    <w:pPr>
      <w:keepNext/>
      <w:keepLines/>
      <w:spacing w:before="240" w:after="64" w:line="320" w:lineRule="auto"/>
      <w:outlineLvl w:val="7"/>
    </w:pPr>
    <w:rPr>
      <w:rFonts w:asciiTheme="majorHAnsi" w:hAnsiTheme="majorHAnsi" w:eastAsiaTheme="majorEastAsia" w:cstheme="majorBidi"/>
      <w:sz w:val="24"/>
    </w:rPr>
  </w:style>
  <w:style w:type="paragraph" w:styleId="9">
    <w:name w:val="heading 9"/>
    <w:basedOn w:val="1"/>
    <w:next w:val="1"/>
    <w:link w:val="184"/>
    <w:qFormat/>
    <w:uiPriority w:val="0"/>
    <w:pPr>
      <w:keepNext/>
      <w:keepLines/>
      <w:spacing w:before="240" w:after="64" w:line="320" w:lineRule="auto"/>
      <w:outlineLvl w:val="8"/>
    </w:pPr>
    <w:rPr>
      <w:rFonts w:ascii="Arial" w:hAnsi="Arial" w:eastAsia="黑体"/>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macro"/>
    <w:link w:val="268"/>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0">
    <w:name w:val="toc 7"/>
    <w:basedOn w:val="1"/>
    <w:next w:val="1"/>
    <w:unhideWhenUsed/>
    <w:qFormat/>
    <w:uiPriority w:val="39"/>
    <w:pPr>
      <w:ind w:left="1260"/>
      <w:jc w:val="left"/>
    </w:pPr>
    <w:rPr>
      <w:rFonts w:ascii="Calibri" w:hAnsi="Calibri"/>
      <w:sz w:val="18"/>
      <w:szCs w:val="18"/>
    </w:rPr>
  </w:style>
  <w:style w:type="paragraph" w:styleId="11">
    <w:name w:val="Normal Indent"/>
    <w:basedOn w:val="1"/>
    <w:link w:val="192"/>
    <w:qFormat/>
    <w:uiPriority w:val="0"/>
    <w:pPr>
      <w:ind w:firstLine="420" w:firstLineChars="200"/>
    </w:pPr>
  </w:style>
  <w:style w:type="paragraph" w:styleId="12">
    <w:name w:val="caption"/>
    <w:basedOn w:val="1"/>
    <w:next w:val="1"/>
    <w:link w:val="282"/>
    <w:qFormat/>
    <w:uiPriority w:val="0"/>
    <w:rPr>
      <w:rFonts w:ascii="Cambria" w:hAnsi="Cambria" w:eastAsia="黑体"/>
      <w:sz w:val="20"/>
      <w:szCs w:val="20"/>
    </w:rPr>
  </w:style>
  <w:style w:type="paragraph" w:styleId="13">
    <w:name w:val="List Bullet"/>
    <w:basedOn w:val="1"/>
    <w:qFormat/>
    <w:uiPriority w:val="0"/>
    <w:pPr>
      <w:tabs>
        <w:tab w:val="left" w:pos="360"/>
      </w:tabs>
      <w:ind w:left="360" w:hanging="360" w:hangingChars="200"/>
    </w:pPr>
  </w:style>
  <w:style w:type="paragraph" w:styleId="14">
    <w:name w:val="Document Map"/>
    <w:basedOn w:val="1"/>
    <w:link w:val="185"/>
    <w:qFormat/>
    <w:uiPriority w:val="0"/>
    <w:pPr>
      <w:shd w:val="clear" w:color="auto" w:fill="000080"/>
    </w:pPr>
  </w:style>
  <w:style w:type="paragraph" w:styleId="15">
    <w:name w:val="annotation text"/>
    <w:basedOn w:val="1"/>
    <w:link w:val="218"/>
    <w:qFormat/>
    <w:uiPriority w:val="0"/>
    <w:pPr>
      <w:jc w:val="left"/>
    </w:pPr>
  </w:style>
  <w:style w:type="paragraph" w:styleId="16">
    <w:name w:val="Salutation"/>
    <w:basedOn w:val="1"/>
    <w:next w:val="1"/>
    <w:link w:val="266"/>
    <w:qFormat/>
    <w:uiPriority w:val="0"/>
    <w:pPr>
      <w:widowControl/>
      <w:jc w:val="left"/>
    </w:pPr>
    <w:rPr>
      <w:kern w:val="0"/>
      <w:sz w:val="24"/>
      <w:szCs w:val="20"/>
    </w:rPr>
  </w:style>
  <w:style w:type="paragraph" w:styleId="17">
    <w:name w:val="Body Text"/>
    <w:basedOn w:val="1"/>
    <w:link w:val="233"/>
    <w:qFormat/>
    <w:uiPriority w:val="0"/>
    <w:pPr>
      <w:spacing w:after="120"/>
    </w:pPr>
  </w:style>
  <w:style w:type="paragraph" w:styleId="18">
    <w:name w:val="Body Text Indent"/>
    <w:basedOn w:val="1"/>
    <w:link w:val="219"/>
    <w:qFormat/>
    <w:uiPriority w:val="0"/>
    <w:pPr>
      <w:spacing w:after="120"/>
      <w:ind w:left="420" w:leftChars="200"/>
    </w:pPr>
  </w:style>
  <w:style w:type="paragraph" w:styleId="19">
    <w:name w:val="toc 5"/>
    <w:basedOn w:val="1"/>
    <w:next w:val="1"/>
    <w:unhideWhenUsed/>
    <w:qFormat/>
    <w:uiPriority w:val="39"/>
    <w:pPr>
      <w:ind w:left="840"/>
      <w:jc w:val="left"/>
    </w:pPr>
    <w:rPr>
      <w:rFonts w:ascii="Calibri" w:hAnsi="Calibri"/>
      <w:sz w:val="18"/>
      <w:szCs w:val="18"/>
    </w:rPr>
  </w:style>
  <w:style w:type="paragraph" w:styleId="20">
    <w:name w:val="toc 3"/>
    <w:basedOn w:val="1"/>
    <w:next w:val="1"/>
    <w:qFormat/>
    <w:uiPriority w:val="39"/>
    <w:pPr>
      <w:ind w:left="420"/>
      <w:jc w:val="left"/>
    </w:pPr>
    <w:rPr>
      <w:rFonts w:ascii="Calibri" w:hAnsi="Calibri"/>
      <w:i/>
      <w:iCs/>
      <w:sz w:val="20"/>
      <w:szCs w:val="20"/>
    </w:rPr>
  </w:style>
  <w:style w:type="paragraph" w:styleId="21">
    <w:name w:val="Plain Text"/>
    <w:basedOn w:val="1"/>
    <w:link w:val="193"/>
    <w:qFormat/>
    <w:uiPriority w:val="0"/>
    <w:rPr>
      <w:rFonts w:ascii="宋体" w:hAnsi="Courier New" w:cs="Courier New"/>
      <w:szCs w:val="21"/>
    </w:rPr>
  </w:style>
  <w:style w:type="paragraph" w:styleId="22">
    <w:name w:val="toc 8"/>
    <w:basedOn w:val="1"/>
    <w:next w:val="1"/>
    <w:unhideWhenUsed/>
    <w:qFormat/>
    <w:uiPriority w:val="39"/>
    <w:pPr>
      <w:ind w:left="1470"/>
      <w:jc w:val="left"/>
    </w:pPr>
    <w:rPr>
      <w:rFonts w:ascii="Calibri" w:hAnsi="Calibri"/>
      <w:sz w:val="18"/>
      <w:szCs w:val="18"/>
    </w:rPr>
  </w:style>
  <w:style w:type="paragraph" w:styleId="23">
    <w:name w:val="Date"/>
    <w:basedOn w:val="1"/>
    <w:next w:val="1"/>
    <w:link w:val="265"/>
    <w:qFormat/>
    <w:uiPriority w:val="0"/>
    <w:pPr>
      <w:ind w:left="100" w:leftChars="2500"/>
    </w:pPr>
  </w:style>
  <w:style w:type="paragraph" w:styleId="24">
    <w:name w:val="Body Text Indent 2"/>
    <w:basedOn w:val="1"/>
    <w:link w:val="211"/>
    <w:qFormat/>
    <w:uiPriority w:val="0"/>
    <w:pPr>
      <w:spacing w:after="120" w:line="480" w:lineRule="auto"/>
      <w:ind w:left="420" w:leftChars="200"/>
    </w:pPr>
  </w:style>
  <w:style w:type="paragraph" w:styleId="25">
    <w:name w:val="Balloon Text"/>
    <w:basedOn w:val="1"/>
    <w:link w:val="239"/>
    <w:qFormat/>
    <w:uiPriority w:val="0"/>
    <w:rPr>
      <w:sz w:val="18"/>
      <w:szCs w:val="18"/>
    </w:rPr>
  </w:style>
  <w:style w:type="paragraph" w:styleId="26">
    <w:name w:val="footer"/>
    <w:basedOn w:val="1"/>
    <w:link w:val="189"/>
    <w:qFormat/>
    <w:uiPriority w:val="99"/>
    <w:pPr>
      <w:tabs>
        <w:tab w:val="center" w:pos="4153"/>
        <w:tab w:val="right" w:pos="8306"/>
      </w:tabs>
      <w:snapToGrid w:val="0"/>
      <w:jc w:val="left"/>
    </w:pPr>
    <w:rPr>
      <w:sz w:val="18"/>
      <w:szCs w:val="18"/>
    </w:rPr>
  </w:style>
  <w:style w:type="paragraph" w:styleId="27">
    <w:name w:val="header"/>
    <w:basedOn w:val="1"/>
    <w:link w:val="190"/>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rFonts w:ascii="Calibri" w:hAnsi="Calibri"/>
      <w:b/>
      <w:bCs/>
      <w:caps/>
      <w:sz w:val="20"/>
      <w:szCs w:val="20"/>
    </w:rPr>
  </w:style>
  <w:style w:type="paragraph" w:styleId="29">
    <w:name w:val="toc 4"/>
    <w:basedOn w:val="1"/>
    <w:next w:val="1"/>
    <w:unhideWhenUsed/>
    <w:qFormat/>
    <w:uiPriority w:val="39"/>
    <w:pPr>
      <w:ind w:left="630"/>
      <w:jc w:val="left"/>
    </w:pPr>
    <w:rPr>
      <w:rFonts w:ascii="Calibri" w:hAnsi="Calibri"/>
      <w:sz w:val="18"/>
      <w:szCs w:val="18"/>
    </w:rPr>
  </w:style>
  <w:style w:type="paragraph" w:styleId="30">
    <w:name w:val="Subtitle"/>
    <w:basedOn w:val="1"/>
    <w:next w:val="1"/>
    <w:link w:val="257"/>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31">
    <w:name w:val="List"/>
    <w:basedOn w:val="1"/>
    <w:qFormat/>
    <w:uiPriority w:val="0"/>
    <w:pPr>
      <w:ind w:left="200" w:hanging="200" w:hangingChars="200"/>
    </w:pPr>
  </w:style>
  <w:style w:type="paragraph" w:styleId="32">
    <w:name w:val="toc 6"/>
    <w:basedOn w:val="1"/>
    <w:next w:val="1"/>
    <w:unhideWhenUsed/>
    <w:qFormat/>
    <w:uiPriority w:val="39"/>
    <w:pPr>
      <w:ind w:left="1050"/>
      <w:jc w:val="left"/>
    </w:pPr>
    <w:rPr>
      <w:rFonts w:ascii="Calibri" w:hAnsi="Calibri"/>
      <w:sz w:val="18"/>
      <w:szCs w:val="18"/>
    </w:rPr>
  </w:style>
  <w:style w:type="paragraph" w:styleId="33">
    <w:name w:val="Body Text Indent 3"/>
    <w:basedOn w:val="1"/>
    <w:link w:val="264"/>
    <w:qFormat/>
    <w:uiPriority w:val="0"/>
    <w:pPr>
      <w:spacing w:after="120"/>
      <w:ind w:left="420" w:leftChars="200"/>
    </w:pPr>
    <w:rPr>
      <w:sz w:val="16"/>
      <w:szCs w:val="16"/>
    </w:rPr>
  </w:style>
  <w:style w:type="paragraph" w:styleId="34">
    <w:name w:val="toc 2"/>
    <w:basedOn w:val="1"/>
    <w:next w:val="1"/>
    <w:qFormat/>
    <w:uiPriority w:val="39"/>
    <w:pPr>
      <w:ind w:left="210"/>
      <w:jc w:val="left"/>
    </w:pPr>
    <w:rPr>
      <w:rFonts w:ascii="Calibri" w:hAnsi="Calibri"/>
      <w:smallCaps/>
      <w:sz w:val="20"/>
      <w:szCs w:val="20"/>
    </w:rPr>
  </w:style>
  <w:style w:type="paragraph" w:styleId="35">
    <w:name w:val="toc 9"/>
    <w:basedOn w:val="1"/>
    <w:next w:val="1"/>
    <w:unhideWhenUsed/>
    <w:qFormat/>
    <w:uiPriority w:val="39"/>
    <w:pPr>
      <w:ind w:left="1680"/>
      <w:jc w:val="left"/>
    </w:pPr>
    <w:rPr>
      <w:rFonts w:ascii="Calibri" w:hAnsi="Calibri"/>
      <w:sz w:val="18"/>
      <w:szCs w:val="18"/>
    </w:rPr>
  </w:style>
  <w:style w:type="paragraph" w:styleId="36">
    <w:name w:val="Body Text 2"/>
    <w:basedOn w:val="1"/>
    <w:link w:val="197"/>
    <w:qFormat/>
    <w:uiPriority w:val="0"/>
    <w:pPr>
      <w:spacing w:after="120" w:line="480" w:lineRule="auto"/>
    </w:p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Title"/>
    <w:basedOn w:val="1"/>
    <w:next w:val="1"/>
    <w:link w:val="217"/>
    <w:qFormat/>
    <w:uiPriority w:val="0"/>
    <w:pPr>
      <w:spacing w:line="360" w:lineRule="auto"/>
      <w:jc w:val="left"/>
      <w:outlineLvl w:val="0"/>
    </w:pPr>
    <w:rPr>
      <w:rFonts w:ascii="Cambria" w:hAnsi="Cambria" w:eastAsia="黑体"/>
      <w:b/>
      <w:bCs/>
      <w:sz w:val="36"/>
      <w:szCs w:val="32"/>
    </w:rPr>
  </w:style>
  <w:style w:type="paragraph" w:styleId="39">
    <w:name w:val="annotation subject"/>
    <w:basedOn w:val="15"/>
    <w:next w:val="15"/>
    <w:link w:val="235"/>
    <w:qFormat/>
    <w:uiPriority w:val="0"/>
    <w:rPr>
      <w:b/>
      <w:bCs/>
    </w:rPr>
  </w:style>
  <w:style w:type="paragraph" w:styleId="40">
    <w:name w:val="Body Text First Indent"/>
    <w:basedOn w:val="17"/>
    <w:link w:val="267"/>
    <w:qFormat/>
    <w:uiPriority w:val="0"/>
    <w:pPr>
      <w:ind w:firstLine="420" w:firstLineChars="100"/>
    </w:pPr>
  </w:style>
  <w:style w:type="paragraph" w:styleId="41">
    <w:name w:val="Body Text First Indent 2"/>
    <w:basedOn w:val="18"/>
    <w:link w:val="220"/>
    <w:qFormat/>
    <w:uiPriority w:val="0"/>
    <w:pPr>
      <w:ind w:firstLine="420" w:firstLineChars="200"/>
    </w:pPr>
  </w:style>
  <w:style w:type="table" w:styleId="43">
    <w:name w:val="Table Grid"/>
    <w:basedOn w:val="42"/>
    <w:unhideWhenUsed/>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Hyperlink"/>
    <w:qFormat/>
    <w:uiPriority w:val="99"/>
    <w:rPr>
      <w:color w:val="0000FF"/>
      <w:u w:val="single"/>
    </w:rPr>
  </w:style>
  <w:style w:type="character" w:styleId="48">
    <w:name w:val="annotation reference"/>
    <w:qFormat/>
    <w:uiPriority w:val="99"/>
    <w:rPr>
      <w:sz w:val="21"/>
      <w:szCs w:val="21"/>
    </w:rPr>
  </w:style>
  <w:style w:type="paragraph" w:customStyle="1" w:styleId="49">
    <w:name w:val="Char Char7"/>
    <w:basedOn w:val="1"/>
    <w:qFormat/>
    <w:uiPriority w:val="0"/>
    <w:pPr>
      <w:widowControl/>
      <w:jc w:val="left"/>
    </w:pPr>
    <w:rPr>
      <w:rFonts w:ascii="宋体" w:hAnsi="宋体" w:cs="宋体"/>
      <w:kern w:val="0"/>
      <w:sz w:val="24"/>
    </w:rPr>
  </w:style>
  <w:style w:type="paragraph" w:customStyle="1" w:styleId="50">
    <w:name w:val="正文＿首行缩进 Char"/>
    <w:basedOn w:val="1"/>
    <w:link w:val="187"/>
    <w:qFormat/>
    <w:uiPriority w:val="0"/>
    <w:pPr>
      <w:ind w:firstLine="560" w:firstLineChars="200"/>
    </w:pPr>
    <w:rPr>
      <w:rFonts w:cs="宋体"/>
      <w:kern w:val="0"/>
      <w:sz w:val="28"/>
      <w:szCs w:val="20"/>
    </w:rPr>
  </w:style>
  <w:style w:type="paragraph" w:customStyle="1" w:styleId="51">
    <w:name w:val="表格+六号"/>
    <w:basedOn w:val="1"/>
    <w:next w:val="1"/>
    <w:qFormat/>
    <w:uiPriority w:val="0"/>
    <w:pPr>
      <w:spacing w:line="260" w:lineRule="exact"/>
      <w:jc w:val="center"/>
    </w:pPr>
    <w:rPr>
      <w:snapToGrid w:val="0"/>
      <w:kern w:val="0"/>
      <w:sz w:val="15"/>
      <w:szCs w:val="15"/>
    </w:rPr>
  </w:style>
  <w:style w:type="paragraph" w:customStyle="1" w:styleId="52">
    <w:name w:val="表格标题"/>
    <w:basedOn w:val="1"/>
    <w:next w:val="1"/>
    <w:link w:val="191"/>
    <w:qFormat/>
    <w:uiPriority w:val="0"/>
    <w:pPr>
      <w:spacing w:line="360" w:lineRule="auto"/>
      <w:jc w:val="center"/>
    </w:pPr>
    <w:rPr>
      <w:color w:val="000000"/>
      <w:kern w:val="0"/>
      <w:sz w:val="24"/>
    </w:rPr>
  </w:style>
  <w:style w:type="paragraph" w:customStyle="1" w:styleId="53">
    <w:name w:val="表格+五号"/>
    <w:basedOn w:val="1"/>
    <w:next w:val="1"/>
    <w:qFormat/>
    <w:uiPriority w:val="0"/>
    <w:pPr>
      <w:spacing w:line="300" w:lineRule="exact"/>
      <w:jc w:val="center"/>
    </w:pPr>
    <w:rPr>
      <w:snapToGrid w:val="0"/>
      <w:kern w:val="0"/>
      <w:szCs w:val="21"/>
    </w:rPr>
  </w:style>
  <w:style w:type="paragraph" w:customStyle="1" w:styleId="54">
    <w:name w:val="表格+小四"/>
    <w:basedOn w:val="1"/>
    <w:next w:val="1"/>
    <w:qFormat/>
    <w:uiPriority w:val="0"/>
    <w:pPr>
      <w:spacing w:line="320" w:lineRule="exact"/>
      <w:jc w:val="center"/>
    </w:pPr>
    <w:rPr>
      <w:color w:val="000000"/>
      <w:kern w:val="0"/>
      <w:sz w:val="24"/>
    </w:rPr>
  </w:style>
  <w:style w:type="paragraph" w:customStyle="1" w:styleId="55">
    <w:name w:val="表格"/>
    <w:basedOn w:val="21"/>
    <w:link w:val="223"/>
    <w:qFormat/>
    <w:uiPriority w:val="0"/>
    <w:pPr>
      <w:jc w:val="center"/>
      <w:textAlignment w:val="center"/>
    </w:pPr>
    <w:rPr>
      <w:rFonts w:ascii="Times New Roman" w:hAnsi="Times New Roman" w:cs="Times New Roman"/>
      <w:sz w:val="24"/>
    </w:rPr>
  </w:style>
  <w:style w:type="paragraph" w:customStyle="1" w:styleId="56">
    <w:name w:val="列出段落1"/>
    <w:basedOn w:val="1"/>
    <w:qFormat/>
    <w:uiPriority w:val="34"/>
    <w:pPr>
      <w:ind w:firstLine="420" w:firstLineChars="200"/>
    </w:pPr>
    <w:rPr>
      <w:rFonts w:ascii="Calibri" w:hAnsi="Calibri"/>
      <w:szCs w:val="22"/>
    </w:rPr>
  </w:style>
  <w:style w:type="paragraph" w:customStyle="1" w:styleId="57">
    <w:name w:val="正文1"/>
    <w:basedOn w:val="1"/>
    <w:link w:val="194"/>
    <w:qFormat/>
    <w:uiPriority w:val="0"/>
    <w:pPr>
      <w:spacing w:line="360" w:lineRule="auto"/>
    </w:pPr>
    <w:rPr>
      <w:snapToGrid w:val="0"/>
      <w:kern w:val="0"/>
      <w:sz w:val="24"/>
      <w:szCs w:val="28"/>
    </w:rPr>
  </w:style>
  <w:style w:type="paragraph" w:customStyle="1" w:styleId="58">
    <w:name w:val="表格2"/>
    <w:basedOn w:val="31"/>
    <w:next w:val="1"/>
    <w:link w:val="195"/>
    <w:qFormat/>
    <w:uiPriority w:val="0"/>
    <w:pPr>
      <w:spacing w:line="320" w:lineRule="exact"/>
      <w:ind w:left="0" w:firstLine="0" w:firstLineChars="0"/>
      <w:jc w:val="center"/>
    </w:pPr>
  </w:style>
  <w:style w:type="paragraph" w:customStyle="1" w:styleId="59">
    <w:name w:val="表格文字"/>
    <w:basedOn w:val="1"/>
    <w:link w:val="228"/>
    <w:qFormat/>
    <w:uiPriority w:val="0"/>
    <w:pPr>
      <w:spacing w:line="320" w:lineRule="exact"/>
      <w:jc w:val="center"/>
    </w:pPr>
    <w:rPr>
      <w:sz w:val="24"/>
    </w:rPr>
  </w:style>
  <w:style w:type="paragraph" w:customStyle="1" w:styleId="60">
    <w:name w:val="表格+小五"/>
    <w:basedOn w:val="1"/>
    <w:next w:val="1"/>
    <w:qFormat/>
    <w:uiPriority w:val="0"/>
    <w:pPr>
      <w:spacing w:line="280" w:lineRule="exact"/>
      <w:jc w:val="center"/>
    </w:pPr>
    <w:rPr>
      <w:snapToGrid w:val="0"/>
      <w:kern w:val="0"/>
      <w:sz w:val="18"/>
      <w:szCs w:val="18"/>
    </w:rPr>
  </w:style>
  <w:style w:type="paragraph" w:customStyle="1" w:styleId="61">
    <w:name w:val="正文*"/>
    <w:basedOn w:val="1"/>
    <w:link w:val="198"/>
    <w:qFormat/>
    <w:uiPriority w:val="0"/>
    <w:pPr>
      <w:spacing w:line="500" w:lineRule="exact"/>
      <w:ind w:firstLine="588" w:firstLineChars="196"/>
    </w:pPr>
    <w:rPr>
      <w:rFonts w:eastAsia="楷体_GB2312"/>
      <w:sz w:val="30"/>
      <w:szCs w:val="30"/>
    </w:rPr>
  </w:style>
  <w:style w:type="paragraph" w:customStyle="1" w:styleId="62">
    <w:name w:val="样式 四号 行距: 固定值 30 磅"/>
    <w:basedOn w:val="1"/>
    <w:link w:val="199"/>
    <w:qFormat/>
    <w:uiPriority w:val="0"/>
    <w:pPr>
      <w:spacing w:line="500" w:lineRule="exact"/>
      <w:ind w:firstLine="480" w:firstLineChars="200"/>
    </w:pPr>
    <w:rPr>
      <w:rFonts w:ascii="宋体" w:hAnsi="宋体" w:cs="宋体"/>
      <w:sz w:val="24"/>
    </w:rPr>
  </w:style>
  <w:style w:type="paragraph" w:customStyle="1" w:styleId="63">
    <w:name w:val="表标题"/>
    <w:basedOn w:val="1"/>
    <w:next w:val="1"/>
    <w:link w:val="200"/>
    <w:qFormat/>
    <w:uiPriority w:val="0"/>
    <w:pPr>
      <w:adjustRightInd w:val="0"/>
      <w:snapToGrid w:val="0"/>
      <w:spacing w:beforeLines="50" w:afterLines="50"/>
      <w:ind w:right="238"/>
      <w:jc w:val="center"/>
      <w:textAlignment w:val="baseline"/>
    </w:pPr>
    <w:rPr>
      <w:b/>
      <w:sz w:val="24"/>
    </w:rPr>
  </w:style>
  <w:style w:type="paragraph" w:customStyle="1" w:styleId="64">
    <w:name w:val="样式 样式 样式 正文1 + 首行缩进:  2 字符 + (符号) 宋体 首行缩进:  2 字符 + 首行缩进:  2 字符"/>
    <w:basedOn w:val="1"/>
    <w:qFormat/>
    <w:uiPriority w:val="0"/>
    <w:pPr>
      <w:spacing w:line="360" w:lineRule="auto"/>
      <w:ind w:firstLine="480" w:firstLineChars="200"/>
    </w:pPr>
    <w:rPr>
      <w:rFonts w:ascii="宋体" w:hAnsi="宋体"/>
      <w:snapToGrid w:val="0"/>
      <w:sz w:val="24"/>
      <w:szCs w:val="20"/>
    </w:rPr>
  </w:style>
  <w:style w:type="paragraph" w:customStyle="1" w:styleId="65">
    <w:name w:val="A4页面"/>
    <w:basedOn w:val="1"/>
    <w:qFormat/>
    <w:uiPriority w:val="0"/>
    <w:pPr>
      <w:spacing w:line="560" w:lineRule="exact"/>
      <w:ind w:firstLine="640" w:firstLineChars="200"/>
    </w:pPr>
    <w:rPr>
      <w:rFonts w:eastAsia="仿宋_GB2312"/>
      <w:sz w:val="32"/>
      <w:szCs w:val="20"/>
    </w:rPr>
  </w:style>
  <w:style w:type="paragraph" w:customStyle="1" w:styleId="66">
    <w:name w:val="样式 表格1 + (符号) 宋体 黑色"/>
    <w:basedOn w:val="1"/>
    <w:link w:val="202"/>
    <w:qFormat/>
    <w:uiPriority w:val="0"/>
    <w:pPr>
      <w:tabs>
        <w:tab w:val="left" w:pos="1440"/>
        <w:tab w:val="left" w:pos="1680"/>
      </w:tabs>
      <w:adjustRightInd w:val="0"/>
      <w:jc w:val="center"/>
    </w:pPr>
    <w:rPr>
      <w:rFonts w:ascii="宋体" w:hAnsi="宋体"/>
      <w:color w:val="000000"/>
      <w:spacing w:val="-8"/>
      <w:szCs w:val="20"/>
    </w:rPr>
  </w:style>
  <w:style w:type="paragraph" w:customStyle="1" w:styleId="67">
    <w:name w:val="表格3"/>
    <w:basedOn w:val="1"/>
    <w:qFormat/>
    <w:uiPriority w:val="0"/>
    <w:pPr>
      <w:spacing w:line="320" w:lineRule="exact"/>
      <w:jc w:val="center"/>
    </w:pPr>
    <w:rPr>
      <w:rFonts w:cs="宋体"/>
      <w:sz w:val="18"/>
      <w:szCs w:val="20"/>
    </w:rPr>
  </w:style>
  <w:style w:type="paragraph" w:customStyle="1" w:styleId="68">
    <w:name w:val="样式 样式 表格1 + (符号) 宋体 黑色 + (西文) 仿宋_GB2312"/>
    <w:basedOn w:val="1"/>
    <w:qFormat/>
    <w:uiPriority w:val="0"/>
    <w:pPr>
      <w:tabs>
        <w:tab w:val="left" w:pos="1440"/>
        <w:tab w:val="left" w:pos="1680"/>
      </w:tabs>
      <w:adjustRightInd w:val="0"/>
      <w:jc w:val="center"/>
    </w:pPr>
    <w:rPr>
      <w:color w:val="000000"/>
      <w:spacing w:val="-8"/>
      <w:kern w:val="0"/>
      <w:szCs w:val="21"/>
    </w:rPr>
  </w:style>
  <w:style w:type="paragraph" w:customStyle="1" w:styleId="69">
    <w:name w:val="正文01"/>
    <w:basedOn w:val="1"/>
    <w:qFormat/>
    <w:uiPriority w:val="0"/>
    <w:pPr>
      <w:spacing w:before="60" w:line="460" w:lineRule="exact"/>
      <w:ind w:firstLine="200" w:firstLineChars="200"/>
    </w:pPr>
    <w:rPr>
      <w:rFonts w:ascii="Arial" w:hAnsi="Arial"/>
      <w:bCs/>
      <w:sz w:val="24"/>
      <w:szCs w:val="28"/>
    </w:rPr>
  </w:style>
  <w:style w:type="paragraph" w:customStyle="1" w:styleId="70">
    <w:name w:val="表格正文"/>
    <w:basedOn w:val="1"/>
    <w:qFormat/>
    <w:uiPriority w:val="0"/>
    <w:pPr>
      <w:spacing w:line="360" w:lineRule="exact"/>
      <w:jc w:val="center"/>
    </w:pPr>
    <w:rPr>
      <w:rFonts w:ascii="Arial" w:hAnsi="Arial"/>
      <w:bCs/>
      <w:szCs w:val="28"/>
    </w:rPr>
  </w:style>
  <w:style w:type="paragraph" w:customStyle="1" w:styleId="71">
    <w:name w:val="样式 正文1 + 首行缩进:  2 字符"/>
    <w:basedOn w:val="1"/>
    <w:link w:val="206"/>
    <w:qFormat/>
    <w:uiPriority w:val="0"/>
    <w:pPr>
      <w:spacing w:line="360" w:lineRule="auto"/>
      <w:ind w:firstLine="200" w:firstLineChars="200"/>
    </w:pPr>
    <w:rPr>
      <w:rFonts w:ascii="宋体"/>
      <w:sz w:val="24"/>
      <w:szCs w:val="20"/>
    </w:rPr>
  </w:style>
  <w:style w:type="paragraph" w:customStyle="1" w:styleId="72">
    <w:name w:val="表格1"/>
    <w:basedOn w:val="1"/>
    <w:qFormat/>
    <w:uiPriority w:val="0"/>
    <w:pPr>
      <w:tabs>
        <w:tab w:val="left" w:pos="1440"/>
        <w:tab w:val="left" w:pos="1680"/>
      </w:tabs>
      <w:adjustRightInd w:val="0"/>
      <w:snapToGrid w:val="0"/>
      <w:jc w:val="center"/>
    </w:pPr>
    <w:rPr>
      <w:rFonts w:ascii="宋体"/>
      <w:w w:val="95"/>
      <w:kern w:val="0"/>
      <w:szCs w:val="20"/>
    </w:rPr>
  </w:style>
  <w:style w:type="paragraph" w:customStyle="1" w:styleId="73">
    <w:name w:val="表目录"/>
    <w:basedOn w:val="1"/>
    <w:qFormat/>
    <w:uiPriority w:val="0"/>
    <w:pPr>
      <w:adjustRightInd w:val="0"/>
      <w:snapToGrid w:val="0"/>
      <w:spacing w:line="360" w:lineRule="auto"/>
    </w:pPr>
    <w:rPr>
      <w:rFonts w:ascii="黑体" w:eastAsia="黑体"/>
      <w:szCs w:val="21"/>
    </w:rPr>
  </w:style>
  <w:style w:type="paragraph" w:customStyle="1" w:styleId="74">
    <w:name w:val="图题"/>
    <w:basedOn w:val="1"/>
    <w:link w:val="207"/>
    <w:qFormat/>
    <w:uiPriority w:val="0"/>
    <w:pPr>
      <w:spacing w:afterLines="50"/>
      <w:jc w:val="center"/>
    </w:pPr>
    <w:rPr>
      <w:rFonts w:ascii="Arial" w:hAnsi="Arial"/>
      <w:b/>
      <w:sz w:val="24"/>
    </w:rPr>
  </w:style>
  <w:style w:type="paragraph" w:customStyle="1" w:styleId="75">
    <w:name w:val="Char"/>
    <w:basedOn w:val="1"/>
    <w:qFormat/>
    <w:uiPriority w:val="0"/>
    <w:pPr>
      <w:spacing w:line="360" w:lineRule="auto"/>
      <w:ind w:firstLine="200" w:firstLineChars="200"/>
    </w:pPr>
    <w:rPr>
      <w:b/>
      <w:kern w:val="0"/>
      <w:sz w:val="32"/>
      <w:szCs w:val="32"/>
    </w:rPr>
  </w:style>
  <w:style w:type="paragraph" w:customStyle="1" w:styleId="76">
    <w:name w:val="无悬挂正文5号"/>
    <w:basedOn w:val="1"/>
    <w:qFormat/>
    <w:uiPriority w:val="0"/>
    <w:pPr>
      <w:jc w:val="center"/>
    </w:pPr>
  </w:style>
  <w:style w:type="paragraph" w:customStyle="1" w:styleId="77">
    <w:name w:val="style7"/>
    <w:basedOn w:val="1"/>
    <w:qFormat/>
    <w:uiPriority w:val="0"/>
    <w:pPr>
      <w:widowControl/>
      <w:spacing w:before="100" w:beforeAutospacing="1" w:after="100" w:afterAutospacing="1"/>
      <w:jc w:val="left"/>
    </w:pPr>
    <w:rPr>
      <w:rFonts w:ascii="宋体" w:hAnsi="宋体" w:cs="宋体"/>
      <w:kern w:val="0"/>
      <w:sz w:val="23"/>
      <w:szCs w:val="23"/>
    </w:rPr>
  </w:style>
  <w:style w:type="paragraph" w:customStyle="1" w:styleId="78">
    <w:name w:val="Char Char Char Char"/>
    <w:basedOn w:val="1"/>
    <w:qFormat/>
    <w:uiPriority w:val="0"/>
  </w:style>
  <w:style w:type="paragraph" w:customStyle="1" w:styleId="79">
    <w:name w:val="Char Char Char1 Char Char Char Char Char Char Char"/>
    <w:basedOn w:val="1"/>
    <w:qFormat/>
    <w:uiPriority w:val="0"/>
  </w:style>
  <w:style w:type="paragraph" w:customStyle="1" w:styleId="80">
    <w:name w:val="表格文字1"/>
    <w:basedOn w:val="1"/>
    <w:qFormat/>
    <w:uiPriority w:val="0"/>
    <w:pPr>
      <w:snapToGrid w:val="0"/>
      <w:spacing w:line="360" w:lineRule="atLeast"/>
      <w:ind w:left="-133" w:leftChars="-64"/>
      <w:jc w:val="center"/>
    </w:pPr>
    <w:rPr>
      <w:caps/>
      <w:sz w:val="24"/>
      <w:szCs w:val="20"/>
    </w:rPr>
  </w:style>
  <w:style w:type="paragraph" w:customStyle="1" w:styleId="81">
    <w:name w:val="Char Char Char Char Char Char Char"/>
    <w:basedOn w:val="1"/>
    <w:qFormat/>
    <w:uiPriority w:val="0"/>
  </w:style>
  <w:style w:type="paragraph" w:customStyle="1" w:styleId="82">
    <w:name w:val="报告正文"/>
    <w:basedOn w:val="1"/>
    <w:link w:val="246"/>
    <w:qFormat/>
    <w:uiPriority w:val="0"/>
    <w:pPr>
      <w:adjustRightInd w:val="0"/>
      <w:snapToGrid w:val="0"/>
      <w:spacing w:line="480" w:lineRule="exact"/>
      <w:ind w:firstLine="560" w:firstLineChars="200"/>
    </w:pPr>
    <w:rPr>
      <w:sz w:val="28"/>
    </w:rPr>
  </w:style>
  <w:style w:type="paragraph" w:customStyle="1" w:styleId="83">
    <w:name w:val="WPS Plain"/>
    <w:qFormat/>
    <w:uiPriority w:val="0"/>
    <w:rPr>
      <w:rFonts w:ascii="Times New Roman" w:hAnsi="Times New Roman" w:eastAsia="宋体" w:cs="Times New Roman"/>
      <w:lang w:val="en-US" w:eastAsia="zh-CN" w:bidi="ar-SA"/>
    </w:rPr>
  </w:style>
  <w:style w:type="paragraph" w:customStyle="1" w:styleId="84">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8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6">
    <w:name w:val="样式 表格 32 + 首行缩进:  2 字符"/>
    <w:basedOn w:val="1"/>
    <w:qFormat/>
    <w:uiPriority w:val="0"/>
    <w:pPr>
      <w:autoSpaceDE w:val="0"/>
      <w:autoSpaceDN w:val="0"/>
      <w:adjustRightInd w:val="0"/>
      <w:spacing w:line="240" w:lineRule="atLeast"/>
      <w:jc w:val="center"/>
      <w:textAlignment w:val="baseline"/>
    </w:pPr>
    <w:rPr>
      <w:kern w:val="0"/>
      <w:szCs w:val="21"/>
    </w:rPr>
  </w:style>
  <w:style w:type="paragraph" w:customStyle="1" w:styleId="87">
    <w:name w:val="表"/>
    <w:basedOn w:val="1"/>
    <w:qFormat/>
    <w:uiPriority w:val="0"/>
    <w:pPr>
      <w:tabs>
        <w:tab w:val="left" w:pos="1080"/>
      </w:tabs>
      <w:adjustRightInd w:val="0"/>
      <w:spacing w:line="360" w:lineRule="auto"/>
      <w:ind w:left="1080" w:firstLine="510"/>
      <w:jc w:val="center"/>
      <w:textAlignment w:val="baseline"/>
    </w:pPr>
    <w:rPr>
      <w:rFonts w:ascii="Century Gothic" w:hAnsi="Century Gothic"/>
      <w:kern w:val="0"/>
      <w:sz w:val="20"/>
      <w:szCs w:val="20"/>
    </w:rPr>
  </w:style>
  <w:style w:type="paragraph" w:customStyle="1" w:styleId="88">
    <w:name w:val="Char Char1 Char Char Char Char"/>
    <w:basedOn w:val="1"/>
    <w:qFormat/>
    <w:uiPriority w:val="0"/>
  </w:style>
  <w:style w:type="paragraph" w:customStyle="1" w:styleId="89">
    <w:name w:val="font9"/>
    <w:basedOn w:val="1"/>
    <w:qFormat/>
    <w:uiPriority w:val="0"/>
    <w:pPr>
      <w:widowControl/>
      <w:spacing w:before="100" w:beforeAutospacing="1" w:after="100" w:afterAutospacing="1"/>
      <w:jc w:val="left"/>
    </w:pPr>
    <w:rPr>
      <w:rFonts w:hint="eastAsia" w:ascii="宋体" w:hAnsi="宋体"/>
      <w:color w:val="FF0000"/>
      <w:kern w:val="0"/>
      <w:sz w:val="22"/>
      <w:szCs w:val="22"/>
    </w:rPr>
  </w:style>
  <w:style w:type="paragraph" w:customStyle="1" w:styleId="90">
    <w:name w:val="Char Char1 Char Char Char Char Char Char Char Char Char Char"/>
    <w:basedOn w:val="1"/>
    <w:qFormat/>
    <w:uiPriority w:val="0"/>
  </w:style>
  <w:style w:type="paragraph" w:customStyle="1" w:styleId="91">
    <w:name w:val="标题5"/>
    <w:basedOn w:val="1"/>
    <w:qFormat/>
    <w:uiPriority w:val="0"/>
    <w:pPr>
      <w:adjustRightInd w:val="0"/>
      <w:snapToGrid w:val="0"/>
      <w:spacing w:line="520" w:lineRule="atLeast"/>
      <w:ind w:firstLine="567"/>
    </w:pPr>
    <w:rPr>
      <w:b/>
      <w:i/>
      <w:color w:val="000000"/>
      <w:sz w:val="24"/>
    </w:rPr>
  </w:style>
  <w:style w:type="paragraph" w:customStyle="1" w:styleId="92">
    <w:name w:val="默认段落字体 Para Char Char Char Char"/>
    <w:basedOn w:val="1"/>
    <w:qFormat/>
    <w:uiPriority w:val="0"/>
    <w:rPr>
      <w:sz w:val="24"/>
    </w:rPr>
  </w:style>
  <w:style w:type="paragraph" w:customStyle="1" w:styleId="93">
    <w:name w:val="p0"/>
    <w:basedOn w:val="1"/>
    <w:qFormat/>
    <w:uiPriority w:val="0"/>
    <w:pPr>
      <w:widowControl/>
    </w:pPr>
    <w:rPr>
      <w:rFonts w:ascii="宋体" w:hAnsi="宋体"/>
      <w:color w:val="000000"/>
      <w:kern w:val="0"/>
      <w:szCs w:val="20"/>
    </w:rPr>
  </w:style>
  <w:style w:type="paragraph" w:customStyle="1" w:styleId="94">
    <w:name w:val="Char Char Char4 Char Char Char Char Char Char1 Char Char Char Char Char Char1 Char Char Char Char Char Char Char Char Char Char"/>
    <w:basedOn w:val="1"/>
    <w:qFormat/>
    <w:uiPriority w:val="0"/>
    <w:rPr>
      <w:rFonts w:eastAsia="黑体"/>
      <w:sz w:val="24"/>
    </w:rPr>
  </w:style>
  <w:style w:type="paragraph" w:customStyle="1" w:styleId="95">
    <w:name w:val="Char Char Char Char Char Char Char Char Char Char Char Char Char"/>
    <w:basedOn w:val="1"/>
    <w:qFormat/>
    <w:uiPriority w:val="0"/>
    <w:rPr>
      <w:sz w:val="28"/>
    </w:rPr>
  </w:style>
  <w:style w:type="paragraph" w:customStyle="1" w:styleId="96">
    <w:name w:val="Char Char Char Char1"/>
    <w:basedOn w:val="1"/>
    <w:qFormat/>
    <w:uiPriority w:val="0"/>
  </w:style>
  <w:style w:type="paragraph" w:customStyle="1" w:styleId="97">
    <w:name w:val="样式 样式 小四 段前: 7.8 磅 段后: 7.8 磅 行距: 1.5 倍行距 + 首行缩进:  2 字符"/>
    <w:basedOn w:val="1"/>
    <w:link w:val="259"/>
    <w:qFormat/>
    <w:uiPriority w:val="0"/>
    <w:pPr>
      <w:spacing w:line="360" w:lineRule="auto"/>
      <w:ind w:firstLine="482" w:firstLineChars="200"/>
      <w:jc w:val="center"/>
    </w:pPr>
    <w:rPr>
      <w:rFonts w:hAnsi="宋体"/>
      <w:b/>
      <w:sz w:val="24"/>
    </w:rPr>
  </w:style>
  <w:style w:type="paragraph" w:customStyle="1" w:styleId="98">
    <w:name w:val="表题1"/>
    <w:basedOn w:val="1"/>
    <w:qFormat/>
    <w:uiPriority w:val="0"/>
    <w:pPr>
      <w:spacing w:beforeLines="50"/>
      <w:jc w:val="center"/>
    </w:pPr>
    <w:rPr>
      <w:b/>
      <w:sz w:val="24"/>
    </w:rPr>
  </w:style>
  <w:style w:type="paragraph" w:customStyle="1" w:styleId="99">
    <w:name w:val="Char Char Char Char Char Char"/>
    <w:basedOn w:val="1"/>
    <w:next w:val="2"/>
    <w:qFormat/>
    <w:uiPriority w:val="0"/>
    <w:rPr>
      <w:sz w:val="28"/>
      <w:szCs w:val="28"/>
    </w:rPr>
  </w:style>
  <w:style w:type="paragraph" w:customStyle="1" w:styleId="100">
    <w:name w:val="_Style 33"/>
    <w:basedOn w:val="1"/>
    <w:qFormat/>
    <w:uiPriority w:val="0"/>
    <w:pPr>
      <w:keepNext/>
      <w:widowControl/>
      <w:tabs>
        <w:tab w:val="left" w:pos="3780"/>
        <w:tab w:val="left" w:pos="4500"/>
      </w:tabs>
      <w:autoSpaceDE w:val="0"/>
      <w:autoSpaceDN w:val="0"/>
      <w:adjustRightInd w:val="0"/>
      <w:spacing w:before="80" w:after="80"/>
      <w:ind w:left="3780" w:hanging="420"/>
    </w:pPr>
    <w:rPr>
      <w:color w:val="000000"/>
      <w:kern w:val="0"/>
      <w:szCs w:val="20"/>
    </w:rPr>
  </w:style>
  <w:style w:type="paragraph" w:customStyle="1" w:styleId="101">
    <w:name w:val="TOC 标题1"/>
    <w:basedOn w:val="3"/>
    <w:next w:val="1"/>
    <w:qFormat/>
    <w:uiPriority w:val="0"/>
    <w:pPr>
      <w:widowControl/>
      <w:spacing w:before="480" w:line="276" w:lineRule="auto"/>
      <w:jc w:val="left"/>
      <w:outlineLvl w:val="9"/>
    </w:pPr>
    <w:rPr>
      <w:rFonts w:ascii="Cambria" w:hAnsi="Cambria"/>
      <w:color w:val="365F91"/>
      <w:kern w:val="0"/>
      <w:sz w:val="28"/>
      <w:szCs w:val="28"/>
    </w:rPr>
  </w:style>
  <w:style w:type="paragraph" w:customStyle="1" w:styleId="102">
    <w:name w:val="1级标题"/>
    <w:basedOn w:val="3"/>
    <w:qFormat/>
    <w:uiPriority w:val="0"/>
    <w:pPr>
      <w:snapToGrid w:val="0"/>
      <w:spacing w:line="460" w:lineRule="exact"/>
    </w:pPr>
    <w:rPr>
      <w:rFonts w:cs="宋体"/>
      <w:sz w:val="32"/>
      <w:szCs w:val="20"/>
    </w:rPr>
  </w:style>
  <w:style w:type="paragraph" w:customStyle="1" w:styleId="103">
    <w:name w:val="2级标题"/>
    <w:basedOn w:val="4"/>
    <w:qFormat/>
    <w:uiPriority w:val="0"/>
    <w:pPr>
      <w:snapToGrid w:val="0"/>
      <w:spacing w:before="100" w:beforeAutospacing="1" w:after="100" w:afterAutospacing="1" w:line="240" w:lineRule="auto"/>
    </w:pPr>
    <w:rPr>
      <w:rFonts w:ascii="Cambria" w:hAnsi="Cambria" w:eastAsia="宋体" w:cs="宋体"/>
      <w:szCs w:val="20"/>
    </w:rPr>
  </w:style>
  <w:style w:type="paragraph" w:customStyle="1" w:styleId="104">
    <w:name w:val="标题4"/>
    <w:basedOn w:val="1"/>
    <w:qFormat/>
    <w:uiPriority w:val="0"/>
    <w:pPr>
      <w:adjustRightInd w:val="0"/>
      <w:snapToGrid w:val="0"/>
      <w:spacing w:line="560" w:lineRule="exact"/>
      <w:ind w:firstLine="482" w:firstLineChars="200"/>
      <w:jc w:val="left"/>
      <w:outlineLvl w:val="3"/>
    </w:pPr>
    <w:rPr>
      <w:rFonts w:ascii="宋体" w:hAnsi="宋体"/>
      <w:b/>
      <w:bCs/>
      <w:sz w:val="24"/>
      <w:szCs w:val="20"/>
    </w:rPr>
  </w:style>
  <w:style w:type="paragraph" w:customStyle="1" w:styleId="105">
    <w:name w:val="3级标题"/>
    <w:basedOn w:val="5"/>
    <w:qFormat/>
    <w:uiPriority w:val="0"/>
    <w:pPr>
      <w:spacing w:before="0" w:after="0" w:line="360" w:lineRule="auto"/>
      <w:jc w:val="left"/>
    </w:pPr>
    <w:rPr>
      <w:rFonts w:cs="宋体"/>
      <w:bCs w:val="0"/>
      <w:sz w:val="28"/>
      <w:szCs w:val="20"/>
    </w:rPr>
  </w:style>
  <w:style w:type="paragraph" w:customStyle="1" w:styleId="106">
    <w:name w:val="无间隔1"/>
    <w:link w:val="2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
    <w:name w:val="样式 无间隔 + (西文) 宋体 小四"/>
    <w:basedOn w:val="106"/>
    <w:link w:val="222"/>
    <w:qFormat/>
    <w:uiPriority w:val="0"/>
    <w:rPr>
      <w:rFonts w:ascii="宋体" w:hAnsi="宋体"/>
      <w:sz w:val="24"/>
    </w:rPr>
  </w:style>
  <w:style w:type="paragraph" w:customStyle="1" w:styleId="108">
    <w:name w:val="环报告正文"/>
    <w:basedOn w:val="1"/>
    <w:link w:val="225"/>
    <w:qFormat/>
    <w:uiPriority w:val="0"/>
    <w:pPr>
      <w:spacing w:line="360" w:lineRule="auto"/>
      <w:ind w:firstLine="480" w:firstLineChars="200"/>
      <w:jc w:val="left"/>
    </w:pPr>
    <w:rPr>
      <w:rFonts w:hAnsi="Calibri"/>
      <w:sz w:val="24"/>
      <w:szCs w:val="20"/>
    </w:rPr>
  </w:style>
  <w:style w:type="paragraph" w:customStyle="1" w:styleId="109">
    <w:name w:val="样式17"/>
    <w:basedOn w:val="1"/>
    <w:link w:val="226"/>
    <w:qFormat/>
    <w:uiPriority w:val="0"/>
    <w:pPr>
      <w:spacing w:line="400" w:lineRule="exact"/>
      <w:ind w:firstLine="200" w:firstLineChars="200"/>
    </w:pPr>
    <w:rPr>
      <w:spacing w:val="20"/>
      <w:sz w:val="24"/>
      <w:szCs w:val="20"/>
    </w:rPr>
  </w:style>
  <w:style w:type="paragraph" w:customStyle="1" w:styleId="110">
    <w:name w:val="哈电正文"/>
    <w:basedOn w:val="1"/>
    <w:link w:val="227"/>
    <w:qFormat/>
    <w:uiPriority w:val="0"/>
    <w:pPr>
      <w:adjustRightInd w:val="0"/>
      <w:snapToGrid w:val="0"/>
      <w:spacing w:line="360" w:lineRule="auto"/>
      <w:ind w:firstLine="480" w:firstLineChars="200"/>
    </w:pPr>
    <w:rPr>
      <w:rFonts w:ascii="宋体"/>
      <w:sz w:val="24"/>
    </w:rPr>
  </w:style>
  <w:style w:type="paragraph" w:customStyle="1" w:styleId="111">
    <w:name w:val="正文样式1"/>
    <w:basedOn w:val="1"/>
    <w:qFormat/>
    <w:uiPriority w:val="0"/>
    <w:pPr>
      <w:adjustRightInd w:val="0"/>
      <w:spacing w:line="288" w:lineRule="auto"/>
      <w:ind w:firstLine="360" w:firstLineChars="150"/>
      <w:textAlignment w:val="baseline"/>
    </w:pPr>
    <w:rPr>
      <w:kern w:val="0"/>
      <w:sz w:val="24"/>
      <w:szCs w:val="20"/>
    </w:rPr>
  </w:style>
  <w:style w:type="paragraph" w:customStyle="1" w:styleId="112">
    <w:name w:val="样式 标题 4 + 段前: 0.5 行 段后: 0.5 行"/>
    <w:basedOn w:val="6"/>
    <w:qFormat/>
    <w:uiPriority w:val="0"/>
    <w:pPr>
      <w:spacing w:line="240" w:lineRule="auto"/>
    </w:pPr>
    <w:rPr>
      <w:rFonts w:ascii="黑体" w:hAnsi="Courier New"/>
      <w:b w:val="0"/>
      <w:bCs w:val="0"/>
      <w:spacing w:val="0"/>
      <w:kern w:val="44"/>
      <w:sz w:val="24"/>
    </w:rPr>
  </w:style>
  <w:style w:type="paragraph" w:customStyle="1" w:styleId="113">
    <w:name w:val="CJ 文本111"/>
    <w:basedOn w:val="18"/>
    <w:link w:val="230"/>
    <w:qFormat/>
    <w:uiPriority w:val="0"/>
    <w:pPr>
      <w:spacing w:after="0" w:line="360" w:lineRule="auto"/>
      <w:ind w:left="0" w:leftChars="0" w:firstLine="200" w:firstLineChars="200"/>
      <w:jc w:val="left"/>
    </w:pPr>
    <w:rPr>
      <w:sz w:val="24"/>
    </w:rPr>
  </w:style>
  <w:style w:type="paragraph" w:customStyle="1" w:styleId="114">
    <w:name w:val="F正文"/>
    <w:basedOn w:val="1"/>
    <w:link w:val="231"/>
    <w:qFormat/>
    <w:uiPriority w:val="0"/>
    <w:pPr>
      <w:spacing w:line="360" w:lineRule="auto"/>
      <w:ind w:firstLine="480" w:firstLineChars="200"/>
      <w:jc w:val="left"/>
    </w:pPr>
    <w:rPr>
      <w:kern w:val="0"/>
      <w:sz w:val="24"/>
    </w:rPr>
  </w:style>
  <w:style w:type="paragraph" w:customStyle="1" w:styleId="115">
    <w:name w:val="四号小标题"/>
    <w:basedOn w:val="114"/>
    <w:qFormat/>
    <w:uiPriority w:val="0"/>
    <w:pPr>
      <w:ind w:firstLine="482"/>
    </w:pPr>
    <w:rPr>
      <w:b/>
      <w:color w:val="000000"/>
    </w:rPr>
  </w:style>
  <w:style w:type="paragraph" w:customStyle="1" w:styleId="116">
    <w:name w:val="正文▲"/>
    <w:link w:val="232"/>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paragraph" w:customStyle="1" w:styleId="117">
    <w:name w:val="样式1"/>
    <w:basedOn w:val="28"/>
    <w:link w:val="236"/>
    <w:qFormat/>
    <w:uiPriority w:val="0"/>
    <w:pPr>
      <w:spacing w:before="0" w:after="0" w:line="400" w:lineRule="exact"/>
      <w:ind w:firstLine="480"/>
      <w:jc w:val="both"/>
    </w:pPr>
    <w:rPr>
      <w:rFonts w:ascii="Times New Roman" w:hAnsi="Times New Roman"/>
      <w:b w:val="0"/>
      <w:caps w:val="0"/>
      <w:spacing w:val="20"/>
      <w:kern w:val="0"/>
      <w:sz w:val="28"/>
      <w:szCs w:val="28"/>
    </w:rPr>
  </w:style>
  <w:style w:type="paragraph" w:customStyle="1" w:styleId="118">
    <w:name w:val="样式 正文（首行缩进两字） + 宋体"/>
    <w:basedOn w:val="11"/>
    <w:qFormat/>
    <w:uiPriority w:val="0"/>
    <w:pPr>
      <w:adjustRightInd w:val="0"/>
      <w:spacing w:line="440" w:lineRule="exact"/>
      <w:ind w:firstLine="0" w:firstLineChars="0"/>
      <w:jc w:val="center"/>
    </w:pPr>
    <w:rPr>
      <w:rFonts w:ascii="宋体" w:hAnsi="宋体"/>
      <w:spacing w:val="20"/>
      <w:sz w:val="24"/>
    </w:rPr>
  </w:style>
  <w:style w:type="paragraph" w:customStyle="1" w:styleId="119">
    <w:name w:val="样式6"/>
    <w:basedOn w:val="21"/>
    <w:qFormat/>
    <w:uiPriority w:val="0"/>
    <w:pPr>
      <w:tabs>
        <w:tab w:val="left" w:pos="-280"/>
        <w:tab w:val="left" w:pos="-220"/>
      </w:tabs>
    </w:pPr>
    <w:rPr>
      <w:rFonts w:ascii="Times New Roman" w:hAnsi="Times New Roman" w:cs="Times New Roman"/>
      <w:sz w:val="24"/>
      <w:szCs w:val="20"/>
    </w:rPr>
  </w:style>
  <w:style w:type="paragraph" w:customStyle="1" w:styleId="120">
    <w:name w:val="样式2"/>
    <w:basedOn w:val="1"/>
    <w:link w:val="249"/>
    <w:qFormat/>
    <w:uiPriority w:val="0"/>
    <w:pPr>
      <w:tabs>
        <w:tab w:val="left" w:pos="1407"/>
      </w:tabs>
      <w:autoSpaceDE w:val="0"/>
      <w:adjustRightInd w:val="0"/>
      <w:snapToGrid w:val="0"/>
      <w:spacing w:before="60" w:line="300" w:lineRule="auto"/>
    </w:pPr>
    <w:rPr>
      <w:spacing w:val="20"/>
      <w:sz w:val="24"/>
    </w:rPr>
  </w:style>
  <w:style w:type="paragraph" w:customStyle="1" w:styleId="121">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22">
    <w:name w:val="报告表格"/>
    <w:basedOn w:val="1"/>
    <w:link w:val="237"/>
    <w:qFormat/>
    <w:uiPriority w:val="0"/>
    <w:pPr>
      <w:autoSpaceDE w:val="0"/>
      <w:autoSpaceDN w:val="0"/>
      <w:adjustRightInd w:val="0"/>
      <w:spacing w:before="40" w:after="40"/>
      <w:jc w:val="center"/>
    </w:pPr>
    <w:rPr>
      <w:kern w:val="0"/>
      <w:szCs w:val="20"/>
    </w:rPr>
  </w:style>
  <w:style w:type="paragraph" w:customStyle="1" w:styleId="123">
    <w:name w:val="小标题"/>
    <w:basedOn w:val="1"/>
    <w:qFormat/>
    <w:uiPriority w:val="0"/>
    <w:pPr>
      <w:spacing w:line="360" w:lineRule="auto"/>
    </w:pPr>
    <w:rPr>
      <w:rFonts w:ascii="黑体" w:hAnsi="宋体"/>
      <w:b/>
      <w:bCs/>
      <w:sz w:val="24"/>
      <w:szCs w:val="20"/>
    </w:rPr>
  </w:style>
  <w:style w:type="paragraph" w:customStyle="1" w:styleId="124">
    <w:name w:val="论文小标题"/>
    <w:basedOn w:val="1"/>
    <w:qFormat/>
    <w:uiPriority w:val="0"/>
    <w:pPr>
      <w:adjustRightInd w:val="0"/>
      <w:snapToGrid w:val="0"/>
      <w:spacing w:line="360" w:lineRule="auto"/>
      <w:ind w:firstLine="482" w:firstLineChars="200"/>
    </w:pPr>
    <w:rPr>
      <w:rFonts w:ascii="宋体" w:hAnsi="宋体"/>
      <w:b/>
      <w:bCs/>
      <w:color w:val="000000"/>
      <w:sz w:val="24"/>
      <w:szCs w:val="36"/>
    </w:rPr>
  </w:style>
  <w:style w:type="paragraph" w:customStyle="1" w:styleId="125">
    <w:name w:val="论文正文"/>
    <w:basedOn w:val="1"/>
    <w:qFormat/>
    <w:uiPriority w:val="0"/>
    <w:pPr>
      <w:adjustRightInd w:val="0"/>
      <w:snapToGrid w:val="0"/>
      <w:jc w:val="center"/>
    </w:pPr>
    <w:rPr>
      <w:bCs/>
      <w:snapToGrid w:val="0"/>
      <w:color w:val="000000"/>
      <w:szCs w:val="21"/>
      <w:lang w:val="zh-CN"/>
    </w:rPr>
  </w:style>
  <w:style w:type="paragraph" w:customStyle="1" w:styleId="126">
    <w:name w:val="样式 要点 + 宋体 小四 加粗"/>
    <w:basedOn w:val="1"/>
    <w:qFormat/>
    <w:uiPriority w:val="0"/>
    <w:pPr>
      <w:spacing w:beforeLines="50" w:afterLines="50" w:line="360" w:lineRule="auto"/>
      <w:ind w:firstLine="200" w:firstLineChars="200"/>
    </w:pPr>
    <w:rPr>
      <w:rFonts w:ascii="宋体" w:hAnsi="宋体"/>
      <w:b/>
      <w:bCs/>
      <w:sz w:val="24"/>
      <w:szCs w:val="20"/>
    </w:rPr>
  </w:style>
  <w:style w:type="paragraph" w:customStyle="1" w:styleId="127">
    <w:name w:val="样式 样式2 + 宋体"/>
    <w:basedOn w:val="99"/>
    <w:qFormat/>
    <w:uiPriority w:val="0"/>
  </w:style>
  <w:style w:type="paragraph" w:customStyle="1" w:styleId="128">
    <w:name w:val="报告书标题3"/>
    <w:basedOn w:val="1"/>
    <w:qFormat/>
    <w:uiPriority w:val="0"/>
    <w:pPr>
      <w:adjustRightInd w:val="0"/>
      <w:snapToGrid w:val="0"/>
      <w:spacing w:line="360" w:lineRule="auto"/>
      <w:outlineLvl w:val="2"/>
    </w:pPr>
    <w:rPr>
      <w:b/>
      <w:bCs/>
      <w:kern w:val="0"/>
      <w:sz w:val="28"/>
      <w:szCs w:val="28"/>
    </w:rPr>
  </w:style>
  <w:style w:type="paragraph" w:customStyle="1" w:styleId="129">
    <w:name w:val="加粗小标题"/>
    <w:basedOn w:val="1"/>
    <w:qFormat/>
    <w:uiPriority w:val="0"/>
    <w:pPr>
      <w:adjustRightInd w:val="0"/>
      <w:snapToGrid w:val="0"/>
      <w:spacing w:line="360" w:lineRule="auto"/>
      <w:ind w:firstLine="353" w:firstLineChars="147"/>
    </w:pPr>
    <w:rPr>
      <w:rFonts w:ascii="Calibri" w:hAnsi="Calibri"/>
      <w:kern w:val="0"/>
      <w:sz w:val="24"/>
      <w:szCs w:val="22"/>
    </w:rPr>
  </w:style>
  <w:style w:type="paragraph" w:customStyle="1" w:styleId="130">
    <w:name w:val="样式 表格 + 宋体"/>
    <w:basedOn w:val="1"/>
    <w:link w:val="240"/>
    <w:qFormat/>
    <w:uiPriority w:val="0"/>
    <w:pPr>
      <w:spacing w:line="312" w:lineRule="auto"/>
    </w:pPr>
    <w:rPr>
      <w:rFonts w:ascii="宋体" w:hAnsi="宋体"/>
      <w:color w:val="FF0000"/>
      <w:szCs w:val="21"/>
    </w:rPr>
  </w:style>
  <w:style w:type="paragraph" w:customStyle="1" w:styleId="131">
    <w:name w:val="样式4   1"/>
    <w:basedOn w:val="1"/>
    <w:link w:val="241"/>
    <w:qFormat/>
    <w:uiPriority w:val="0"/>
    <w:pPr>
      <w:spacing w:line="360" w:lineRule="auto"/>
      <w:outlineLvl w:val="0"/>
    </w:pPr>
    <w:rPr>
      <w:rFonts w:ascii="Calibri" w:hAnsi="Calibri"/>
      <w:b/>
      <w:sz w:val="32"/>
      <w:szCs w:val="32"/>
    </w:rPr>
  </w:style>
  <w:style w:type="paragraph" w:customStyle="1" w:styleId="132">
    <w:name w:val="王勇"/>
    <w:basedOn w:val="1"/>
    <w:link w:val="242"/>
    <w:qFormat/>
    <w:uiPriority w:val="0"/>
    <w:pPr>
      <w:spacing w:line="360" w:lineRule="auto"/>
      <w:ind w:firstLine="200" w:firstLineChars="200"/>
    </w:pPr>
    <w:rPr>
      <w:sz w:val="24"/>
    </w:rPr>
  </w:style>
  <w:style w:type="paragraph" w:customStyle="1" w:styleId="133">
    <w:name w:val="报告标题2"/>
    <w:basedOn w:val="1"/>
    <w:qFormat/>
    <w:uiPriority w:val="0"/>
    <w:pPr>
      <w:widowControl/>
      <w:adjustRightInd w:val="0"/>
      <w:snapToGrid w:val="0"/>
      <w:spacing w:line="360" w:lineRule="auto"/>
      <w:outlineLvl w:val="1"/>
    </w:pPr>
    <w:rPr>
      <w:b/>
      <w:sz w:val="30"/>
      <w:szCs w:val="30"/>
    </w:rPr>
  </w:style>
  <w:style w:type="paragraph" w:customStyle="1" w:styleId="134">
    <w:name w:val="样式3"/>
    <w:basedOn w:val="1"/>
    <w:link w:val="243"/>
    <w:qFormat/>
    <w:uiPriority w:val="0"/>
    <w:pPr>
      <w:widowControl/>
      <w:spacing w:line="360" w:lineRule="auto"/>
      <w:jc w:val="left"/>
      <w:outlineLvl w:val="2"/>
    </w:pPr>
    <w:rPr>
      <w:b/>
      <w:kern w:val="0"/>
      <w:sz w:val="28"/>
    </w:rPr>
  </w:style>
  <w:style w:type="paragraph" w:customStyle="1" w:styleId="135">
    <w:name w:val="gyy正文文字"/>
    <w:basedOn w:val="1"/>
    <w:qFormat/>
    <w:uiPriority w:val="0"/>
    <w:pPr>
      <w:spacing w:line="360" w:lineRule="auto"/>
      <w:ind w:firstLine="471"/>
    </w:pPr>
    <w:rPr>
      <w:rFonts w:cs="宋体"/>
      <w:color w:val="000000"/>
      <w:spacing w:val="14"/>
      <w:sz w:val="24"/>
    </w:rPr>
  </w:style>
  <w:style w:type="paragraph" w:customStyle="1" w:styleId="136">
    <w:name w:val="样式 加粗小标题 + 首行缩进:  2 字符"/>
    <w:basedOn w:val="1"/>
    <w:qFormat/>
    <w:uiPriority w:val="0"/>
    <w:pPr>
      <w:adjustRightInd w:val="0"/>
      <w:snapToGrid w:val="0"/>
      <w:spacing w:line="360" w:lineRule="auto"/>
    </w:pPr>
    <w:rPr>
      <w:rFonts w:ascii="宋体" w:hAnsi="宋体" w:cs="宋体"/>
      <w:b/>
      <w:bCs/>
      <w:color w:val="000000"/>
      <w:kern w:val="0"/>
      <w:sz w:val="18"/>
      <w:szCs w:val="18"/>
    </w:rPr>
  </w:style>
  <w:style w:type="paragraph" w:customStyle="1" w:styleId="137">
    <w:name w:val="HZZH正文"/>
    <w:basedOn w:val="1"/>
    <w:link w:val="244"/>
    <w:qFormat/>
    <w:uiPriority w:val="0"/>
    <w:pPr>
      <w:widowControl/>
      <w:spacing w:line="360" w:lineRule="auto"/>
      <w:ind w:firstLine="560" w:firstLineChars="200"/>
      <w:jc w:val="left"/>
    </w:pPr>
    <w:rPr>
      <w:rFonts w:hAnsi="宋体"/>
      <w:kern w:val="0"/>
      <w:sz w:val="28"/>
      <w:szCs w:val="28"/>
    </w:rPr>
  </w:style>
  <w:style w:type="paragraph" w:customStyle="1" w:styleId="138">
    <w:name w:val="方案正文样式"/>
    <w:basedOn w:val="1"/>
    <w:link w:val="245"/>
    <w:qFormat/>
    <w:uiPriority w:val="0"/>
    <w:pPr>
      <w:adjustRightInd w:val="0"/>
      <w:snapToGrid w:val="0"/>
      <w:spacing w:line="360" w:lineRule="auto"/>
      <w:ind w:firstLine="454"/>
      <w:textAlignment w:val="baseline"/>
    </w:pPr>
    <w:rPr>
      <w:snapToGrid w:val="0"/>
      <w:kern w:val="0"/>
      <w:sz w:val="24"/>
    </w:rPr>
  </w:style>
  <w:style w:type="paragraph" w:customStyle="1" w:styleId="139">
    <w:name w:val="样式4"/>
    <w:basedOn w:val="1"/>
    <w:link w:val="247"/>
    <w:qFormat/>
    <w:uiPriority w:val="0"/>
    <w:pPr>
      <w:outlineLvl w:val="2"/>
    </w:pPr>
    <w:rPr>
      <w:szCs w:val="28"/>
    </w:rPr>
  </w:style>
  <w:style w:type="paragraph" w:customStyle="1" w:styleId="140">
    <w:name w:val="样式 表标题 + 段前: 0.5 行 段后: 0.5 行"/>
    <w:basedOn w:val="63"/>
    <w:qFormat/>
    <w:uiPriority w:val="0"/>
    <w:pPr>
      <w:spacing w:beforeLines="0" w:line="360" w:lineRule="auto"/>
      <w:ind w:right="0"/>
      <w:textAlignment w:val="auto"/>
    </w:pPr>
    <w:rPr>
      <w:rFonts w:ascii="宋体" w:hAnsi="宋体" w:cs="宋体"/>
      <w:bCs/>
      <w:snapToGrid w:val="0"/>
      <w:kern w:val="24"/>
      <w:szCs w:val="20"/>
    </w:rPr>
  </w:style>
  <w:style w:type="paragraph" w:customStyle="1" w:styleId="141">
    <w:name w:val="样式 标题 2 + 自动设置"/>
    <w:basedOn w:val="4"/>
    <w:qFormat/>
    <w:uiPriority w:val="0"/>
    <w:pPr>
      <w:adjustRightInd w:val="0"/>
      <w:snapToGrid w:val="0"/>
      <w:spacing w:before="100" w:beforeAutospacing="1" w:after="100" w:afterAutospacing="1"/>
      <w:jc w:val="left"/>
    </w:pPr>
    <w:rPr>
      <w:rFonts w:ascii="Calibri" w:hAnsi="Calibri" w:eastAsia="宋体"/>
      <w:sz w:val="28"/>
      <w:szCs w:val="22"/>
    </w:rPr>
  </w:style>
  <w:style w:type="paragraph" w:customStyle="1" w:styleId="142">
    <w:name w:val="_Style 11"/>
    <w:basedOn w:val="1"/>
    <w:next w:val="17"/>
    <w:qFormat/>
    <w:uiPriority w:val="0"/>
    <w:pPr>
      <w:jc w:val="center"/>
    </w:pPr>
    <w:rPr>
      <w:szCs w:val="20"/>
    </w:rPr>
  </w:style>
  <w:style w:type="paragraph" w:customStyle="1" w:styleId="143">
    <w:name w:val="表中值"/>
    <w:basedOn w:val="1"/>
    <w:qFormat/>
    <w:uiPriority w:val="0"/>
    <w:pPr>
      <w:keepLines/>
      <w:widowControl/>
      <w:spacing w:line="360" w:lineRule="exact"/>
      <w:jc w:val="center"/>
    </w:pPr>
    <w:rPr>
      <w:spacing w:val="4"/>
      <w:szCs w:val="20"/>
    </w:rPr>
  </w:style>
  <w:style w:type="paragraph" w:customStyle="1" w:styleId="144">
    <w:name w:val="标题五"/>
    <w:basedOn w:val="1"/>
    <w:qFormat/>
    <w:uiPriority w:val="0"/>
    <w:pPr>
      <w:spacing w:line="500" w:lineRule="atLeast"/>
      <w:jc w:val="center"/>
    </w:pPr>
    <w:rPr>
      <w:rFonts w:ascii="宋体" w:hAnsi="宋体"/>
      <w:sz w:val="24"/>
    </w:rPr>
  </w:style>
  <w:style w:type="paragraph" w:customStyle="1" w:styleId="145">
    <w:name w:val="框图文字"/>
    <w:basedOn w:val="1"/>
    <w:link w:val="250"/>
    <w:qFormat/>
    <w:uiPriority w:val="0"/>
    <w:pPr>
      <w:snapToGrid w:val="0"/>
      <w:spacing w:line="160" w:lineRule="atLeast"/>
      <w:jc w:val="center"/>
    </w:pPr>
    <w:rPr>
      <w:spacing w:val="-20"/>
      <w:kern w:val="0"/>
      <w:szCs w:val="18"/>
    </w:rPr>
  </w:style>
  <w:style w:type="paragraph" w:customStyle="1" w:styleId="146">
    <w:name w:val="框图标题"/>
    <w:basedOn w:val="1"/>
    <w:qFormat/>
    <w:uiPriority w:val="0"/>
    <w:pPr>
      <w:jc w:val="center"/>
    </w:pPr>
    <w:rPr>
      <w:rFonts w:ascii="宋体" w:hAnsi="宋体"/>
      <w:b/>
      <w:sz w:val="24"/>
    </w:rPr>
  </w:style>
  <w:style w:type="paragraph" w:customStyle="1" w:styleId="147">
    <w:name w:val="缩进正文"/>
    <w:basedOn w:val="1"/>
    <w:qFormat/>
    <w:uiPriority w:val="0"/>
    <w:pPr>
      <w:snapToGrid w:val="0"/>
      <w:spacing w:line="480" w:lineRule="atLeast"/>
      <w:ind w:firstLine="567"/>
    </w:pPr>
    <w:rPr>
      <w:sz w:val="24"/>
      <w:szCs w:val="20"/>
    </w:rPr>
  </w:style>
  <w:style w:type="paragraph" w:customStyle="1" w:styleId="148">
    <w:name w:val="样式5"/>
    <w:basedOn w:val="4"/>
    <w:link w:val="253"/>
    <w:qFormat/>
    <w:uiPriority w:val="0"/>
    <w:pPr>
      <w:tabs>
        <w:tab w:val="left" w:pos="3960"/>
      </w:tabs>
      <w:adjustRightInd w:val="0"/>
      <w:snapToGrid w:val="0"/>
      <w:spacing w:before="120" w:after="120"/>
    </w:pPr>
    <w:rPr>
      <w:rFonts w:ascii="宋体" w:hAnsi="宋体" w:eastAsia="宋体"/>
      <w:bCs w:val="0"/>
      <w:color w:val="000000"/>
      <w:sz w:val="28"/>
      <w:szCs w:val="20"/>
    </w:rPr>
  </w:style>
  <w:style w:type="paragraph" w:customStyle="1" w:styleId="149">
    <w:name w:val="Char Char Char Char Char Char1"/>
    <w:basedOn w:val="1"/>
    <w:next w:val="2"/>
    <w:qFormat/>
    <w:uiPriority w:val="0"/>
    <w:rPr>
      <w:sz w:val="28"/>
      <w:szCs w:val="28"/>
    </w:rPr>
  </w:style>
  <w:style w:type="paragraph" w:customStyle="1" w:styleId="150">
    <w:name w:val="1表格"/>
    <w:basedOn w:val="1"/>
    <w:qFormat/>
    <w:uiPriority w:val="0"/>
    <w:pPr>
      <w:snapToGrid w:val="0"/>
      <w:spacing w:line="160" w:lineRule="atLeast"/>
      <w:jc w:val="center"/>
    </w:pPr>
    <w:rPr>
      <w:rFonts w:eastAsia="仿宋_GB2312"/>
      <w:szCs w:val="20"/>
    </w:rPr>
  </w:style>
  <w:style w:type="paragraph" w:customStyle="1" w:styleId="151">
    <w:name w:val="SB正文"/>
    <w:basedOn w:val="1"/>
    <w:link w:val="256"/>
    <w:qFormat/>
    <w:uiPriority w:val="0"/>
    <w:pPr>
      <w:spacing w:before="62" w:after="62" w:line="360" w:lineRule="auto"/>
      <w:ind w:firstLine="480" w:firstLineChars="200"/>
    </w:pPr>
    <w:rPr>
      <w:sz w:val="24"/>
      <w:szCs w:val="20"/>
    </w:rPr>
  </w:style>
  <w:style w:type="paragraph" w:customStyle="1" w:styleId="152">
    <w:name w:val="样式 三级三级三级三级三级三级三级 + 加粗"/>
    <w:basedOn w:val="1"/>
    <w:qFormat/>
    <w:uiPriority w:val="0"/>
    <w:pPr>
      <w:keepNext/>
      <w:keepLines/>
      <w:tabs>
        <w:tab w:val="left" w:pos="1740"/>
      </w:tabs>
      <w:spacing w:before="100" w:after="120"/>
      <w:ind w:left="1740" w:hanging="420"/>
      <w:outlineLvl w:val="2"/>
    </w:pPr>
    <w:rPr>
      <w:rFonts w:cs="宋体"/>
      <w:b/>
      <w:bCs/>
      <w:color w:val="0000FF"/>
      <w:sz w:val="28"/>
      <w:szCs w:val="20"/>
    </w:rPr>
  </w:style>
  <w:style w:type="paragraph" w:customStyle="1" w:styleId="153">
    <w:name w:val="标题 1===="/>
    <w:basedOn w:val="3"/>
    <w:qFormat/>
    <w:uiPriority w:val="0"/>
    <w:pPr>
      <w:tabs>
        <w:tab w:val="left" w:pos="1200"/>
      </w:tabs>
      <w:spacing w:before="312" w:after="312"/>
      <w:ind w:left="1200" w:hanging="720"/>
    </w:pPr>
    <w:rPr>
      <w:rFonts w:hAnsi="宋体" w:cs="宋体"/>
      <w:sz w:val="32"/>
      <w:szCs w:val="20"/>
    </w:rPr>
  </w:style>
  <w:style w:type="paragraph" w:customStyle="1" w:styleId="154">
    <w:name w:val="无间隔11"/>
    <w:qFormat/>
    <w:uiPriority w:val="0"/>
    <w:pPr>
      <w:widowControl w:val="0"/>
      <w:jc w:val="center"/>
    </w:pPr>
    <w:rPr>
      <w:rFonts w:ascii="Times New Roman" w:hAnsi="Times New Roman" w:eastAsia="宋体" w:cs="黑体"/>
      <w:kern w:val="2"/>
      <w:sz w:val="21"/>
      <w:szCs w:val="22"/>
      <w:lang w:val="en-US" w:eastAsia="zh-CN" w:bidi="ar-SA"/>
    </w:rPr>
  </w:style>
  <w:style w:type="paragraph" w:customStyle="1" w:styleId="155">
    <w:name w:val="正文首行缩进＋湿地"/>
    <w:basedOn w:val="1"/>
    <w:qFormat/>
    <w:uiPriority w:val="0"/>
    <w:pPr>
      <w:widowControl/>
      <w:spacing w:line="440" w:lineRule="exact"/>
      <w:ind w:firstLine="540" w:firstLineChars="225"/>
      <w:jc w:val="left"/>
    </w:pPr>
    <w:rPr>
      <w:rFonts w:ascii="仿宋_GB2312" w:hAnsi="宋体" w:eastAsia="仿宋_GB2312"/>
      <w:kern w:val="0"/>
      <w:sz w:val="28"/>
      <w:szCs w:val="20"/>
      <w:lang w:eastAsia="en-US" w:bidi="en-US"/>
    </w:rPr>
  </w:style>
  <w:style w:type="paragraph" w:customStyle="1" w:styleId="156">
    <w:name w:val="标题 31"/>
    <w:basedOn w:val="1"/>
    <w:next w:val="1"/>
    <w:qFormat/>
    <w:uiPriority w:val="0"/>
    <w:pPr>
      <w:keepNext/>
      <w:keepLines/>
      <w:spacing w:line="360" w:lineRule="auto"/>
      <w:outlineLvl w:val="2"/>
    </w:pPr>
    <w:rPr>
      <w:rFonts w:eastAsia="Times New Roman"/>
      <w:b/>
      <w:bCs/>
      <w:sz w:val="28"/>
      <w:szCs w:val="32"/>
    </w:rPr>
  </w:style>
  <w:style w:type="paragraph" w:customStyle="1" w:styleId="157">
    <w:name w:val="Char4 Char Char Char Char Char Char Char Char Char Char Char Char"/>
    <w:basedOn w:val="1"/>
    <w:semiHidden/>
    <w:qFormat/>
    <w:uiPriority w:val="0"/>
  </w:style>
  <w:style w:type="paragraph" w:customStyle="1" w:styleId="158">
    <w:name w:val="样式 样式 样式 金林标题2 + 首行缩进:  1.07 厘米 + 首行缩进:  1.06 厘米 + 首行缩进:  1.06 厘米"/>
    <w:basedOn w:val="1"/>
    <w:qFormat/>
    <w:uiPriority w:val="0"/>
    <w:pPr>
      <w:adjustRightInd w:val="0"/>
      <w:snapToGrid w:val="0"/>
      <w:jc w:val="center"/>
      <w:outlineLvl w:val="1"/>
    </w:pPr>
    <w:rPr>
      <w:rFonts w:ascii="宋体" w:hAnsi="宋体" w:cs="宋体"/>
      <w:bCs/>
      <w:szCs w:val="21"/>
      <w:lang w:val="zh-CN"/>
    </w:rPr>
  </w:style>
  <w:style w:type="paragraph" w:customStyle="1" w:styleId="159">
    <w:name w:val="1jw正文"/>
    <w:link w:val="260"/>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60">
    <w:name w:val="公路表标题"/>
    <w:basedOn w:val="40"/>
    <w:qFormat/>
    <w:uiPriority w:val="0"/>
    <w:pPr>
      <w:adjustRightInd w:val="0"/>
      <w:snapToGrid w:val="0"/>
      <w:spacing w:beforeLines="50" w:afterLines="50" w:line="360" w:lineRule="auto"/>
      <w:ind w:firstLine="0" w:firstLineChars="0"/>
      <w:jc w:val="center"/>
    </w:pPr>
    <w:rPr>
      <w:b/>
      <w:bCs/>
      <w:snapToGrid w:val="0"/>
      <w:spacing w:val="14"/>
      <w:kern w:val="0"/>
      <w:sz w:val="24"/>
    </w:rPr>
  </w:style>
  <w:style w:type="paragraph" w:customStyle="1" w:styleId="161">
    <w:name w:val="ypy标格"/>
    <w:basedOn w:val="1"/>
    <w:qFormat/>
    <w:uiPriority w:val="0"/>
    <w:pPr>
      <w:jc w:val="center"/>
    </w:pPr>
    <w:rPr>
      <w:rFonts w:cs="宋体"/>
      <w:bCs/>
      <w:spacing w:val="14"/>
      <w:szCs w:val="20"/>
    </w:rPr>
  </w:style>
  <w:style w:type="paragraph" w:customStyle="1" w:styleId="162">
    <w:name w:val="表格数据"/>
    <w:qFormat/>
    <w:uiPriority w:val="0"/>
    <w:pPr>
      <w:widowControl w:val="0"/>
      <w:tabs>
        <w:tab w:val="left" w:pos="3138"/>
      </w:tabs>
      <w:adjustRightInd w:val="0"/>
      <w:snapToGrid w:val="0"/>
      <w:jc w:val="center"/>
    </w:pPr>
    <w:rPr>
      <w:rFonts w:ascii="宋体" w:hAnsi="宋体" w:eastAsia="宋体" w:cs="Times New Roman"/>
      <w:bCs/>
      <w:sz w:val="21"/>
      <w:szCs w:val="21"/>
      <w:lang w:val="en-US" w:eastAsia="zh-CN" w:bidi="ar-SA"/>
    </w:rPr>
  </w:style>
  <w:style w:type="paragraph" w:customStyle="1" w:styleId="163">
    <w:name w:val="公路标题3"/>
    <w:basedOn w:val="5"/>
    <w:qFormat/>
    <w:uiPriority w:val="0"/>
    <w:pPr>
      <w:spacing w:before="120" w:after="120" w:line="360" w:lineRule="auto"/>
      <w:jc w:val="left"/>
    </w:pPr>
    <w:rPr>
      <w:rFonts w:ascii="仿宋_GB2312" w:eastAsia="仿宋_GB2312" w:cs="宋体"/>
      <w:sz w:val="28"/>
      <w:szCs w:val="20"/>
    </w:rPr>
  </w:style>
  <w:style w:type="paragraph" w:customStyle="1" w:styleId="164">
    <w:name w:val="样式 标题 2标题 2XW标题 2 Char标题 2XW Char节1.1 标题 2h2l22nd level...1"/>
    <w:basedOn w:val="4"/>
    <w:qFormat/>
    <w:uiPriority w:val="0"/>
    <w:pPr>
      <w:spacing w:before="120" w:after="120"/>
      <w:jc w:val="left"/>
    </w:pPr>
    <w:rPr>
      <w:rFonts w:cs="宋体"/>
      <w:szCs w:val="20"/>
    </w:rPr>
  </w:style>
  <w:style w:type="paragraph" w:customStyle="1" w:styleId="165">
    <w:name w:val="wj样式 表标题"/>
    <w:basedOn w:val="1"/>
    <w:qFormat/>
    <w:uiPriority w:val="0"/>
    <w:pPr>
      <w:spacing w:line="480" w:lineRule="auto"/>
      <w:jc w:val="center"/>
    </w:pPr>
    <w:rPr>
      <w:rFonts w:cs="宋体"/>
      <w:b/>
      <w:bCs/>
      <w:sz w:val="24"/>
      <w:szCs w:val="20"/>
    </w:rPr>
  </w:style>
  <w:style w:type="paragraph" w:customStyle="1" w:styleId="166">
    <w:name w:val="正文级别▲"/>
    <w:basedOn w:val="1"/>
    <w:link w:val="269"/>
    <w:qFormat/>
    <w:uiPriority w:val="0"/>
    <w:pPr>
      <w:spacing w:line="360" w:lineRule="auto"/>
      <w:ind w:firstLine="200" w:firstLineChars="200"/>
    </w:pPr>
    <w:rPr>
      <w:sz w:val="24"/>
    </w:rPr>
  </w:style>
  <w:style w:type="paragraph" w:customStyle="1" w:styleId="167">
    <w:name w:val="无间隔2"/>
    <w:basedOn w:val="1"/>
    <w:link w:val="229"/>
    <w:qFormat/>
    <w:uiPriority w:val="0"/>
    <w:pPr>
      <w:widowControl/>
      <w:jc w:val="left"/>
    </w:pPr>
    <w:rPr>
      <w:szCs w:val="22"/>
    </w:rPr>
  </w:style>
  <w:style w:type="paragraph" w:customStyle="1" w:styleId="168">
    <w:name w:val="样式 样式 样式 标题 3 + 自动设置 首行缩进:  0.99 厘米 + 首行缩进:  0.99 厘米 + 首行缩进:  0...."/>
    <w:basedOn w:val="1"/>
    <w:qFormat/>
    <w:uiPriority w:val="0"/>
    <w:pPr>
      <w:keepNext/>
      <w:keepLines/>
      <w:spacing w:before="80" w:after="80" w:line="360" w:lineRule="auto"/>
      <w:outlineLvl w:val="2"/>
    </w:pPr>
    <w:rPr>
      <w:rFonts w:ascii="宋体" w:hAnsi="宋体" w:cs="宋体"/>
      <w:b/>
      <w:bCs/>
      <w:sz w:val="28"/>
      <w:szCs w:val="20"/>
    </w:rPr>
  </w:style>
  <w:style w:type="paragraph" w:customStyle="1" w:styleId="169">
    <w:name w:val="wj样式"/>
    <w:basedOn w:val="1"/>
    <w:next w:val="1"/>
    <w:link w:val="272"/>
    <w:qFormat/>
    <w:uiPriority w:val="0"/>
    <w:pPr>
      <w:spacing w:line="360" w:lineRule="auto"/>
      <w:ind w:firstLine="200" w:firstLineChars="200"/>
    </w:pPr>
    <w:rPr>
      <w:spacing w:val="14"/>
      <w:sz w:val="24"/>
    </w:rPr>
  </w:style>
  <w:style w:type="paragraph" w:customStyle="1" w:styleId="170">
    <w:name w:val="样式 样式 首行缩进:  2 字符 + 首行缩进:  2 字符"/>
    <w:basedOn w:val="1"/>
    <w:qFormat/>
    <w:uiPriority w:val="0"/>
    <w:pPr>
      <w:spacing w:line="360" w:lineRule="auto"/>
      <w:ind w:firstLine="560" w:firstLineChars="200"/>
    </w:pPr>
    <w:rPr>
      <w:rFonts w:cs="宋体"/>
      <w:sz w:val="28"/>
      <w:szCs w:val="20"/>
    </w:rPr>
  </w:style>
  <w:style w:type="paragraph" w:customStyle="1" w:styleId="171">
    <w:name w:val="正文（行首缩进2字）"/>
    <w:basedOn w:val="1"/>
    <w:link w:val="273"/>
    <w:qFormat/>
    <w:uiPriority w:val="0"/>
    <w:pPr>
      <w:spacing w:line="360" w:lineRule="auto"/>
      <w:ind w:firstLine="200" w:firstLineChars="200"/>
    </w:pPr>
    <w:rPr>
      <w:sz w:val="28"/>
    </w:rPr>
  </w:style>
  <w:style w:type="paragraph" w:customStyle="1" w:styleId="172">
    <w:name w:val="正文11"/>
    <w:basedOn w:val="1"/>
    <w:link w:val="274"/>
    <w:qFormat/>
    <w:uiPriority w:val="0"/>
    <w:pPr>
      <w:spacing w:line="360" w:lineRule="auto"/>
      <w:ind w:firstLine="560" w:firstLineChars="200"/>
    </w:pPr>
    <w:rPr>
      <w:rFonts w:hAnsi="宋体"/>
      <w:sz w:val="28"/>
    </w:rPr>
  </w:style>
  <w:style w:type="paragraph" w:customStyle="1" w:styleId="173">
    <w:name w:val="444"/>
    <w:basedOn w:val="6"/>
    <w:qFormat/>
    <w:uiPriority w:val="0"/>
    <w:pPr>
      <w:spacing w:line="360" w:lineRule="auto"/>
    </w:pPr>
    <w:rPr>
      <w:rFonts w:ascii="Times New Roman" w:hAnsi="Times New Roman" w:eastAsia="宋体"/>
      <w:spacing w:val="0"/>
      <w:sz w:val="24"/>
      <w:szCs w:val="28"/>
    </w:rPr>
  </w:style>
  <w:style w:type="paragraph" w:customStyle="1" w:styleId="174">
    <w:name w:val="样式 (西文) 宋体 小四 左侧:  0.85 厘米 行距: 1.5 倍行距"/>
    <w:basedOn w:val="1"/>
    <w:qFormat/>
    <w:uiPriority w:val="0"/>
    <w:pPr>
      <w:spacing w:line="360" w:lineRule="auto"/>
      <w:ind w:left="482"/>
    </w:pPr>
    <w:rPr>
      <w:rFonts w:ascii="宋体" w:hAnsi="宋体" w:cs="宋体"/>
      <w:sz w:val="24"/>
      <w:szCs w:val="20"/>
    </w:rPr>
  </w:style>
  <w:style w:type="paragraph" w:customStyle="1" w:styleId="175">
    <w:name w:val="金林表格"/>
    <w:basedOn w:val="1"/>
    <w:qFormat/>
    <w:uiPriority w:val="0"/>
    <w:pPr>
      <w:spacing w:line="300" w:lineRule="exact"/>
      <w:jc w:val="center"/>
    </w:pPr>
    <w:rPr>
      <w:rFonts w:hAnsi="宋体" w:cs="宋体"/>
      <w:szCs w:val="20"/>
    </w:rPr>
  </w:style>
  <w:style w:type="paragraph" w:customStyle="1" w:styleId="176">
    <w:name w:val="金林表标题"/>
    <w:basedOn w:val="1"/>
    <w:link w:val="275"/>
    <w:qFormat/>
    <w:uiPriority w:val="0"/>
    <w:pPr>
      <w:spacing w:line="360" w:lineRule="auto"/>
      <w:jc w:val="center"/>
    </w:pPr>
    <w:rPr>
      <w:b/>
      <w:sz w:val="24"/>
      <w:szCs w:val="28"/>
    </w:rPr>
  </w:style>
  <w:style w:type="paragraph" w:customStyle="1" w:styleId="177">
    <w:name w:val="Char Char Char1 Char Char Char Char"/>
    <w:basedOn w:val="1"/>
    <w:semiHidden/>
    <w:qFormat/>
    <w:uiPriority w:val="0"/>
    <w:rPr>
      <w:sz w:val="20"/>
      <w:szCs w:val="30"/>
    </w:rPr>
  </w:style>
  <w:style w:type="paragraph" w:customStyle="1" w:styleId="178">
    <w:name w:val="Char Char Char1 Char Char Char Char1"/>
    <w:basedOn w:val="1"/>
    <w:semiHidden/>
    <w:qFormat/>
    <w:uiPriority w:val="0"/>
    <w:rPr>
      <w:sz w:val="20"/>
      <w:szCs w:val="30"/>
    </w:rPr>
  </w:style>
  <w:style w:type="paragraph" w:customStyle="1" w:styleId="179">
    <w:name w:val="无间隔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0">
    <w:name w:val="Char Char Char1 Char Char Char Char2"/>
    <w:basedOn w:val="1"/>
    <w:semiHidden/>
    <w:qFormat/>
    <w:uiPriority w:val="0"/>
    <w:rPr>
      <w:sz w:val="20"/>
      <w:szCs w:val="30"/>
    </w:rPr>
  </w:style>
  <w:style w:type="character" w:customStyle="1" w:styleId="181">
    <w:name w:val="标题 1 字符"/>
    <w:link w:val="3"/>
    <w:qFormat/>
    <w:uiPriority w:val="0"/>
    <w:rPr>
      <w:rFonts w:eastAsia="黑体"/>
      <w:b/>
      <w:bCs/>
      <w:kern w:val="44"/>
      <w:sz w:val="36"/>
      <w:szCs w:val="36"/>
    </w:rPr>
  </w:style>
  <w:style w:type="character" w:customStyle="1" w:styleId="182">
    <w:name w:val="标题 2 字符"/>
    <w:link w:val="4"/>
    <w:qFormat/>
    <w:uiPriority w:val="0"/>
    <w:rPr>
      <w:rFonts w:ascii="Arial" w:hAnsi="Arial" w:eastAsia="黑体"/>
      <w:b/>
      <w:bCs/>
      <w:kern w:val="2"/>
      <w:sz w:val="30"/>
      <w:szCs w:val="32"/>
    </w:rPr>
  </w:style>
  <w:style w:type="character" w:customStyle="1" w:styleId="183">
    <w:name w:val="标题 3 字符"/>
    <w:link w:val="5"/>
    <w:qFormat/>
    <w:uiPriority w:val="0"/>
    <w:rPr>
      <w:rFonts w:eastAsia="宋体"/>
      <w:b/>
      <w:bCs/>
      <w:kern w:val="2"/>
      <w:sz w:val="32"/>
      <w:szCs w:val="32"/>
      <w:lang w:val="en-US" w:eastAsia="zh-CN" w:bidi="ar-SA"/>
    </w:rPr>
  </w:style>
  <w:style w:type="character" w:customStyle="1" w:styleId="184">
    <w:name w:val="标题 9 字符"/>
    <w:link w:val="9"/>
    <w:qFormat/>
    <w:uiPriority w:val="0"/>
    <w:rPr>
      <w:rFonts w:ascii="Arial" w:hAnsi="Arial" w:eastAsia="黑体"/>
      <w:kern w:val="2"/>
      <w:sz w:val="21"/>
      <w:szCs w:val="21"/>
      <w:lang w:val="en-US" w:eastAsia="zh-CN" w:bidi="ar-SA"/>
    </w:rPr>
  </w:style>
  <w:style w:type="character" w:customStyle="1" w:styleId="185">
    <w:name w:val="文档结构图 字符"/>
    <w:link w:val="14"/>
    <w:qFormat/>
    <w:uiPriority w:val="0"/>
    <w:rPr>
      <w:rFonts w:eastAsia="宋体"/>
      <w:kern w:val="2"/>
      <w:sz w:val="21"/>
      <w:szCs w:val="24"/>
      <w:lang w:val="en-US" w:eastAsia="zh-CN" w:bidi="ar-SA"/>
    </w:rPr>
  </w:style>
  <w:style w:type="character" w:customStyle="1" w:styleId="186">
    <w:name w:val="网格型-1 Char"/>
    <w:qFormat/>
    <w:uiPriority w:val="0"/>
    <w:rPr>
      <w:rFonts w:eastAsia="宋体"/>
      <w:kern w:val="2"/>
      <w:sz w:val="21"/>
      <w:szCs w:val="21"/>
      <w:lang w:val="en-US" w:eastAsia="zh-CN" w:bidi="ar-SA"/>
    </w:rPr>
  </w:style>
  <w:style w:type="character" w:customStyle="1" w:styleId="187">
    <w:name w:val="正文＿首行缩进 Char Char"/>
    <w:link w:val="50"/>
    <w:qFormat/>
    <w:uiPriority w:val="0"/>
    <w:rPr>
      <w:rFonts w:eastAsia="宋体" w:cs="宋体"/>
      <w:sz w:val="28"/>
      <w:lang w:val="en-US" w:eastAsia="zh-CN" w:bidi="ar-SA"/>
    </w:rPr>
  </w:style>
  <w:style w:type="character" w:customStyle="1" w:styleId="188">
    <w:name w:val="Char Char1"/>
    <w:qFormat/>
    <w:uiPriority w:val="0"/>
    <w:rPr>
      <w:rFonts w:ascii="Arial" w:hAnsi="Arial" w:eastAsia="黑体"/>
      <w:b/>
      <w:bCs/>
      <w:kern w:val="2"/>
      <w:sz w:val="32"/>
      <w:szCs w:val="32"/>
      <w:lang w:val="en-US" w:eastAsia="zh-CN" w:bidi="ar-SA"/>
    </w:rPr>
  </w:style>
  <w:style w:type="character" w:customStyle="1" w:styleId="189">
    <w:name w:val="页脚 字符"/>
    <w:link w:val="26"/>
    <w:qFormat/>
    <w:uiPriority w:val="99"/>
    <w:rPr>
      <w:rFonts w:eastAsia="宋体"/>
      <w:kern w:val="2"/>
      <w:sz w:val="18"/>
      <w:szCs w:val="18"/>
      <w:lang w:val="en-US" w:eastAsia="zh-CN" w:bidi="ar-SA"/>
    </w:rPr>
  </w:style>
  <w:style w:type="character" w:customStyle="1" w:styleId="190">
    <w:name w:val="页眉 字符"/>
    <w:link w:val="27"/>
    <w:qFormat/>
    <w:uiPriority w:val="99"/>
    <w:rPr>
      <w:rFonts w:eastAsia="宋体"/>
      <w:kern w:val="2"/>
      <w:sz w:val="18"/>
      <w:szCs w:val="18"/>
      <w:lang w:val="en-US" w:eastAsia="zh-CN" w:bidi="ar-SA"/>
    </w:rPr>
  </w:style>
  <w:style w:type="character" w:customStyle="1" w:styleId="191">
    <w:name w:val="表格标题 Char"/>
    <w:link w:val="52"/>
    <w:qFormat/>
    <w:uiPriority w:val="0"/>
    <w:rPr>
      <w:rFonts w:eastAsia="宋体"/>
      <w:color w:val="000000"/>
      <w:sz w:val="24"/>
      <w:szCs w:val="24"/>
      <w:lang w:val="en-US" w:eastAsia="zh-CN" w:bidi="ar-SA"/>
    </w:rPr>
  </w:style>
  <w:style w:type="character" w:customStyle="1" w:styleId="192">
    <w:name w:val="正文缩进 字符"/>
    <w:link w:val="11"/>
    <w:qFormat/>
    <w:uiPriority w:val="0"/>
    <w:rPr>
      <w:rFonts w:eastAsia="宋体"/>
      <w:kern w:val="2"/>
      <w:sz w:val="21"/>
      <w:szCs w:val="24"/>
      <w:lang w:val="en-US" w:eastAsia="zh-CN" w:bidi="ar-SA"/>
    </w:rPr>
  </w:style>
  <w:style w:type="character" w:customStyle="1" w:styleId="193">
    <w:name w:val="纯文本 字符"/>
    <w:link w:val="21"/>
    <w:qFormat/>
    <w:uiPriority w:val="0"/>
    <w:rPr>
      <w:rFonts w:ascii="宋体" w:hAnsi="Courier New" w:eastAsia="宋体" w:cs="Courier New"/>
      <w:kern w:val="2"/>
      <w:sz w:val="21"/>
      <w:szCs w:val="21"/>
      <w:lang w:val="en-US" w:eastAsia="zh-CN" w:bidi="ar-SA"/>
    </w:rPr>
  </w:style>
  <w:style w:type="character" w:customStyle="1" w:styleId="194">
    <w:name w:val="正文1 Char"/>
    <w:link w:val="57"/>
    <w:qFormat/>
    <w:uiPriority w:val="0"/>
    <w:rPr>
      <w:rFonts w:eastAsia="宋体"/>
      <w:snapToGrid w:val="0"/>
      <w:sz w:val="24"/>
      <w:szCs w:val="28"/>
      <w:lang w:val="en-US" w:eastAsia="zh-CN" w:bidi="ar-SA"/>
    </w:rPr>
  </w:style>
  <w:style w:type="character" w:customStyle="1" w:styleId="195">
    <w:name w:val="表格2 Char"/>
    <w:link w:val="58"/>
    <w:qFormat/>
    <w:uiPriority w:val="0"/>
    <w:rPr>
      <w:rFonts w:eastAsia="宋体"/>
      <w:kern w:val="2"/>
      <w:sz w:val="21"/>
      <w:szCs w:val="24"/>
      <w:lang w:val="en-US" w:eastAsia="zh-CN" w:bidi="ar-SA"/>
    </w:rPr>
  </w:style>
  <w:style w:type="character" w:customStyle="1" w:styleId="196">
    <w:name w:val="Char Char Char2"/>
    <w:qFormat/>
    <w:uiPriority w:val="0"/>
    <w:rPr>
      <w:rFonts w:eastAsia="宋体"/>
      <w:b/>
      <w:bCs/>
      <w:kern w:val="2"/>
      <w:sz w:val="32"/>
      <w:szCs w:val="32"/>
      <w:lang w:val="en-US" w:eastAsia="zh-CN" w:bidi="ar-SA"/>
    </w:rPr>
  </w:style>
  <w:style w:type="character" w:customStyle="1" w:styleId="197">
    <w:name w:val="正文文本 2 字符"/>
    <w:link w:val="36"/>
    <w:qFormat/>
    <w:uiPriority w:val="0"/>
    <w:rPr>
      <w:rFonts w:eastAsia="宋体"/>
      <w:kern w:val="2"/>
      <w:sz w:val="21"/>
      <w:szCs w:val="24"/>
      <w:lang w:val="en-US" w:eastAsia="zh-CN" w:bidi="ar-SA"/>
    </w:rPr>
  </w:style>
  <w:style w:type="character" w:customStyle="1" w:styleId="198">
    <w:name w:val="正文* Char"/>
    <w:link w:val="61"/>
    <w:qFormat/>
    <w:uiPriority w:val="0"/>
    <w:rPr>
      <w:rFonts w:eastAsia="楷体_GB2312"/>
      <w:kern w:val="2"/>
      <w:sz w:val="30"/>
      <w:szCs w:val="30"/>
      <w:lang w:val="en-US" w:eastAsia="zh-CN" w:bidi="ar-SA"/>
    </w:rPr>
  </w:style>
  <w:style w:type="character" w:customStyle="1" w:styleId="199">
    <w:name w:val="样式 四号 行距: 固定值 30 磅 Char"/>
    <w:link w:val="62"/>
    <w:qFormat/>
    <w:uiPriority w:val="0"/>
    <w:rPr>
      <w:rFonts w:ascii="宋体" w:hAnsi="宋体" w:eastAsia="宋体" w:cs="宋体"/>
      <w:kern w:val="2"/>
      <w:sz w:val="24"/>
      <w:szCs w:val="24"/>
      <w:lang w:val="en-US" w:eastAsia="zh-CN" w:bidi="ar-SA"/>
    </w:rPr>
  </w:style>
  <w:style w:type="character" w:customStyle="1" w:styleId="200">
    <w:name w:val="表标题 Char"/>
    <w:link w:val="63"/>
    <w:qFormat/>
    <w:uiPriority w:val="0"/>
    <w:rPr>
      <w:b/>
      <w:kern w:val="2"/>
      <w:sz w:val="24"/>
      <w:szCs w:val="24"/>
    </w:rPr>
  </w:style>
  <w:style w:type="character" w:customStyle="1" w:styleId="201">
    <w:name w:val="样式 黑色"/>
    <w:qFormat/>
    <w:uiPriority w:val="0"/>
    <w:rPr>
      <w:rFonts w:eastAsia="宋体"/>
      <w:color w:val="auto"/>
      <w:sz w:val="28"/>
      <w:szCs w:val="28"/>
    </w:rPr>
  </w:style>
  <w:style w:type="character" w:customStyle="1" w:styleId="202">
    <w:name w:val="样式 表格1 + (符号) 宋体 黑色 Char"/>
    <w:link w:val="66"/>
    <w:qFormat/>
    <w:uiPriority w:val="0"/>
    <w:rPr>
      <w:rFonts w:ascii="宋体" w:hAnsi="宋体" w:eastAsia="宋体"/>
      <w:color w:val="000000"/>
      <w:spacing w:val="-8"/>
      <w:kern w:val="2"/>
      <w:sz w:val="21"/>
      <w:lang w:val="en-US" w:eastAsia="zh-CN" w:bidi="ar-SA"/>
    </w:rPr>
  </w:style>
  <w:style w:type="character" w:customStyle="1" w:styleId="203">
    <w:name w:val="表标题 Char1"/>
    <w:qFormat/>
    <w:uiPriority w:val="0"/>
    <w:rPr>
      <w:rFonts w:eastAsia="宋体"/>
      <w:b/>
      <w:color w:val="000000"/>
      <w:sz w:val="24"/>
      <w:lang w:val="en-US" w:eastAsia="zh-CN" w:bidi="ar-SA"/>
    </w:rPr>
  </w:style>
  <w:style w:type="character" w:customStyle="1" w:styleId="204">
    <w:name w:val="样式 加粗 下划线"/>
    <w:qFormat/>
    <w:uiPriority w:val="0"/>
    <w:rPr>
      <w:rFonts w:ascii="Times New Roman" w:hAnsi="Times New Roman" w:eastAsia="宋体"/>
      <w:b/>
      <w:bCs/>
      <w:color w:val="auto"/>
      <w:sz w:val="24"/>
      <w:u w:val="none"/>
    </w:rPr>
  </w:style>
  <w:style w:type="character" w:customStyle="1" w:styleId="205">
    <w:name w:val="Char Char2"/>
    <w:qFormat/>
    <w:uiPriority w:val="0"/>
    <w:rPr>
      <w:rFonts w:eastAsia="宋体"/>
      <w:kern w:val="2"/>
      <w:sz w:val="21"/>
      <w:szCs w:val="21"/>
      <w:lang w:val="en-US" w:eastAsia="zh-CN" w:bidi="ar-SA"/>
    </w:rPr>
  </w:style>
  <w:style w:type="character" w:customStyle="1" w:styleId="206">
    <w:name w:val="样式 正文1 + 首行缩进:  2 字符 Char3"/>
    <w:link w:val="71"/>
    <w:qFormat/>
    <w:uiPriority w:val="0"/>
    <w:rPr>
      <w:rFonts w:ascii="宋体" w:eastAsia="宋体"/>
      <w:kern w:val="2"/>
      <w:sz w:val="24"/>
      <w:lang w:val="en-US" w:eastAsia="zh-CN" w:bidi="ar-SA"/>
    </w:rPr>
  </w:style>
  <w:style w:type="character" w:customStyle="1" w:styleId="207">
    <w:name w:val="图题 Char1"/>
    <w:link w:val="74"/>
    <w:qFormat/>
    <w:uiPriority w:val="0"/>
    <w:rPr>
      <w:rFonts w:ascii="Arial" w:hAnsi="Arial" w:eastAsia="宋体"/>
      <w:b/>
      <w:kern w:val="2"/>
      <w:sz w:val="24"/>
      <w:szCs w:val="24"/>
      <w:lang w:val="en-US" w:eastAsia="zh-CN" w:bidi="ar-SA"/>
    </w:rPr>
  </w:style>
  <w:style w:type="character" w:customStyle="1" w:styleId="208">
    <w:name w:val="公文正文"/>
    <w:qFormat/>
    <w:uiPriority w:val="0"/>
    <w:rPr>
      <w:rFonts w:eastAsia="仿宋_GB2312"/>
      <w:sz w:val="32"/>
    </w:rPr>
  </w:style>
  <w:style w:type="character" w:customStyle="1" w:styleId="209">
    <w:name w:val="纯文本 Char"/>
    <w:qFormat/>
    <w:uiPriority w:val="0"/>
    <w:rPr>
      <w:rFonts w:ascii="宋体" w:hAnsi="Courier New" w:eastAsia="宋体"/>
      <w:snapToGrid w:val="0"/>
      <w:kern w:val="24"/>
      <w:sz w:val="28"/>
      <w:szCs w:val="21"/>
      <w:lang w:val="en-US" w:eastAsia="zh-CN" w:bidi="ar-SA"/>
    </w:rPr>
  </w:style>
  <w:style w:type="character" w:customStyle="1" w:styleId="210">
    <w:name w:val="节标题 1.1 Char Char Char Char"/>
    <w:qFormat/>
    <w:uiPriority w:val="0"/>
    <w:rPr>
      <w:rFonts w:ascii="Arial" w:hAnsi="Arial" w:eastAsia="黑体"/>
      <w:b/>
      <w:bCs/>
      <w:kern w:val="2"/>
      <w:sz w:val="32"/>
      <w:szCs w:val="32"/>
      <w:lang w:val="en-US" w:eastAsia="zh-CN" w:bidi="ar-SA"/>
    </w:rPr>
  </w:style>
  <w:style w:type="character" w:customStyle="1" w:styleId="211">
    <w:name w:val="正文文本缩进 2 字符"/>
    <w:link w:val="24"/>
    <w:qFormat/>
    <w:uiPriority w:val="0"/>
    <w:rPr>
      <w:rFonts w:eastAsia="宋体"/>
      <w:kern w:val="2"/>
      <w:sz w:val="21"/>
      <w:szCs w:val="24"/>
      <w:lang w:val="en-US" w:eastAsia="zh-CN" w:bidi="ar-SA"/>
    </w:rPr>
  </w:style>
  <w:style w:type="character" w:customStyle="1" w:styleId="212">
    <w:name w:val="普通文字 Char2"/>
    <w:qFormat/>
    <w:uiPriority w:val="0"/>
    <w:rPr>
      <w:rFonts w:ascii="宋体" w:hAnsi="Courier New" w:eastAsia="宋体"/>
      <w:kern w:val="2"/>
      <w:sz w:val="28"/>
      <w:szCs w:val="21"/>
      <w:lang w:val="en-US" w:eastAsia="zh-CN" w:bidi="ar-SA"/>
    </w:rPr>
  </w:style>
  <w:style w:type="character" w:customStyle="1" w:styleId="213">
    <w:name w:val="style111"/>
    <w:qFormat/>
    <w:uiPriority w:val="0"/>
    <w:rPr>
      <w:b/>
      <w:bCs/>
      <w:color w:val="E36B39"/>
      <w:sz w:val="30"/>
      <w:szCs w:val="30"/>
    </w:rPr>
  </w:style>
  <w:style w:type="character" w:customStyle="1" w:styleId="214">
    <w:name w:val="px141"/>
    <w:qFormat/>
    <w:uiPriority w:val="0"/>
    <w:rPr>
      <w:rFonts w:hint="default" w:ascii="ˎ̥" w:hAnsi="ˎ̥"/>
      <w:sz w:val="21"/>
      <w:szCs w:val="21"/>
    </w:rPr>
  </w:style>
  <w:style w:type="character" w:customStyle="1" w:styleId="215">
    <w:name w:val="正文（首行缩进两字） Char2"/>
    <w:qFormat/>
    <w:uiPriority w:val="0"/>
    <w:rPr>
      <w:rFonts w:eastAsia="宋体"/>
      <w:kern w:val="2"/>
      <w:sz w:val="24"/>
      <w:lang w:val="en-US" w:eastAsia="zh-CN" w:bidi="ar-SA"/>
    </w:rPr>
  </w:style>
  <w:style w:type="character" w:customStyle="1" w:styleId="216">
    <w:name w:val="标题 3 Char Char1"/>
    <w:semiHidden/>
    <w:qFormat/>
    <w:uiPriority w:val="0"/>
    <w:rPr>
      <w:rFonts w:eastAsia="宋体"/>
      <w:b/>
      <w:bCs/>
      <w:kern w:val="2"/>
      <w:sz w:val="32"/>
      <w:szCs w:val="32"/>
      <w:lang w:val="en-US" w:eastAsia="zh-CN" w:bidi="ar-SA"/>
    </w:rPr>
  </w:style>
  <w:style w:type="character" w:customStyle="1" w:styleId="217">
    <w:name w:val="标题 字符"/>
    <w:link w:val="38"/>
    <w:qFormat/>
    <w:uiPriority w:val="0"/>
    <w:rPr>
      <w:rFonts w:ascii="Cambria" w:hAnsi="Cambria" w:eastAsia="黑体"/>
      <w:b/>
      <w:bCs/>
      <w:kern w:val="2"/>
      <w:sz w:val="36"/>
      <w:szCs w:val="32"/>
    </w:rPr>
  </w:style>
  <w:style w:type="character" w:customStyle="1" w:styleId="218">
    <w:name w:val="批注文字 字符"/>
    <w:link w:val="15"/>
    <w:qFormat/>
    <w:uiPriority w:val="0"/>
    <w:rPr>
      <w:kern w:val="2"/>
      <w:sz w:val="21"/>
      <w:szCs w:val="24"/>
    </w:rPr>
  </w:style>
  <w:style w:type="character" w:customStyle="1" w:styleId="219">
    <w:name w:val="正文文本缩进 字符"/>
    <w:link w:val="18"/>
    <w:qFormat/>
    <w:uiPriority w:val="0"/>
    <w:rPr>
      <w:kern w:val="2"/>
      <w:sz w:val="21"/>
      <w:szCs w:val="24"/>
    </w:rPr>
  </w:style>
  <w:style w:type="character" w:customStyle="1" w:styleId="220">
    <w:name w:val="正文首行缩进 2 字符"/>
    <w:basedOn w:val="219"/>
    <w:link w:val="41"/>
    <w:qFormat/>
    <w:uiPriority w:val="0"/>
    <w:rPr>
      <w:kern w:val="2"/>
      <w:sz w:val="21"/>
      <w:szCs w:val="24"/>
    </w:rPr>
  </w:style>
  <w:style w:type="character" w:customStyle="1" w:styleId="221">
    <w:name w:val="无间隔 Char1"/>
    <w:link w:val="106"/>
    <w:qFormat/>
    <w:uiPriority w:val="0"/>
    <w:rPr>
      <w:kern w:val="2"/>
      <w:sz w:val="21"/>
      <w:szCs w:val="22"/>
      <w:lang w:val="en-US" w:eastAsia="zh-CN" w:bidi="ar-SA"/>
    </w:rPr>
  </w:style>
  <w:style w:type="character" w:customStyle="1" w:styleId="222">
    <w:name w:val="样式 无间隔 + (西文) 宋体 小四 Char"/>
    <w:link w:val="107"/>
    <w:qFormat/>
    <w:uiPriority w:val="0"/>
    <w:rPr>
      <w:rFonts w:ascii="宋体" w:hAnsi="宋体"/>
      <w:kern w:val="2"/>
      <w:sz w:val="24"/>
      <w:szCs w:val="22"/>
    </w:rPr>
  </w:style>
  <w:style w:type="character" w:customStyle="1" w:styleId="223">
    <w:name w:val="表格 Char"/>
    <w:link w:val="55"/>
    <w:qFormat/>
    <w:uiPriority w:val="0"/>
    <w:rPr>
      <w:kern w:val="2"/>
      <w:sz w:val="24"/>
      <w:szCs w:val="21"/>
    </w:rPr>
  </w:style>
  <w:style w:type="character" w:customStyle="1" w:styleId="224">
    <w:name w:val="表标题 Char Char"/>
    <w:qFormat/>
    <w:uiPriority w:val="0"/>
    <w:rPr>
      <w:rFonts w:eastAsia="宋体"/>
      <w:b/>
      <w:kern w:val="24"/>
      <w:sz w:val="24"/>
      <w:szCs w:val="22"/>
      <w:lang w:val="en-US" w:eastAsia="zh-CN" w:bidi="ar-SA"/>
    </w:rPr>
  </w:style>
  <w:style w:type="character" w:customStyle="1" w:styleId="225">
    <w:name w:val="环报告正文 Char"/>
    <w:link w:val="108"/>
    <w:qFormat/>
    <w:uiPriority w:val="0"/>
    <w:rPr>
      <w:rFonts w:hAnsi="Calibri"/>
      <w:kern w:val="2"/>
      <w:sz w:val="24"/>
    </w:rPr>
  </w:style>
  <w:style w:type="character" w:customStyle="1" w:styleId="226">
    <w:name w:val="样式17 Char"/>
    <w:link w:val="109"/>
    <w:qFormat/>
    <w:uiPriority w:val="0"/>
    <w:rPr>
      <w:spacing w:val="20"/>
      <w:kern w:val="2"/>
      <w:sz w:val="24"/>
    </w:rPr>
  </w:style>
  <w:style w:type="character" w:customStyle="1" w:styleId="227">
    <w:name w:val="哈电正文 Char"/>
    <w:link w:val="110"/>
    <w:qFormat/>
    <w:uiPriority w:val="0"/>
    <w:rPr>
      <w:rFonts w:ascii="宋体" w:cs="宋体"/>
      <w:kern w:val="2"/>
      <w:sz w:val="24"/>
      <w:szCs w:val="24"/>
    </w:rPr>
  </w:style>
  <w:style w:type="character" w:customStyle="1" w:styleId="228">
    <w:name w:val="表格文字 Char"/>
    <w:link w:val="59"/>
    <w:qFormat/>
    <w:uiPriority w:val="0"/>
    <w:rPr>
      <w:kern w:val="2"/>
      <w:sz w:val="24"/>
      <w:szCs w:val="24"/>
    </w:rPr>
  </w:style>
  <w:style w:type="character" w:customStyle="1" w:styleId="229">
    <w:name w:val="无间隔 Char"/>
    <w:link w:val="167"/>
    <w:qFormat/>
    <w:uiPriority w:val="0"/>
    <w:rPr>
      <w:kern w:val="2"/>
      <w:sz w:val="21"/>
      <w:szCs w:val="22"/>
      <w:lang w:val="en-US" w:eastAsia="zh-CN" w:bidi="ar-SA"/>
    </w:rPr>
  </w:style>
  <w:style w:type="character" w:customStyle="1" w:styleId="230">
    <w:name w:val="CJ 文本111 Char"/>
    <w:link w:val="113"/>
    <w:qFormat/>
    <w:uiPriority w:val="0"/>
    <w:rPr>
      <w:rFonts w:cs="Arial"/>
      <w:kern w:val="2"/>
      <w:sz w:val="24"/>
      <w:szCs w:val="24"/>
    </w:rPr>
  </w:style>
  <w:style w:type="character" w:customStyle="1" w:styleId="231">
    <w:name w:val="F正文 Char"/>
    <w:link w:val="114"/>
    <w:qFormat/>
    <w:uiPriority w:val="0"/>
    <w:rPr>
      <w:sz w:val="24"/>
      <w:szCs w:val="24"/>
    </w:rPr>
  </w:style>
  <w:style w:type="character" w:customStyle="1" w:styleId="232">
    <w:name w:val="正文▲ Char"/>
    <w:link w:val="116"/>
    <w:qFormat/>
    <w:uiPriority w:val="0"/>
    <w:rPr>
      <w:color w:val="000000"/>
      <w:kern w:val="2"/>
      <w:sz w:val="24"/>
      <w:szCs w:val="24"/>
      <w:lang w:val="en-US" w:eastAsia="zh-CN" w:bidi="ar-SA"/>
    </w:rPr>
  </w:style>
  <w:style w:type="character" w:customStyle="1" w:styleId="233">
    <w:name w:val="正文文本 字符"/>
    <w:link w:val="17"/>
    <w:qFormat/>
    <w:uiPriority w:val="0"/>
    <w:rPr>
      <w:kern w:val="2"/>
      <w:sz w:val="21"/>
      <w:szCs w:val="24"/>
    </w:rPr>
  </w:style>
  <w:style w:type="character" w:customStyle="1" w:styleId="234">
    <w:name w:val="样式17 Char Char"/>
    <w:qFormat/>
    <w:uiPriority w:val="0"/>
    <w:rPr>
      <w:rFonts w:eastAsia="宋体"/>
      <w:spacing w:val="20"/>
      <w:kern w:val="2"/>
      <w:sz w:val="24"/>
      <w:lang w:val="en-US" w:eastAsia="zh-CN" w:bidi="ar-SA"/>
    </w:rPr>
  </w:style>
  <w:style w:type="character" w:customStyle="1" w:styleId="235">
    <w:name w:val="批注主题 字符"/>
    <w:link w:val="39"/>
    <w:qFormat/>
    <w:uiPriority w:val="0"/>
    <w:rPr>
      <w:b/>
      <w:bCs/>
      <w:kern w:val="2"/>
      <w:sz w:val="21"/>
      <w:szCs w:val="24"/>
    </w:rPr>
  </w:style>
  <w:style w:type="character" w:customStyle="1" w:styleId="236">
    <w:name w:val="样式1 Char1"/>
    <w:link w:val="117"/>
    <w:qFormat/>
    <w:uiPriority w:val="0"/>
    <w:rPr>
      <w:bCs/>
      <w:spacing w:val="20"/>
      <w:sz w:val="28"/>
      <w:szCs w:val="28"/>
    </w:rPr>
  </w:style>
  <w:style w:type="character" w:customStyle="1" w:styleId="237">
    <w:name w:val="报告表格 Char"/>
    <w:link w:val="122"/>
    <w:qFormat/>
    <w:uiPriority w:val="0"/>
    <w:rPr>
      <w:sz w:val="21"/>
    </w:rPr>
  </w:style>
  <w:style w:type="character" w:customStyle="1" w:styleId="238">
    <w:name w:val="样式1 Char Char"/>
    <w:qFormat/>
    <w:uiPriority w:val="0"/>
    <w:rPr>
      <w:rFonts w:ascii="宋体" w:hAnsi="宋体" w:eastAsia="宋体"/>
      <w:b/>
      <w:kern w:val="2"/>
      <w:sz w:val="30"/>
      <w:szCs w:val="30"/>
      <w:lang w:val="en-US" w:eastAsia="zh-CN" w:bidi="ar-SA"/>
    </w:rPr>
  </w:style>
  <w:style w:type="character" w:customStyle="1" w:styleId="239">
    <w:name w:val="批注框文本 字符"/>
    <w:link w:val="25"/>
    <w:qFormat/>
    <w:uiPriority w:val="0"/>
    <w:rPr>
      <w:kern w:val="2"/>
      <w:sz w:val="18"/>
      <w:szCs w:val="18"/>
    </w:rPr>
  </w:style>
  <w:style w:type="character" w:customStyle="1" w:styleId="240">
    <w:name w:val="样式 表格 + 宋体 Char"/>
    <w:link w:val="130"/>
    <w:qFormat/>
    <w:uiPriority w:val="0"/>
    <w:rPr>
      <w:rFonts w:ascii="宋体" w:hAnsi="宋体"/>
      <w:color w:val="FF0000"/>
      <w:kern w:val="2"/>
      <w:sz w:val="21"/>
      <w:szCs w:val="21"/>
    </w:rPr>
  </w:style>
  <w:style w:type="character" w:customStyle="1" w:styleId="241">
    <w:name w:val="样式4   1 Char Char"/>
    <w:link w:val="131"/>
    <w:qFormat/>
    <w:uiPriority w:val="0"/>
    <w:rPr>
      <w:rFonts w:ascii="Calibri" w:hAnsi="Calibri"/>
      <w:b/>
      <w:kern w:val="2"/>
      <w:sz w:val="32"/>
      <w:szCs w:val="32"/>
    </w:rPr>
  </w:style>
  <w:style w:type="character" w:customStyle="1" w:styleId="242">
    <w:name w:val="王勇 Char Char"/>
    <w:link w:val="132"/>
    <w:qFormat/>
    <w:uiPriority w:val="0"/>
    <w:rPr>
      <w:kern w:val="2"/>
      <w:sz w:val="24"/>
      <w:szCs w:val="24"/>
    </w:rPr>
  </w:style>
  <w:style w:type="character" w:customStyle="1" w:styleId="243">
    <w:name w:val="样式3 Char Char"/>
    <w:link w:val="134"/>
    <w:uiPriority w:val="0"/>
    <w:rPr>
      <w:b/>
      <w:sz w:val="28"/>
      <w:szCs w:val="24"/>
    </w:rPr>
  </w:style>
  <w:style w:type="character" w:customStyle="1" w:styleId="244">
    <w:name w:val="HZZH正文 Char Char"/>
    <w:link w:val="137"/>
    <w:qFormat/>
    <w:uiPriority w:val="0"/>
    <w:rPr>
      <w:rFonts w:hAnsi="宋体" w:cs="宋体"/>
      <w:sz w:val="28"/>
      <w:szCs w:val="28"/>
    </w:rPr>
  </w:style>
  <w:style w:type="character" w:customStyle="1" w:styleId="245">
    <w:name w:val="方案正文样式 Char"/>
    <w:link w:val="138"/>
    <w:qFormat/>
    <w:uiPriority w:val="0"/>
    <w:rPr>
      <w:snapToGrid w:val="0"/>
      <w:sz w:val="24"/>
      <w:szCs w:val="24"/>
    </w:rPr>
  </w:style>
  <w:style w:type="character" w:customStyle="1" w:styleId="246">
    <w:name w:val="报告正文 Char1"/>
    <w:link w:val="82"/>
    <w:qFormat/>
    <w:uiPriority w:val="0"/>
    <w:rPr>
      <w:kern w:val="2"/>
      <w:sz w:val="28"/>
      <w:szCs w:val="24"/>
    </w:rPr>
  </w:style>
  <w:style w:type="character" w:customStyle="1" w:styleId="247">
    <w:name w:val="样式4 Char"/>
    <w:link w:val="139"/>
    <w:qFormat/>
    <w:uiPriority w:val="0"/>
    <w:rPr>
      <w:kern w:val="2"/>
      <w:sz w:val="21"/>
      <w:szCs w:val="28"/>
    </w:rPr>
  </w:style>
  <w:style w:type="character" w:customStyle="1" w:styleId="248">
    <w:name w:val="样式3 Char"/>
    <w:qFormat/>
    <w:uiPriority w:val="0"/>
    <w:rPr>
      <w:rFonts w:eastAsia="宋体"/>
      <w:b/>
      <w:kern w:val="2"/>
      <w:sz w:val="30"/>
      <w:szCs w:val="30"/>
      <w:lang w:val="en-US" w:eastAsia="zh-CN" w:bidi="ar-SA"/>
    </w:rPr>
  </w:style>
  <w:style w:type="character" w:customStyle="1" w:styleId="249">
    <w:name w:val="样式2 Char Char"/>
    <w:link w:val="120"/>
    <w:qFormat/>
    <w:uiPriority w:val="0"/>
    <w:rPr>
      <w:spacing w:val="20"/>
      <w:kern w:val="2"/>
      <w:sz w:val="24"/>
      <w:szCs w:val="24"/>
      <w:lang w:val="en-US" w:eastAsia="zh-CN" w:bidi="ar-SA"/>
    </w:rPr>
  </w:style>
  <w:style w:type="character" w:customStyle="1" w:styleId="250">
    <w:name w:val="框图文字 Char"/>
    <w:link w:val="145"/>
    <w:qFormat/>
    <w:uiPriority w:val="0"/>
    <w:rPr>
      <w:rFonts w:cs="宋体"/>
      <w:spacing w:val="-20"/>
      <w:sz w:val="21"/>
      <w:szCs w:val="18"/>
    </w:rPr>
  </w:style>
  <w:style w:type="character" w:customStyle="1" w:styleId="251">
    <w:name w:val="apple-style-span"/>
    <w:basedOn w:val="44"/>
    <w:qFormat/>
    <w:uiPriority w:val="0"/>
  </w:style>
  <w:style w:type="character" w:customStyle="1" w:styleId="252">
    <w:name w:val="样式2 Char"/>
    <w:qFormat/>
    <w:uiPriority w:val="0"/>
    <w:rPr>
      <w:rFonts w:eastAsia="宋体"/>
      <w:b/>
      <w:kern w:val="2"/>
      <w:sz w:val="32"/>
      <w:szCs w:val="32"/>
      <w:lang w:val="en-US" w:eastAsia="zh-CN" w:bidi="ar-SA"/>
    </w:rPr>
  </w:style>
  <w:style w:type="character" w:customStyle="1" w:styleId="253">
    <w:name w:val="样式5 Char"/>
    <w:link w:val="148"/>
    <w:qFormat/>
    <w:uiPriority w:val="0"/>
    <w:rPr>
      <w:rFonts w:ascii="宋体" w:hAnsi="宋体"/>
      <w:b/>
      <w:color w:val="000000"/>
      <w:kern w:val="2"/>
      <w:sz w:val="28"/>
    </w:rPr>
  </w:style>
  <w:style w:type="character" w:customStyle="1" w:styleId="254">
    <w:name w:val="Char Char6"/>
    <w:qFormat/>
    <w:uiPriority w:val="0"/>
    <w:rPr>
      <w:rFonts w:ascii="宋体" w:hAnsi="Courier New" w:eastAsia="宋体" w:cs="Courier New"/>
      <w:kern w:val="2"/>
      <w:sz w:val="24"/>
      <w:szCs w:val="21"/>
      <w:lang w:val="en-US" w:eastAsia="zh-CN" w:bidi="ar-SA"/>
    </w:rPr>
  </w:style>
  <w:style w:type="character" w:customStyle="1" w:styleId="255">
    <w:name w:val="无间隔 Char Char"/>
    <w:qFormat/>
    <w:uiPriority w:val="0"/>
    <w:rPr>
      <w:rFonts w:ascii="Calibri" w:hAnsi="Calibri" w:eastAsia="宋体"/>
      <w:kern w:val="2"/>
      <w:sz w:val="21"/>
      <w:szCs w:val="22"/>
      <w:lang w:val="en-US" w:eastAsia="zh-CN" w:bidi="ar-SA"/>
    </w:rPr>
  </w:style>
  <w:style w:type="character" w:customStyle="1" w:styleId="256">
    <w:name w:val="SB正文 Char"/>
    <w:link w:val="151"/>
    <w:qFormat/>
    <w:uiPriority w:val="0"/>
    <w:rPr>
      <w:kern w:val="2"/>
      <w:sz w:val="24"/>
    </w:rPr>
  </w:style>
  <w:style w:type="character" w:customStyle="1" w:styleId="257">
    <w:name w:val="副标题 字符"/>
    <w:link w:val="30"/>
    <w:qFormat/>
    <w:uiPriority w:val="0"/>
    <w:rPr>
      <w:rFonts w:ascii="Cambria" w:hAnsi="Cambria"/>
      <w:b/>
      <w:bCs/>
      <w:kern w:val="28"/>
      <w:sz w:val="32"/>
      <w:szCs w:val="32"/>
    </w:rPr>
  </w:style>
  <w:style w:type="character" w:customStyle="1" w:styleId="258">
    <w:name w:val="正文▲ Char Char"/>
    <w:qFormat/>
    <w:uiPriority w:val="0"/>
    <w:rPr>
      <w:color w:val="000000"/>
      <w:kern w:val="2"/>
      <w:sz w:val="24"/>
      <w:szCs w:val="24"/>
      <w:lang w:val="en-US" w:eastAsia="zh-CN" w:bidi="ar-SA"/>
    </w:rPr>
  </w:style>
  <w:style w:type="character" w:customStyle="1" w:styleId="259">
    <w:name w:val="样式 样式 小四 段前: 7.8 磅 段后: 7.8 磅 行距: 1.5 倍行距 + 首行缩进:  2 字符 Char"/>
    <w:link w:val="97"/>
    <w:qFormat/>
    <w:uiPriority w:val="0"/>
    <w:rPr>
      <w:rFonts w:hAnsi="宋体"/>
      <w:b/>
      <w:kern w:val="2"/>
      <w:sz w:val="24"/>
      <w:szCs w:val="24"/>
    </w:rPr>
  </w:style>
  <w:style w:type="character" w:customStyle="1" w:styleId="260">
    <w:name w:val="1jw正文 Char"/>
    <w:link w:val="159"/>
    <w:qFormat/>
    <w:uiPriority w:val="0"/>
    <w:rPr>
      <w:rFonts w:cs="宋体"/>
      <w:sz w:val="24"/>
      <w:szCs w:val="24"/>
      <w:lang w:val="en-US" w:eastAsia="zh-CN" w:bidi="ar-SA"/>
    </w:rPr>
  </w:style>
  <w:style w:type="character" w:customStyle="1" w:styleId="261">
    <w:name w:val="王勇 Char"/>
    <w:qFormat/>
    <w:uiPriority w:val="0"/>
    <w:rPr>
      <w:kern w:val="2"/>
      <w:sz w:val="24"/>
      <w:szCs w:val="24"/>
    </w:rPr>
  </w:style>
  <w:style w:type="character" w:customStyle="1" w:styleId="262">
    <w:name w:val="标题 4 字符"/>
    <w:link w:val="6"/>
    <w:qFormat/>
    <w:uiPriority w:val="0"/>
    <w:rPr>
      <w:rFonts w:ascii="Plotter" w:hAnsi="Plotter" w:eastAsia="黑体"/>
      <w:b/>
      <w:bCs/>
      <w:spacing w:val="20"/>
      <w:kern w:val="2"/>
      <w:sz w:val="32"/>
    </w:rPr>
  </w:style>
  <w:style w:type="character" w:customStyle="1" w:styleId="263">
    <w:name w:val="标题 5 字符"/>
    <w:link w:val="7"/>
    <w:qFormat/>
    <w:uiPriority w:val="0"/>
    <w:rPr>
      <w:b/>
      <w:bCs/>
      <w:kern w:val="2"/>
      <w:sz w:val="28"/>
      <w:szCs w:val="28"/>
    </w:rPr>
  </w:style>
  <w:style w:type="character" w:customStyle="1" w:styleId="264">
    <w:name w:val="正文文本缩进 3 字符"/>
    <w:link w:val="33"/>
    <w:qFormat/>
    <w:uiPriority w:val="0"/>
    <w:rPr>
      <w:kern w:val="2"/>
      <w:sz w:val="16"/>
      <w:szCs w:val="16"/>
    </w:rPr>
  </w:style>
  <w:style w:type="character" w:customStyle="1" w:styleId="265">
    <w:name w:val="日期 字符"/>
    <w:link w:val="23"/>
    <w:qFormat/>
    <w:uiPriority w:val="0"/>
    <w:rPr>
      <w:kern w:val="2"/>
      <w:sz w:val="21"/>
      <w:szCs w:val="24"/>
    </w:rPr>
  </w:style>
  <w:style w:type="character" w:customStyle="1" w:styleId="266">
    <w:name w:val="称呼 字符"/>
    <w:link w:val="16"/>
    <w:qFormat/>
    <w:uiPriority w:val="0"/>
    <w:rPr>
      <w:sz w:val="24"/>
    </w:rPr>
  </w:style>
  <w:style w:type="character" w:customStyle="1" w:styleId="267">
    <w:name w:val="正文首行缩进 字符"/>
    <w:basedOn w:val="233"/>
    <w:link w:val="40"/>
    <w:qFormat/>
    <w:uiPriority w:val="0"/>
    <w:rPr>
      <w:kern w:val="2"/>
      <w:sz w:val="21"/>
      <w:szCs w:val="24"/>
    </w:rPr>
  </w:style>
  <w:style w:type="character" w:customStyle="1" w:styleId="268">
    <w:name w:val="宏文本 字符"/>
    <w:link w:val="2"/>
    <w:semiHidden/>
    <w:qFormat/>
    <w:uiPriority w:val="0"/>
    <w:rPr>
      <w:rFonts w:ascii="Courier New" w:hAnsi="Courier New" w:cs="Courier New"/>
      <w:kern w:val="2"/>
      <w:sz w:val="24"/>
      <w:szCs w:val="24"/>
      <w:lang w:val="en-US" w:eastAsia="zh-CN" w:bidi="ar-SA"/>
    </w:rPr>
  </w:style>
  <w:style w:type="character" w:customStyle="1" w:styleId="269">
    <w:name w:val="正文级别▲ Char"/>
    <w:link w:val="166"/>
    <w:qFormat/>
    <w:uiPriority w:val="0"/>
    <w:rPr>
      <w:kern w:val="2"/>
      <w:sz w:val="24"/>
      <w:szCs w:val="24"/>
    </w:rPr>
  </w:style>
  <w:style w:type="character" w:customStyle="1" w:styleId="270">
    <w:name w:val="CJ 文本111 Char Char"/>
    <w:qFormat/>
    <w:uiPriority w:val="0"/>
    <w:rPr>
      <w:rFonts w:eastAsia="宋体" w:cs="Arial"/>
      <w:kern w:val="2"/>
      <w:sz w:val="24"/>
      <w:szCs w:val="24"/>
      <w:lang w:val="en-US" w:eastAsia="zh-CN" w:bidi="ar-SA"/>
    </w:rPr>
  </w:style>
  <w:style w:type="character" w:customStyle="1" w:styleId="271">
    <w:name w:val="F正文 Char Char"/>
    <w:qFormat/>
    <w:uiPriority w:val="0"/>
    <w:rPr>
      <w:rFonts w:ascii="宋体" w:hAnsi="宋体" w:eastAsia="宋体"/>
      <w:color w:val="FF0000"/>
      <w:sz w:val="24"/>
      <w:szCs w:val="24"/>
      <w:lang w:eastAsia="zh-CN" w:bidi="ar-SA"/>
    </w:rPr>
  </w:style>
  <w:style w:type="character" w:customStyle="1" w:styleId="272">
    <w:name w:val="wj样式 Char"/>
    <w:link w:val="169"/>
    <w:qFormat/>
    <w:uiPriority w:val="0"/>
    <w:rPr>
      <w:spacing w:val="14"/>
      <w:kern w:val="2"/>
      <w:sz w:val="24"/>
      <w:szCs w:val="24"/>
    </w:rPr>
  </w:style>
  <w:style w:type="character" w:customStyle="1" w:styleId="273">
    <w:name w:val="正文（行首缩进2字） Char"/>
    <w:link w:val="171"/>
    <w:qFormat/>
    <w:uiPriority w:val="0"/>
    <w:rPr>
      <w:kern w:val="2"/>
      <w:sz w:val="28"/>
      <w:szCs w:val="24"/>
    </w:rPr>
  </w:style>
  <w:style w:type="character" w:customStyle="1" w:styleId="274">
    <w:name w:val="正文11 Char"/>
    <w:link w:val="172"/>
    <w:qFormat/>
    <w:uiPriority w:val="0"/>
    <w:rPr>
      <w:rFonts w:hAnsi="宋体"/>
      <w:kern w:val="2"/>
      <w:sz w:val="28"/>
      <w:szCs w:val="24"/>
    </w:rPr>
  </w:style>
  <w:style w:type="character" w:customStyle="1" w:styleId="275">
    <w:name w:val="金林表标题 Char"/>
    <w:link w:val="176"/>
    <w:qFormat/>
    <w:uiPriority w:val="0"/>
    <w:rPr>
      <w:b/>
      <w:kern w:val="2"/>
      <w:sz w:val="24"/>
      <w:szCs w:val="28"/>
    </w:rPr>
  </w:style>
  <w:style w:type="character" w:customStyle="1" w:styleId="276">
    <w:name w:val="表格样式 Char Char"/>
    <w:qFormat/>
    <w:uiPriority w:val="0"/>
    <w:rPr>
      <w:rFonts w:eastAsia="宋体"/>
      <w:kern w:val="2"/>
      <w:sz w:val="21"/>
      <w:szCs w:val="21"/>
      <w:lang w:val="en-US" w:eastAsia="zh-CN" w:bidi="ar-SA"/>
    </w:rPr>
  </w:style>
  <w:style w:type="character" w:customStyle="1" w:styleId="277">
    <w:name w:val="正文缩进 Char2"/>
    <w:basedOn w:val="44"/>
    <w:qFormat/>
    <w:uiPriority w:val="0"/>
    <w:rPr>
      <w:rFonts w:eastAsia="宋体"/>
      <w:kern w:val="2"/>
      <w:sz w:val="24"/>
      <w:lang w:val="en-US" w:eastAsia="zh-CN" w:bidi="ar-SA"/>
    </w:rPr>
  </w:style>
  <w:style w:type="paragraph" w:customStyle="1" w:styleId="278">
    <w:name w:val="Char Char4"/>
    <w:basedOn w:val="1"/>
    <w:qFormat/>
    <w:uiPriority w:val="0"/>
    <w:rPr>
      <w:szCs w:val="21"/>
    </w:rPr>
  </w:style>
  <w:style w:type="paragraph" w:customStyle="1" w:styleId="279">
    <w:name w:val="1"/>
    <w:basedOn w:val="1"/>
    <w:semiHidden/>
    <w:qFormat/>
    <w:uiPriority w:val="0"/>
  </w:style>
  <w:style w:type="table" w:customStyle="1" w:styleId="280">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81">
    <w:name w:val="Table Paragraph"/>
    <w:basedOn w:val="1"/>
    <w:qFormat/>
    <w:uiPriority w:val="1"/>
    <w:pPr>
      <w:jc w:val="left"/>
    </w:pPr>
    <w:rPr>
      <w:rFonts w:asciiTheme="minorHAnsi" w:hAnsiTheme="minorHAnsi" w:eastAsiaTheme="minorEastAsia" w:cstheme="minorBidi"/>
      <w:kern w:val="0"/>
      <w:sz w:val="22"/>
      <w:szCs w:val="22"/>
      <w:lang w:eastAsia="en-US"/>
    </w:rPr>
  </w:style>
  <w:style w:type="character" w:customStyle="1" w:styleId="282">
    <w:name w:val="题注 字符"/>
    <w:link w:val="12"/>
    <w:qFormat/>
    <w:uiPriority w:val="0"/>
    <w:rPr>
      <w:rFonts w:ascii="Cambria" w:hAnsi="Cambria" w:eastAsia="黑体"/>
      <w:kern w:val="2"/>
    </w:rPr>
  </w:style>
  <w:style w:type="paragraph" w:customStyle="1" w:styleId="283">
    <w:name w:val="表格字体"/>
    <w:basedOn w:val="1"/>
    <w:qFormat/>
    <w:uiPriority w:val="0"/>
    <w:pPr>
      <w:widowControl/>
      <w:jc w:val="center"/>
    </w:pPr>
  </w:style>
  <w:style w:type="table" w:customStyle="1" w:styleId="284">
    <w:name w:val="网格型（pxg）1"/>
    <w:basedOn w:val="42"/>
    <w:qFormat/>
    <w:uiPriority w:val="59"/>
    <w:pPr>
      <w:widowControl w:val="0"/>
    </w:pPr>
    <w:rPr>
      <w:rFonts w:ascii="Calibri" w:hAnsi="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
    <w:name w:val="Table Normal1"/>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286">
    <w:name w:val="sb-正文 Char Char"/>
    <w:link w:val="287"/>
    <w:qFormat/>
    <w:uiPriority w:val="0"/>
    <w:rPr>
      <w:rFonts w:ascii="宋体" w:hAnsi="宋体" w:cs="宋体"/>
      <w:color w:val="000000"/>
      <w:kern w:val="2"/>
      <w:sz w:val="24"/>
      <w:szCs w:val="21"/>
    </w:rPr>
  </w:style>
  <w:style w:type="paragraph" w:customStyle="1" w:styleId="287">
    <w:name w:val="sb-正文"/>
    <w:basedOn w:val="1"/>
    <w:link w:val="286"/>
    <w:qFormat/>
    <w:uiPriority w:val="0"/>
    <w:pPr>
      <w:tabs>
        <w:tab w:val="left" w:pos="3120"/>
        <w:tab w:val="left" w:pos="6376"/>
      </w:tabs>
      <w:spacing w:line="360" w:lineRule="auto"/>
      <w:ind w:firstLine="480" w:firstLineChars="200"/>
    </w:pPr>
    <w:rPr>
      <w:rFonts w:ascii="宋体" w:hAnsi="宋体" w:cs="宋体"/>
      <w:color w:val="000000"/>
      <w:sz w:val="24"/>
      <w:szCs w:val="21"/>
    </w:rPr>
  </w:style>
  <w:style w:type="paragraph" w:customStyle="1" w:styleId="288">
    <w:name w:val="报告表标题"/>
    <w:basedOn w:val="1"/>
    <w:qFormat/>
    <w:uiPriority w:val="0"/>
    <w:pPr>
      <w:jc w:val="center"/>
    </w:pPr>
    <w:rPr>
      <w:rFonts w:ascii="仿宋" w:hAnsi="仿宋" w:eastAsia="仿宋"/>
      <w:b/>
      <w:bCs/>
      <w:iCs/>
      <w:color w:val="FF0000"/>
      <w:sz w:val="24"/>
    </w:rPr>
  </w:style>
  <w:style w:type="paragraph" w:styleId="28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90">
    <w:name w:val="List Paragraph"/>
    <w:basedOn w:val="1"/>
    <w:qFormat/>
    <w:uiPriority w:val="1"/>
    <w:pPr>
      <w:ind w:firstLine="420" w:firstLineChars="200"/>
    </w:pPr>
  </w:style>
  <w:style w:type="paragraph" w:customStyle="1" w:styleId="291">
    <w:name w:val="正文缩进1"/>
    <w:basedOn w:val="1"/>
    <w:qFormat/>
    <w:uiPriority w:val="0"/>
    <w:pPr>
      <w:spacing w:line="520" w:lineRule="exact"/>
      <w:ind w:firstLine="624"/>
    </w:pPr>
    <w:rPr>
      <w:sz w:val="28"/>
      <w:szCs w:val="20"/>
    </w:rPr>
  </w:style>
  <w:style w:type="character" w:customStyle="1" w:styleId="292">
    <w:name w:val="标题 8 字符"/>
    <w:basedOn w:val="44"/>
    <w:link w:val="8"/>
    <w:qFormat/>
    <w:uiPriority w:val="0"/>
    <w:rPr>
      <w:rFonts w:asciiTheme="majorHAnsi" w:hAnsiTheme="majorHAnsi" w:eastAsiaTheme="majorEastAsia" w:cstheme="majorBidi"/>
      <w:kern w:val="2"/>
      <w:sz w:val="24"/>
      <w:szCs w:val="24"/>
    </w:rPr>
  </w:style>
  <w:style w:type="paragraph" w:customStyle="1" w:styleId="293">
    <w:name w:val="表格内容"/>
    <w:basedOn w:val="1"/>
    <w:link w:val="294"/>
    <w:qFormat/>
    <w:uiPriority w:val="0"/>
    <w:pPr>
      <w:jc w:val="center"/>
    </w:pPr>
    <w:rPr>
      <w:szCs w:val="22"/>
    </w:rPr>
  </w:style>
  <w:style w:type="character" w:customStyle="1" w:styleId="294">
    <w:name w:val="表格内容 Char"/>
    <w:link w:val="293"/>
    <w:qFormat/>
    <w:uiPriority w:val="0"/>
    <w:rPr>
      <w:kern w:val="2"/>
      <w:sz w:val="21"/>
      <w:szCs w:val="22"/>
    </w:rPr>
  </w:style>
  <w:style w:type="paragraph" w:customStyle="1" w:styleId="295">
    <w:name w:val="环评正文"/>
    <w:basedOn w:val="1"/>
    <w:qFormat/>
    <w:uiPriority w:val="0"/>
    <w:pPr>
      <w:spacing w:line="360" w:lineRule="auto"/>
      <w:ind w:firstLine="200" w:firstLineChars="200"/>
    </w:pPr>
    <w:rPr>
      <w:sz w:val="24"/>
      <w:szCs w:val="22"/>
    </w:rPr>
  </w:style>
  <w:style w:type="paragraph" w:customStyle="1" w:styleId="296">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297">
    <w:name w:val="正文环评"/>
    <w:basedOn w:val="1"/>
    <w:qFormat/>
    <w:uiPriority w:val="0"/>
    <w:pPr>
      <w:spacing w:line="360" w:lineRule="auto"/>
      <w:ind w:firstLine="200" w:firstLineChars="200"/>
    </w:pPr>
    <w:rPr>
      <w:sz w:val="24"/>
      <w:szCs w:val="22"/>
    </w:rPr>
  </w:style>
  <w:style w:type="paragraph" w:customStyle="1" w:styleId="298">
    <w:name w:val="表内容"/>
    <w:basedOn w:val="1"/>
    <w:qFormat/>
    <w:uiPriority w:val="0"/>
    <w:pPr>
      <w:jc w:val="center"/>
    </w:pPr>
    <w:rPr>
      <w:color w:val="000000"/>
      <w:kern w:val="0"/>
      <w:szCs w:val="20"/>
    </w:rPr>
  </w:style>
  <w:style w:type="table" w:customStyle="1" w:styleId="299">
    <w:name w:val="Table Normal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00">
    <w:name w:val="Table Normal3"/>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8.wmf"/><Relationship Id="rId33" Type="http://schemas.openxmlformats.org/officeDocument/2006/relationships/oleObject" Target="embeddings/oleObject5.bin"/><Relationship Id="rId32" Type="http://schemas.openxmlformats.org/officeDocument/2006/relationships/image" Target="media/image17.wmf"/><Relationship Id="rId31" Type="http://schemas.openxmlformats.org/officeDocument/2006/relationships/image" Target="media/image16.w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3.bin"/><Relationship Id="rId17" Type="http://schemas.openxmlformats.org/officeDocument/2006/relationships/image" Target="media/image4.wmf"/><Relationship Id="rId16" Type="http://schemas.openxmlformats.org/officeDocument/2006/relationships/image" Target="media/image3.emf"/><Relationship Id="rId15" Type="http://schemas.openxmlformats.org/officeDocument/2006/relationships/oleObject" Target="embeddings/oleObject2.bin"/><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187"/>
    <customShpInfo spid="_x0000_s11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132</Pages>
  <Words>6376</Words>
  <Characters>7130</Characters>
  <Lines>732</Lines>
  <Paragraphs>206</Paragraphs>
  <TotalTime>0</TotalTime>
  <ScaleCrop>false</ScaleCrop>
  <LinksUpToDate>false</LinksUpToDate>
  <CharactersWithSpaces>7316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2019-03-04T02:12:00Z</dcterms:created>
  <dc:creator>User</dc:creator>
  <cp:lastModifiedBy>刘变香</cp:lastModifiedBy>
  <cp:lastPrinted>2018-02-01T01:34:00Z</cp:lastPrinted>
  <dcterms:modified xsi:type="dcterms:W3CDTF">2025-12-31T02:03:32Z</dcterms:modified>
  <dc:title>云药产业基地</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249EBBBFF4794DF29A9503A49B4CF98B_12</vt:lpwstr>
  </property>
</Properties>
</file>